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楷体" w:hAnsi="楷体" w:eastAsia="楷体" w:cs="楷体"/>
          <w:bCs/>
          <w:color w:val="000000"/>
          <w:spacing w:val="30"/>
          <w:sz w:val="48"/>
          <w:szCs w:val="48"/>
        </w:rPr>
      </w:pPr>
      <w:r>
        <w:rPr>
          <w:rFonts w:ascii="楷体" w:hAnsi="楷体" w:eastAsia="楷体" w:cs="楷体"/>
          <w:bCs/>
          <w:color w:val="000000"/>
          <w:spacing w:val="30"/>
          <w:sz w:val="48"/>
          <w:szCs w:val="48"/>
        </w:rPr>
        <w:t>金华市政府采购中心关于金华市公安局**训练基地科技信息化项目（基础设施信息化）</w:t>
      </w:r>
    </w:p>
    <w:p>
      <w:pPr>
        <w:pStyle w:val="2"/>
        <w:widowControl/>
        <w:shd w:val="clear" w:color="auto" w:fill="FFFFFF"/>
        <w:spacing w:beforeAutospacing="0" w:afterAutospacing="0"/>
        <w:jc w:val="center"/>
        <w:rPr>
          <w:rFonts w:hint="default" w:ascii="楷体" w:hAnsi="楷体" w:eastAsia="楷体" w:cs="楷体"/>
          <w:b w:val="0"/>
          <w:bCs/>
          <w:color w:val="000000"/>
          <w:spacing w:val="30"/>
          <w:sz w:val="48"/>
          <w:szCs w:val="48"/>
        </w:rPr>
      </w:pPr>
    </w:p>
    <w:p>
      <w:pPr>
        <w:spacing w:line="360" w:lineRule="auto"/>
        <w:ind w:right="57"/>
        <w:jc w:val="center"/>
        <w:rPr>
          <w:rFonts w:ascii="楷体" w:hAnsi="楷体" w:eastAsia="楷体" w:cs="楷体"/>
          <w:bCs/>
          <w:color w:val="000000"/>
          <w:spacing w:val="30"/>
          <w:sz w:val="48"/>
          <w:szCs w:val="48"/>
        </w:rPr>
      </w:pPr>
    </w:p>
    <w:p>
      <w:pPr>
        <w:pStyle w:val="29"/>
        <w:ind w:firstLine="1080"/>
        <w:rPr>
          <w:rFonts w:ascii="楷体" w:hAnsi="楷体" w:eastAsia="楷体" w:cs="楷体"/>
          <w:color w:val="000000"/>
          <w:spacing w:val="30"/>
          <w:sz w:val="48"/>
          <w:szCs w:val="48"/>
        </w:rPr>
      </w:pPr>
    </w:p>
    <w:p>
      <w:pPr>
        <w:pStyle w:val="29"/>
        <w:ind w:firstLine="1080"/>
        <w:rPr>
          <w:rFonts w:ascii="楷体" w:hAnsi="楷体" w:eastAsia="楷体" w:cs="楷体"/>
          <w:color w:val="000000"/>
          <w:spacing w:val="30"/>
          <w:sz w:val="48"/>
          <w:szCs w:val="48"/>
        </w:rPr>
      </w:pPr>
    </w:p>
    <w:p>
      <w:pPr>
        <w:pStyle w:val="29"/>
        <w:ind w:firstLine="1080"/>
        <w:rPr>
          <w:rFonts w:ascii="楷体" w:hAnsi="楷体" w:eastAsia="楷体" w:cs="楷体"/>
          <w:color w:val="000000"/>
          <w:spacing w:val="30"/>
          <w:sz w:val="48"/>
          <w:szCs w:val="48"/>
        </w:rPr>
      </w:pPr>
    </w:p>
    <w:p>
      <w:pPr>
        <w:spacing w:before="312" w:beforeLines="100" w:after="100" w:afterAutospacing="1" w:line="800" w:lineRule="exact"/>
        <w:ind w:right="-108"/>
        <w:jc w:val="center"/>
        <w:rPr>
          <w:rFonts w:ascii="宋体" w:hAnsi="宋体"/>
          <w:color w:val="000000"/>
          <w:spacing w:val="40"/>
          <w:sz w:val="72"/>
          <w:szCs w:val="72"/>
        </w:rPr>
      </w:pPr>
      <w:r>
        <w:rPr>
          <w:rFonts w:hint="eastAsia" w:ascii="宋体" w:hAnsi="宋体"/>
          <w:color w:val="000000"/>
          <w:spacing w:val="40"/>
          <w:sz w:val="72"/>
          <w:szCs w:val="72"/>
        </w:rPr>
        <w:t>公开招标采购文件</w:t>
      </w:r>
    </w:p>
    <w:p>
      <w:pPr>
        <w:pStyle w:val="29"/>
        <w:ind w:left="0" w:leftChars="0" w:firstLine="0" w:firstLineChars="0"/>
        <w:jc w:val="center"/>
        <w:rPr>
          <w:sz w:val="44"/>
          <w:szCs w:val="44"/>
        </w:rPr>
      </w:pPr>
      <w:r>
        <w:rPr>
          <w:rFonts w:hint="eastAsia" w:ascii="宋体" w:hAnsi="宋体"/>
          <w:color w:val="000000"/>
          <w:spacing w:val="40"/>
          <w:sz w:val="44"/>
          <w:szCs w:val="44"/>
        </w:rPr>
        <w:t>（线上电子招标）</w:t>
      </w:r>
    </w:p>
    <w:p>
      <w:pPr>
        <w:ind w:right="-110"/>
        <w:rPr>
          <w:rFonts w:ascii="宋体" w:hAnsi="宋体"/>
          <w:color w:val="000000"/>
          <w:sz w:val="32"/>
          <w:szCs w:val="32"/>
        </w:rPr>
      </w:pPr>
    </w:p>
    <w:p>
      <w:pPr>
        <w:spacing w:before="312" w:beforeLines="100" w:line="480" w:lineRule="auto"/>
        <w:ind w:right="-108"/>
        <w:rPr>
          <w:rFonts w:ascii="宋体" w:hAnsi="宋体"/>
          <w:color w:val="000000"/>
          <w:sz w:val="32"/>
          <w:szCs w:val="32"/>
        </w:rPr>
      </w:pPr>
    </w:p>
    <w:p>
      <w:pPr>
        <w:widowControl/>
        <w:jc w:val="left"/>
        <w:rPr>
          <w:rFonts w:eastAsia="楷体"/>
        </w:rPr>
      </w:pPr>
      <w:r>
        <w:rPr>
          <w:rFonts w:hint="eastAsia" w:ascii="宋体" w:hAnsi="宋体"/>
          <w:color w:val="000000"/>
          <w:sz w:val="36"/>
          <w:szCs w:val="36"/>
        </w:rPr>
        <w:t xml:space="preserve">    </w:t>
      </w:r>
      <w:r>
        <w:rPr>
          <w:rFonts w:hint="eastAsia" w:ascii="楷体" w:hAnsi="楷体" w:eastAsia="楷体" w:cs="楷体"/>
          <w:color w:val="000000"/>
          <w:sz w:val="36"/>
          <w:szCs w:val="36"/>
        </w:rPr>
        <w:t>项目编号：JHCG2022W-023</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代理机构：金华市政府采购中心</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地址：金华市双龙南街858号财富大厦4楼</w:t>
      </w:r>
    </w:p>
    <w:p>
      <w:pPr>
        <w:pStyle w:val="23"/>
        <w:ind w:left="0"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开标时间：2022-</w:t>
      </w:r>
      <w:r>
        <w:rPr>
          <w:rFonts w:hint="eastAsia" w:ascii="楷体" w:hAnsi="楷体" w:eastAsia="楷体" w:cs="楷体"/>
          <w:sz w:val="36"/>
          <w:szCs w:val="36"/>
          <w:lang w:val="en-US" w:eastAsia="zh-CN"/>
        </w:rPr>
        <w:t>09</w:t>
      </w:r>
      <w:r>
        <w:rPr>
          <w:rFonts w:hint="eastAsia" w:ascii="楷体" w:hAnsi="楷体" w:eastAsia="楷体" w:cs="楷体"/>
          <w:sz w:val="36"/>
          <w:szCs w:val="36"/>
        </w:rPr>
        <w:t>-</w:t>
      </w:r>
      <w:r>
        <w:rPr>
          <w:rFonts w:hint="eastAsia" w:ascii="楷体" w:hAnsi="楷体" w:eastAsia="楷体" w:cs="楷体"/>
          <w:sz w:val="36"/>
          <w:szCs w:val="36"/>
          <w:lang w:val="en-US" w:eastAsia="zh-CN"/>
        </w:rPr>
        <w:t>23</w:t>
      </w:r>
      <w:r>
        <w:rPr>
          <w:rFonts w:hint="eastAsia" w:ascii="楷体" w:hAnsi="楷体" w:eastAsia="楷体" w:cs="楷体"/>
          <w:color w:val="000000"/>
          <w:sz w:val="36"/>
          <w:szCs w:val="36"/>
        </w:rPr>
        <w:t>上午9：30整</w:t>
      </w:r>
    </w:p>
    <w:p>
      <w:pPr>
        <w:rPr>
          <w:rFonts w:ascii="楷体" w:hAnsi="楷体" w:eastAsia="楷体" w:cs="楷体"/>
          <w:color w:val="000000"/>
          <w:sz w:val="36"/>
          <w:szCs w:val="36"/>
        </w:rPr>
      </w:pPr>
    </w:p>
    <w:p>
      <w:pPr>
        <w:pStyle w:val="38"/>
        <w:spacing w:before="156"/>
        <w:ind w:firstLine="616"/>
        <w:rPr>
          <w:rFonts w:ascii="楷体" w:hAnsi="楷体" w:eastAsia="楷体" w:cs="楷体"/>
          <w:color w:val="000000"/>
          <w:sz w:val="36"/>
          <w:szCs w:val="36"/>
        </w:rPr>
      </w:pPr>
    </w:p>
    <w:p>
      <w:pPr>
        <w:pStyle w:val="38"/>
        <w:spacing w:before="156"/>
        <w:ind w:firstLine="616"/>
        <w:rPr>
          <w:rFonts w:ascii="楷体" w:hAnsi="楷体" w:eastAsia="楷体" w:cs="楷体"/>
          <w:color w:val="000000"/>
          <w:sz w:val="36"/>
          <w:szCs w:val="36"/>
        </w:rPr>
      </w:pPr>
    </w:p>
    <w:p>
      <w:pPr>
        <w:spacing w:line="360" w:lineRule="auto"/>
        <w:ind w:right="57"/>
        <w:jc w:val="left"/>
        <w:rPr>
          <w:rFonts w:ascii="楷体" w:hAnsi="楷体" w:eastAsia="楷体"/>
          <w:color w:val="000000"/>
          <w:spacing w:val="30"/>
          <w:sz w:val="28"/>
          <w:szCs w:val="11"/>
        </w:rPr>
        <w:sectPr>
          <w:footerReference r:id="rId3" w:type="default"/>
          <w:pgSz w:w="11906" w:h="16838"/>
          <w:pgMar w:top="1440" w:right="1800" w:bottom="1440" w:left="1800" w:header="851" w:footer="992" w:gutter="0"/>
          <w:cols w:space="720" w:num="1"/>
          <w:docGrid w:type="lines" w:linePitch="312" w:charSpace="0"/>
        </w:sectPr>
      </w:pPr>
      <w:r>
        <w:rPr>
          <w:rFonts w:hint="eastAsia" w:ascii="楷体" w:hAnsi="楷体" w:eastAsia="楷体"/>
          <w:color w:val="000000"/>
          <w:spacing w:val="30"/>
          <w:sz w:val="28"/>
          <w:szCs w:val="11"/>
        </w:rPr>
        <w:t>备注：因疫情防控需要，近14天去过中高风险地区的不得参加现场开标</w:t>
      </w:r>
    </w:p>
    <w:p>
      <w:pPr>
        <w:spacing w:line="800" w:lineRule="exact"/>
        <w:ind w:firstLine="840" w:firstLineChars="300"/>
        <w:rPr>
          <w:sz w:val="28"/>
          <w:szCs w:val="28"/>
        </w:rPr>
      </w:pPr>
    </w:p>
    <w:p>
      <w:pPr>
        <w:spacing w:line="800" w:lineRule="exact"/>
        <w:ind w:firstLine="840" w:firstLineChars="300"/>
        <w:rPr>
          <w:sz w:val="28"/>
          <w:szCs w:val="28"/>
        </w:rPr>
      </w:pPr>
      <w:r>
        <w:rPr>
          <w:rFonts w:hint="eastAsia"/>
          <w:sz w:val="28"/>
          <w:szCs w:val="28"/>
        </w:rPr>
        <w:t>根据省、市疫情防控有关要求，对来现场参加本项目招标采购活动的当事人要求如下：</w:t>
      </w:r>
    </w:p>
    <w:p>
      <w:pPr>
        <w:spacing w:line="800" w:lineRule="exact"/>
        <w:rPr>
          <w:sz w:val="28"/>
          <w:szCs w:val="28"/>
        </w:rPr>
      </w:pPr>
      <w:r>
        <w:rPr>
          <w:rFonts w:hint="eastAsia"/>
          <w:sz w:val="28"/>
          <w:szCs w:val="28"/>
        </w:rPr>
        <w:t xml:space="preserve">    1.参加招标采购项目当事人需佩戴口罩凭健康码、行程码绿码进入招标采购现场。</w:t>
      </w:r>
    </w:p>
    <w:p>
      <w:pPr>
        <w:spacing w:line="800" w:lineRule="exact"/>
        <w:ind w:firstLine="560" w:firstLineChars="200"/>
        <w:rPr>
          <w:sz w:val="28"/>
          <w:szCs w:val="28"/>
        </w:rPr>
      </w:pPr>
      <w:r>
        <w:rPr>
          <w:rFonts w:hint="eastAsia"/>
          <w:sz w:val="28"/>
          <w:szCs w:val="28"/>
        </w:rPr>
        <w:t>2.对于健康码为绿码但行程卡带“*”的人员，需提供24小时内的核酸检测阴性报告并作书面承诺方可进入招投标现场；</w:t>
      </w:r>
    </w:p>
    <w:p>
      <w:pPr>
        <w:spacing w:line="800" w:lineRule="exact"/>
        <w:ind w:firstLine="560" w:firstLineChars="200"/>
        <w:rPr>
          <w:sz w:val="28"/>
          <w:szCs w:val="28"/>
        </w:rPr>
      </w:pPr>
      <w:r>
        <w:rPr>
          <w:rFonts w:hint="eastAsia"/>
          <w:sz w:val="28"/>
          <w:szCs w:val="28"/>
        </w:rPr>
        <w:t>3.健康码</w:t>
      </w:r>
      <w:r>
        <w:rPr>
          <w:sz w:val="28"/>
          <w:szCs w:val="28"/>
        </w:rPr>
        <w:t>为黄</w:t>
      </w:r>
      <w:r>
        <w:rPr>
          <w:rFonts w:hint="eastAsia"/>
          <w:sz w:val="28"/>
          <w:szCs w:val="28"/>
        </w:rPr>
        <w:t>码</w:t>
      </w:r>
      <w:r>
        <w:rPr>
          <w:sz w:val="28"/>
          <w:szCs w:val="28"/>
        </w:rPr>
        <w:t>或红</w:t>
      </w:r>
      <w:r>
        <w:rPr>
          <w:rFonts w:hint="eastAsia"/>
          <w:sz w:val="28"/>
          <w:szCs w:val="28"/>
        </w:rPr>
        <w:t>码</w:t>
      </w:r>
      <w:r>
        <w:rPr>
          <w:sz w:val="28"/>
          <w:szCs w:val="28"/>
        </w:rPr>
        <w:t>、体温</w:t>
      </w:r>
      <w:r>
        <w:rPr>
          <w:rFonts w:hint="eastAsia"/>
          <w:sz w:val="28"/>
          <w:szCs w:val="28"/>
        </w:rPr>
        <w:t>≥</w:t>
      </w:r>
      <w:r>
        <w:rPr>
          <w:sz w:val="28"/>
          <w:szCs w:val="28"/>
        </w:rPr>
        <w:t>37.3</w:t>
      </w:r>
      <w:r>
        <w:rPr>
          <w:rFonts w:hint="eastAsia"/>
          <w:sz w:val="28"/>
          <w:szCs w:val="28"/>
        </w:rPr>
        <w:t>℃</w:t>
      </w:r>
      <w:r>
        <w:rPr>
          <w:sz w:val="28"/>
          <w:szCs w:val="28"/>
        </w:rPr>
        <w:t>的，严禁进场</w:t>
      </w:r>
      <w:r>
        <w:rPr>
          <w:rFonts w:hint="eastAsia"/>
          <w:sz w:val="28"/>
          <w:szCs w:val="28"/>
        </w:rPr>
        <w:t>。</w:t>
      </w:r>
    </w:p>
    <w:p>
      <w:pPr>
        <w:spacing w:line="800" w:lineRule="exact"/>
        <w:ind w:firstLine="560" w:firstLineChars="200"/>
        <w:rPr>
          <w:sz w:val="28"/>
          <w:szCs w:val="28"/>
        </w:rPr>
      </w:pPr>
      <w:r>
        <w:rPr>
          <w:rFonts w:hint="eastAsia"/>
          <w:sz w:val="28"/>
          <w:szCs w:val="28"/>
        </w:rPr>
        <w:t>请各参加招投标活动人员按要求做好疫情防护工作，提前做好准备。最新疫情防控要求根据疫情防控指挥部有关通知精神进行动态调整。</w:t>
      </w:r>
    </w:p>
    <w:p>
      <w:pPr>
        <w:pStyle w:val="28"/>
        <w:ind w:firstLine="210"/>
      </w:pPr>
    </w:p>
    <w:p>
      <w:pPr>
        <w:pStyle w:val="28"/>
        <w:ind w:firstLine="210"/>
      </w:pPr>
    </w:p>
    <w:p>
      <w:pPr>
        <w:pStyle w:val="28"/>
        <w:ind w:firstLine="210"/>
      </w:pPr>
    </w:p>
    <w:p>
      <w:pPr>
        <w:pStyle w:val="28"/>
        <w:ind w:firstLine="280"/>
        <w:jc w:val="right"/>
        <w:rPr>
          <w:sz w:val="28"/>
          <w:szCs w:val="28"/>
        </w:rPr>
      </w:pPr>
      <w:r>
        <w:rPr>
          <w:rFonts w:hint="eastAsia"/>
          <w:sz w:val="28"/>
          <w:szCs w:val="28"/>
        </w:rPr>
        <w:t>金华市政府采购中心</w:t>
      </w:r>
    </w:p>
    <w:p>
      <w:pPr>
        <w:rPr>
          <w:rFonts w:hAnsi="宋体"/>
          <w:b/>
          <w:color w:val="000000"/>
          <w:sz w:val="36"/>
          <w:szCs w:val="36"/>
        </w:rPr>
      </w:pPr>
      <w:r>
        <w:rPr>
          <w:rFonts w:hint="eastAsia" w:hAnsi="宋体"/>
          <w:b/>
          <w:color w:val="000000"/>
          <w:sz w:val="36"/>
          <w:szCs w:val="36"/>
        </w:rPr>
        <w:br w:type="page"/>
      </w:r>
    </w:p>
    <w:p>
      <w:pPr>
        <w:pStyle w:val="15"/>
        <w:spacing w:before="156" w:after="156" w:line="480" w:lineRule="auto"/>
        <w:jc w:val="center"/>
        <w:rPr>
          <w:rFonts w:hAnsi="宋体"/>
          <w:b/>
          <w:color w:val="000000"/>
          <w:sz w:val="36"/>
          <w:szCs w:val="36"/>
        </w:rPr>
      </w:pPr>
      <w:r>
        <w:rPr>
          <w:rFonts w:hint="eastAsia" w:hAnsi="宋体"/>
          <w:b/>
          <w:color w:val="000000"/>
          <w:sz w:val="36"/>
          <w:szCs w:val="36"/>
        </w:rPr>
        <w:t>目    录</w:t>
      </w:r>
    </w:p>
    <w:p>
      <w:pPr>
        <w:spacing w:before="156" w:beforeLines="50" w:line="480" w:lineRule="exact"/>
        <w:rPr>
          <w:rFonts w:ascii="宋体" w:hAnsi="宋体" w:eastAsia="仿宋_GB2312"/>
          <w:color w:val="000000"/>
          <w:sz w:val="30"/>
          <w:szCs w:val="30"/>
        </w:rPr>
      </w:pPr>
    </w:p>
    <w:p>
      <w:pPr>
        <w:numPr>
          <w:ilvl w:val="0"/>
          <w:numId w:val="2"/>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公开</w:t>
      </w:r>
      <w:r>
        <w:rPr>
          <w:rFonts w:ascii="宋体" w:hAnsi="宋体" w:eastAsia="仿宋_GB2312"/>
          <w:color w:val="000000"/>
          <w:sz w:val="30"/>
          <w:szCs w:val="30"/>
        </w:rPr>
        <w:t>招标采购公告</w:t>
      </w:r>
    </w:p>
    <w:p>
      <w:pPr>
        <w:numPr>
          <w:ilvl w:val="0"/>
          <w:numId w:val="2"/>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招标</w:t>
      </w:r>
      <w:r>
        <w:rPr>
          <w:rFonts w:ascii="宋体" w:hAnsi="宋体" w:eastAsia="仿宋_GB2312"/>
          <w:color w:val="000000"/>
          <w:sz w:val="30"/>
          <w:szCs w:val="30"/>
        </w:rPr>
        <w:t>需求</w:t>
      </w:r>
    </w:p>
    <w:p>
      <w:pPr>
        <w:numPr>
          <w:ilvl w:val="0"/>
          <w:numId w:val="2"/>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投标人</w:t>
      </w:r>
      <w:r>
        <w:rPr>
          <w:rFonts w:ascii="宋体" w:hAnsi="宋体" w:eastAsia="仿宋_GB2312"/>
          <w:color w:val="000000"/>
          <w:sz w:val="30"/>
          <w:szCs w:val="30"/>
        </w:rPr>
        <w:t>须知</w:t>
      </w:r>
    </w:p>
    <w:p>
      <w:pPr>
        <w:numPr>
          <w:ilvl w:val="0"/>
          <w:numId w:val="2"/>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评标定标办法</w:t>
      </w:r>
    </w:p>
    <w:p>
      <w:pPr>
        <w:numPr>
          <w:ilvl w:val="0"/>
          <w:numId w:val="2"/>
        </w:numPr>
        <w:spacing w:before="156" w:beforeLines="50" w:line="480" w:lineRule="exact"/>
        <w:rPr>
          <w:rFonts w:ascii="宋体" w:hAnsi="宋体" w:eastAsia="仿宋_GB2312"/>
          <w:color w:val="000000"/>
          <w:sz w:val="30"/>
          <w:szCs w:val="30"/>
        </w:rPr>
      </w:pPr>
      <w:r>
        <w:rPr>
          <w:rFonts w:ascii="宋体" w:hAnsi="宋体" w:eastAsia="仿宋_GB2312"/>
          <w:color w:val="000000"/>
          <w:sz w:val="30"/>
          <w:szCs w:val="30"/>
        </w:rPr>
        <w:t xml:space="preserve"> </w:t>
      </w:r>
      <w:r>
        <w:rPr>
          <w:rFonts w:hint="eastAsia" w:ascii="宋体" w:hAnsi="宋体" w:eastAsia="仿宋_GB2312"/>
          <w:color w:val="000000"/>
          <w:sz w:val="30"/>
          <w:szCs w:val="30"/>
        </w:rPr>
        <w:t>政府采购合同主要条款</w:t>
      </w:r>
    </w:p>
    <w:p>
      <w:pPr>
        <w:numPr>
          <w:ilvl w:val="0"/>
          <w:numId w:val="2"/>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投标文件格式</w:t>
      </w:r>
    </w:p>
    <w:p>
      <w:r>
        <w:rPr>
          <w:rFonts w:hint="eastAsia"/>
        </w:rPr>
        <w:t xml:space="preserve">  </w:t>
      </w:r>
    </w:p>
    <w:p>
      <w:pPr>
        <w:pStyle w:val="15"/>
        <w:pBdr>
          <w:top w:val="single" w:color="auto" w:sz="4" w:space="1"/>
          <w:left w:val="single" w:color="auto" w:sz="4" w:space="4"/>
          <w:bottom w:val="single" w:color="auto" w:sz="4" w:space="1"/>
          <w:right w:val="single" w:color="auto" w:sz="4" w:space="4"/>
        </w:pBdr>
        <w:snapToGrid w:val="0"/>
        <w:spacing w:before="156" w:after="156"/>
        <w:ind w:firstLine="481" w:firstLineChars="200"/>
        <w:jc w:val="left"/>
        <w:outlineLvl w:val="0"/>
        <w:rPr>
          <w:b/>
        </w:rPr>
      </w:pPr>
      <w:r>
        <w:rPr>
          <w:rFonts w:hint="eastAsia"/>
          <w:b/>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15"/>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举报电话：</w:t>
      </w:r>
    </w:p>
    <w:p>
      <w:pPr>
        <w:pStyle w:val="15"/>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市扫黑办  0579-82495227</w:t>
      </w:r>
    </w:p>
    <w:p>
      <w:pPr>
        <w:pStyle w:val="15"/>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市公安局  110、0579-82512110</w:t>
      </w:r>
    </w:p>
    <w:p>
      <w:pPr>
        <w:pStyle w:val="15"/>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市检察院  0579-82537082</w:t>
      </w:r>
    </w:p>
    <w:p>
      <w:pPr>
        <w:pStyle w:val="15"/>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市 法 院  0579-82688725</w:t>
      </w:r>
    </w:p>
    <w:p>
      <w:pPr>
        <w:pStyle w:val="15"/>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市公共资源交易管理办公室  0579-82469285</w:t>
      </w:r>
    </w:p>
    <w:p>
      <w:pPr>
        <w:pStyle w:val="29"/>
        <w:sectPr>
          <w:footerReference r:id="rId4" w:type="default"/>
          <w:pgSz w:w="11906" w:h="16838"/>
          <w:pgMar w:top="1440" w:right="1800" w:bottom="1440" w:left="1800" w:header="851" w:footer="992" w:gutter="0"/>
          <w:cols w:space="425" w:num="1"/>
          <w:docGrid w:type="lines" w:linePitch="312" w:charSpace="0"/>
        </w:sectPr>
      </w:pPr>
    </w:p>
    <w:p>
      <w:pPr>
        <w:pStyle w:val="15"/>
        <w:spacing w:before="120" w:after="120" w:line="360" w:lineRule="auto"/>
        <w:jc w:val="center"/>
        <w:outlineLvl w:val="0"/>
        <w:rPr>
          <w:rFonts w:hAnsi="宋体"/>
          <w:b/>
          <w:color w:val="000000"/>
          <w:sz w:val="36"/>
          <w:szCs w:val="36"/>
        </w:rPr>
      </w:pPr>
      <w:bookmarkStart w:id="0" w:name="_Toc439237127"/>
      <w:r>
        <w:rPr>
          <w:rFonts w:hint="eastAsia" w:hAnsi="宋体"/>
          <w:b/>
          <w:color w:val="000000"/>
          <w:sz w:val="36"/>
          <w:szCs w:val="36"/>
        </w:rPr>
        <w:t>第一章  公开招标采购公告</w:t>
      </w:r>
      <w:bookmarkEnd w:id="0"/>
    </w:p>
    <w:p>
      <w:pPr>
        <w:pStyle w:val="39"/>
        <w:widowControl w:val="0"/>
        <w:spacing w:afterLines="0" w:line="460" w:lineRule="exact"/>
        <w:ind w:firstLine="480"/>
        <w:rPr>
          <w:rFonts w:ascii="仿宋" w:hAnsi="仿宋" w:eastAsia="仿宋" w:cs="Arial"/>
          <w:bCs/>
          <w:color w:val="000000"/>
          <w:kern w:val="2"/>
          <w:szCs w:val="24"/>
        </w:rPr>
      </w:pPr>
      <w:r>
        <w:rPr>
          <w:rFonts w:hint="eastAsia" w:ascii="仿宋" w:hAnsi="仿宋" w:eastAsia="仿宋" w:cs="Arial"/>
          <w:bCs/>
          <w:color w:val="000000"/>
          <w:kern w:val="2"/>
          <w:szCs w:val="24"/>
        </w:rPr>
        <w:t>根据《中华人民共和国政府采购法》、《中华人民共和国政府采购实施条例》、《政府采购货物和服务招标投标管理办法》（注：基建工程、经批准采购进口机电产品的项目，应注明相关法律依据）等规定，经金华市财政局批准，现就该</w:t>
      </w:r>
      <w:r>
        <w:rPr>
          <w:rFonts w:ascii="仿宋" w:hAnsi="仿宋" w:eastAsia="仿宋" w:cs="Arial"/>
          <w:bCs/>
          <w:color w:val="000000"/>
          <w:kern w:val="2"/>
          <w:szCs w:val="24"/>
        </w:rPr>
        <w:t>项目进行公开招标采购，</w:t>
      </w:r>
      <w:r>
        <w:rPr>
          <w:rFonts w:hint="eastAsia" w:ascii="仿宋" w:hAnsi="仿宋" w:eastAsia="仿宋" w:cs="Arial"/>
          <w:bCs/>
          <w:color w:val="000000"/>
          <w:kern w:val="2"/>
          <w:szCs w:val="24"/>
        </w:rPr>
        <w:t>欢迎提供本国货物、服务的生产制造厂商或其合格代理商前来投标：</w:t>
      </w:r>
    </w:p>
    <w:p>
      <w:pPr>
        <w:snapToGrid w:val="0"/>
        <w:ind w:firstLine="600" w:firstLineChars="200"/>
        <w:rPr>
          <w:rFonts w:ascii="仿宋" w:hAnsi="仿宋" w:eastAsia="仿宋" w:cs="Arial"/>
          <w:b/>
          <w:bCs/>
          <w:color w:val="000000"/>
          <w:sz w:val="30"/>
          <w:szCs w:val="30"/>
          <w:lang w:val="e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项目编号：JHCG2022W-0</w:t>
      </w:r>
      <w:r>
        <w:rPr>
          <w:rFonts w:ascii="仿宋" w:hAnsi="仿宋" w:eastAsia="仿宋" w:cs="Arial"/>
          <w:b/>
          <w:bCs/>
          <w:color w:val="000000"/>
          <w:sz w:val="30"/>
          <w:szCs w:val="30"/>
          <w:lang w:val="en"/>
        </w:rPr>
        <w:t>23</w:t>
      </w:r>
    </w:p>
    <w:p>
      <w:pPr>
        <w:snapToGrid w:val="0"/>
        <w:spacing w:after="120" w:afterLines="50"/>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w:t>
      </w:r>
      <w:r>
        <w:rPr>
          <w:rFonts w:ascii="仿宋" w:hAnsi="仿宋" w:eastAsia="仿宋" w:cs="Arial"/>
          <w:b/>
          <w:color w:val="000000"/>
          <w:sz w:val="30"/>
          <w:szCs w:val="30"/>
        </w:rPr>
        <w:t>、采购组织类型：政府集中采购</w:t>
      </w:r>
    </w:p>
    <w:p>
      <w:pPr>
        <w:snapToGrid w:val="0"/>
        <w:spacing w:after="120" w:afterLines="50"/>
        <w:ind w:firstLine="602" w:firstLineChars="200"/>
        <w:rPr>
          <w:rFonts w:ascii="仿宋" w:hAnsi="仿宋" w:eastAsia="仿宋" w:cs="Arial"/>
          <w:b/>
          <w:bCs/>
          <w:sz w:val="30"/>
          <w:szCs w:val="30"/>
        </w:rPr>
      </w:pPr>
      <w:r>
        <w:rPr>
          <w:rFonts w:hint="eastAsia" w:ascii="仿宋" w:hAnsi="仿宋" w:eastAsia="仿宋" w:cs="Arial"/>
          <w:b/>
          <w:color w:val="000000"/>
          <w:sz w:val="30"/>
          <w:szCs w:val="30"/>
        </w:rPr>
        <w:t>三、</w:t>
      </w:r>
      <w:r>
        <w:rPr>
          <w:rFonts w:hint="eastAsia" w:ascii="仿宋" w:hAnsi="仿宋" w:eastAsia="仿宋" w:cs="Arial"/>
          <w:b/>
          <w:bCs/>
          <w:sz w:val="30"/>
          <w:szCs w:val="30"/>
        </w:rPr>
        <w:t>采购内容及数量</w:t>
      </w:r>
    </w:p>
    <w:tbl>
      <w:tblPr>
        <w:tblStyle w:val="30"/>
        <w:tblW w:w="8441"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95"/>
        <w:gridCol w:w="825"/>
        <w:gridCol w:w="1178"/>
        <w:gridCol w:w="1357"/>
        <w:gridCol w:w="21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采购内容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单位</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数量</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预算</w:t>
            </w:r>
          </w:p>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（万元）</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使用单位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lang w:val="en"/>
              </w:rPr>
            </w:pPr>
            <w:r>
              <w:rPr>
                <w:rFonts w:hint="eastAsia" w:ascii="宋体" w:hAnsi="宋体" w:cs="宋体"/>
                <w:kern w:val="0"/>
                <w:sz w:val="24"/>
                <w:szCs w:val="24"/>
              </w:rPr>
              <w:t>**训练基地科技信息化项目</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批</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见需求</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840.4436</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金华市公安局</w:t>
            </w:r>
          </w:p>
        </w:tc>
      </w:tr>
    </w:tbl>
    <w:p>
      <w:pPr>
        <w:snapToGrid w:val="0"/>
        <w:spacing w:line="460" w:lineRule="exact"/>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四、投标供应商资格要求</w:t>
      </w:r>
    </w:p>
    <w:p>
      <w:pPr>
        <w:pStyle w:val="29"/>
        <w:ind w:left="0" w:leftChars="0" w:firstLine="240" w:firstLineChars="100"/>
        <w:rPr>
          <w:rFonts w:ascii="宋体" w:hAnsi="宋体" w:cs="宋体"/>
          <w:bCs/>
          <w:color w:val="000000"/>
          <w:sz w:val="24"/>
          <w:szCs w:val="24"/>
        </w:rPr>
      </w:pPr>
      <w:r>
        <w:rPr>
          <w:rFonts w:hint="eastAsia" w:ascii="宋体" w:hAnsi="宋体" w:cs="宋体"/>
          <w:bCs/>
          <w:color w:val="000000"/>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9"/>
        <w:ind w:left="0" w:leftChars="0" w:firstLine="0" w:firstLineChars="0"/>
        <w:rPr>
          <w:rFonts w:ascii="宋体" w:hAnsi="宋体" w:cs="宋体"/>
          <w:bCs/>
          <w:color w:val="000000"/>
          <w:sz w:val="24"/>
          <w:szCs w:val="24"/>
        </w:rPr>
      </w:pPr>
      <w:r>
        <w:rPr>
          <w:rFonts w:hint="eastAsia" w:ascii="宋体" w:hAnsi="宋体" w:cs="宋体"/>
          <w:bCs/>
          <w:color w:val="000000"/>
          <w:sz w:val="24"/>
          <w:szCs w:val="24"/>
        </w:rPr>
        <w:t xml:space="preserve"> 2.落实政府采购政策需满足的资格要求： </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þ</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cs="Arial"/>
          <w:kern w:val="0"/>
          <w:sz w:val="24"/>
        </w:rPr>
        <w:t>工程</w:t>
      </w:r>
      <w:r>
        <w:rPr>
          <w:rFonts w:hint="eastAsia" w:ascii="仿宋_GB2312" w:hAnsi="仿宋" w:eastAsia="仿宋_GB2312"/>
          <w:sz w:val="24"/>
        </w:rPr>
        <w:t>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44924130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48228458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工程全部由符合政策要求的中小企业承接，提供中小企业声明函；</w:t>
      </w:r>
    </w:p>
    <w:p>
      <w:pPr>
        <w:spacing w:line="360" w:lineRule="auto"/>
        <w:ind w:firstLine="897" w:firstLineChars="374"/>
        <w:rPr>
          <w:rFonts w:ascii="仿宋_GB2312" w:hAnsi="仿宋" w:eastAsia="仿宋_GB2312"/>
          <w:sz w:val="24"/>
        </w:rPr>
      </w:pPr>
      <w:r>
        <w:rPr>
          <w:rFonts w:hint="eastAsia" w:ascii="仿宋_GB2312" w:hAnsi="仿宋" w:eastAsia="仿宋_GB2312"/>
          <w:sz w:val="24"/>
        </w:rPr>
        <w:t>☐工程全部由符合政策要求的小微企业承接，提供中小企业声明函；</w:t>
      </w:r>
    </w:p>
    <w:p>
      <w:pPr>
        <w:pStyle w:val="56"/>
      </w:pPr>
    </w:p>
    <w:p>
      <w:pPr>
        <w:pStyle w:val="29"/>
        <w:ind w:left="0" w:leftChars="0" w:firstLine="240" w:firstLineChars="100"/>
        <w:rPr>
          <w:rFonts w:ascii="宋体" w:hAnsi="宋体" w:cs="宋体"/>
          <w:bCs/>
          <w:color w:val="000000"/>
          <w:sz w:val="24"/>
          <w:szCs w:val="24"/>
        </w:rPr>
      </w:pPr>
      <w:r>
        <w:rPr>
          <w:rFonts w:hint="eastAsia" w:ascii="宋体" w:hAnsi="宋体" w:cs="宋体"/>
          <w:bCs/>
          <w:color w:val="000000"/>
          <w:sz w:val="24"/>
          <w:szCs w:val="24"/>
        </w:rPr>
        <w:t>3.本项目的特定资格要求：无</w:t>
      </w:r>
    </w:p>
    <w:p>
      <w:pPr>
        <w:pStyle w:val="29"/>
        <w:ind w:left="0" w:leftChars="0" w:firstLine="240" w:firstLineChars="100"/>
        <w:rPr>
          <w:rFonts w:ascii="宋体" w:hAnsi="宋体" w:cs="宋体"/>
          <w:bCs/>
          <w:color w:val="000000"/>
          <w:sz w:val="24"/>
          <w:szCs w:val="24"/>
        </w:rPr>
      </w:pPr>
    </w:p>
    <w:p>
      <w:pPr>
        <w:widowControl/>
        <w:snapToGrid w:val="0"/>
        <w:spacing w:line="46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五、获取招标文件</w:t>
      </w:r>
    </w:p>
    <w:p>
      <w:pPr>
        <w:pStyle w:val="8"/>
        <w:spacing w:line="460" w:lineRule="exact"/>
        <w:ind w:firstLine="440"/>
        <w:rPr>
          <w:rFonts w:ascii="宋体" w:cs="宋体"/>
          <w:bCs/>
          <w:sz w:val="22"/>
        </w:rPr>
      </w:pPr>
      <w:bookmarkStart w:id="1" w:name="B18_招标文件发售起始日期"/>
      <w:bookmarkEnd w:id="1"/>
      <w:r>
        <w:rPr>
          <w:rFonts w:hint="eastAsia" w:ascii="宋体" w:cs="宋体"/>
          <w:bCs/>
          <w:sz w:val="22"/>
        </w:rPr>
        <w:t>1、本项目招标文件实行“政府采购云平台”（https://zfcg.czt.zj.gov.cn/）在线获取，不提供招标文件纸质版。供应商获取招标文件前应先完成“政府采购云平台”的账号注册；</w:t>
      </w:r>
    </w:p>
    <w:p>
      <w:pPr>
        <w:pStyle w:val="8"/>
        <w:spacing w:line="460" w:lineRule="exact"/>
        <w:ind w:firstLine="440"/>
        <w:rPr>
          <w:rFonts w:ascii="宋体" w:cs="宋体"/>
          <w:bCs/>
          <w:sz w:val="22"/>
        </w:rPr>
      </w:pPr>
      <w:r>
        <w:rPr>
          <w:rFonts w:hint="eastAsia" w:ascii="宋体" w:cs="宋体"/>
          <w:bCs/>
          <w:sz w:val="22"/>
        </w:rPr>
        <w:t>2、地点：政采云平台（https://zfcg.czt.zj.gov.cn/）；</w:t>
      </w:r>
    </w:p>
    <w:p>
      <w:pPr>
        <w:pStyle w:val="29"/>
        <w:ind w:left="0" w:leftChars="0" w:firstLine="440"/>
        <w:rPr>
          <w:rFonts w:ascii="宋体" w:cs="宋体"/>
          <w:bCs/>
          <w:sz w:val="22"/>
          <w:szCs w:val="22"/>
        </w:rPr>
      </w:pPr>
      <w:r>
        <w:rPr>
          <w:rFonts w:hint="eastAsia" w:ascii="宋体" w:cs="宋体"/>
          <w:bCs/>
          <w:sz w:val="22"/>
          <w:szCs w:val="22"/>
        </w:rPr>
        <w:t>3、方式：潜在供应商登陆政采云平台，在线申请获取招标文件（进入“项目采购”，在获取招标文件菜单中选择项目，申请获取招标文件，</w:t>
      </w:r>
      <w:r>
        <w:rPr>
          <w:rFonts w:ascii="宋体" w:cs="宋体"/>
          <w:bCs/>
          <w:sz w:val="22"/>
          <w:szCs w:val="22"/>
        </w:rPr>
        <w:t>填写获取采购文件的申请信息，提交后点击【下载采购文件】即可获取</w:t>
      </w:r>
      <w:r>
        <w:rPr>
          <w:rFonts w:hint="eastAsia" w:ascii="宋体" w:cs="宋体"/>
          <w:bCs/>
          <w:sz w:val="22"/>
          <w:szCs w:val="22"/>
        </w:rPr>
        <w:t>招标</w:t>
      </w:r>
      <w:r>
        <w:rPr>
          <w:rFonts w:ascii="宋体" w:cs="宋体"/>
          <w:bCs/>
          <w:sz w:val="22"/>
          <w:szCs w:val="22"/>
        </w:rPr>
        <w:t>文件</w:t>
      </w:r>
      <w:r>
        <w:rPr>
          <w:rFonts w:hint="eastAsia" w:ascii="宋体" w:cs="宋体"/>
          <w:bCs/>
          <w:sz w:val="22"/>
          <w:szCs w:val="22"/>
        </w:rPr>
        <w:t>，本项目招标文件不收取工本费。仅需浏览招标文件的供应商可点击“游客，浏览招标文件”直接下载招标文件浏览。</w:t>
      </w:r>
    </w:p>
    <w:p>
      <w:pPr>
        <w:pStyle w:val="29"/>
        <w:ind w:left="0" w:leftChars="0" w:firstLine="440"/>
        <w:rPr>
          <w:rFonts w:ascii="宋体" w:cs="宋体"/>
          <w:sz w:val="22"/>
          <w:szCs w:val="22"/>
        </w:rPr>
      </w:pPr>
      <w:r>
        <w:rPr>
          <w:rFonts w:hint="eastAsia" w:ascii="宋体" w:cs="宋体"/>
          <w:sz w:val="22"/>
          <w:szCs w:val="22"/>
        </w:rPr>
        <w:t>4、供应商获取招标文件时须提交的文件资料：无</w:t>
      </w:r>
    </w:p>
    <w:p>
      <w:pPr>
        <w:pStyle w:val="8"/>
        <w:spacing w:line="460" w:lineRule="exact"/>
        <w:ind w:firstLine="440"/>
        <w:rPr>
          <w:rFonts w:ascii="宋体" w:cs="宋体"/>
          <w:bCs/>
          <w:sz w:val="22"/>
        </w:rPr>
      </w:pPr>
      <w:r>
        <w:rPr>
          <w:rFonts w:hint="eastAsia" w:ascii="宋体" w:cs="宋体"/>
          <w:bCs/>
          <w:sz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460" w:lineRule="exact"/>
        <w:jc w:val="left"/>
        <w:rPr>
          <w:rFonts w:ascii="宋体" w:cs="宋体"/>
          <w:bCs/>
          <w:sz w:val="22"/>
        </w:rPr>
      </w:pPr>
      <w:r>
        <w:rPr>
          <w:rFonts w:hint="eastAsia" w:ascii="宋体" w:cs="宋体"/>
          <w:bCs/>
          <w:sz w:val="22"/>
        </w:rPr>
        <w:t>注：请供应商按上述要求获取招标文件，如未在“政采云”系统内完成相关流程，引起的投标无效责任自负。</w:t>
      </w:r>
    </w:p>
    <w:p>
      <w:pPr>
        <w:widowControl/>
        <w:snapToGrid w:val="0"/>
        <w:spacing w:line="460" w:lineRule="exact"/>
        <w:jc w:val="left"/>
        <w:rPr>
          <w:rFonts w:ascii="宋体"/>
          <w:sz w:val="22"/>
        </w:rPr>
      </w:pPr>
      <w:r>
        <w:rPr>
          <w:rFonts w:hint="eastAsia" w:ascii="宋体"/>
          <w:b/>
          <w:bCs/>
          <w:sz w:val="24"/>
          <w:szCs w:val="24"/>
        </w:rPr>
        <w:t>六</w:t>
      </w:r>
      <w:r>
        <w:rPr>
          <w:rFonts w:ascii="宋体"/>
          <w:b/>
          <w:bCs/>
          <w:sz w:val="24"/>
          <w:szCs w:val="24"/>
        </w:rPr>
        <w:t>、</w:t>
      </w:r>
      <w:r>
        <w:rPr>
          <w:rFonts w:hint="eastAsia" w:ascii="宋体"/>
          <w:b/>
          <w:bCs/>
          <w:sz w:val="24"/>
          <w:szCs w:val="24"/>
        </w:rPr>
        <w:t>提交投标文件截止时间：</w:t>
      </w:r>
      <w:bookmarkStart w:id="2" w:name="B25_投标截止时间"/>
      <w:r>
        <w:rPr>
          <w:rFonts w:hint="eastAsia" w:ascii="宋体"/>
          <w:sz w:val="22"/>
        </w:rPr>
        <w:t>2022-</w:t>
      </w:r>
      <w:r>
        <w:rPr>
          <w:rFonts w:hint="eastAsia" w:ascii="宋体"/>
          <w:sz w:val="22"/>
          <w:lang w:val="en-US" w:eastAsia="zh-CN"/>
        </w:rPr>
        <w:t>09</w:t>
      </w:r>
      <w:r>
        <w:rPr>
          <w:rFonts w:hint="eastAsia" w:ascii="宋体"/>
          <w:sz w:val="22"/>
        </w:rPr>
        <w:t>-</w:t>
      </w:r>
      <w:r>
        <w:rPr>
          <w:rFonts w:hint="eastAsia" w:ascii="宋体"/>
          <w:sz w:val="22"/>
          <w:lang w:val="en-US" w:eastAsia="zh-CN"/>
        </w:rPr>
        <w:t>23</w:t>
      </w:r>
      <w:r>
        <w:rPr>
          <w:rFonts w:hint="eastAsia" w:ascii="宋体"/>
          <w:sz w:val="22"/>
        </w:rPr>
        <w:t xml:space="preserve">  </w:t>
      </w:r>
      <w:r>
        <w:rPr>
          <w:rFonts w:ascii="宋体"/>
          <w:sz w:val="22"/>
        </w:rPr>
        <w:t>上午</w:t>
      </w:r>
      <w:bookmarkEnd w:id="2"/>
      <w:r>
        <w:rPr>
          <w:rFonts w:hint="eastAsia" w:ascii="宋体"/>
          <w:sz w:val="22"/>
        </w:rPr>
        <w:t>9:30</w:t>
      </w:r>
    </w:p>
    <w:p>
      <w:pPr>
        <w:widowControl/>
        <w:snapToGrid w:val="0"/>
        <w:spacing w:line="460" w:lineRule="exact"/>
        <w:jc w:val="left"/>
        <w:rPr>
          <w:rFonts w:ascii="宋体"/>
          <w:sz w:val="22"/>
        </w:rPr>
      </w:pPr>
      <w:r>
        <w:rPr>
          <w:rFonts w:hint="eastAsia" w:ascii="宋体"/>
          <w:b/>
          <w:bCs/>
          <w:sz w:val="22"/>
        </w:rPr>
        <w:t>七</w:t>
      </w:r>
      <w:r>
        <w:rPr>
          <w:rFonts w:ascii="宋体"/>
          <w:b/>
          <w:bCs/>
          <w:sz w:val="22"/>
        </w:rPr>
        <w:t>、投标地点</w:t>
      </w:r>
      <w:r>
        <w:rPr>
          <w:rFonts w:ascii="宋体"/>
          <w:sz w:val="22"/>
        </w:rPr>
        <w:t>：</w:t>
      </w:r>
      <w:r>
        <w:rPr>
          <w:rFonts w:hint="eastAsia" w:ascii="宋体"/>
          <w:sz w:val="22"/>
        </w:rPr>
        <w:t>金华市双龙南街858号财富大厦4楼开标2室（本项目采用在线投标方式，投标供应商无须前往投标现场。）</w:t>
      </w:r>
    </w:p>
    <w:p>
      <w:pPr>
        <w:widowControl/>
        <w:snapToGrid w:val="0"/>
        <w:spacing w:line="460" w:lineRule="exact"/>
        <w:jc w:val="left"/>
        <w:rPr>
          <w:rFonts w:ascii="宋体"/>
          <w:sz w:val="22"/>
        </w:rPr>
      </w:pPr>
      <w:r>
        <w:rPr>
          <w:rFonts w:hint="eastAsia" w:ascii="宋体"/>
          <w:b/>
          <w:bCs/>
          <w:sz w:val="22"/>
        </w:rPr>
        <w:t>八</w:t>
      </w:r>
      <w:r>
        <w:rPr>
          <w:rFonts w:ascii="宋体"/>
          <w:b/>
          <w:bCs/>
          <w:sz w:val="22"/>
        </w:rPr>
        <w:t>、开标时间</w:t>
      </w:r>
      <w:r>
        <w:rPr>
          <w:rFonts w:ascii="宋体"/>
          <w:sz w:val="22"/>
        </w:rPr>
        <w:t>：</w:t>
      </w:r>
      <w:bookmarkStart w:id="3" w:name="B28_开标时间"/>
      <w:r>
        <w:rPr>
          <w:rFonts w:hint="eastAsia" w:ascii="宋体"/>
          <w:sz w:val="22"/>
        </w:rPr>
        <w:t>2022-</w:t>
      </w:r>
      <w:r>
        <w:rPr>
          <w:rFonts w:hint="eastAsia" w:ascii="宋体"/>
          <w:sz w:val="22"/>
          <w:lang w:val="en-US" w:eastAsia="zh-CN"/>
        </w:rPr>
        <w:t>09</w:t>
      </w:r>
      <w:r>
        <w:rPr>
          <w:rFonts w:hint="eastAsia" w:ascii="宋体"/>
          <w:sz w:val="22"/>
        </w:rPr>
        <w:t>-</w:t>
      </w:r>
      <w:r>
        <w:rPr>
          <w:rFonts w:hint="eastAsia" w:ascii="宋体"/>
          <w:sz w:val="22"/>
          <w:lang w:val="en-US" w:eastAsia="zh-CN"/>
        </w:rPr>
        <w:t>23</w:t>
      </w:r>
      <w:r>
        <w:rPr>
          <w:rFonts w:hint="eastAsia" w:ascii="宋体" w:cs="宋体"/>
          <w:sz w:val="22"/>
        </w:rPr>
        <w:t xml:space="preserve"> </w:t>
      </w:r>
      <w:r>
        <w:rPr>
          <w:rFonts w:ascii="宋体"/>
          <w:sz w:val="22"/>
        </w:rPr>
        <w:t>上午</w:t>
      </w:r>
      <w:bookmarkEnd w:id="3"/>
      <w:r>
        <w:rPr>
          <w:rFonts w:hint="eastAsia" w:ascii="宋体"/>
          <w:sz w:val="22"/>
        </w:rPr>
        <w:t>9:30</w:t>
      </w:r>
    </w:p>
    <w:p>
      <w:pPr>
        <w:widowControl/>
        <w:snapToGrid w:val="0"/>
        <w:spacing w:line="460" w:lineRule="exact"/>
        <w:jc w:val="left"/>
        <w:rPr>
          <w:rFonts w:ascii="宋体"/>
          <w:sz w:val="22"/>
        </w:rPr>
      </w:pPr>
      <w:r>
        <w:rPr>
          <w:rFonts w:hint="eastAsia" w:ascii="宋体"/>
          <w:b/>
          <w:bCs/>
          <w:sz w:val="22"/>
        </w:rPr>
        <w:t>九</w:t>
      </w:r>
      <w:r>
        <w:rPr>
          <w:rFonts w:ascii="宋体"/>
          <w:b/>
          <w:bCs/>
          <w:sz w:val="22"/>
        </w:rPr>
        <w:t>、开标地点</w:t>
      </w:r>
      <w:r>
        <w:rPr>
          <w:rFonts w:ascii="宋体"/>
          <w:sz w:val="22"/>
        </w:rPr>
        <w:t>：</w:t>
      </w:r>
      <w:r>
        <w:rPr>
          <w:rFonts w:hint="eastAsia" w:ascii="宋体"/>
          <w:sz w:val="22"/>
        </w:rPr>
        <w:t>金华市双龙南街858号财富大厦4楼开标2室（本项目采用在线投标方式，投标供应商无须前往开标现场。）</w:t>
      </w:r>
    </w:p>
    <w:p>
      <w:pPr>
        <w:widowControl/>
        <w:snapToGrid w:val="0"/>
        <w:spacing w:line="460" w:lineRule="exact"/>
        <w:jc w:val="left"/>
        <w:rPr>
          <w:rFonts w:ascii="宋体" w:cs="宋体"/>
          <w:sz w:val="22"/>
        </w:rPr>
      </w:pPr>
      <w:r>
        <w:rPr>
          <w:rFonts w:ascii="宋体"/>
          <w:b/>
          <w:bCs/>
          <w:sz w:val="22"/>
        </w:rPr>
        <w:t>十、</w:t>
      </w:r>
      <w:r>
        <w:rPr>
          <w:rFonts w:hint="eastAsia" w:ascii="宋体"/>
          <w:b/>
          <w:bCs/>
          <w:sz w:val="22"/>
        </w:rPr>
        <w:t>投标保证金</w:t>
      </w:r>
      <w:r>
        <w:rPr>
          <w:rFonts w:hint="eastAsia" w:ascii="宋体"/>
          <w:sz w:val="22"/>
        </w:rPr>
        <w:t>：无</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一</w:t>
      </w:r>
      <w:r>
        <w:rPr>
          <w:rFonts w:ascii="宋体"/>
          <w:b/>
          <w:bCs/>
          <w:sz w:val="22"/>
        </w:rPr>
        <w:t>、</w:t>
      </w:r>
      <w:r>
        <w:rPr>
          <w:rFonts w:hint="eastAsia" w:ascii="宋体"/>
          <w:b/>
          <w:bCs/>
          <w:sz w:val="22"/>
        </w:rPr>
        <w:t xml:space="preserve">公告期限 </w:t>
      </w:r>
    </w:p>
    <w:p>
      <w:pPr>
        <w:widowControl/>
        <w:snapToGrid w:val="0"/>
        <w:spacing w:line="460" w:lineRule="exact"/>
        <w:ind w:firstLine="220" w:firstLineChars="100"/>
        <w:jc w:val="left"/>
        <w:rPr>
          <w:rFonts w:ascii="宋体"/>
          <w:bCs/>
          <w:sz w:val="22"/>
        </w:rPr>
      </w:pPr>
      <w:r>
        <w:rPr>
          <w:rFonts w:hint="eastAsia" w:ascii="宋体"/>
          <w:bCs/>
          <w:sz w:val="22"/>
        </w:rPr>
        <w:t>自本公告发布之日起5个工作日。</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二</w:t>
      </w:r>
      <w:r>
        <w:rPr>
          <w:rFonts w:ascii="宋体"/>
          <w:b/>
          <w:bCs/>
          <w:sz w:val="22"/>
        </w:rPr>
        <w:t>、</w:t>
      </w:r>
      <w:r>
        <w:rPr>
          <w:rFonts w:hint="eastAsia" w:ascii="宋体"/>
          <w:b/>
          <w:bCs/>
          <w:sz w:val="22"/>
        </w:rPr>
        <w:t>其他补充事宜</w:t>
      </w:r>
    </w:p>
    <w:p>
      <w:pPr>
        <w:pStyle w:val="29"/>
        <w:ind w:left="0" w:leftChars="0" w:firstLine="440"/>
        <w:rPr>
          <w:rFonts w:ascii="宋体"/>
          <w:sz w:val="22"/>
        </w:rPr>
      </w:pPr>
      <w:r>
        <w:rPr>
          <w:rFonts w:hint="eastAsia" w:ascii="宋体"/>
          <w:sz w:val="22"/>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9"/>
        <w:ind w:left="0" w:leftChars="0" w:firstLine="440"/>
        <w:rPr>
          <w:rFonts w:ascii="宋体"/>
          <w:sz w:val="22"/>
        </w:rPr>
      </w:pPr>
      <w:r>
        <w:rPr>
          <w:rFonts w:hint="eastAsia" w:ascii="宋体"/>
          <w:sz w:val="22"/>
        </w:rPr>
        <w:t xml:space="preserve"> 2.其他事项：无 </w:t>
      </w:r>
    </w:p>
    <w:p>
      <w:pPr>
        <w:snapToGrid w:val="0"/>
        <w:spacing w:line="440" w:lineRule="exact"/>
        <w:rPr>
          <w:rFonts w:ascii="仿宋" w:hAnsi="仿宋" w:eastAsia="仿宋" w:cs="Arial"/>
          <w:b/>
          <w:bCs/>
          <w:color w:val="000000"/>
          <w:sz w:val="24"/>
          <w:szCs w:val="24"/>
        </w:rPr>
      </w:pPr>
      <w:r>
        <w:rPr>
          <w:rFonts w:hint="eastAsia" w:ascii="仿宋" w:hAnsi="仿宋" w:eastAsia="仿宋" w:cs="Arial"/>
          <w:b/>
          <w:bCs/>
          <w:color w:val="000000"/>
          <w:sz w:val="24"/>
          <w:szCs w:val="24"/>
        </w:rPr>
        <w:t>十三、</w:t>
      </w:r>
      <w:r>
        <w:rPr>
          <w:rFonts w:hint="eastAsia" w:ascii="仿宋" w:hAnsi="仿宋" w:eastAsia="仿宋" w:cs="Arial"/>
          <w:b/>
          <w:bCs/>
          <w:color w:val="000000" w:themeColor="text1"/>
          <w:sz w:val="24"/>
          <w:szCs w:val="24"/>
          <w14:textFill>
            <w14:solidFill>
              <w14:schemeClr w14:val="tx1"/>
            </w14:solidFill>
          </w14:textFill>
        </w:rPr>
        <w:t>业务咨询</w:t>
      </w:r>
      <w:r>
        <w:rPr>
          <w:rFonts w:hint="eastAsia" w:ascii="仿宋" w:hAnsi="仿宋" w:eastAsia="仿宋" w:cs="Arial"/>
          <w:b/>
          <w:bCs/>
          <w:color w:val="000000"/>
          <w:sz w:val="24"/>
          <w:szCs w:val="24"/>
        </w:rPr>
        <w:t>（</w:t>
      </w:r>
      <w:r>
        <w:rPr>
          <w:rFonts w:hint="eastAsia" w:ascii="宋体" w:hAnsi="宋体" w:cs="Arial"/>
          <w:b/>
          <w:color w:val="000000"/>
          <w:sz w:val="24"/>
        </w:rPr>
        <w:t>招标需求的疑问请向采购人询问或反映）</w:t>
      </w:r>
    </w:p>
    <w:p>
      <w:pPr>
        <w:snapToGrid w:val="0"/>
        <w:spacing w:line="440" w:lineRule="exact"/>
        <w:ind w:firstLine="440" w:firstLineChars="200"/>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采购单位：金华市公安局</w:t>
      </w:r>
    </w:p>
    <w:p>
      <w:pPr>
        <w:snapToGrid w:val="0"/>
        <w:spacing w:line="440" w:lineRule="exact"/>
        <w:ind w:firstLine="440" w:firstLineChars="20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采购人：陈旻</w:t>
      </w:r>
    </w:p>
    <w:p>
      <w:pPr>
        <w:snapToGrid w:val="0"/>
        <w:spacing w:line="440" w:lineRule="exact"/>
        <w:ind w:firstLine="440" w:firstLineChars="20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联系电话：</w:t>
      </w:r>
      <w:bookmarkStart w:id="4" w:name="联系电话1"/>
      <w:bookmarkEnd w:id="4"/>
      <w:r>
        <w:rPr>
          <w:rFonts w:hint="eastAsia" w:asciiTheme="minorEastAsia" w:hAnsiTheme="minorEastAsia" w:eastAsiaTheme="minorEastAsia" w:cstheme="minorEastAsia"/>
          <w:color w:val="000000"/>
          <w:kern w:val="0"/>
          <w:sz w:val="22"/>
        </w:rPr>
        <w:t>13957988088</w:t>
      </w:r>
    </w:p>
    <w:p>
      <w:pPr>
        <w:snapToGrid w:val="0"/>
        <w:spacing w:line="440" w:lineRule="exact"/>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采购代理机构：</w:t>
      </w:r>
      <w:r>
        <w:rPr>
          <w:rFonts w:hint="eastAsia" w:asciiTheme="minorEastAsia" w:hAnsiTheme="minorEastAsia" w:eastAsiaTheme="minorEastAsia" w:cstheme="minorEastAsia"/>
          <w:color w:val="000000"/>
          <w:sz w:val="22"/>
        </w:rPr>
        <w:t>金华市政府采购中心</w:t>
      </w:r>
    </w:p>
    <w:p>
      <w:pPr>
        <w:spacing w:line="360" w:lineRule="auto"/>
        <w:ind w:firstLine="48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联系人：</w:t>
      </w:r>
      <w:r>
        <w:rPr>
          <w:rFonts w:asciiTheme="minorEastAsia" w:hAnsiTheme="minorEastAsia" w:eastAsiaTheme="minorEastAsia" w:cstheme="minorEastAsia"/>
          <w:sz w:val="22"/>
        </w:rPr>
        <w:t xml:space="preserve"> </w:t>
      </w:r>
      <w:r>
        <w:rPr>
          <w:rFonts w:hint="eastAsia" w:asciiTheme="minorEastAsia" w:hAnsiTheme="minorEastAsia" w:eastAsiaTheme="minorEastAsia" w:cstheme="minorEastAsia"/>
          <w:sz w:val="22"/>
        </w:rPr>
        <w:t>王老师</w:t>
      </w:r>
    </w:p>
    <w:p>
      <w:pPr>
        <w:pStyle w:val="23"/>
        <w:ind w:left="0"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联系电话：83182702</w:t>
      </w:r>
    </w:p>
    <w:p>
      <w:pPr>
        <w:pStyle w:val="23"/>
        <w:ind w:left="0" w:firstLine="440" w:firstLineChars="200"/>
      </w:pPr>
      <w:r>
        <w:rPr>
          <w:rFonts w:hint="eastAsia" w:asciiTheme="minorEastAsia" w:hAnsiTheme="minorEastAsia" w:eastAsiaTheme="minorEastAsia" w:cstheme="minorEastAsia"/>
          <w:color w:val="000000"/>
          <w:sz w:val="22"/>
        </w:rPr>
        <w:t>地址：</w:t>
      </w:r>
      <w:r>
        <w:rPr>
          <w:rFonts w:hint="eastAsia" w:asciiTheme="minorEastAsia" w:hAnsiTheme="minorEastAsia" w:eastAsiaTheme="minorEastAsia" w:cstheme="minorEastAsia"/>
          <w:color w:val="000000"/>
          <w:kern w:val="0"/>
          <w:sz w:val="22"/>
        </w:rPr>
        <w:t>金华市双龙南街858号财富大厦4楼</w:t>
      </w:r>
    </w:p>
    <w:p>
      <w:pPr>
        <w:pStyle w:val="40"/>
        <w:spacing w:before="120" w:after="120"/>
        <w:ind w:firstLine="615"/>
        <w:jc w:val="left"/>
        <w:rPr>
          <w:rFonts w:cs="Arial"/>
          <w:color w:val="000000"/>
          <w:sz w:val="24"/>
          <w:szCs w:val="22"/>
        </w:rPr>
      </w:pPr>
      <w:r>
        <w:rPr>
          <w:rFonts w:hint="eastAsia" w:cs="Arial"/>
          <w:color w:val="000000"/>
          <w:sz w:val="24"/>
          <w:szCs w:val="22"/>
        </w:rPr>
        <w:t>政府采购行政监管及投诉受理部分：金华市财政局政府采购监管处；</w:t>
      </w:r>
    </w:p>
    <w:p>
      <w:pPr>
        <w:pStyle w:val="40"/>
        <w:spacing w:before="120" w:after="120"/>
        <w:ind w:firstLine="615"/>
        <w:jc w:val="left"/>
        <w:rPr>
          <w:rFonts w:cs="Arial"/>
          <w:color w:val="000000"/>
          <w:sz w:val="24"/>
          <w:szCs w:val="22"/>
        </w:rPr>
      </w:pPr>
      <w:r>
        <w:rPr>
          <w:rFonts w:hint="eastAsia" w:cs="Arial"/>
          <w:color w:val="000000"/>
          <w:sz w:val="24"/>
          <w:szCs w:val="22"/>
        </w:rPr>
        <w:t>联系人：徐女士               联系电话：0579-82468735</w:t>
      </w:r>
    </w:p>
    <w:p>
      <w:pPr>
        <w:spacing w:line="540" w:lineRule="exact"/>
        <w:rPr>
          <w:rFonts w:ascii="仿宋_GB2312" w:eastAsia="仿宋_GB2312"/>
          <w:b/>
          <w:sz w:val="24"/>
          <w:szCs w:val="21"/>
        </w:rPr>
      </w:pPr>
      <w:r>
        <w:rPr>
          <w:rFonts w:hint="eastAsia" w:ascii="仿宋_GB2312" w:eastAsia="仿宋_GB2312"/>
          <w:b/>
          <w:sz w:val="24"/>
          <w:szCs w:val="21"/>
        </w:rPr>
        <w:t>政府采购金融服务提示：</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为扩大政府采购金融服务面，除政采云网上金融服务合作银行外，金华市范围增加线下合作银行两家，具体信息如下：</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金华银行文创支行   联系人：   张琳俊 </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                   联系电话： 13586975082 </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                              0579 82479020</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浙商银行金华分行   联系人：   朱晨祥 </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                   联系电话： 15857978811</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                              0579 82999581</w:t>
      </w:r>
    </w:p>
    <w:p>
      <w:pPr>
        <w:spacing w:line="540" w:lineRule="exact"/>
        <w:ind w:firstLine="640" w:firstLineChars="200"/>
        <w:rPr>
          <w:rFonts w:ascii="仿宋_GB2312" w:eastAsia="仿宋_GB2312"/>
          <w:color w:val="000000"/>
          <w:sz w:val="32"/>
          <w:szCs w:val="32"/>
        </w:rPr>
      </w:pPr>
    </w:p>
    <w:p>
      <w:pPr>
        <w:rPr>
          <w:rFonts w:hAnsi="宋体"/>
          <w:b/>
          <w:color w:val="000000"/>
          <w:sz w:val="36"/>
          <w:szCs w:val="36"/>
        </w:rPr>
      </w:pPr>
      <w:r>
        <w:rPr>
          <w:rFonts w:hint="eastAsia" w:hAnsi="宋体"/>
          <w:b/>
          <w:color w:val="000000"/>
          <w:sz w:val="36"/>
          <w:szCs w:val="36"/>
        </w:rPr>
        <w:br w:type="page"/>
      </w:r>
    </w:p>
    <w:p>
      <w:pPr>
        <w:pStyle w:val="15"/>
        <w:spacing w:before="120" w:after="120" w:line="360" w:lineRule="auto"/>
        <w:jc w:val="center"/>
        <w:outlineLvl w:val="0"/>
        <w:rPr>
          <w:rFonts w:hAnsi="宋体"/>
          <w:b/>
          <w:color w:val="FF0000"/>
          <w:sz w:val="36"/>
          <w:szCs w:val="36"/>
        </w:rPr>
      </w:pPr>
      <w:r>
        <w:rPr>
          <w:rFonts w:hint="eastAsia" w:hAnsi="宋体"/>
          <w:b/>
          <w:color w:val="000000"/>
          <w:sz w:val="36"/>
          <w:szCs w:val="36"/>
        </w:rPr>
        <w:t xml:space="preserve">第二章 </w:t>
      </w:r>
      <w:r>
        <w:rPr>
          <w:rFonts w:hint="eastAsia" w:hAnsi="宋体"/>
          <w:b/>
          <w:sz w:val="36"/>
          <w:szCs w:val="36"/>
        </w:rPr>
        <w:t xml:space="preserve"> 招标需求</w:t>
      </w:r>
    </w:p>
    <w:p>
      <w:pPr>
        <w:pStyle w:val="15"/>
        <w:spacing w:before="120" w:after="120" w:line="360" w:lineRule="auto"/>
        <w:jc w:val="center"/>
        <w:rPr>
          <w:rFonts w:hAnsi="宋体"/>
          <w:b/>
          <w:sz w:val="36"/>
          <w:szCs w:val="36"/>
        </w:rPr>
      </w:pPr>
      <w:r>
        <w:rPr>
          <w:rFonts w:hint="eastAsia" w:hAnsi="宋体" w:cs="Arial"/>
          <w:b/>
          <w:kern w:val="0"/>
        </w:rPr>
        <w:t>（参数中打</w:t>
      </w:r>
      <w:r>
        <w:rPr>
          <w:rFonts w:hint="eastAsia" w:ascii="Arial" w:hAnsi="Arial" w:cs="Arial"/>
          <w:b/>
          <w:kern w:val="0"/>
        </w:rPr>
        <w:t>▲为</w:t>
      </w:r>
      <w:r>
        <w:rPr>
          <w:rFonts w:hAnsi="宋体" w:cs="Arial"/>
          <w:b/>
          <w:kern w:val="0"/>
        </w:rPr>
        <w:t>核心产品</w:t>
      </w:r>
      <w:r>
        <w:rPr>
          <w:rFonts w:hint="eastAsia" w:hAnsi="宋体" w:cs="Arial"/>
          <w:b/>
          <w:kern w:val="0"/>
        </w:rPr>
        <w:t>，“★”指实质性要求条款，“●”为重要条款）</w:t>
      </w:r>
    </w:p>
    <w:p>
      <w:pPr>
        <w:pStyle w:val="2"/>
        <w:adjustRightInd w:val="0"/>
        <w:snapToGrid w:val="0"/>
        <w:spacing w:beforeAutospacing="0" w:afterAutospacing="0"/>
        <w:rPr>
          <w:rFonts w:hint="default"/>
          <w:sz w:val="28"/>
          <w:szCs w:val="28"/>
        </w:rPr>
      </w:pPr>
      <w:bookmarkStart w:id="5" w:name="_Toc98181825"/>
      <w:bookmarkStart w:id="6" w:name="_Toc24263"/>
      <w:bookmarkStart w:id="7" w:name="_Toc109376918"/>
      <w:r>
        <w:rPr>
          <w:sz w:val="28"/>
          <w:szCs w:val="28"/>
        </w:rPr>
        <w:t>1</w:t>
      </w:r>
      <w:r>
        <w:rPr>
          <w:rFonts w:hint="default"/>
          <w:sz w:val="28"/>
          <w:szCs w:val="28"/>
        </w:rPr>
        <w:t>.1</w:t>
      </w:r>
      <w:r>
        <w:rPr>
          <w:sz w:val="28"/>
          <w:szCs w:val="28"/>
        </w:rPr>
        <w:t>项目</w:t>
      </w:r>
      <w:bookmarkEnd w:id="5"/>
      <w:bookmarkEnd w:id="6"/>
      <w:r>
        <w:rPr>
          <w:sz w:val="28"/>
          <w:szCs w:val="28"/>
        </w:rPr>
        <w:t>总体建设要求</w:t>
      </w:r>
      <w:bookmarkEnd w:id="7"/>
    </w:p>
    <w:p>
      <w:pPr>
        <w:pStyle w:val="4"/>
        <w:numPr>
          <w:ilvl w:val="0"/>
          <w:numId w:val="0"/>
        </w:numPr>
        <w:spacing w:line="240" w:lineRule="auto"/>
      </w:pPr>
      <w:bookmarkStart w:id="8" w:name="_Toc109376919"/>
      <w:bookmarkStart w:id="9" w:name="_Toc98181833"/>
      <w:bookmarkStart w:id="10" w:name="_Toc6327"/>
      <w:r>
        <w:t>建设目标</w:t>
      </w:r>
      <w:bookmarkEnd w:id="8"/>
      <w:bookmarkEnd w:id="9"/>
      <w:bookmarkEnd w:id="10"/>
    </w:p>
    <w:p>
      <w:pPr>
        <w:pStyle w:val="64"/>
        <w:spacing w:line="240" w:lineRule="auto"/>
        <w:ind w:firstLine="480"/>
      </w:pPr>
      <w:r>
        <w:rPr>
          <w:rFonts w:hint="eastAsia"/>
        </w:rPr>
        <w:t>建成后使用目标：通过为金华市**训练基地量身打造的慧校园信息化系统工程的信息化设计，使金华市**训练基地1</w:t>
      </w:r>
      <w:r>
        <w:t>5</w:t>
      </w:r>
      <w:r>
        <w:rPr>
          <w:rFonts w:hint="eastAsia"/>
        </w:rPr>
        <w:t>个智能化硬件设备及平台软件达到完美的融合，打通各子系统间的信息孤岛，互联共同，形成一个实用、便捷的一体信息化业务平台。从教学管理、警员训练、基地运维等各方方面面，各种角色用户，能够通过本平台一体化智慧管理基地的各项工作。</w:t>
      </w:r>
    </w:p>
    <w:p>
      <w:pPr>
        <w:pStyle w:val="4"/>
        <w:numPr>
          <w:ilvl w:val="0"/>
          <w:numId w:val="0"/>
        </w:numPr>
        <w:spacing w:line="240" w:lineRule="auto"/>
      </w:pPr>
      <w:bookmarkStart w:id="11" w:name="_Toc24840"/>
      <w:bookmarkStart w:id="12" w:name="_Toc98181835"/>
      <w:bookmarkStart w:id="13" w:name="_Toc109376920"/>
      <w:r>
        <w:rPr>
          <w:rFonts w:hint="eastAsia"/>
        </w:rPr>
        <w:t>建设</w:t>
      </w:r>
      <w:r>
        <w:t>内容</w:t>
      </w:r>
      <w:bookmarkEnd w:id="11"/>
      <w:bookmarkEnd w:id="12"/>
      <w:bookmarkEnd w:id="13"/>
    </w:p>
    <w:p>
      <w:pPr>
        <w:pStyle w:val="64"/>
        <w:spacing w:line="240" w:lineRule="auto"/>
        <w:ind w:firstLine="480"/>
      </w:pPr>
      <w:bookmarkStart w:id="14" w:name="_Toc98181836"/>
      <w:r>
        <w:rPr>
          <w:rFonts w:hint="eastAsia"/>
        </w:rPr>
        <w:t>根据金华市**训练基地实际情况，。主要建设内容如下：</w:t>
      </w:r>
    </w:p>
    <w:p>
      <w:pPr>
        <w:pStyle w:val="64"/>
        <w:spacing w:line="240" w:lineRule="auto"/>
        <w:ind w:firstLine="482"/>
        <w:rPr>
          <w:b/>
          <w:bCs/>
          <w:lang w:bidi="ar"/>
        </w:rPr>
      </w:pPr>
      <w:r>
        <w:rPr>
          <w:rFonts w:hint="eastAsia"/>
          <w:b/>
          <w:bCs/>
          <w:lang w:bidi="ar"/>
        </w:rPr>
        <w:t>**教学信息化建设：</w:t>
      </w:r>
    </w:p>
    <w:p>
      <w:pPr>
        <w:pStyle w:val="64"/>
        <w:spacing w:line="240" w:lineRule="auto"/>
        <w:ind w:firstLine="482"/>
      </w:pPr>
      <w:r>
        <w:rPr>
          <w:rFonts w:hint="eastAsia"/>
          <w:b/>
          <w:bCs/>
        </w:rPr>
        <w:t>综合管控平台（含智慧教学系统）建设含</w:t>
      </w:r>
      <w:r>
        <w:rPr>
          <w:rFonts w:hint="eastAsia"/>
        </w:rPr>
        <w:t>（</w:t>
      </w:r>
      <w:r>
        <w:rPr>
          <w:rFonts w:hint="eastAsia"/>
          <w:lang w:bidi="ar"/>
        </w:rPr>
        <w:t>统一支撑平台、学员报到系统、教学计划管理、警训教务管理系统、学员学习管理系统、课程管理系统、教学引导系统、教学评估系统、教学资源库管理系统、辅助决策系统、移动办公、移动学习、学习中心、个人中心、训练中心、考试中心、培训统计、教员中心、后勤管理（公寓）、后勤管理（维修管理）、运维管理模块、系统数据对接等</w:t>
      </w:r>
      <w:r>
        <w:rPr>
          <w:rFonts w:hint="eastAsia"/>
        </w:rPr>
        <w:t>）；</w:t>
      </w:r>
    </w:p>
    <w:p>
      <w:pPr>
        <w:pStyle w:val="64"/>
        <w:spacing w:line="240" w:lineRule="auto"/>
        <w:ind w:firstLine="480"/>
      </w:pPr>
      <w:r>
        <w:rPr>
          <w:rFonts w:hint="eastAsia"/>
        </w:rPr>
        <w:t>2、</w:t>
      </w:r>
      <w:r>
        <w:rPr>
          <w:rFonts w:hint="eastAsia"/>
          <w:b/>
          <w:bCs/>
        </w:rPr>
        <w:t>多媒体教学系统含</w:t>
      </w:r>
      <w:r>
        <w:rPr>
          <w:rFonts w:hint="eastAsia"/>
        </w:rPr>
        <w:t>（无线覆盖系统、扩声系统、智慧教学设备、智能录播系统、人脸识别系统、综合显示系统、VR教学系统等）；</w:t>
      </w:r>
    </w:p>
    <w:p>
      <w:pPr>
        <w:pStyle w:val="64"/>
        <w:spacing w:line="240" w:lineRule="auto"/>
        <w:ind w:firstLine="480"/>
      </w:pPr>
      <w:r>
        <w:rPr>
          <w:rFonts w:hint="eastAsia"/>
        </w:rPr>
        <w:t>3、</w:t>
      </w:r>
      <w:r>
        <w:rPr>
          <w:rFonts w:hint="eastAsia"/>
          <w:b/>
          <w:bCs/>
        </w:rPr>
        <w:t>会议系统含</w:t>
      </w:r>
      <w:r>
        <w:rPr>
          <w:rFonts w:hint="eastAsia"/>
        </w:rPr>
        <w:t>（扩声系统、远程会议系统、综合显示系统等）；</w:t>
      </w:r>
    </w:p>
    <w:p>
      <w:pPr>
        <w:pStyle w:val="64"/>
        <w:spacing w:line="240" w:lineRule="auto"/>
        <w:ind w:firstLine="480"/>
      </w:pPr>
      <w:r>
        <w:rPr>
          <w:rFonts w:hint="eastAsia"/>
        </w:rPr>
        <w:t>4、</w:t>
      </w:r>
      <w:r>
        <w:rPr>
          <w:rFonts w:hint="eastAsia"/>
          <w:b/>
          <w:bCs/>
        </w:rPr>
        <w:t>公共广播系统含</w:t>
      </w:r>
      <w:r>
        <w:rPr>
          <w:rFonts w:hint="eastAsia"/>
        </w:rPr>
        <w:t>（前端广播、功放、播控中心等）；</w:t>
      </w:r>
    </w:p>
    <w:p>
      <w:pPr>
        <w:pStyle w:val="64"/>
        <w:spacing w:line="240" w:lineRule="auto"/>
        <w:ind w:firstLine="482"/>
        <w:rPr>
          <w:b/>
          <w:bCs/>
          <w:lang w:bidi="ar"/>
        </w:rPr>
      </w:pPr>
      <w:r>
        <w:rPr>
          <w:rFonts w:hint="eastAsia"/>
          <w:b/>
          <w:bCs/>
          <w:lang w:bidi="ar"/>
        </w:rPr>
        <w:t>二、**训练信息化建设：</w:t>
      </w:r>
    </w:p>
    <w:p>
      <w:pPr>
        <w:pStyle w:val="64"/>
        <w:spacing w:line="240" w:lineRule="auto"/>
        <w:ind w:firstLine="480"/>
      </w:pPr>
      <w:r>
        <w:rPr>
          <w:rFonts w:hint="eastAsia"/>
        </w:rPr>
        <w:t>1、</w:t>
      </w:r>
      <w:r>
        <w:rPr>
          <w:rFonts w:hint="eastAsia"/>
          <w:b/>
          <w:bCs/>
        </w:rPr>
        <w:t>信息引导及发布系统含</w:t>
      </w:r>
      <w:r>
        <w:rPr>
          <w:rFonts w:hint="eastAsia"/>
        </w:rPr>
        <w:t>（综合显示系统、会议预约系统等）；</w:t>
      </w:r>
    </w:p>
    <w:p>
      <w:pPr>
        <w:pStyle w:val="64"/>
        <w:spacing w:line="240" w:lineRule="auto"/>
        <w:ind w:firstLine="480"/>
      </w:pPr>
      <w:r>
        <w:rPr>
          <w:rFonts w:hint="eastAsia"/>
        </w:rPr>
        <w:t>2、</w:t>
      </w:r>
      <w:r>
        <w:rPr>
          <w:rFonts w:hint="eastAsia"/>
          <w:b/>
          <w:bCs/>
        </w:rPr>
        <w:t>**基地实战指挥中心含</w:t>
      </w:r>
      <w:r>
        <w:rPr>
          <w:rFonts w:hint="eastAsia"/>
        </w:rPr>
        <w:t>（扩声系统、数字会议系统、分布式系统、综合显示系统、视频会议系统、视频调度系统、智能操作台等）；</w:t>
      </w:r>
    </w:p>
    <w:p>
      <w:pPr>
        <w:pStyle w:val="64"/>
        <w:spacing w:line="240" w:lineRule="auto"/>
        <w:ind w:firstLine="480"/>
      </w:pPr>
      <w:r>
        <w:rPr>
          <w:rFonts w:hint="eastAsia"/>
        </w:rPr>
        <w:t>3、</w:t>
      </w:r>
      <w:r>
        <w:rPr>
          <w:rFonts w:hint="eastAsia"/>
          <w:b/>
          <w:bCs/>
        </w:rPr>
        <w:t>数字场馆含</w:t>
      </w:r>
      <w:r>
        <w:rPr>
          <w:rFonts w:hint="eastAsia"/>
        </w:rPr>
        <w:t>（扩声系统、电动升棋系统、综合显示系统、计时计分系统、体能测试系统等）；</w:t>
      </w:r>
    </w:p>
    <w:p>
      <w:pPr>
        <w:pStyle w:val="64"/>
        <w:spacing w:line="240" w:lineRule="auto"/>
        <w:ind w:firstLine="482"/>
        <w:rPr>
          <w:b/>
          <w:bCs/>
          <w:lang w:bidi="ar"/>
        </w:rPr>
      </w:pPr>
      <w:r>
        <w:rPr>
          <w:rFonts w:hint="eastAsia"/>
          <w:b/>
          <w:bCs/>
          <w:lang w:bidi="ar"/>
        </w:rPr>
        <w:t>三、基础设施信息化建设</w:t>
      </w:r>
      <w:bookmarkStart w:id="15" w:name="_Hlk83331185"/>
      <w:r>
        <w:rPr>
          <w:rFonts w:hint="eastAsia"/>
          <w:b/>
          <w:bCs/>
          <w:lang w:bidi="ar"/>
        </w:rPr>
        <w:t>：</w:t>
      </w:r>
    </w:p>
    <w:p>
      <w:pPr>
        <w:pStyle w:val="64"/>
        <w:spacing w:line="240" w:lineRule="auto"/>
        <w:ind w:firstLine="480"/>
      </w:pPr>
      <w:r>
        <w:rPr>
          <w:rFonts w:hint="eastAsia"/>
        </w:rPr>
        <w:t>1、</w:t>
      </w:r>
      <w:r>
        <w:rPr>
          <w:rFonts w:hint="eastAsia"/>
          <w:b/>
          <w:bCs/>
        </w:rPr>
        <w:t>建筑设备监控系统含</w:t>
      </w:r>
      <w:r>
        <w:rPr>
          <w:rFonts w:hint="eastAsia"/>
        </w:rPr>
        <w:t>（楼宇自控系统、智能照明系统等）；</w:t>
      </w:r>
    </w:p>
    <w:p>
      <w:pPr>
        <w:pStyle w:val="64"/>
        <w:spacing w:line="240" w:lineRule="auto"/>
        <w:ind w:firstLine="480"/>
      </w:pPr>
      <w:r>
        <w:rPr>
          <w:rFonts w:hint="eastAsia"/>
        </w:rPr>
        <w:t>2、</w:t>
      </w:r>
      <w:r>
        <w:rPr>
          <w:rFonts w:hint="eastAsia"/>
          <w:b/>
          <w:bCs/>
        </w:rPr>
        <w:t>建筑能效监管系统含</w:t>
      </w:r>
      <w:r>
        <w:rPr>
          <w:rFonts w:hint="eastAsia"/>
        </w:rPr>
        <w:t>（能耗监测系统等）；</w:t>
      </w:r>
    </w:p>
    <w:p>
      <w:pPr>
        <w:pStyle w:val="64"/>
        <w:spacing w:line="240" w:lineRule="auto"/>
        <w:ind w:firstLine="480"/>
      </w:pPr>
      <w:r>
        <w:rPr>
          <w:rFonts w:hint="eastAsia"/>
        </w:rPr>
        <w:t>3、</w:t>
      </w:r>
      <w:r>
        <w:rPr>
          <w:rFonts w:hint="eastAsia"/>
          <w:b/>
          <w:bCs/>
        </w:rPr>
        <w:t>公寓管理系统含</w:t>
      </w:r>
      <w:r>
        <w:rPr>
          <w:rFonts w:hint="eastAsia"/>
        </w:rPr>
        <w:t>（自助登记系统、一卡通系统、客控系统等）；</w:t>
      </w:r>
    </w:p>
    <w:p>
      <w:pPr>
        <w:pStyle w:val="64"/>
        <w:spacing w:line="240" w:lineRule="auto"/>
        <w:ind w:firstLine="482"/>
      </w:pPr>
      <w:r>
        <w:rPr>
          <w:rFonts w:hint="eastAsia"/>
          <w:b/>
          <w:bCs/>
        </w:rPr>
        <w:t>阳光厨房</w:t>
      </w:r>
      <w:r>
        <w:rPr>
          <w:rFonts w:hint="eastAsia"/>
        </w:rPr>
        <w:t>；</w:t>
      </w:r>
    </w:p>
    <w:p>
      <w:pPr>
        <w:pStyle w:val="64"/>
        <w:spacing w:line="240" w:lineRule="auto"/>
        <w:ind w:firstLine="482"/>
      </w:pPr>
      <w:r>
        <w:rPr>
          <w:rFonts w:hint="eastAsia"/>
          <w:b/>
          <w:bCs/>
        </w:rPr>
        <w:t>信息网络系统含</w:t>
      </w:r>
      <w:r>
        <w:rPr>
          <w:rFonts w:hint="eastAsia"/>
        </w:rPr>
        <w:t>（网络安全系统、计算机网络、日志审查、数据库审计、运维审计、网管平台等）；</w:t>
      </w:r>
    </w:p>
    <w:p>
      <w:pPr>
        <w:pStyle w:val="64"/>
        <w:spacing w:line="240" w:lineRule="auto"/>
        <w:ind w:firstLine="482"/>
      </w:pPr>
      <w:r>
        <w:rPr>
          <w:rFonts w:hint="eastAsia"/>
          <w:b/>
          <w:bCs/>
        </w:rPr>
        <w:t>安全技术防范系统含</w:t>
      </w:r>
      <w:r>
        <w:rPr>
          <w:rFonts w:hint="eastAsia"/>
        </w:rPr>
        <w:t>（视频监控系统、人脸识别系统、楼层显示系统、视频云存储、液晶拼接屏、脉冲电子围栏系统、室内红外报警系统、巡更系统、出入口管理系统、门禁系统、访客系统、综合安防管理平台等）；</w:t>
      </w:r>
    </w:p>
    <w:p>
      <w:pPr>
        <w:pStyle w:val="64"/>
        <w:spacing w:line="240" w:lineRule="auto"/>
        <w:ind w:firstLine="482"/>
      </w:pPr>
      <w:r>
        <w:rPr>
          <w:rFonts w:hint="eastAsia"/>
          <w:b/>
          <w:bCs/>
        </w:rPr>
        <w:t>基地消控中心含</w:t>
      </w:r>
      <w:r>
        <w:rPr>
          <w:rFonts w:hint="eastAsia"/>
        </w:rPr>
        <w:t>（ups系统、消防系统、防雷接地系统等）；</w:t>
      </w:r>
    </w:p>
    <w:p>
      <w:pPr>
        <w:pStyle w:val="64"/>
        <w:spacing w:line="240" w:lineRule="auto"/>
        <w:ind w:firstLine="480"/>
      </w:pPr>
      <w:r>
        <w:rPr>
          <w:rFonts w:hint="eastAsia"/>
        </w:rPr>
        <w:t>8、</w:t>
      </w:r>
      <w:r>
        <w:rPr>
          <w:rFonts w:hint="eastAsia"/>
          <w:b/>
          <w:bCs/>
        </w:rPr>
        <w:t>室外管线。</w:t>
      </w:r>
    </w:p>
    <w:p>
      <w:pPr>
        <w:pStyle w:val="64"/>
        <w:spacing w:line="240" w:lineRule="auto"/>
        <w:ind w:firstLine="480"/>
        <w:rPr>
          <w:szCs w:val="28"/>
        </w:rPr>
      </w:pPr>
      <w:r>
        <w:rPr>
          <w:rFonts w:hint="eastAsia"/>
        </w:rPr>
        <w:t>三大建设模块共计15个子系统。</w:t>
      </w:r>
    </w:p>
    <w:bookmarkEnd w:id="14"/>
    <w:bookmarkEnd w:id="15"/>
    <w:p>
      <w:pPr>
        <w:pStyle w:val="2"/>
        <w:adjustRightInd w:val="0"/>
        <w:snapToGrid w:val="0"/>
        <w:spacing w:beforeAutospacing="0" w:afterAutospacing="0"/>
        <w:rPr>
          <w:rFonts w:hint="default"/>
          <w:sz w:val="28"/>
          <w:szCs w:val="28"/>
        </w:rPr>
      </w:pPr>
      <w:bookmarkStart w:id="16" w:name="_Toc22281"/>
      <w:bookmarkStart w:id="17" w:name="_Toc109376921"/>
      <w:bookmarkStart w:id="18" w:name="_Toc98181914"/>
      <w:r>
        <w:rPr>
          <w:sz w:val="28"/>
          <w:szCs w:val="28"/>
        </w:rPr>
        <w:t>1</w:t>
      </w:r>
      <w:r>
        <w:rPr>
          <w:rFonts w:hint="default"/>
          <w:sz w:val="28"/>
          <w:szCs w:val="28"/>
        </w:rPr>
        <w:t>.2</w:t>
      </w:r>
      <w:r>
        <w:rPr>
          <w:sz w:val="28"/>
          <w:szCs w:val="28"/>
        </w:rPr>
        <w:t>项目总体建设方案</w:t>
      </w:r>
      <w:bookmarkEnd w:id="16"/>
      <w:bookmarkEnd w:id="17"/>
      <w:bookmarkEnd w:id="18"/>
    </w:p>
    <w:p>
      <w:pPr>
        <w:pStyle w:val="4"/>
        <w:numPr>
          <w:ilvl w:val="0"/>
          <w:numId w:val="0"/>
        </w:numPr>
        <w:spacing w:line="240" w:lineRule="auto"/>
      </w:pPr>
      <w:bookmarkStart w:id="19" w:name="_Toc109376922"/>
      <w:r>
        <w:rPr>
          <w:rFonts w:hint="eastAsia"/>
        </w:rPr>
        <w:t>总平台建设</w:t>
      </w:r>
      <w:bookmarkEnd w:id="19"/>
    </w:p>
    <w:p>
      <w:pPr>
        <w:pStyle w:val="64"/>
        <w:spacing w:line="240" w:lineRule="auto"/>
        <w:ind w:firstLine="480"/>
      </w:pPr>
      <w:r>
        <w:rPr>
          <w:rFonts w:hint="eastAsia"/>
        </w:rPr>
        <w:t>金华市**训练基地科技信息化项目本次建设内容为围绕两个体系来建设“1</w:t>
      </w:r>
      <w:r>
        <w:t>+3</w:t>
      </w:r>
      <w:r>
        <w:rPr>
          <w:rFonts w:hint="eastAsia"/>
        </w:rPr>
        <w:t>”的相关内容。</w:t>
      </w:r>
    </w:p>
    <w:p>
      <w:pPr>
        <w:pStyle w:val="64"/>
        <w:spacing w:line="240" w:lineRule="auto"/>
        <w:ind w:firstLine="480"/>
      </w:pPr>
      <w:r>
        <w:rPr>
          <w:rFonts w:hint="eastAsia"/>
        </w:rPr>
        <w:t>首先搭建一套具有开放性、包容性的金华市**训练基地一体化智慧管控平台。本次建设涉及2</w:t>
      </w:r>
      <w:r>
        <w:t>3</w:t>
      </w:r>
      <w:r>
        <w:rPr>
          <w:rFonts w:hint="eastAsia"/>
        </w:rPr>
        <w:t>项基础应用，满足**训练基地启用时的所有训练教学和基地管控应用需求。2</w:t>
      </w:r>
      <w:r>
        <w:t>3</w:t>
      </w:r>
      <w:r>
        <w:rPr>
          <w:rFonts w:hint="eastAsia"/>
        </w:rPr>
        <w:t>项基础应用如下：</w:t>
      </w:r>
      <w:r>
        <w:t>1、统一平台管理；2、学员报名报到管理；3、教学计划管理；4、警训教务管理系统；5、学员学习管理系统；6、课程管理系统；7、教学引导系统；8、教学评估系统；9、教学资源库管理系统；；10、移动办公平台；11、移动学习平台；12、学习中心；13、个人中心；14、训练中心；15、考试中心；16、培训统计；17、教员中心</w:t>
      </w:r>
      <w:r>
        <w:rPr>
          <w:rFonts w:hint="eastAsia"/>
        </w:rPr>
        <w:t>；</w:t>
      </w:r>
      <w:r>
        <w:rPr>
          <w:rFonts w:hint="eastAsia" w:cs="宋体"/>
        </w:rPr>
        <w:t>：</w:t>
      </w:r>
      <w:r>
        <w:rPr>
          <w:rFonts w:cs="宋体"/>
        </w:rPr>
        <w:t>18</w:t>
      </w:r>
      <w:r>
        <w:rPr>
          <w:rFonts w:hint="eastAsia" w:cs="宋体"/>
        </w:rPr>
        <w:t>、后勤管理系统（餐饮）；</w:t>
      </w:r>
      <w:r>
        <w:rPr>
          <w:rFonts w:cs="宋体"/>
        </w:rPr>
        <w:t>19</w:t>
      </w:r>
      <w:r>
        <w:rPr>
          <w:rFonts w:hint="eastAsia" w:cs="宋体"/>
        </w:rPr>
        <w:t>、后勤管理系统（公寓）；</w:t>
      </w:r>
      <w:r>
        <w:rPr>
          <w:rFonts w:cs="宋体"/>
        </w:rPr>
        <w:t>20</w:t>
      </w:r>
      <w:r>
        <w:rPr>
          <w:rFonts w:hint="eastAsia" w:cs="宋体"/>
        </w:rPr>
        <w:t>、后勤管理系统（维修管理）；</w:t>
      </w:r>
      <w:r>
        <w:rPr>
          <w:rFonts w:cs="宋体"/>
        </w:rPr>
        <w:t>21</w:t>
      </w:r>
      <w:r>
        <w:rPr>
          <w:rFonts w:hint="eastAsia" w:cs="宋体"/>
        </w:rPr>
        <w:t>、IT设备运维；</w:t>
      </w:r>
      <w:r>
        <w:rPr>
          <w:rFonts w:cs="宋体"/>
        </w:rPr>
        <w:t>22</w:t>
      </w:r>
      <w:r>
        <w:rPr>
          <w:rFonts w:hint="eastAsia" w:cs="宋体"/>
        </w:rPr>
        <w:t>、辅助决策系统；</w:t>
      </w:r>
      <w:r>
        <w:rPr>
          <w:rFonts w:cs="宋体"/>
        </w:rPr>
        <w:t>23</w:t>
      </w:r>
      <w:r>
        <w:rPr>
          <w:rFonts w:hint="eastAsia" w:cs="宋体"/>
        </w:rPr>
        <w:t>、系统数据集成对接。</w:t>
      </w:r>
    </w:p>
    <w:p>
      <w:pPr>
        <w:pStyle w:val="64"/>
        <w:spacing w:line="240" w:lineRule="auto"/>
        <w:ind w:firstLine="480"/>
      </w:pPr>
      <w:r>
        <w:rPr>
          <w:rFonts w:hint="eastAsia"/>
        </w:rPr>
        <w:t>其次，在本期项目中按照业主需求和基地启动时的实际使用情况出发，围绕“</w:t>
      </w:r>
      <w:r>
        <w:t>**教学信息化</w:t>
      </w:r>
      <w:r>
        <w:rPr>
          <w:rFonts w:hint="eastAsia"/>
        </w:rPr>
        <w:t>、</w:t>
      </w:r>
      <w:r>
        <w:t>**训练信息化</w:t>
      </w:r>
      <w:r>
        <w:rPr>
          <w:rFonts w:hint="eastAsia"/>
        </w:rPr>
        <w:t>、</w:t>
      </w:r>
      <w:r>
        <w:t>基础设施信息化</w:t>
      </w:r>
      <w:r>
        <w:rPr>
          <w:rFonts w:hint="eastAsia"/>
        </w:rPr>
        <w:t>”三大需求框架。</w:t>
      </w:r>
    </w:p>
    <w:p>
      <w:pPr>
        <w:snapToGrid w:val="0"/>
        <w:jc w:val="center"/>
      </w:pPr>
      <w:r>
        <w:drawing>
          <wp:inline distT="0" distB="0" distL="0" distR="0">
            <wp:extent cx="5544185" cy="2446020"/>
            <wp:effectExtent l="0" t="0" r="0" b="0"/>
            <wp:docPr id="44045" name="图片 4404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045" name="图片 44045"/>
                    <pic:cNvPicPr>
                      <a:picLocks noChangeAspect="true"/>
                    </pic:cNvPicPr>
                  </pic:nvPicPr>
                  <pic:blipFill>
                    <a:blip r:embed="rId13"/>
                    <a:stretch>
                      <a:fillRect/>
                    </a:stretch>
                  </pic:blipFill>
                  <pic:spPr>
                    <a:xfrm>
                      <a:off x="0" y="0"/>
                      <a:ext cx="5544185" cy="2446020"/>
                    </a:xfrm>
                    <a:prstGeom prst="rect">
                      <a:avLst/>
                    </a:prstGeom>
                  </pic:spPr>
                </pic:pic>
              </a:graphicData>
            </a:graphic>
          </wp:inline>
        </w:drawing>
      </w:r>
    </w:p>
    <w:p>
      <w:pPr>
        <w:pStyle w:val="10"/>
        <w:snapToGrid w:val="0"/>
        <w:jc w:val="center"/>
        <w:rPr>
          <w:rFonts w:eastAsiaTheme="minorEastAsia"/>
        </w:rPr>
      </w:pPr>
      <w:r>
        <w:t xml:space="preserve">图 </w:t>
      </w:r>
      <w:r>
        <w:fldChar w:fldCharType="begin"/>
      </w:r>
      <w:r>
        <w:instrText xml:space="preserve"> SEQ 图 \* ARABIC </w:instrText>
      </w:r>
      <w:r>
        <w:fldChar w:fldCharType="separate"/>
      </w:r>
      <w:r>
        <w:t>4</w:t>
      </w:r>
      <w:r>
        <w:fldChar w:fldCharType="end"/>
      </w:r>
      <w:r>
        <w:rPr>
          <w:rFonts w:hint="eastAsia"/>
        </w:rPr>
        <w:t>需求框架</w:t>
      </w:r>
    </w:p>
    <w:p>
      <w:pPr>
        <w:pStyle w:val="64"/>
        <w:spacing w:line="240" w:lineRule="auto"/>
        <w:ind w:firstLine="480"/>
      </w:pPr>
      <w:r>
        <w:rPr>
          <w:rFonts w:hint="eastAsia"/>
        </w:rPr>
        <w:t>建设1</w:t>
      </w:r>
      <w:r>
        <w:t>5</w:t>
      </w:r>
      <w:r>
        <w:rPr>
          <w:rFonts w:hint="eastAsia"/>
        </w:rPr>
        <w:t>个子系统来保证基地在启动阶段正常运行。1</w:t>
      </w:r>
      <w:r>
        <w:t>5</w:t>
      </w:r>
      <w:r>
        <w:rPr>
          <w:rFonts w:hint="eastAsia"/>
        </w:rPr>
        <w:t>个具体子系统如下：</w:t>
      </w:r>
      <w:r>
        <w:t>1、</w:t>
      </w:r>
      <w:r>
        <w:rPr>
          <w:rFonts w:hint="eastAsia"/>
        </w:rPr>
        <w:t>智慧</w:t>
      </w:r>
      <w:r>
        <w:t>管控平台（含智慧教学系统）；2、多媒体教学系统；3、会议系统；4、公共广播系统；5、信息引导及发布系统；6、**基地实战指挥中心；7、数字场馆；8、建筑设备监控系统；9、建筑能效监管系统；10、公寓管理系统；11、阳光厨房；12、信息网络系统；13、安全技术防范系统；14、消控中心、</w:t>
      </w:r>
      <w:r>
        <w:rPr>
          <w:rFonts w:hint="eastAsia"/>
        </w:rPr>
        <w:t>网络汇聚间</w:t>
      </w:r>
      <w:r>
        <w:t>；15、室外管线。</w:t>
      </w:r>
    </w:p>
    <w:p>
      <w:pPr>
        <w:snapToGrid w:val="0"/>
        <w:jc w:val="center"/>
      </w:pPr>
      <w:r>
        <w:drawing>
          <wp:inline distT="0" distB="0" distL="0" distR="0">
            <wp:extent cx="5544185" cy="2752725"/>
            <wp:effectExtent l="0" t="0" r="0" b="952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4"/>
                    <a:stretch>
                      <a:fillRect/>
                    </a:stretch>
                  </pic:blipFill>
                  <pic:spPr>
                    <a:xfrm>
                      <a:off x="0" y="0"/>
                      <a:ext cx="5544185" cy="2752725"/>
                    </a:xfrm>
                    <a:prstGeom prst="rect">
                      <a:avLst/>
                    </a:prstGeom>
                  </pic:spPr>
                </pic:pic>
              </a:graphicData>
            </a:graphic>
          </wp:inline>
        </w:drawing>
      </w:r>
    </w:p>
    <w:p>
      <w:pPr>
        <w:pStyle w:val="10"/>
        <w:snapToGrid w:val="0"/>
        <w:jc w:val="center"/>
      </w:pPr>
      <w:r>
        <w:t xml:space="preserve">图 </w:t>
      </w:r>
      <w:r>
        <w:fldChar w:fldCharType="begin"/>
      </w:r>
      <w:r>
        <w:instrText xml:space="preserve"> SEQ 图 \* ARABIC </w:instrText>
      </w:r>
      <w:r>
        <w:fldChar w:fldCharType="separate"/>
      </w:r>
      <w:r>
        <w:t>5</w:t>
      </w:r>
      <w:r>
        <w:fldChar w:fldCharType="end"/>
      </w:r>
      <w:r>
        <w:rPr>
          <w:rFonts w:hint="eastAsia"/>
        </w:rPr>
        <w:t>建设内容</w:t>
      </w:r>
    </w:p>
    <w:p>
      <w:pPr>
        <w:pStyle w:val="4"/>
        <w:numPr>
          <w:ilvl w:val="0"/>
          <w:numId w:val="0"/>
        </w:numPr>
        <w:spacing w:line="240" w:lineRule="auto"/>
      </w:pPr>
      <w:r>
        <w:rPr>
          <w:rFonts w:hint="eastAsia"/>
        </w:rPr>
        <w:t>本项目总集成要求</w:t>
      </w:r>
    </w:p>
    <w:p>
      <w:pPr>
        <w:pStyle w:val="5"/>
        <w:spacing w:line="240" w:lineRule="auto"/>
      </w:pPr>
      <w:r>
        <w:rPr>
          <w:rFonts w:hint="eastAsia"/>
        </w:rPr>
        <w:t>项目总集成要求</w:t>
      </w:r>
    </w:p>
    <w:p>
      <w:pPr>
        <w:pStyle w:val="57"/>
        <w:snapToGrid w:val="0"/>
        <w:ind w:firstLine="480"/>
      </w:pPr>
      <w:r>
        <w:rPr>
          <w:rStyle w:val="65"/>
          <w:rFonts w:hint="eastAsia"/>
        </w:rPr>
        <w:t>本项目还需包括金华**训练基地的总集成任务，除了完成本项目包含的8个系统之外，还需要考虑金华**训练基地项目全部1</w:t>
      </w:r>
      <w:r>
        <w:rPr>
          <w:rStyle w:val="65"/>
        </w:rPr>
        <w:t>5</w:t>
      </w:r>
      <w:r>
        <w:rPr>
          <w:rStyle w:val="65"/>
          <w:rFonts w:hint="eastAsia"/>
        </w:rPr>
        <w:t>个子系统的全部统筹工作，负责全子系统的集成工作。全面负责整个金华**训练基地所有子系统间的系统集成、调试、协调、施工界面、数据互通、数据对接等工作。</w:t>
      </w:r>
    </w:p>
    <w:p>
      <w:pPr>
        <w:pStyle w:val="5"/>
        <w:spacing w:line="240" w:lineRule="auto"/>
      </w:pPr>
      <w:r>
        <w:rPr>
          <w:rFonts w:hint="eastAsia"/>
        </w:rPr>
        <w:t>平台软件对接要求</w:t>
      </w:r>
    </w:p>
    <w:p>
      <w:pPr>
        <w:pStyle w:val="64"/>
        <w:spacing w:line="240" w:lineRule="auto"/>
        <w:ind w:firstLine="480"/>
      </w:pPr>
      <w:r>
        <w:rPr>
          <w:rFonts w:hint="eastAsia"/>
        </w:rPr>
        <w:t>因为金华**训练基地的智慧管控平台是集教学、运维、系统集成的一体化平台，需要对其他子系统，如公寓管理系统、安防系统、建筑能耗、建筑设备管理系统、教学数据等系统统一管控，存在大量的系统、平台数据对接工作。本项目作为金华**训练基地整体项目的总集成工作，需要负责统筹各子系统的数据对接、接口开放、数据共享工作，要求建设的各子系统无条件提供数据接口和系统对接工作，避免整体金华**训练基地项目形成数据孤岛，各子系统无法互联互通的情况。</w:t>
      </w:r>
    </w:p>
    <w:p>
      <w:pPr>
        <w:pStyle w:val="64"/>
        <w:spacing w:line="240" w:lineRule="auto"/>
        <w:ind w:firstLine="480"/>
      </w:pPr>
      <w:r>
        <w:rPr>
          <w:rFonts w:hint="eastAsia"/>
        </w:rPr>
        <w:t>具体数据对接工作如下（包含切不止包含）：</w:t>
      </w:r>
    </w:p>
    <w:p>
      <w:pPr>
        <w:pStyle w:val="64"/>
        <w:spacing w:line="240" w:lineRule="auto"/>
        <w:ind w:firstLine="480"/>
      </w:pPr>
      <w:r>
        <w:rPr>
          <w:rFonts w:hint="eastAsia"/>
        </w:rPr>
        <w:t>可从市局警员数据库调取警员人脸数据、身份信息、警员信息等，自动导入管控平台。</w:t>
      </w:r>
    </w:p>
    <w:p>
      <w:pPr>
        <w:pStyle w:val="64"/>
        <w:spacing w:line="240" w:lineRule="auto"/>
        <w:ind w:firstLine="480"/>
      </w:pPr>
      <w:r>
        <w:rPr>
          <w:rFonts w:hint="eastAsia"/>
        </w:rPr>
        <w:t>通过页面集成、用户集成、数据集成等方式实现与酒店客房管理的集成，提供住宿信息与学员管理的接口、一卡通与客房门禁接口等，方便学员管理。</w:t>
      </w:r>
    </w:p>
    <w:p>
      <w:pPr>
        <w:pStyle w:val="64"/>
        <w:spacing w:line="240" w:lineRule="auto"/>
        <w:ind w:firstLine="480"/>
      </w:pPr>
      <w:r>
        <w:rPr>
          <w:rFonts w:hint="eastAsia"/>
        </w:rPr>
        <w:t>通过页面集成、用户集成、数据集成等方式实现与教学系统的集成，完成会议预约、教学通告、课程信息、教室信息等数据的集成。</w:t>
      </w:r>
    </w:p>
    <w:p>
      <w:pPr>
        <w:pStyle w:val="64"/>
        <w:spacing w:line="240" w:lineRule="auto"/>
        <w:ind w:firstLine="480"/>
      </w:pPr>
      <w:r>
        <w:rPr>
          <w:rFonts w:hint="eastAsia"/>
        </w:rPr>
        <w:t>在基地原有一卡通软硬件框架的基础上，建设中间数据库与智慧校园对接数据，以实现一卡通数据与校园业务平台系统间的互联互通。</w:t>
      </w:r>
    </w:p>
    <w:p>
      <w:pPr>
        <w:pStyle w:val="64"/>
        <w:spacing w:line="240" w:lineRule="auto"/>
        <w:ind w:firstLine="480"/>
      </w:pPr>
      <w:r>
        <w:rPr>
          <w:rFonts w:hint="eastAsia"/>
        </w:rPr>
        <w:t>通过页面集成、用户集成、数据集成等方式实现与教学系统的集成，一个平台管理安防设备，如监控视频、报警信息、人脸管控信息、人员车辆进出信息等。</w:t>
      </w:r>
    </w:p>
    <w:p>
      <w:pPr>
        <w:pStyle w:val="64"/>
        <w:spacing w:line="240" w:lineRule="auto"/>
        <w:ind w:firstLine="480"/>
      </w:pPr>
      <w:r>
        <w:rPr>
          <w:rFonts w:hint="eastAsia"/>
        </w:rPr>
        <w:t>通过页面集成、用户集成、数据集成等方式实现与消防系统的集成，一个平台管理基地消防管理平台的信息。</w:t>
      </w:r>
    </w:p>
    <w:p>
      <w:pPr>
        <w:pStyle w:val="64"/>
        <w:spacing w:line="240" w:lineRule="auto"/>
        <w:ind w:firstLine="480"/>
      </w:pPr>
      <w:r>
        <w:rPr>
          <w:rFonts w:hint="eastAsia"/>
        </w:rPr>
        <w:t>通过页面集成、用户集成、数据集成等方式实现与能耗、楼控系统的集成，一个平台管理基地建设设备信息、楼宇自控管理、能耗数据管理、智能灯控管理、远程抄表、远程开关灯光等。</w:t>
      </w:r>
    </w:p>
    <w:p>
      <w:pPr>
        <w:pStyle w:val="64"/>
        <w:spacing w:line="240" w:lineRule="auto"/>
        <w:ind w:firstLine="480"/>
      </w:pPr>
      <w:r>
        <w:rPr>
          <w:rFonts w:hint="eastAsia"/>
        </w:rPr>
        <w:t>通过页面集成、用户集成、数据集成等方式实现与广播系统的集成，一个平台管理基地广播播放内容、控制系统等。</w:t>
      </w:r>
    </w:p>
    <w:p>
      <w:pPr>
        <w:pStyle w:val="64"/>
        <w:spacing w:line="240" w:lineRule="auto"/>
        <w:ind w:firstLine="480"/>
      </w:pPr>
      <w:r>
        <w:rPr>
          <w:rFonts w:hint="eastAsia"/>
        </w:rPr>
        <w:t>供短信的在线编辑、收发以及消息队列服务，要求满足三大运营商的无缝对接。</w:t>
      </w:r>
    </w:p>
    <w:p>
      <w:pPr>
        <w:pStyle w:val="64"/>
        <w:spacing w:line="240" w:lineRule="auto"/>
        <w:ind w:firstLine="480"/>
      </w:pPr>
      <w:r>
        <w:rPr>
          <w:rFonts w:hint="eastAsia"/>
        </w:rPr>
        <w:t>通过页面集成、用户集成、数据集成等方式实现与大屏系统的集成，完成后将实现系统生成的各种教务、校情、人事、财务等数据进行可视化展示。</w:t>
      </w:r>
    </w:p>
    <w:p>
      <w:pPr>
        <w:pStyle w:val="64"/>
        <w:spacing w:line="240" w:lineRule="auto"/>
        <w:ind w:firstLine="480"/>
      </w:pPr>
      <w:r>
        <w:rPr>
          <w:rFonts w:hint="eastAsia"/>
        </w:rPr>
        <w:t>通过页面集成、用户集成、数据集成等方式实现与后勤系统的集成，完成后勤服务保障功能，包括车辆数据、能耗、安防等系统的接口。</w:t>
      </w:r>
    </w:p>
    <w:p>
      <w:pPr>
        <w:pStyle w:val="2"/>
        <w:adjustRightInd w:val="0"/>
        <w:snapToGrid w:val="0"/>
        <w:spacing w:beforeAutospacing="0" w:afterAutospacing="0" w:line="360" w:lineRule="auto"/>
        <w:rPr>
          <w:rFonts w:hint="default" w:asciiTheme="minorEastAsia" w:hAnsiTheme="minorEastAsia" w:eastAsiaTheme="minorEastAsia"/>
          <w:sz w:val="24"/>
          <w:szCs w:val="24"/>
        </w:rPr>
      </w:pPr>
      <w:bookmarkStart w:id="20" w:name="_Toc98181938"/>
      <w:bookmarkStart w:id="21" w:name="_Toc31907"/>
      <w:bookmarkStart w:id="22" w:name="_Toc109376923"/>
      <w:r>
        <w:rPr>
          <w:rFonts w:asciiTheme="minorEastAsia" w:hAnsiTheme="minorEastAsia" w:eastAsiaTheme="minorEastAsia"/>
          <w:sz w:val="24"/>
          <w:szCs w:val="24"/>
        </w:rPr>
        <w:t>1</w:t>
      </w:r>
      <w:r>
        <w:rPr>
          <w:rFonts w:hint="default" w:asciiTheme="minorEastAsia" w:hAnsiTheme="minorEastAsia" w:eastAsiaTheme="minorEastAsia"/>
          <w:sz w:val="24"/>
          <w:szCs w:val="24"/>
        </w:rPr>
        <w:t>.3</w:t>
      </w:r>
      <w:r>
        <w:rPr>
          <w:rFonts w:asciiTheme="minorEastAsia" w:hAnsiTheme="minorEastAsia" w:eastAsiaTheme="minorEastAsia"/>
          <w:sz w:val="24"/>
          <w:szCs w:val="24"/>
        </w:rPr>
        <w:t>项目设计方案</w:t>
      </w:r>
      <w:bookmarkEnd w:id="20"/>
      <w:bookmarkEnd w:id="21"/>
      <w:bookmarkEnd w:id="22"/>
    </w:p>
    <w:p>
      <w:pPr>
        <w:pStyle w:val="4"/>
        <w:numPr>
          <w:ilvl w:val="0"/>
          <w:numId w:val="0"/>
        </w:numPr>
        <w:rPr>
          <w:rFonts w:asciiTheme="minorEastAsia" w:hAnsiTheme="minorEastAsia"/>
          <w:sz w:val="24"/>
          <w:szCs w:val="24"/>
        </w:rPr>
      </w:pPr>
      <w:bookmarkStart w:id="23" w:name="_Toc98182038"/>
      <w:bookmarkStart w:id="24" w:name="_Toc23569"/>
      <w:bookmarkStart w:id="25" w:name="_Toc109376924"/>
      <w:r>
        <w:rPr>
          <w:rFonts w:hint="eastAsia" w:asciiTheme="minorEastAsia" w:hAnsiTheme="minorEastAsia"/>
          <w:sz w:val="24"/>
          <w:szCs w:val="24"/>
        </w:rPr>
        <w:t>建筑设备监控系统</w:t>
      </w:r>
      <w:bookmarkEnd w:id="23"/>
      <w:bookmarkEnd w:id="24"/>
      <w:bookmarkEnd w:id="25"/>
    </w:p>
    <w:p>
      <w:pPr>
        <w:pStyle w:val="5"/>
        <w:rPr>
          <w:rFonts w:asciiTheme="minorEastAsia" w:hAnsiTheme="minorEastAsia" w:eastAsiaTheme="minorEastAsia"/>
          <w:sz w:val="24"/>
          <w:szCs w:val="24"/>
        </w:rPr>
      </w:pPr>
      <w:bookmarkStart w:id="26" w:name="_Toc98182039"/>
      <w:bookmarkStart w:id="27" w:name="_Toc27337"/>
      <w:bookmarkStart w:id="28" w:name="_Toc109376925"/>
      <w:bookmarkStart w:id="29" w:name="_Toc80875269"/>
      <w:bookmarkStart w:id="30" w:name="_Toc81561483"/>
      <w:r>
        <w:rPr>
          <w:rFonts w:hint="eastAsia" w:asciiTheme="minorEastAsia" w:hAnsiTheme="minorEastAsia" w:eastAsiaTheme="minorEastAsia"/>
          <w:sz w:val="24"/>
          <w:szCs w:val="24"/>
        </w:rPr>
        <w:t>楼宇自控系统</w:t>
      </w:r>
      <w:bookmarkEnd w:id="26"/>
      <w:bookmarkEnd w:id="27"/>
      <w:bookmarkEnd w:id="28"/>
      <w:bookmarkEnd w:id="29"/>
      <w:bookmarkEnd w:id="30"/>
    </w:p>
    <w:p>
      <w:pPr>
        <w:pStyle w:val="6"/>
        <w:rPr>
          <w:rFonts w:asciiTheme="minorEastAsia" w:hAnsiTheme="minorEastAsia"/>
          <w:sz w:val="24"/>
          <w:szCs w:val="24"/>
        </w:rPr>
      </w:pPr>
      <w:r>
        <w:rPr>
          <w:rFonts w:hint="eastAsia" w:asciiTheme="minorEastAsia" w:hAnsiTheme="minorEastAsia"/>
          <w:sz w:val="24"/>
          <w:szCs w:val="24"/>
        </w:rPr>
        <w:t>建设目标</w:t>
      </w:r>
    </w:p>
    <w:p>
      <w:pPr>
        <w:pStyle w:val="64"/>
        <w:ind w:firstLine="480"/>
        <w:rPr>
          <w:rFonts w:asciiTheme="minorEastAsia" w:hAnsiTheme="minorEastAsia" w:eastAsiaTheme="minorEastAsia"/>
        </w:rPr>
      </w:pPr>
      <w:r>
        <w:rPr>
          <w:rFonts w:hint="eastAsia" w:asciiTheme="minorEastAsia" w:hAnsiTheme="minorEastAsia" w:eastAsiaTheme="minorEastAsia"/>
        </w:rPr>
        <w:t>本工程设置建筑设备监控系统，BA控制室与消防控制室合用，内设中央操作站、打印机等设备。系统由管理工作站（含操作系统软件和应用软件）、网络控制器（或网络接口）、现场控制器（DDC）、各类传感器组成。采用集散式系统，管理工作站与现场控制器采用通信网络联接。本系统主要监测和控制大楼内各机电设备（包括空调机组（VRF）、送排风机、水泵等）的运行状况、安全状况、能源使用状况等，实现综合自动监测、通讯、控制与管理，并使之达到最佳运行状态、起到节能作用。系统管理工作站具备与其它系统通信的软件接口，并提供简洁的图形化界面，并可以及时获取各种设备的运行状态、运行参数、故障及报警信息。</w:t>
      </w:r>
    </w:p>
    <w:p>
      <w:pPr>
        <w:pStyle w:val="6"/>
        <w:rPr>
          <w:rFonts w:asciiTheme="minorEastAsia" w:hAnsiTheme="minorEastAsia"/>
          <w:sz w:val="24"/>
          <w:szCs w:val="24"/>
        </w:rPr>
      </w:pPr>
      <w:bookmarkStart w:id="31" w:name="_Toc98182041"/>
      <w:r>
        <w:rPr>
          <w:rFonts w:hint="eastAsia" w:asciiTheme="minorEastAsia" w:hAnsiTheme="minorEastAsia"/>
          <w:sz w:val="24"/>
          <w:szCs w:val="24"/>
        </w:rPr>
        <w:t>系统设计</w:t>
      </w:r>
      <w:bookmarkEnd w:id="31"/>
    </w:p>
    <w:p>
      <w:pPr>
        <w:pStyle w:val="64"/>
        <w:ind w:firstLine="480"/>
        <w:rPr>
          <w:rFonts w:asciiTheme="minorEastAsia" w:hAnsiTheme="minorEastAsia" w:eastAsiaTheme="minorEastAsia"/>
        </w:rPr>
      </w:pPr>
      <w:r>
        <w:rPr>
          <w:rFonts w:hint="eastAsia" w:asciiTheme="minorEastAsia" w:hAnsiTheme="minorEastAsia" w:eastAsiaTheme="minorEastAsia"/>
        </w:rPr>
        <w:t>本次系统采用“分散控制，集中监控”的集散型控制TCP/IP模式，通过设备网络进行集中管理和监控，通过现场控制总线连接DDC控制器，本系统管理层设置在消控中心内；监控管理功能集中于中央站，实时性的控制和调节功能由现场控制层的DDC控制器完成。中央站的工作与否不影响分站功能和设备的运行及网络通讯控制。</w:t>
      </w:r>
    </w:p>
    <w:p>
      <w:pPr>
        <w:pStyle w:val="64"/>
        <w:ind w:firstLine="480"/>
        <w:rPr>
          <w:rFonts w:asciiTheme="minorEastAsia" w:hAnsiTheme="minorEastAsia" w:eastAsiaTheme="minorEastAsia"/>
        </w:rPr>
      </w:pPr>
      <w:r>
        <w:rPr>
          <w:rFonts w:hint="eastAsia" w:asciiTheme="minorEastAsia" w:hAnsiTheme="minorEastAsia" w:eastAsiaTheme="minorEastAsia"/>
        </w:rPr>
        <w:t>本项目楼宇自控系统由以下子系统构成：</w:t>
      </w:r>
    </w:p>
    <w:p>
      <w:pPr>
        <w:pStyle w:val="64"/>
        <w:ind w:firstLine="480"/>
        <w:rPr>
          <w:rFonts w:asciiTheme="minorEastAsia" w:hAnsiTheme="minorEastAsia" w:eastAsiaTheme="minorEastAsia"/>
        </w:rPr>
      </w:pPr>
      <w:r>
        <w:rPr>
          <w:rFonts w:hint="eastAsia" w:asciiTheme="minorEastAsia" w:hAnsiTheme="minorEastAsia" w:eastAsiaTheme="minorEastAsia"/>
        </w:rPr>
        <w:t>空调新风监测系统（中央空调机组监测）</w:t>
      </w:r>
    </w:p>
    <w:p>
      <w:pPr>
        <w:pStyle w:val="64"/>
        <w:ind w:firstLine="480"/>
        <w:rPr>
          <w:rFonts w:asciiTheme="minorEastAsia" w:hAnsiTheme="minorEastAsia" w:eastAsiaTheme="minorEastAsia"/>
        </w:rPr>
      </w:pPr>
      <w:r>
        <w:rPr>
          <w:rFonts w:hint="eastAsia" w:asciiTheme="minorEastAsia" w:hAnsiTheme="minorEastAsia" w:eastAsiaTheme="minorEastAsia"/>
        </w:rPr>
        <w:t>送排风监测系统（送、排风机的监测、控制）</w:t>
      </w:r>
    </w:p>
    <w:p>
      <w:pPr>
        <w:pStyle w:val="64"/>
        <w:ind w:firstLine="480"/>
        <w:rPr>
          <w:rFonts w:asciiTheme="minorEastAsia" w:hAnsiTheme="minorEastAsia" w:eastAsiaTheme="minorEastAsia"/>
        </w:rPr>
      </w:pPr>
      <w:r>
        <w:rPr>
          <w:rFonts w:hint="eastAsia" w:asciiTheme="minorEastAsia" w:hAnsiTheme="minorEastAsia" w:eastAsiaTheme="minorEastAsia"/>
        </w:rPr>
        <w:t>给排水监测系统（监测各水泵的运行状况及水箱、水池水位）</w:t>
      </w:r>
    </w:p>
    <w:p>
      <w:pPr>
        <w:pStyle w:val="64"/>
        <w:ind w:firstLine="480"/>
        <w:rPr>
          <w:rFonts w:asciiTheme="minorEastAsia" w:hAnsiTheme="minorEastAsia" w:eastAsiaTheme="minorEastAsia"/>
        </w:rPr>
      </w:pPr>
      <w:r>
        <w:rPr>
          <w:rFonts w:hint="eastAsia" w:asciiTheme="minorEastAsia" w:hAnsiTheme="minorEastAsia" w:eastAsiaTheme="minorEastAsia"/>
        </w:rPr>
        <w:t>各个设备监控控制方式包含如下设计。</w:t>
      </w:r>
    </w:p>
    <w:p>
      <w:pPr>
        <w:pStyle w:val="7"/>
        <w:spacing w:line="360" w:lineRule="auto"/>
        <w:rPr>
          <w:rFonts w:asciiTheme="minorEastAsia" w:hAnsiTheme="minorEastAsia" w:eastAsiaTheme="minorEastAsia"/>
        </w:rPr>
      </w:pPr>
      <w:r>
        <w:rPr>
          <w:rFonts w:hint="eastAsia" w:asciiTheme="minorEastAsia" w:hAnsiTheme="minorEastAsia" w:eastAsiaTheme="minorEastAsia"/>
        </w:rPr>
        <w:t>空调新风系统</w:t>
      </w:r>
    </w:p>
    <w:p>
      <w:pPr>
        <w:pStyle w:val="64"/>
        <w:ind w:firstLine="480"/>
        <w:rPr>
          <w:rFonts w:asciiTheme="minorEastAsia" w:hAnsiTheme="minorEastAsia" w:eastAsiaTheme="minorEastAsia"/>
        </w:rPr>
      </w:pPr>
      <w:r>
        <w:rPr>
          <w:rFonts w:hint="eastAsia" w:asciiTheme="minorEastAsia" w:hAnsiTheme="minorEastAsia" w:eastAsiaTheme="minorEastAsia"/>
        </w:rPr>
        <w:t>本项目办公室、宿舍、教室等空间采用VRF中央空调系统。门厅、报告厅、餐厅、大会议室、场馆等大空间全部采用全空气系统。</w:t>
      </w:r>
    </w:p>
    <w:p>
      <w:pPr>
        <w:pStyle w:val="64"/>
        <w:ind w:firstLine="480"/>
        <w:rPr>
          <w:rFonts w:asciiTheme="minorEastAsia" w:hAnsiTheme="minorEastAsia" w:eastAsiaTheme="minorEastAsia"/>
        </w:rPr>
      </w:pPr>
      <w:r>
        <w:rPr>
          <w:rFonts w:hint="eastAsia" w:asciiTheme="minorEastAsia" w:hAnsiTheme="minorEastAsia" w:eastAsiaTheme="minorEastAsia"/>
        </w:rPr>
        <w:t>（一）吊顶式空调机组(回风工况)监测</w:t>
      </w:r>
    </w:p>
    <w:p>
      <w:pPr>
        <w:pStyle w:val="64"/>
        <w:ind w:firstLine="480"/>
        <w:rPr>
          <w:rFonts w:asciiTheme="minorEastAsia" w:hAnsiTheme="minorEastAsia" w:eastAsiaTheme="minorEastAsia"/>
        </w:rPr>
      </w:pPr>
      <w:r>
        <w:rPr>
          <w:rFonts w:hint="eastAsia" w:asciiTheme="minorEastAsia" w:hAnsiTheme="minorEastAsia" w:eastAsiaTheme="minorEastAsia"/>
        </w:rPr>
        <w:t>1、监控功能如下：</w:t>
      </w:r>
    </w:p>
    <w:p>
      <w:pPr>
        <w:pStyle w:val="10"/>
        <w:snapToGrid w:val="0"/>
        <w:spacing w:line="360" w:lineRule="auto"/>
        <w:ind w:firstLine="36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表 </w:t>
      </w: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SEQ 表 \* ARABIC </w:instrText>
      </w:r>
      <w:r>
        <w:rPr>
          <w:rFonts w:hint="eastAsia" w:cs="宋体" w:asciiTheme="minorEastAsia" w:hAnsiTheme="minorEastAsia" w:eastAsiaTheme="minorEastAsia"/>
          <w:sz w:val="24"/>
          <w:szCs w:val="24"/>
        </w:rPr>
        <w:fldChar w:fldCharType="separate"/>
      </w: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监控功能表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0" w:type="pct"/>
            <w:vAlign w:val="center"/>
          </w:tcPr>
          <w:p>
            <w:pPr>
              <w:snapToGrid w:val="0"/>
              <w:spacing w:line="360" w:lineRule="auto"/>
              <w:ind w:firstLine="482"/>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监控设备</w:t>
            </w:r>
          </w:p>
        </w:tc>
        <w:tc>
          <w:tcPr>
            <w:tcW w:w="3700" w:type="pct"/>
            <w:vAlign w:val="center"/>
          </w:tcPr>
          <w:p>
            <w:pPr>
              <w:snapToGrid w:val="0"/>
              <w:spacing w:line="360" w:lineRule="auto"/>
              <w:ind w:firstLine="482"/>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监  控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pct"/>
            <w:vAlign w:val="center"/>
          </w:tcPr>
          <w:p>
            <w:pPr>
              <w:snapToGrid w:val="0"/>
              <w:spacing w:line="360" w:lineRule="auto"/>
              <w:ind w:firstLine="48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吊顶式空调机组(回风工况) 监测</w:t>
            </w:r>
          </w:p>
        </w:tc>
        <w:tc>
          <w:tcPr>
            <w:tcW w:w="3700" w:type="pct"/>
            <w:vAlign w:val="center"/>
          </w:tcPr>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送风、回风温湿度监测，电动二通水阀调节及位置反馈，风机开关控制、手自动状态、运行状态、故障状态，初效滤网压差报警，风机压差报警。</w:t>
            </w:r>
          </w:p>
        </w:tc>
      </w:tr>
    </w:tbl>
    <w:p>
      <w:pPr>
        <w:pStyle w:val="64"/>
        <w:ind w:firstLine="480"/>
        <w:rPr>
          <w:rFonts w:asciiTheme="minorEastAsia" w:hAnsiTheme="minorEastAsia" w:eastAsiaTheme="minorEastAsia"/>
        </w:rPr>
      </w:pPr>
      <w:r>
        <w:rPr>
          <w:rFonts w:hint="eastAsia" w:asciiTheme="minorEastAsia" w:hAnsiTheme="minorEastAsia" w:eastAsiaTheme="minorEastAsia"/>
        </w:rPr>
        <w:t>主要监控内容：</w:t>
      </w:r>
    </w:p>
    <w:p>
      <w:pPr>
        <w:pStyle w:val="64"/>
        <w:ind w:firstLine="480"/>
        <w:rPr>
          <w:rFonts w:asciiTheme="minorEastAsia" w:hAnsiTheme="minorEastAsia" w:eastAsiaTheme="minorEastAsia"/>
        </w:rPr>
      </w:pPr>
      <w:r>
        <w:rPr>
          <w:rFonts w:hint="eastAsia" w:asciiTheme="minorEastAsia" w:hAnsiTheme="minorEastAsia" w:eastAsiaTheme="minorEastAsia"/>
        </w:rPr>
        <w:t>温度控制：根据回风温度与设定温度差值，对水阀开度进行PID调节，从而控制回风温度。夏季：当回风温度升高时，调节水阀开大；当回风温度降低时，调节水阀关小。冬季：当回风温度升高时，调节水阀关小；当回风温度降低时，调节水阀开大，使室温始终控制造设定值范围内。</w:t>
      </w:r>
    </w:p>
    <w:p>
      <w:pPr>
        <w:pStyle w:val="64"/>
        <w:ind w:firstLine="480"/>
        <w:rPr>
          <w:rFonts w:asciiTheme="minorEastAsia" w:hAnsiTheme="minorEastAsia" w:eastAsiaTheme="minorEastAsia"/>
        </w:rPr>
      </w:pPr>
      <w:r>
        <w:rPr>
          <w:rFonts w:hint="eastAsia" w:asciiTheme="minorEastAsia" w:hAnsiTheme="minorEastAsia" w:eastAsiaTheme="minorEastAsia"/>
        </w:rPr>
        <w:t>湿度控制：根据回风湿度与设定湿度差值，对蒸汽调节阀开度进行PID调节，从而控制回风湿度。</w:t>
      </w:r>
    </w:p>
    <w:p>
      <w:pPr>
        <w:pStyle w:val="64"/>
        <w:ind w:firstLine="480"/>
        <w:rPr>
          <w:rFonts w:asciiTheme="minorEastAsia" w:hAnsiTheme="minorEastAsia" w:eastAsiaTheme="minorEastAsia"/>
        </w:rPr>
      </w:pPr>
      <w:r>
        <w:rPr>
          <w:rFonts w:hint="eastAsia" w:asciiTheme="minorEastAsia" w:hAnsiTheme="minorEastAsia" w:eastAsiaTheme="minorEastAsia"/>
        </w:rPr>
        <w:t>连锁控制：风机、电动水阀连锁控制。</w:t>
      </w:r>
    </w:p>
    <w:p>
      <w:pPr>
        <w:pStyle w:val="64"/>
        <w:ind w:firstLine="480"/>
        <w:rPr>
          <w:rFonts w:asciiTheme="minorEastAsia" w:hAnsiTheme="minorEastAsia" w:eastAsiaTheme="minorEastAsia"/>
        </w:rPr>
      </w:pPr>
      <w:r>
        <w:rPr>
          <w:rFonts w:hint="eastAsia" w:asciiTheme="minorEastAsia" w:hAnsiTheme="minorEastAsia" w:eastAsiaTheme="minorEastAsia"/>
        </w:rPr>
        <w:t>编制时间程序自动控制风机启停，并累计运行时间；</w:t>
      </w:r>
    </w:p>
    <w:p>
      <w:pPr>
        <w:pStyle w:val="64"/>
        <w:ind w:firstLine="480"/>
        <w:rPr>
          <w:rFonts w:asciiTheme="minorEastAsia" w:hAnsiTheme="minorEastAsia" w:eastAsiaTheme="minorEastAsia"/>
        </w:rPr>
      </w:pPr>
      <w:r>
        <w:rPr>
          <w:rFonts w:hint="eastAsia" w:asciiTheme="minorEastAsia" w:hAnsiTheme="minorEastAsia" w:eastAsiaTheme="minorEastAsia"/>
        </w:rPr>
        <w:t>上位管理计算机图形化显示风机各项运行参数，记录、保存数据到数据库，并可生成曲线、报表，实时及历史报警信息。</w:t>
      </w:r>
    </w:p>
    <w:p>
      <w:pPr>
        <w:pStyle w:val="64"/>
        <w:ind w:firstLine="480"/>
        <w:rPr>
          <w:rFonts w:asciiTheme="minorEastAsia" w:hAnsiTheme="minorEastAsia" w:eastAsiaTheme="minorEastAsia"/>
        </w:rPr>
      </w:pPr>
      <w:r>
        <w:rPr>
          <w:rFonts w:hint="eastAsia" w:asciiTheme="minorEastAsia" w:hAnsiTheme="minorEastAsia" w:eastAsiaTheme="minorEastAsia"/>
        </w:rPr>
        <w:t>（二）吊顶式空调机组(新风工况)监测</w:t>
      </w:r>
    </w:p>
    <w:p>
      <w:pPr>
        <w:pStyle w:val="64"/>
        <w:ind w:firstLine="480"/>
        <w:rPr>
          <w:rFonts w:asciiTheme="minorEastAsia" w:hAnsiTheme="minorEastAsia" w:eastAsiaTheme="minorEastAsia"/>
        </w:rPr>
      </w:pPr>
      <w:r>
        <w:rPr>
          <w:rFonts w:hint="eastAsia" w:asciiTheme="minorEastAsia" w:hAnsiTheme="minorEastAsia" w:eastAsiaTheme="minorEastAsia"/>
        </w:rPr>
        <w:t>监控功能如下：</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0" w:type="pct"/>
            <w:vAlign w:val="center"/>
          </w:tcPr>
          <w:p>
            <w:pPr>
              <w:snapToGrid w:val="0"/>
              <w:spacing w:line="360" w:lineRule="auto"/>
              <w:ind w:firstLine="482"/>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监控设备</w:t>
            </w:r>
          </w:p>
        </w:tc>
        <w:tc>
          <w:tcPr>
            <w:tcW w:w="3700" w:type="pct"/>
            <w:vAlign w:val="center"/>
          </w:tcPr>
          <w:p>
            <w:pPr>
              <w:snapToGrid w:val="0"/>
              <w:spacing w:line="360" w:lineRule="auto"/>
              <w:ind w:firstLine="482"/>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监  控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pct"/>
            <w:vAlign w:val="center"/>
          </w:tcPr>
          <w:p>
            <w:pPr>
              <w:snapToGrid w:val="0"/>
              <w:spacing w:line="360" w:lineRule="auto"/>
              <w:ind w:firstLine="48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吊顶式空调机组(新风工况)监测</w:t>
            </w:r>
          </w:p>
        </w:tc>
        <w:tc>
          <w:tcPr>
            <w:tcW w:w="3700" w:type="pct"/>
            <w:vAlign w:val="center"/>
          </w:tcPr>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送风、回风温度监测，电动二通水阀调节及位置反馈，风机开关控制、手自动状态、运行状态、故障状态，初效滤网压差报警，风机压差报警。</w:t>
            </w:r>
          </w:p>
        </w:tc>
      </w:tr>
    </w:tbl>
    <w:p>
      <w:pPr>
        <w:pStyle w:val="10"/>
        <w:snapToGrid w:val="0"/>
        <w:spacing w:line="360" w:lineRule="auto"/>
        <w:ind w:firstLine="36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表 </w:t>
      </w: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SEQ 表 \* ARABIC </w:instrText>
      </w:r>
      <w:r>
        <w:rPr>
          <w:rFonts w:hint="eastAsia" w:cs="宋体" w:asciiTheme="minorEastAsia" w:hAnsiTheme="minorEastAsia" w:eastAsiaTheme="minorEastAsia"/>
          <w:sz w:val="24"/>
          <w:szCs w:val="24"/>
        </w:rPr>
        <w:fldChar w:fldCharType="separate"/>
      </w:r>
      <w:r>
        <w:rPr>
          <w:rFonts w:cs="宋体" w:asciiTheme="minorEastAsia" w:hAnsiTheme="minorEastAsia" w:eastAsiaTheme="minorEastAsia"/>
          <w:sz w:val="24"/>
          <w:szCs w:val="24"/>
        </w:rPr>
        <w:t>10</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 xml:space="preserve"> 监控功能表</w:t>
      </w:r>
    </w:p>
    <w:p>
      <w:pPr>
        <w:pStyle w:val="64"/>
        <w:ind w:firstLine="480"/>
        <w:rPr>
          <w:rFonts w:asciiTheme="minorEastAsia" w:hAnsiTheme="minorEastAsia" w:eastAsiaTheme="minorEastAsia"/>
        </w:rPr>
      </w:pPr>
      <w:r>
        <w:rPr>
          <w:rFonts w:hint="eastAsia" w:asciiTheme="minorEastAsia" w:hAnsiTheme="minorEastAsia" w:eastAsiaTheme="minorEastAsia"/>
        </w:rPr>
        <w:t>主要监控内容：</w:t>
      </w:r>
    </w:p>
    <w:p>
      <w:pPr>
        <w:pStyle w:val="64"/>
        <w:ind w:firstLine="480"/>
        <w:rPr>
          <w:rFonts w:asciiTheme="minorEastAsia" w:hAnsiTheme="minorEastAsia" w:eastAsiaTheme="minorEastAsia"/>
        </w:rPr>
      </w:pPr>
      <w:r>
        <w:rPr>
          <w:rFonts w:hint="eastAsia" w:asciiTheme="minorEastAsia" w:hAnsiTheme="minorEastAsia" w:eastAsiaTheme="minorEastAsia"/>
        </w:rPr>
        <w:t>温度控制：根据回风温度与设定温度差值，对水阀开度进行PID调节，从而控制回风温度。夏季：当回风温度升高时，调节水阀开大；当回风温度降低时，调节水阀关小。冬季：当回风温度升高时，调节水阀关小；当回风温度降低时，调节水阀开大，使室温始终控制造设定值范围内。</w:t>
      </w:r>
    </w:p>
    <w:p>
      <w:pPr>
        <w:pStyle w:val="64"/>
        <w:ind w:firstLine="480"/>
        <w:rPr>
          <w:rFonts w:asciiTheme="minorEastAsia" w:hAnsiTheme="minorEastAsia" w:eastAsiaTheme="minorEastAsia"/>
        </w:rPr>
      </w:pPr>
      <w:r>
        <w:rPr>
          <w:rFonts w:hint="eastAsia" w:asciiTheme="minorEastAsia" w:hAnsiTheme="minorEastAsia" w:eastAsiaTheme="minorEastAsia"/>
        </w:rPr>
        <w:t>连锁控制：风机、电动水阀连锁控制。</w:t>
      </w:r>
    </w:p>
    <w:p>
      <w:pPr>
        <w:pStyle w:val="64"/>
        <w:ind w:firstLine="480"/>
        <w:rPr>
          <w:rFonts w:asciiTheme="minorEastAsia" w:hAnsiTheme="minorEastAsia" w:eastAsiaTheme="minorEastAsia"/>
        </w:rPr>
      </w:pPr>
      <w:r>
        <w:rPr>
          <w:rFonts w:hint="eastAsia" w:asciiTheme="minorEastAsia" w:hAnsiTheme="minorEastAsia" w:eastAsiaTheme="minorEastAsia"/>
        </w:rPr>
        <w:t>编制时间程序自动控制风机启停，并累计运行时间；</w:t>
      </w:r>
    </w:p>
    <w:p>
      <w:pPr>
        <w:pStyle w:val="64"/>
        <w:ind w:firstLine="480"/>
        <w:rPr>
          <w:rFonts w:asciiTheme="minorEastAsia" w:hAnsiTheme="minorEastAsia" w:eastAsiaTheme="minorEastAsia"/>
        </w:rPr>
      </w:pPr>
      <w:r>
        <w:rPr>
          <w:rFonts w:hint="eastAsia" w:asciiTheme="minorEastAsia" w:hAnsiTheme="minorEastAsia" w:eastAsiaTheme="minorEastAsia"/>
        </w:rPr>
        <w:t>上位管理计算机图形化显示风机各项运行参数，记录、保存数据到数据库，并可生成曲线、报表，实时及历史报警信息。</w:t>
      </w:r>
    </w:p>
    <w:p>
      <w:pPr>
        <w:pStyle w:val="7"/>
        <w:spacing w:line="360" w:lineRule="auto"/>
        <w:rPr>
          <w:rFonts w:asciiTheme="minorEastAsia" w:hAnsiTheme="minorEastAsia" w:eastAsiaTheme="minorEastAsia"/>
        </w:rPr>
      </w:pPr>
      <w:r>
        <w:rPr>
          <w:rFonts w:hint="eastAsia" w:asciiTheme="minorEastAsia" w:hAnsiTheme="minorEastAsia" w:eastAsiaTheme="minorEastAsia"/>
        </w:rPr>
        <w:t>送排风系统</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送排风系统的建设的目的是保持良好的空气环境，要求控制区域内氧气充足，空气洁净。</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控制原理说明：</w:t>
      </w:r>
    </w:p>
    <w:p>
      <w:pPr>
        <w:pStyle w:val="48"/>
        <w:numPr>
          <w:ilvl w:val="0"/>
          <w:numId w:val="3"/>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通过启动柜接触器辅助开关，直接监测风机运行状态和手自动状态；</w:t>
      </w:r>
    </w:p>
    <w:p>
      <w:pPr>
        <w:pStyle w:val="48"/>
        <w:numPr>
          <w:ilvl w:val="0"/>
          <w:numId w:val="3"/>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通过风机过载继电器状态监测，产生风机故障报警信号；</w:t>
      </w:r>
    </w:p>
    <w:p>
      <w:pPr>
        <w:pStyle w:val="48"/>
        <w:numPr>
          <w:ilvl w:val="0"/>
          <w:numId w:val="3"/>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于预定时间程序下控制排风机、送风机等启停，可根据要求临时或者永久设定、改变有关时间表，确定假期和特殊时段；开机后检测风机的运行状态、故障状态，如异常发出报警信息，并同步打印。所有预设程序均可按实际需要和要求，在中央管理工作站上调整修改，以满足用户的使用。</w:t>
      </w:r>
    </w:p>
    <w:p>
      <w:pPr>
        <w:pStyle w:val="48"/>
        <w:numPr>
          <w:ilvl w:val="0"/>
          <w:numId w:val="3"/>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同时累计风机的运行时间；</w:t>
      </w:r>
    </w:p>
    <w:p>
      <w:pPr>
        <w:pStyle w:val="48"/>
        <w:numPr>
          <w:ilvl w:val="0"/>
          <w:numId w:val="3"/>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中央站用彩色图形显示上述各参数，记录各参数、状态、报警、启停时间(手动时)、累计时间和其历史参数，且可通过打印机输出；</w:t>
      </w:r>
    </w:p>
    <w:p>
      <w:pPr>
        <w:pStyle w:val="48"/>
        <w:numPr>
          <w:ilvl w:val="0"/>
          <w:numId w:val="3"/>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记录各种参数、报警、运行时间、趋势图、动态流程图。</w:t>
      </w:r>
    </w:p>
    <w:p>
      <w:pPr>
        <w:pStyle w:val="48"/>
        <w:numPr>
          <w:ilvl w:val="0"/>
          <w:numId w:val="3"/>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对过滤网压差进行监测，并作高限报警。压差开关将会监察过滤网的状况，设定值为30~200Pa范围，当过滤网堵塞时，压差开关便会发出讯号，以催促维护人员清洗过滤网。</w:t>
      </w:r>
    </w:p>
    <w:p>
      <w:pPr>
        <w:pStyle w:val="48"/>
        <w:numPr>
          <w:ilvl w:val="0"/>
          <w:numId w:val="3"/>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连锁控制：风机启动：风阀打开；风机停止：风阀关闭。</w:t>
      </w:r>
    </w:p>
    <w:p>
      <w:pPr>
        <w:pStyle w:val="7"/>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给排水系统</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给水排水监控系统是一个重要系统，它的主要功能是通过计算机控制及时地调整系统中水泵的运行台数，实现泵房的最佳运行，实现高效率，低能耗的最优化控制，一般给排水系统都有其自带的控制系统，故我们对其设备只监不控，最大限度的节约系统投资。</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监控内容：</w:t>
      </w:r>
    </w:p>
    <w:p>
      <w:pPr>
        <w:pStyle w:val="10"/>
        <w:snapToGrid w:val="0"/>
        <w:spacing w:line="360" w:lineRule="auto"/>
        <w:ind w:firstLine="36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表 </w:t>
      </w: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SEQ 表 \* ARABIC </w:instrText>
      </w:r>
      <w:r>
        <w:rPr>
          <w:rFonts w:hint="eastAsia" w:cs="宋体" w:asciiTheme="minorEastAsia" w:hAnsiTheme="minorEastAsia" w:eastAsiaTheme="minorEastAsia"/>
          <w:sz w:val="24"/>
          <w:szCs w:val="24"/>
        </w:rPr>
        <w:fldChar w:fldCharType="separate"/>
      </w:r>
      <w:r>
        <w:rPr>
          <w:rFonts w:cs="宋体" w:asciiTheme="minorEastAsia" w:hAnsiTheme="minorEastAsia" w:eastAsiaTheme="minorEastAsia"/>
          <w:sz w:val="24"/>
          <w:szCs w:val="24"/>
        </w:rPr>
        <w:t>11</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监控内容表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4" w:type="pct"/>
            <w:shd w:val="clear" w:color="auto" w:fill="92D050"/>
            <w:vAlign w:val="center"/>
          </w:tcPr>
          <w:p>
            <w:pPr>
              <w:numPr>
                <w:ilvl w:val="1"/>
                <w:numId w:val="0"/>
              </w:numPr>
              <w:snapToGrid w:val="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监控设备</w:t>
            </w:r>
          </w:p>
        </w:tc>
        <w:tc>
          <w:tcPr>
            <w:tcW w:w="3976" w:type="pct"/>
            <w:shd w:val="clear" w:color="auto" w:fill="92D050"/>
            <w:vAlign w:val="center"/>
          </w:tcPr>
          <w:p>
            <w:pPr>
              <w:numPr>
                <w:ilvl w:val="1"/>
                <w:numId w:val="0"/>
              </w:numPr>
              <w:snapToGrid w:val="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监控内容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4" w:type="pct"/>
            <w:vAlign w:val="center"/>
          </w:tcPr>
          <w:p>
            <w:pPr>
              <w:numPr>
                <w:ilvl w:val="1"/>
                <w:numId w:val="0"/>
              </w:numPr>
              <w:snapToGrid w:val="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集水坑</w:t>
            </w:r>
          </w:p>
        </w:tc>
        <w:tc>
          <w:tcPr>
            <w:tcW w:w="3976" w:type="pct"/>
            <w:vAlign w:val="center"/>
          </w:tcPr>
          <w:p>
            <w:pPr>
              <w:numPr>
                <w:ilvl w:val="1"/>
                <w:numId w:val="0"/>
              </w:num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超高液位监测；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4" w:type="pct"/>
            <w:vAlign w:val="center"/>
          </w:tcPr>
          <w:p>
            <w:pPr>
              <w:numPr>
                <w:ilvl w:val="1"/>
                <w:numId w:val="0"/>
              </w:numPr>
              <w:snapToGrid w:val="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潜水泵</w:t>
            </w:r>
          </w:p>
        </w:tc>
        <w:tc>
          <w:tcPr>
            <w:tcW w:w="3976" w:type="pct"/>
            <w:vAlign w:val="center"/>
          </w:tcPr>
          <w:p>
            <w:pPr>
              <w:numPr>
                <w:ilvl w:val="1"/>
                <w:numId w:val="0"/>
              </w:num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运行、故障状态监测；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4" w:type="pct"/>
            <w:vAlign w:val="center"/>
          </w:tcPr>
          <w:p>
            <w:pPr>
              <w:numPr>
                <w:ilvl w:val="1"/>
                <w:numId w:val="0"/>
              </w:numPr>
              <w:snapToGrid w:val="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生活水箱</w:t>
            </w:r>
          </w:p>
        </w:tc>
        <w:tc>
          <w:tcPr>
            <w:tcW w:w="3976" w:type="pct"/>
            <w:vAlign w:val="center"/>
          </w:tcPr>
          <w:p>
            <w:pPr>
              <w:numPr>
                <w:ilvl w:val="1"/>
                <w:numId w:val="0"/>
              </w:num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高、低液位监测；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4" w:type="pct"/>
            <w:vAlign w:val="center"/>
          </w:tcPr>
          <w:p>
            <w:pPr>
              <w:numPr>
                <w:ilvl w:val="1"/>
                <w:numId w:val="0"/>
              </w:numPr>
              <w:snapToGrid w:val="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生活水泵</w:t>
            </w:r>
          </w:p>
        </w:tc>
        <w:tc>
          <w:tcPr>
            <w:tcW w:w="3976" w:type="pct"/>
            <w:vAlign w:val="center"/>
          </w:tcPr>
          <w:p>
            <w:pPr>
              <w:numPr>
                <w:ilvl w:val="1"/>
                <w:numId w:val="0"/>
              </w:num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运行、故障状态监测；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4" w:type="pct"/>
            <w:vAlign w:val="center"/>
          </w:tcPr>
          <w:p>
            <w:pPr>
              <w:numPr>
                <w:ilvl w:val="1"/>
                <w:numId w:val="0"/>
              </w:numPr>
              <w:snapToGrid w:val="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消防水池</w:t>
            </w:r>
          </w:p>
        </w:tc>
        <w:tc>
          <w:tcPr>
            <w:tcW w:w="3976" w:type="pct"/>
            <w:vAlign w:val="center"/>
          </w:tcPr>
          <w:p>
            <w:pPr>
              <w:numPr>
                <w:ilvl w:val="1"/>
                <w:numId w:val="0"/>
              </w:num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高、低液位监测；</w:t>
            </w:r>
          </w:p>
        </w:tc>
      </w:tr>
    </w:tbl>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控制方式：</w:t>
      </w:r>
    </w:p>
    <w:p>
      <w:pPr>
        <w:pStyle w:val="48"/>
        <w:numPr>
          <w:ilvl w:val="0"/>
          <w:numId w:val="4"/>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监测给水泵运行状态和故障状态；生活水箱高、低液位监测。</w:t>
      </w:r>
    </w:p>
    <w:p>
      <w:pPr>
        <w:pStyle w:val="48"/>
        <w:numPr>
          <w:ilvl w:val="0"/>
          <w:numId w:val="4"/>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监测潜水泵运行状态和故障状态。对集水坑超高液位进行故障报警。</w:t>
      </w:r>
    </w:p>
    <w:p>
      <w:pPr>
        <w:pStyle w:val="48"/>
        <w:numPr>
          <w:ilvl w:val="0"/>
          <w:numId w:val="4"/>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消防水池高、低液位监测。</w:t>
      </w:r>
    </w:p>
    <w:p>
      <w:pPr>
        <w:pStyle w:val="48"/>
        <w:numPr>
          <w:ilvl w:val="0"/>
          <w:numId w:val="4"/>
        </w:numPr>
        <w:adjustRightInd w:val="0"/>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所有预设程序均可按实际需要和要求，在中央管理工作站上调整修改，以满足用户的使用。</w:t>
      </w:r>
    </w:p>
    <w:p>
      <w:pPr>
        <w:pStyle w:val="64"/>
        <w:ind w:firstLine="480"/>
        <w:rPr>
          <w:rFonts w:asciiTheme="minorEastAsia" w:hAnsiTheme="minorEastAsia" w:eastAsiaTheme="minorEastAsia"/>
        </w:rPr>
      </w:pPr>
      <w:bookmarkStart w:id="32" w:name="_Toc98182789"/>
      <w:r>
        <w:rPr>
          <w:rFonts w:hint="eastAsia" w:asciiTheme="minorEastAsia" w:hAnsiTheme="minorEastAsia" w:eastAsiaTheme="minorEastAsia"/>
        </w:rPr>
        <w:t>系统功能</w:t>
      </w:r>
      <w:bookmarkEnd w:id="32"/>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自动检测：</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自动测量、监视与控制是建筑设备自动化系统的三大技术环节和手段，可以通过这几种手段准确掌握建筑设备的运行状态、故障、负荷等的变动情况，从而采取相应措施，保证建筑设备正常运作。</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测量的目的</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确认日常运转是否正常，必要的话可将情况记录在日报表上。在设备发生异常或是故障之前，就掌握其危险性，然后在运转状态中掌握规律。</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当设备已经发生故障时，及时分析原因，避免日后再因同样原因发生故障。测量方式选择测量就是定点某一时刻，管理者需要对某一数据进行知晓，就可有选择地进行参数测量，并在荧光屏上用数字表示出来，或用打印机打印出来。如果测试结果与定值有差异，就将这差异送入中央监控装置。扫描测量，以规定的速度进行逐点测量，每隔一段时间扫一次，然后获得数值。连续测量，目前国内常用仪表进行随线测量指示。</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自动监视：</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建筑设备的监视控制有配电设备、空调、卫生、动力设备、火灾防范设备、照明设备、事故广播设备、电梯设备等，对它们进行监视、控制、测量、记录等。监视一般可以分为状态监视和故障、异常监视两种。</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状态监视</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状态监视和故障监视两种应用的情况较多，具体的状态监视一般就是起停状态、开关状态、切换状态。</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故障、异常监视</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建筑设备发生异常时，设备管理系统会采取紧急措施和报警。</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火灾监视</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高层建筑中，一般设有火灾监视系统，建筑设备管理系统由火灾探测器、区域报警器和总报警器组成。</w:t>
      </w:r>
    </w:p>
    <w:p>
      <w:pPr>
        <w:pStyle w:val="5"/>
        <w:rPr>
          <w:rFonts w:asciiTheme="minorEastAsia" w:hAnsiTheme="minorEastAsia" w:eastAsiaTheme="minorEastAsia"/>
          <w:sz w:val="24"/>
          <w:szCs w:val="24"/>
        </w:rPr>
      </w:pPr>
      <w:bookmarkStart w:id="33" w:name="_Toc20151"/>
      <w:bookmarkStart w:id="34" w:name="_Toc98182790"/>
      <w:bookmarkStart w:id="35" w:name="_Toc80875270"/>
      <w:bookmarkStart w:id="36" w:name="_Toc109376926"/>
      <w:bookmarkStart w:id="37" w:name="_Toc81561484"/>
      <w:r>
        <w:rPr>
          <w:rFonts w:hint="eastAsia" w:asciiTheme="minorEastAsia" w:hAnsiTheme="minorEastAsia" w:eastAsiaTheme="minorEastAsia"/>
          <w:sz w:val="24"/>
          <w:szCs w:val="24"/>
        </w:rPr>
        <w:t>智能照明系统</w:t>
      </w:r>
      <w:bookmarkEnd w:id="33"/>
      <w:bookmarkEnd w:id="34"/>
      <w:bookmarkEnd w:id="35"/>
      <w:bookmarkEnd w:id="36"/>
      <w:bookmarkEnd w:id="37"/>
    </w:p>
    <w:p>
      <w:pPr>
        <w:pStyle w:val="64"/>
        <w:ind w:firstLine="480"/>
        <w:rPr>
          <w:rFonts w:asciiTheme="minorEastAsia" w:hAnsiTheme="minorEastAsia" w:eastAsiaTheme="minorEastAsia"/>
        </w:rPr>
      </w:pPr>
      <w:r>
        <w:rPr>
          <w:rFonts w:hint="eastAsia" w:asciiTheme="minorEastAsia" w:hAnsiTheme="minorEastAsia" w:eastAsiaTheme="minorEastAsia"/>
        </w:rPr>
        <w:t>建设目标</w:t>
      </w:r>
    </w:p>
    <w:p>
      <w:pPr>
        <w:pStyle w:val="64"/>
        <w:ind w:firstLine="480"/>
        <w:rPr>
          <w:rFonts w:cs="宋体" w:asciiTheme="minorEastAsia" w:hAnsiTheme="minorEastAsia" w:eastAsiaTheme="minorEastAsia"/>
        </w:rPr>
      </w:pPr>
      <w:r>
        <w:rPr>
          <w:rFonts w:hint="eastAsia" w:cs="宋体" w:asciiTheme="minorEastAsia" w:hAnsiTheme="minorEastAsia" w:eastAsiaTheme="minorEastAsia"/>
        </w:rPr>
        <w:t>由于能源的紧缺，国家对照明节能越来越重视，新型的照明技术得以迅速发展，以满足使用者节约能源、舒适性、方便性的要求。智能照明系统是最先进的一种照明控制方式，它采用全数字、模块化、分布式的系统结构，通过控制线将系统中的各种控制功能模块及部件连接成一个照明控制网络，它可以作为整个建筑物自动化管理系统（BA系统）的，一个子系统通过网络软件接入BA系统，也能作为独立系统单独运行，在照明控制实现手段上更专业、更灵活，可实现对各种照明灯的调光控制或开关控制，是实现舒适照明的有效手段，也是节能的有效措施。</w:t>
      </w:r>
    </w:p>
    <w:p>
      <w:pPr>
        <w:pStyle w:val="6"/>
        <w:rPr>
          <w:rFonts w:asciiTheme="minorEastAsia" w:hAnsiTheme="minorEastAsia"/>
          <w:sz w:val="24"/>
          <w:szCs w:val="24"/>
        </w:rPr>
      </w:pPr>
      <w:bookmarkStart w:id="38" w:name="_Toc98182792"/>
      <w:r>
        <w:rPr>
          <w:rFonts w:hint="eastAsia" w:asciiTheme="minorEastAsia" w:hAnsiTheme="minorEastAsia"/>
          <w:sz w:val="24"/>
          <w:szCs w:val="24"/>
        </w:rPr>
        <w:t>系统设计</w:t>
      </w:r>
      <w:bookmarkEnd w:id="38"/>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本次智能灯光照明控制系统要求内容：</w:t>
      </w:r>
    </w:p>
    <w:p>
      <w:pPr>
        <w:pStyle w:val="48"/>
        <w:widowControl/>
        <w:numPr>
          <w:ilvl w:val="0"/>
          <w:numId w:val="5"/>
        </w:numPr>
        <w:adjustRightInd w:val="0"/>
        <w:snapToGrid w:val="0"/>
        <w:spacing w:line="360" w:lineRule="auto"/>
        <w:ind w:left="0"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地下车库控制方式</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**训练基地地下车库区域主要采用开关量控制，利用智能控制面板来控制地下停车库的灯具开关。</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预设了几种模式两个配电箱边各配置一块智能面板。</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1）高峰时段</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高峰时段，车库车辆进出繁忙，车库的车道照明和车位照明应处于全开状态，便于车主进出车库。</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2）日常模式</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在非高峰时段，白天日光充足，车流量小，可关闭所有车位照明，并对车道照明采用1/2或1/4隔灯控制，以节省能耗。</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3）深夜模式</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深夜时候，车流量最小，只保留几路基本照明，充分体现了节能。</w:t>
      </w:r>
    </w:p>
    <w:p>
      <w:pPr>
        <w:pStyle w:val="48"/>
        <w:widowControl/>
        <w:numPr>
          <w:ilvl w:val="0"/>
          <w:numId w:val="5"/>
        </w:numPr>
        <w:adjustRightInd w:val="0"/>
        <w:snapToGrid w:val="0"/>
        <w:spacing w:line="360" w:lineRule="auto"/>
        <w:ind w:left="0"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走道</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走道是学习和工作的路径，是人员日常使用频率最高的公共区域有之一，同时是一个没有日光采光的区域。对走道照明回路做出定时控制，分高、低峰运行模式，高峰时开启走道照明回路；低峰时关闭照明回路，设置智能控制面板，需要时可本地控制回路。</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根据**训练基地项目建筑特点；A-1#教学楼走道配置：在每一层设置1个4键智能面板来控制走道灯光。</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宿舍走道配置：在每一层设置一个4键智能面板来控制走道灯光。</w:t>
      </w:r>
    </w:p>
    <w:p>
      <w:pPr>
        <w:widowControl/>
        <w:snapToGrid w:val="0"/>
        <w:spacing w:line="360" w:lineRule="auto"/>
        <w:jc w:val="left"/>
        <w:rPr>
          <w:rFonts w:cs="宋体" w:asciiTheme="minorEastAsia" w:hAnsiTheme="minorEastAsia" w:eastAsiaTheme="minorEastAsia"/>
          <w:sz w:val="24"/>
          <w:szCs w:val="24"/>
        </w:rPr>
        <w:sectPr>
          <w:footerReference r:id="rId6" w:type="first"/>
          <w:footerReference r:id="rId5" w:type="default"/>
          <w:pgSz w:w="11907" w:h="16840"/>
          <w:pgMar w:top="1440" w:right="1588" w:bottom="1440" w:left="1588" w:header="794" w:footer="794" w:gutter="0"/>
          <w:cols w:space="720" w:num="1"/>
          <w:titlePg/>
          <w:docGrid w:linePitch="326" w:charSpace="0"/>
        </w:sectPr>
      </w:pPr>
    </w:p>
    <w:p>
      <w:pPr>
        <w:pStyle w:val="6"/>
        <w:rPr>
          <w:rFonts w:asciiTheme="minorEastAsia" w:hAnsiTheme="minorEastAsia"/>
          <w:sz w:val="24"/>
          <w:szCs w:val="24"/>
        </w:rPr>
      </w:pPr>
      <w:bookmarkStart w:id="39" w:name="_Toc98182794"/>
      <w:r>
        <w:rPr>
          <w:rFonts w:hint="eastAsia" w:asciiTheme="minorEastAsia" w:hAnsiTheme="minorEastAsia"/>
          <w:sz w:val="24"/>
          <w:szCs w:val="24"/>
        </w:rPr>
        <w:t>系统功能</w:t>
      </w:r>
      <w:bookmarkEnd w:id="39"/>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远程控制以及控制编辑；照明系统展示；分建筑、分层进行区域管理；使用情况记录；定时设定等。便于后期照明管理人员对照明系统的精准掌控。</w:t>
      </w:r>
    </w:p>
    <w:p>
      <w:pPr>
        <w:snapToGrid w:val="0"/>
        <w:spacing w:line="360" w:lineRule="auto"/>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总线式智能照明系统双控电路特点：</w:t>
      </w:r>
    </w:p>
    <w:p>
      <w:pPr>
        <w:snapToGrid w:val="0"/>
        <w:spacing w:line="360" w:lineRule="auto"/>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实现双控时只需简单地在控制总线上并联一个开关即可；进行多点控制时，依次并联多个开关即可，开关之间仅用一条五类线连接，线路安装简单省事。</w:t>
      </w:r>
    </w:p>
    <w:p>
      <w:pPr>
        <w:snapToGrid w:val="0"/>
        <w:spacing w:line="360" w:lineRule="auto"/>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控制方式：智能照明控制，采用低压二次小信号控制，控制功能强、方式多、范围广、自动化程度高，通过实现场景的预设置和记忆功能，操作时只须按一下控制面板上某一个键即可启动一个灯光场景（各照明回路不同的亮暗搭配组成一种灯光效果），各照明回路随即自动变换到相应的状态。上述功能也可以通过其他界面如遥控器等实现。</w:t>
      </w:r>
    </w:p>
    <w:p>
      <w:pPr>
        <w:snapToGrid w:val="0"/>
        <w:spacing w:line="360" w:lineRule="auto"/>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照明方式：智能照明控制系统采用“调光模块”，通过灯光的调光在不同使用场合产生不同灯光效果，营造出不同的舒适的氛围。</w:t>
      </w:r>
    </w:p>
    <w:p>
      <w:pPr>
        <w:snapToGrid w:val="0"/>
        <w:spacing w:line="360" w:lineRule="auto"/>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管理方式：传统控制对照明的管理是人为化的管理；智能控制系统可实现能源管理自动化，通过分布式网络，只需一台计算机就可实现对整幢大楼的管理。</w:t>
      </w:r>
    </w:p>
    <w:p>
      <w:pPr>
        <w:snapToGrid w:val="0"/>
        <w:spacing w:line="360" w:lineRule="auto"/>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智能照明系统可对白炽灯、日光灯(专用镇流器)、节能灯、石英灯等多种光源调光，满足各种环境对照明的要求。</w:t>
      </w:r>
    </w:p>
    <w:p>
      <w:pPr>
        <w:widowControl/>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4"/>
        <w:numPr>
          <w:ilvl w:val="0"/>
          <w:numId w:val="0"/>
        </w:numPr>
        <w:rPr>
          <w:rFonts w:asciiTheme="minorEastAsia" w:hAnsiTheme="minorEastAsia"/>
          <w:sz w:val="24"/>
          <w:szCs w:val="24"/>
        </w:rPr>
      </w:pPr>
      <w:bookmarkStart w:id="40" w:name="_Toc80875271"/>
      <w:bookmarkStart w:id="41" w:name="_Toc98182795"/>
      <w:bookmarkStart w:id="42" w:name="_Toc9150"/>
      <w:bookmarkStart w:id="43" w:name="_Toc81561485"/>
      <w:bookmarkStart w:id="44" w:name="_Toc10455"/>
      <w:bookmarkStart w:id="45" w:name="_Toc109376927"/>
      <w:r>
        <w:rPr>
          <w:rFonts w:hint="eastAsia" w:asciiTheme="minorEastAsia" w:hAnsiTheme="minorEastAsia"/>
          <w:sz w:val="24"/>
          <w:szCs w:val="24"/>
        </w:rPr>
        <w:t>建筑能效监管系统</w:t>
      </w:r>
      <w:bookmarkEnd w:id="40"/>
      <w:bookmarkEnd w:id="41"/>
      <w:bookmarkEnd w:id="42"/>
      <w:bookmarkEnd w:id="43"/>
      <w:bookmarkEnd w:id="44"/>
      <w:bookmarkEnd w:id="45"/>
    </w:p>
    <w:p>
      <w:pPr>
        <w:pStyle w:val="5"/>
        <w:rPr>
          <w:rFonts w:asciiTheme="minorEastAsia" w:hAnsiTheme="minorEastAsia" w:eastAsiaTheme="minorEastAsia"/>
          <w:sz w:val="24"/>
          <w:szCs w:val="24"/>
        </w:rPr>
      </w:pPr>
      <w:bookmarkStart w:id="46" w:name="_Toc109376928"/>
      <w:r>
        <w:rPr>
          <w:rFonts w:hint="eastAsia" w:asciiTheme="minorEastAsia" w:hAnsiTheme="minorEastAsia" w:eastAsiaTheme="minorEastAsia"/>
          <w:sz w:val="24"/>
          <w:szCs w:val="24"/>
        </w:rPr>
        <w:t>建设目标</w:t>
      </w:r>
      <w:bookmarkEnd w:id="46"/>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能源管理主要通过各类型的智能水表、电表和空调流量计等智能表具采集用水、电、空调的耗能数据，经能源管理系统平台统计分析后形成可视化的报表，辅助管理者实时了解**训练基地的耗能情况，发现高耗能问题，起到节能减排，绿色环保的目的。智能表具均由水、电或燃气专业负责安装，本系统仅预留智能表具对接接口，并配置相应的能源管理系统平台，与**训练基地智能运维管理平台实现互联互通，最终在BIM模型上可视化的呈现**训练基地的整体耗能情况。</w:t>
      </w:r>
    </w:p>
    <w:p>
      <w:pPr>
        <w:pStyle w:val="5"/>
        <w:rPr>
          <w:rFonts w:asciiTheme="minorEastAsia" w:hAnsiTheme="minorEastAsia" w:eastAsiaTheme="minorEastAsia"/>
          <w:sz w:val="24"/>
          <w:szCs w:val="24"/>
        </w:rPr>
      </w:pPr>
      <w:bookmarkStart w:id="47" w:name="_Toc80875273"/>
      <w:bookmarkStart w:id="48" w:name="_Toc29363"/>
      <w:bookmarkStart w:id="49" w:name="_Toc81561487"/>
      <w:bookmarkStart w:id="50" w:name="_Toc98182797"/>
      <w:bookmarkStart w:id="51" w:name="_Toc109376929"/>
      <w:r>
        <w:rPr>
          <w:rFonts w:hint="eastAsia" w:asciiTheme="minorEastAsia" w:hAnsiTheme="minorEastAsia" w:eastAsiaTheme="minorEastAsia"/>
          <w:sz w:val="24"/>
          <w:szCs w:val="24"/>
        </w:rPr>
        <w:t>系统设计</w:t>
      </w:r>
      <w:bookmarkEnd w:id="47"/>
      <w:bookmarkEnd w:id="48"/>
      <w:bookmarkEnd w:id="49"/>
      <w:bookmarkEnd w:id="50"/>
      <w:bookmarkEnd w:id="51"/>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金华市**训练基地能耗系统主要实现对各栋楼的水、电数据的采集。</w:t>
      </w:r>
    </w:p>
    <w:p>
      <w:pPr>
        <w:pStyle w:val="56"/>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能耗监测系统由主站、通信信道、采集终端、电能表、等组成，系统主站又由通信服务、业务应用、数据库、接口、后台服务所组成，通信服务由通信网关、通信前置机、业务处理器所组成，数据库服务由数据存储、计算服务、数据展现组成。</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工程系统主要对空调、电表、水表进行计量，能源计量管理系统采用三层架构，第一层为装有能源计量管理软件的管理主机，对各区域的能源使用情况经行独立统计核算；第二层为远程计量表采集器，对末端远程表经行管理与通讯；第三层为各数据采集远程表。管理中心位于训练基地消控中心内。</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能耗监测系统由数据采集子系统、数据中转站组成。所采集和分析处理的数据可以通过网络上传至上一级的数据中心内。数据采集子系统由监测建筑中的各计量装置、数据采集器和数据采集软件系统组成。数据中转站接收并缓存其管理区域内监测建筑的能耗数据，并上传到数据中转站内。数据中转站采集并缓存其管理区域内监测建筑的能耗数据，完整转发给上一级数据中心。</w:t>
      </w:r>
    </w:p>
    <w:p>
      <w:pPr>
        <w:pStyle w:val="4"/>
        <w:numPr>
          <w:ilvl w:val="0"/>
          <w:numId w:val="0"/>
        </w:numPr>
        <w:rPr>
          <w:rFonts w:asciiTheme="minorEastAsia" w:hAnsiTheme="minorEastAsia"/>
          <w:sz w:val="24"/>
          <w:szCs w:val="24"/>
        </w:rPr>
      </w:pPr>
      <w:bookmarkStart w:id="52" w:name="_Toc98182799"/>
      <w:bookmarkStart w:id="53" w:name="_Toc80875274"/>
      <w:bookmarkStart w:id="54" w:name="_Toc14999"/>
      <w:bookmarkStart w:id="55" w:name="_Toc109376930"/>
      <w:bookmarkStart w:id="56" w:name="_Toc81561488"/>
      <w:bookmarkStart w:id="57" w:name="_Toc4437"/>
      <w:r>
        <w:rPr>
          <w:rFonts w:hint="eastAsia" w:asciiTheme="minorEastAsia" w:hAnsiTheme="minorEastAsia"/>
          <w:sz w:val="24"/>
          <w:szCs w:val="24"/>
        </w:rPr>
        <w:t>公寓管理系统</w:t>
      </w:r>
      <w:bookmarkEnd w:id="52"/>
      <w:bookmarkEnd w:id="53"/>
      <w:bookmarkEnd w:id="54"/>
      <w:bookmarkEnd w:id="55"/>
      <w:bookmarkEnd w:id="56"/>
      <w:bookmarkEnd w:id="57"/>
    </w:p>
    <w:p>
      <w:pPr>
        <w:pStyle w:val="5"/>
        <w:rPr>
          <w:rFonts w:asciiTheme="minorEastAsia" w:hAnsiTheme="minorEastAsia" w:eastAsiaTheme="minorEastAsia"/>
          <w:sz w:val="24"/>
          <w:szCs w:val="24"/>
        </w:rPr>
      </w:pPr>
      <w:bookmarkStart w:id="58" w:name="_Toc109376931"/>
      <w:r>
        <w:rPr>
          <w:rFonts w:hint="eastAsia" w:asciiTheme="minorEastAsia" w:hAnsiTheme="minorEastAsia" w:eastAsiaTheme="minorEastAsia"/>
          <w:sz w:val="24"/>
          <w:szCs w:val="24"/>
        </w:rPr>
        <w:t>建设目标</w:t>
      </w:r>
      <w:bookmarkEnd w:id="58"/>
    </w:p>
    <w:p>
      <w:pPr>
        <w:snapToGrid w:val="0"/>
        <w:spacing w:line="360" w:lineRule="auto"/>
        <w:ind w:firstLine="48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结合宿舍管理的实际需求及系统架构规划，宿舍管理系统需要整合多个异构管理子系统，以网络通讯及数字化技术为基础，为多个“信息孤岛”提供协同合作的统一平台，建立一套高集成、高智能化的管理机制，满足统一的配置管理、数据共享、功能联动和业务优化等系统需求。</w:t>
      </w:r>
    </w:p>
    <w:p>
      <w:pPr>
        <w:pStyle w:val="48"/>
        <w:widowControl/>
        <w:numPr>
          <w:ilvl w:val="0"/>
          <w:numId w:val="6"/>
        </w:numPr>
        <w:adjustRightInd w:val="0"/>
        <w:snapToGrid w:val="0"/>
        <w:spacing w:line="360" w:lineRule="auto"/>
        <w:ind w:left="0"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系统拓扑</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鉴于系统接入的复杂性与多样性，在系统架构规划设计时，采用全网络的架构，各个子系统最终通过网络连接到中心，通过管理平台进行统一集成与管理。</w:t>
      </w:r>
    </w:p>
    <w:p>
      <w:pPr>
        <w:pStyle w:val="5"/>
        <w:rPr>
          <w:rFonts w:asciiTheme="minorEastAsia" w:hAnsiTheme="minorEastAsia" w:eastAsiaTheme="minorEastAsia"/>
          <w:sz w:val="24"/>
          <w:szCs w:val="24"/>
        </w:rPr>
      </w:pPr>
      <w:bookmarkStart w:id="59" w:name="_Toc109376932"/>
      <w:bookmarkStart w:id="60" w:name="_Toc26182"/>
      <w:bookmarkStart w:id="61" w:name="_Toc98182801"/>
      <w:bookmarkStart w:id="62" w:name="_Toc81561490"/>
      <w:bookmarkStart w:id="63" w:name="_Toc80875276"/>
      <w:r>
        <w:rPr>
          <w:rFonts w:hint="eastAsia" w:asciiTheme="minorEastAsia" w:hAnsiTheme="minorEastAsia" w:eastAsiaTheme="minorEastAsia"/>
          <w:sz w:val="24"/>
          <w:szCs w:val="24"/>
        </w:rPr>
        <w:t>系统设计</w:t>
      </w:r>
      <w:bookmarkEnd w:id="59"/>
      <w:bookmarkEnd w:id="60"/>
      <w:bookmarkEnd w:id="61"/>
      <w:bookmarkEnd w:id="62"/>
      <w:bookmarkEnd w:id="63"/>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本项目的宿管系统主要建设内容包括：自助登记系统、插卡取电系统、智能客控系统等。</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宿舍楼共有6栋，分别为B-1#（6层）、B-2#（5层）、B-3#（5层）、B-5#（5层）、B-6#（5层）、B-7#（4层）。其中B-1#到B-3#为教职工宿舍楼，B-5#到B-7#为学员宿舍楼，每栋楼1层均为架空层，学员接待中心位于B-4#（食堂）楼一层报到大厅，教职工、学员需要在这里办理入校手续、宿舍入住登记等。</w:t>
      </w:r>
    </w:p>
    <w:p>
      <w:pPr>
        <w:pStyle w:val="6"/>
        <w:rPr>
          <w:rFonts w:asciiTheme="minorEastAsia" w:hAnsiTheme="minorEastAsia"/>
          <w:sz w:val="24"/>
          <w:szCs w:val="24"/>
        </w:rPr>
      </w:pPr>
      <w:bookmarkStart w:id="64" w:name="_Toc98182802"/>
      <w:r>
        <w:rPr>
          <w:rFonts w:hint="eastAsia" w:asciiTheme="minorEastAsia" w:hAnsiTheme="minorEastAsia"/>
          <w:sz w:val="24"/>
          <w:szCs w:val="24"/>
        </w:rPr>
        <w:t>自助登记系统</w:t>
      </w:r>
      <w:bookmarkEnd w:id="64"/>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本项目设计在B-4#一层报到大厅设置自助登记系统，学员可以进行自助办理报到等事宜，和**训练库数据打通。</w:t>
      </w:r>
    </w:p>
    <w:p>
      <w:pPr>
        <w:pStyle w:val="6"/>
        <w:rPr>
          <w:rFonts w:asciiTheme="minorEastAsia" w:hAnsiTheme="minorEastAsia"/>
          <w:sz w:val="24"/>
          <w:szCs w:val="24"/>
        </w:rPr>
      </w:pPr>
      <w:bookmarkStart w:id="65" w:name="_Toc98182803"/>
      <w:r>
        <w:rPr>
          <w:rFonts w:hint="eastAsia" w:asciiTheme="minorEastAsia" w:hAnsiTheme="minorEastAsia"/>
          <w:sz w:val="24"/>
          <w:szCs w:val="24"/>
        </w:rPr>
        <w:t>插卡取电系统</w:t>
      </w:r>
      <w:bookmarkEnd w:id="65"/>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本次宿舍内插卡取电设计采用高频卡或低频卡取电开关，取电卡需要经过授权方可使用，为保证系统的安全性，一般IC卡、身份证、普通卡等其它卡无法实现取电功能。</w:t>
      </w:r>
    </w:p>
    <w:p>
      <w:pPr>
        <w:pStyle w:val="6"/>
        <w:rPr>
          <w:rFonts w:asciiTheme="minorEastAsia" w:hAnsiTheme="minorEastAsia"/>
          <w:sz w:val="24"/>
          <w:szCs w:val="24"/>
        </w:rPr>
      </w:pPr>
      <w:bookmarkStart w:id="66" w:name="_Toc98182804"/>
      <w:r>
        <w:rPr>
          <w:rFonts w:hint="eastAsia" w:asciiTheme="minorEastAsia" w:hAnsiTheme="minorEastAsia"/>
          <w:sz w:val="24"/>
          <w:szCs w:val="24"/>
        </w:rPr>
        <w:t>智能客控系统</w:t>
      </w:r>
      <w:bookmarkEnd w:id="66"/>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本项目B-1#到B-3#为教职工宿舍楼</w:t>
      </w:r>
      <w:r>
        <w:rPr>
          <w:rStyle w:val="59"/>
          <w:rFonts w:hint="eastAsia" w:asciiTheme="minorEastAsia" w:hAnsiTheme="minorEastAsia" w:eastAsiaTheme="minorEastAsia"/>
          <w:sz w:val="24"/>
          <w:szCs w:val="24"/>
        </w:rPr>
        <w:t>，其中B-2#的3、4楼东侧两间的大套间和8间高级单人间以及B</w:t>
      </w:r>
      <w:r>
        <w:rPr>
          <w:rFonts w:hint="eastAsia" w:cs="宋体" w:asciiTheme="minorEastAsia" w:hAnsiTheme="minorEastAsia" w:eastAsiaTheme="minorEastAsia"/>
          <w:sz w:val="24"/>
          <w:szCs w:val="24"/>
        </w:rPr>
        <w:t>-3#的6间高级单人间，针对这16间需要配置一套客房控制系统及智能家居系统。通过智能化、节能化的高科技技术实现客房的智能管理与控制。让入住的教职工更加方便、安全，服务倍感温馨亲切，同时也给方带来智能化系统的管理。客控系统不仅仅提高管理和服务水平，达到高效率管理及人性化的服务，而且还符合国家倡导的节能环保功能。</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客房智能控制系统的单客房设备以RCU为核心，配以电子门牌（可视门铃）、智能取电开关、网络型温控器、红外探测器、电子门铃、门磁/窗磁、控制面板、电动窗帘及网络设备等构成。系统设计时采用“集散”控制理论以及多任务处理技术，既可单客房独立工作，也可联网运行，避免因系统个别设备故障，造成整个系统瘫痪。</w:t>
      </w:r>
    </w:p>
    <w:p>
      <w:pPr>
        <w:pStyle w:val="5"/>
        <w:rPr>
          <w:rFonts w:asciiTheme="minorEastAsia" w:hAnsiTheme="minorEastAsia" w:eastAsiaTheme="minorEastAsia"/>
          <w:sz w:val="24"/>
          <w:szCs w:val="24"/>
        </w:rPr>
      </w:pPr>
      <w:bookmarkStart w:id="67" w:name="_Toc98182805"/>
      <w:bookmarkStart w:id="68" w:name="_Toc81561491"/>
      <w:bookmarkStart w:id="69" w:name="_Toc21593"/>
      <w:bookmarkStart w:id="70" w:name="_Toc109376933"/>
      <w:bookmarkStart w:id="71" w:name="_Toc80875277"/>
      <w:r>
        <w:rPr>
          <w:rFonts w:hint="eastAsia" w:asciiTheme="minorEastAsia" w:hAnsiTheme="minorEastAsia" w:eastAsiaTheme="minorEastAsia"/>
          <w:sz w:val="24"/>
          <w:szCs w:val="24"/>
        </w:rPr>
        <w:t>系统功能</w:t>
      </w:r>
      <w:bookmarkEnd w:id="67"/>
      <w:bookmarkEnd w:id="68"/>
      <w:bookmarkEnd w:id="69"/>
      <w:bookmarkEnd w:id="70"/>
      <w:bookmarkEnd w:id="71"/>
    </w:p>
    <w:p>
      <w:pPr>
        <w:snapToGrid w:val="0"/>
        <w:spacing w:line="360" w:lineRule="auto"/>
        <w:ind w:firstLine="48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公寓管理系统通过以人脸作为学生身份核心标识，对宿舍进出人员进行严格管控，提高宿舍管理效率，同时对宿舍内部环境安全进行监管，防范宿舍内会发生的安全隐患，有效保障学生在校的住宿环境安全有序。</w:t>
      </w:r>
    </w:p>
    <w:p>
      <w:pPr>
        <w:snapToGrid w:val="0"/>
        <w:spacing w:line="360" w:lineRule="auto"/>
        <w:ind w:firstLine="48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系统管理主要包括人员基础信息管理、角色管理、用户管理、设备管理、接口管理等基础管理功能。</w:t>
      </w:r>
    </w:p>
    <w:p>
      <w:pPr>
        <w:snapToGrid w:val="0"/>
        <w:spacing w:line="360" w:lineRule="auto"/>
        <w:ind w:firstLine="48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配置管理功能涵盖学生入住配置、考勤规则配置、教职工楼栋配置管理、下发记录管理、其他相关规则（保存时长、消息推送等）配置功能模块。</w:t>
      </w:r>
    </w:p>
    <w:p>
      <w:pPr>
        <w:snapToGrid w:val="0"/>
        <w:spacing w:line="360" w:lineRule="auto"/>
        <w:ind w:firstLine="48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考勤统计包括考勤概况统计、考勤结果查询、连续多日未归/未出查询、多次晚归查询、实时归寝查询、独居寝室查询功能模块。</w:t>
      </w:r>
    </w:p>
    <w:p>
      <w:pPr>
        <w:snapToGrid w:val="0"/>
        <w:spacing w:line="360" w:lineRule="auto"/>
        <w:ind w:firstLine="48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通行记录模块有学生通行记录、教职工通行记录、违规出寝记录、异常行为核查等功能模块。</w:t>
      </w:r>
    </w:p>
    <w:p>
      <w:pPr>
        <w:widowControl/>
        <w:snapToGrid w:val="0"/>
        <w:spacing w:line="360" w:lineRule="auto"/>
        <w:jc w:val="left"/>
        <w:rPr>
          <w:rFonts w:cs="宋体" w:asciiTheme="minorEastAsia" w:hAnsiTheme="minorEastAsia" w:eastAsiaTheme="minorEastAsia"/>
          <w:sz w:val="24"/>
          <w:szCs w:val="24"/>
          <w:lang w:val="zh-CN"/>
        </w:rPr>
      </w:pPr>
      <w:r>
        <w:rPr>
          <w:rFonts w:cs="宋体" w:asciiTheme="minorEastAsia" w:hAnsiTheme="minorEastAsia" w:eastAsiaTheme="minorEastAsia"/>
          <w:sz w:val="24"/>
          <w:szCs w:val="24"/>
          <w:lang w:val="zh-CN"/>
        </w:rPr>
        <w:br w:type="page"/>
      </w:r>
    </w:p>
    <w:p>
      <w:pPr>
        <w:pStyle w:val="4"/>
        <w:numPr>
          <w:ilvl w:val="0"/>
          <w:numId w:val="0"/>
        </w:numPr>
        <w:rPr>
          <w:rFonts w:asciiTheme="minorEastAsia" w:hAnsiTheme="minorEastAsia"/>
          <w:sz w:val="24"/>
          <w:szCs w:val="24"/>
        </w:rPr>
      </w:pPr>
      <w:bookmarkStart w:id="72" w:name="_Toc98182806"/>
      <w:bookmarkStart w:id="73" w:name="_Toc109376934"/>
      <w:bookmarkStart w:id="74" w:name="_Toc3541"/>
      <w:bookmarkStart w:id="75" w:name="_Toc6695"/>
      <w:r>
        <w:rPr>
          <w:rFonts w:hint="eastAsia" w:asciiTheme="minorEastAsia" w:hAnsiTheme="minorEastAsia"/>
          <w:sz w:val="24"/>
          <w:szCs w:val="24"/>
        </w:rPr>
        <w:t>阳光厨房系统</w:t>
      </w:r>
      <w:bookmarkEnd w:id="72"/>
      <w:bookmarkEnd w:id="73"/>
      <w:bookmarkEnd w:id="74"/>
      <w:bookmarkEnd w:id="75"/>
    </w:p>
    <w:p>
      <w:pPr>
        <w:pStyle w:val="5"/>
        <w:rPr>
          <w:rFonts w:asciiTheme="minorEastAsia" w:hAnsiTheme="minorEastAsia" w:eastAsiaTheme="minorEastAsia"/>
          <w:sz w:val="24"/>
          <w:szCs w:val="24"/>
        </w:rPr>
      </w:pPr>
      <w:bookmarkStart w:id="76" w:name="_Toc20951"/>
      <w:bookmarkStart w:id="77" w:name="_Toc109376935"/>
      <w:bookmarkStart w:id="78" w:name="_Toc98182808"/>
      <w:r>
        <w:rPr>
          <w:rFonts w:hint="eastAsia" w:asciiTheme="minorEastAsia" w:hAnsiTheme="minorEastAsia" w:eastAsiaTheme="minorEastAsia"/>
          <w:sz w:val="24"/>
          <w:szCs w:val="24"/>
        </w:rPr>
        <w:t>系统设计</w:t>
      </w:r>
      <w:bookmarkEnd w:id="76"/>
      <w:bookmarkEnd w:id="77"/>
      <w:bookmarkEnd w:id="78"/>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阳光厨房”工程是在学校食堂厨房关键区域安装视频监控设备，对厨房各生产加工销售等环节实现全程监控与视频存储。“阳光厨房”视频监控设备主要由视频监控摄像头和视频监控显示设备组成，金华市**训练基地其工程系统建设基本要求如下：</w:t>
      </w:r>
    </w:p>
    <w:p>
      <w:pPr>
        <w:pStyle w:val="5"/>
        <w:rPr>
          <w:rFonts w:asciiTheme="minorEastAsia" w:hAnsiTheme="minorEastAsia" w:eastAsiaTheme="minorEastAsia"/>
          <w:sz w:val="24"/>
          <w:szCs w:val="24"/>
        </w:rPr>
      </w:pPr>
      <w:bookmarkStart w:id="79" w:name="_Toc15566"/>
      <w:bookmarkStart w:id="80" w:name="_Toc98182809"/>
      <w:bookmarkStart w:id="81" w:name="_Toc109376936"/>
      <w:r>
        <w:rPr>
          <w:rFonts w:hint="eastAsia" w:asciiTheme="minorEastAsia" w:hAnsiTheme="minorEastAsia" w:eastAsiaTheme="minorEastAsia"/>
          <w:sz w:val="24"/>
          <w:szCs w:val="24"/>
        </w:rPr>
        <w:t>系统功能</w:t>
      </w:r>
      <w:bookmarkEnd w:id="79"/>
      <w:bookmarkEnd w:id="80"/>
      <w:bookmarkEnd w:id="81"/>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科学发展观为指导，以保障**训练基地就餐人员饮食安全为目的，落实科学监管理念，创新监管模式，充分利用科技手段对食堂餐饮加工与服务进行实时监控和联网监管，力求做到食堂服务环节规范化、安全监管科学化，提升食品安全保障和食堂服务的水平。系统统一接入基地设备网，通过专线接入公安视频专网，视频后端存储与基地内部监控统一存储在雪亮工程云机房内，视频保存时间为30天。</w:t>
      </w:r>
    </w:p>
    <w:p>
      <w:pPr>
        <w:pStyle w:val="4"/>
        <w:numPr>
          <w:ilvl w:val="0"/>
          <w:numId w:val="0"/>
        </w:numPr>
        <w:rPr>
          <w:rFonts w:asciiTheme="minorEastAsia" w:hAnsiTheme="minorEastAsia"/>
          <w:sz w:val="24"/>
          <w:szCs w:val="24"/>
        </w:rPr>
      </w:pPr>
      <w:bookmarkStart w:id="82" w:name="_Toc98182810"/>
      <w:bookmarkStart w:id="83" w:name="_Toc109376937"/>
      <w:bookmarkStart w:id="84" w:name="_Toc23192"/>
      <w:bookmarkStart w:id="85" w:name="_Toc20666"/>
      <w:r>
        <w:rPr>
          <w:rFonts w:hint="eastAsia" w:asciiTheme="minorEastAsia" w:hAnsiTheme="minorEastAsia"/>
          <w:sz w:val="24"/>
          <w:szCs w:val="24"/>
        </w:rPr>
        <w:t>信息网络系统</w:t>
      </w:r>
      <w:bookmarkEnd w:id="82"/>
      <w:bookmarkEnd w:id="83"/>
      <w:bookmarkEnd w:id="84"/>
      <w:bookmarkEnd w:id="85"/>
    </w:p>
    <w:p>
      <w:pPr>
        <w:pStyle w:val="5"/>
        <w:rPr>
          <w:rFonts w:asciiTheme="minorEastAsia" w:hAnsiTheme="minorEastAsia" w:eastAsiaTheme="minorEastAsia"/>
          <w:sz w:val="24"/>
          <w:szCs w:val="24"/>
        </w:rPr>
      </w:pPr>
      <w:bookmarkStart w:id="86" w:name="_Toc109376938"/>
      <w:bookmarkStart w:id="87" w:name="_Toc98182812"/>
      <w:bookmarkStart w:id="88" w:name="_Toc9750"/>
      <w:r>
        <w:rPr>
          <w:rFonts w:hint="eastAsia" w:asciiTheme="minorEastAsia" w:hAnsiTheme="minorEastAsia" w:eastAsiaTheme="minorEastAsia"/>
          <w:sz w:val="24"/>
          <w:szCs w:val="24"/>
        </w:rPr>
        <w:t>系统设计</w:t>
      </w:r>
      <w:bookmarkEnd w:id="86"/>
      <w:bookmarkEnd w:id="87"/>
      <w:bookmarkEnd w:id="88"/>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根据建设要求本项目网络系统分为公安内网、政务外网、互联网、设备网</w:t>
      </w:r>
      <w:bookmarkStart w:id="89" w:name="_Hlk91083074"/>
      <w:r>
        <w:rPr>
          <w:rFonts w:hint="eastAsia" w:cs="宋体" w:asciiTheme="minorEastAsia" w:hAnsiTheme="minorEastAsia" w:eastAsiaTheme="minorEastAsia"/>
          <w:sz w:val="24"/>
          <w:szCs w:val="24"/>
        </w:rPr>
        <w:t>，四套网络物理隔离。</w:t>
      </w:r>
      <w:bookmarkEnd w:id="89"/>
    </w:p>
    <w:p>
      <w:pPr>
        <w:pStyle w:val="56"/>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金华**训练基地信息网络系统设计</w:t>
      </w:r>
      <w:r>
        <w:rPr>
          <w:rFonts w:asciiTheme="minorEastAsia" w:hAnsiTheme="minorEastAsia" w:eastAsiaTheme="minorEastAsia"/>
          <w:sz w:val="24"/>
        </w:rPr>
        <w:t>4套网络：政务外网、公安内网、互联网和设备网。</w:t>
      </w:r>
    </w:p>
    <w:p>
      <w:pPr>
        <w:pStyle w:val="56"/>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政务外网、公安内网采用接入</w:t>
      </w:r>
      <w:r>
        <w:rPr>
          <w:rFonts w:asciiTheme="minorEastAsia" w:hAnsiTheme="minorEastAsia" w:eastAsiaTheme="minorEastAsia"/>
          <w:sz w:val="24"/>
        </w:rPr>
        <w:t>-汇聚-核心三层结构，在本基地的</w:t>
      </w:r>
      <w:r>
        <w:rPr>
          <w:rFonts w:hint="eastAsia" w:asciiTheme="minorEastAsia" w:hAnsiTheme="minorEastAsia" w:eastAsiaTheme="minorEastAsia"/>
          <w:sz w:val="24"/>
        </w:rPr>
        <w:t>网络汇聚间</w:t>
      </w:r>
      <w:r>
        <w:rPr>
          <w:rFonts w:asciiTheme="minorEastAsia" w:hAnsiTheme="minorEastAsia" w:eastAsiaTheme="minorEastAsia"/>
          <w:sz w:val="24"/>
        </w:rPr>
        <w:t>只做到汇聚层，通过双联路专线连接政务、公安上级机房接入核心层</w:t>
      </w:r>
      <w:r>
        <w:rPr>
          <w:rFonts w:hint="eastAsia" w:asciiTheme="minorEastAsia" w:hAnsiTheme="minorEastAsia" w:eastAsiaTheme="minorEastAsia"/>
          <w:sz w:val="24"/>
        </w:rPr>
        <w:t>，减少重复建设，避免投资浪费</w:t>
      </w:r>
      <w:r>
        <w:rPr>
          <w:rFonts w:asciiTheme="minorEastAsia" w:hAnsiTheme="minorEastAsia" w:eastAsiaTheme="minorEastAsia"/>
          <w:sz w:val="24"/>
        </w:rPr>
        <w:t>。网络采用千兆接入万兆汇聚。</w:t>
      </w:r>
    </w:p>
    <w:p>
      <w:pPr>
        <w:pStyle w:val="56"/>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互联网采用接入</w:t>
      </w:r>
      <w:r>
        <w:rPr>
          <w:rFonts w:asciiTheme="minorEastAsia" w:hAnsiTheme="minorEastAsia" w:eastAsiaTheme="minorEastAsia"/>
          <w:sz w:val="24"/>
        </w:rPr>
        <w:t>-核心两层结构，无线网络接入互联网。通过上网行为管理单位和防火墙接入运营商外网专线。</w:t>
      </w:r>
    </w:p>
    <w:p>
      <w:pPr>
        <w:pStyle w:val="56"/>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设备网采用接入</w:t>
      </w:r>
      <w:r>
        <w:rPr>
          <w:rFonts w:asciiTheme="minorEastAsia" w:hAnsiTheme="minorEastAsia" w:eastAsiaTheme="minorEastAsia"/>
          <w:sz w:val="24"/>
        </w:rPr>
        <w:t>-汇聚-核心三层结构，上级网络通过双联路专线连接至公安视频网机房。本网络按照等保二级配置相关安全设备。</w:t>
      </w:r>
    </w:p>
    <w:p>
      <w:pPr>
        <w:pStyle w:val="56"/>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各单体楼层弱电间内配置</w:t>
      </w:r>
      <w:r>
        <w:rPr>
          <w:rFonts w:asciiTheme="minorEastAsia" w:hAnsiTheme="minorEastAsia" w:eastAsiaTheme="minorEastAsia"/>
          <w:sz w:val="24"/>
        </w:rPr>
        <w:t>10M/100M/1000M自适应接入层交换机，各类型网络各配置不同接入层交换机，实现物理隔离，接入交换机通过光缆和1000M单模光模块与汇聚层交换机互联。</w:t>
      </w:r>
    </w:p>
    <w:p>
      <w:pPr>
        <w:pStyle w:val="56"/>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本工程设置无线网络系统，无线网络实现全区域覆盖。无线接入点主要设置在建筑物内全覆盖、室外重点区域、场所，如田径场看台、集结区、训练区设计无线</w:t>
      </w:r>
      <w:r>
        <w:rPr>
          <w:rFonts w:asciiTheme="minorEastAsia" w:hAnsiTheme="minorEastAsia" w:eastAsiaTheme="minorEastAsia"/>
          <w:sz w:val="24"/>
        </w:rPr>
        <w:t>AP，采用胖瘦一体AP，无线AP根据覆盖区域内同时接入数量的不同可分别选用普通无线AP或高密无线AP。无线接入点（AP点）核心交换机不单独设置，与互联网系统交换机合用，无线接入点（AP点）接入1000M带POE供电功能的接入层交换机。无线AC控制器集中设在</w:t>
      </w:r>
      <w:r>
        <w:rPr>
          <w:rFonts w:hint="eastAsia" w:asciiTheme="minorEastAsia" w:hAnsiTheme="minorEastAsia" w:eastAsiaTheme="minorEastAsia"/>
          <w:sz w:val="24"/>
        </w:rPr>
        <w:t>网络汇聚间</w:t>
      </w:r>
      <w:r>
        <w:rPr>
          <w:rFonts w:asciiTheme="minorEastAsia" w:hAnsiTheme="minorEastAsia" w:eastAsiaTheme="minorEastAsia"/>
          <w:sz w:val="24"/>
        </w:rPr>
        <w:t>。</w:t>
      </w:r>
    </w:p>
    <w:p>
      <w:pPr>
        <w:pStyle w:val="6"/>
        <w:rPr>
          <w:rFonts w:asciiTheme="minorEastAsia" w:hAnsiTheme="minorEastAsia"/>
          <w:sz w:val="24"/>
          <w:szCs w:val="24"/>
        </w:rPr>
      </w:pPr>
      <w:bookmarkStart w:id="90" w:name="_Toc98182813"/>
      <w:r>
        <w:rPr>
          <w:rFonts w:hint="eastAsia" w:asciiTheme="minorEastAsia" w:hAnsiTheme="minorEastAsia"/>
          <w:sz w:val="24"/>
          <w:szCs w:val="24"/>
        </w:rPr>
        <w:t>公安内网</w:t>
      </w:r>
      <w:bookmarkEnd w:id="90"/>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公安内网主要负责承载办公自动化数据，该网络上行需连接上级管理单位，以及其他公安网系统，可实现管理系统的互联和互访，是信息通信的传输平台。</w:t>
      </w:r>
    </w:p>
    <w:p>
      <w:pPr>
        <w:pStyle w:val="60"/>
        <w:ind w:firstLine="480"/>
        <w:rPr>
          <w:rFonts w:cs="宋体" w:asciiTheme="minorEastAsia" w:hAnsiTheme="minorEastAsia"/>
          <w:szCs w:val="24"/>
        </w:rPr>
      </w:pPr>
      <w:r>
        <w:rPr>
          <w:rFonts w:hint="eastAsia" w:cs="宋体" w:asciiTheme="minorEastAsia" w:hAnsiTheme="minorEastAsia"/>
          <w:szCs w:val="24"/>
        </w:rPr>
        <w:t>公安内网采用三层网络架构，核心层部署在云机房，汇聚层部署在基地网络汇聚间内，在公安网汇聚层布置防火墙，保证网络安全。接入到汇聚采用双链路，保证网络系统可靠性。</w:t>
      </w:r>
    </w:p>
    <w:p>
      <w:pPr>
        <w:pStyle w:val="56"/>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金华**训练基地本地只建设到汇聚层，由公安链路链接至市局公安网核心交换机。</w:t>
      </w:r>
    </w:p>
    <w:p>
      <w:pPr>
        <w:pStyle w:val="6"/>
        <w:rPr>
          <w:rFonts w:asciiTheme="minorEastAsia" w:hAnsiTheme="minorEastAsia"/>
          <w:sz w:val="24"/>
          <w:szCs w:val="24"/>
        </w:rPr>
      </w:pPr>
      <w:bookmarkStart w:id="91" w:name="_Toc98182814"/>
      <w:r>
        <w:rPr>
          <w:rFonts w:hint="eastAsia" w:asciiTheme="minorEastAsia" w:hAnsiTheme="minorEastAsia"/>
          <w:sz w:val="24"/>
          <w:szCs w:val="24"/>
        </w:rPr>
        <w:t>政务外网</w:t>
      </w:r>
      <w:bookmarkEnd w:id="91"/>
    </w:p>
    <w:p>
      <w:pPr>
        <w:pStyle w:val="60"/>
        <w:ind w:firstLine="480"/>
        <w:rPr>
          <w:rFonts w:cs="宋体" w:asciiTheme="minorEastAsia" w:hAnsiTheme="minorEastAsia"/>
          <w:szCs w:val="24"/>
        </w:rPr>
      </w:pPr>
      <w:r>
        <w:rPr>
          <w:rFonts w:hint="eastAsia" w:cs="宋体" w:asciiTheme="minorEastAsia" w:hAnsiTheme="minorEastAsia"/>
          <w:szCs w:val="24"/>
        </w:rPr>
        <w:t>本项目政务外网主要运行训练基地等部门面向社会的专业性服务业务和不需在公安内网上运行的业务，采用三层网络架构，核心层部署在云机房，汇聚层部署在基地网络汇聚间内，在政务外网汇聚层布置防火墙，保证网络安全。保证网络安全。接入到汇聚采用双链路，保证网络系统可靠性。</w:t>
      </w:r>
    </w:p>
    <w:p>
      <w:pPr>
        <w:pStyle w:val="56"/>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金华**训练基地本地只建设到汇聚层，由公安链路链接至云机房政务外网核心交换机。</w:t>
      </w:r>
    </w:p>
    <w:p>
      <w:pPr>
        <w:snapToGrid w:val="0"/>
        <w:spacing w:line="360" w:lineRule="auto"/>
        <w:jc w:val="center"/>
        <w:rPr>
          <w:rFonts w:cs="宋体" w:asciiTheme="minorEastAsia" w:hAnsiTheme="minorEastAsia" w:eastAsiaTheme="minorEastAsia"/>
          <w:sz w:val="24"/>
          <w:szCs w:val="24"/>
        </w:rPr>
      </w:pPr>
    </w:p>
    <w:p>
      <w:pPr>
        <w:pStyle w:val="10"/>
        <w:snapToGrid w:val="0"/>
        <w:spacing w:line="360" w:lineRule="auto"/>
        <w:ind w:firstLine="36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图 </w:t>
      </w: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SEQ 图 \* ARABIC </w:instrText>
      </w:r>
      <w:r>
        <w:rPr>
          <w:rFonts w:hint="eastAsia" w:cs="宋体" w:asciiTheme="minorEastAsia" w:hAnsiTheme="minorEastAsia" w:eastAsiaTheme="minorEastAsia"/>
          <w:sz w:val="24"/>
          <w:szCs w:val="24"/>
        </w:rPr>
        <w:fldChar w:fldCharType="separate"/>
      </w:r>
      <w:r>
        <w:rPr>
          <w:rFonts w:cs="宋体" w:asciiTheme="minorEastAsia" w:hAnsiTheme="minorEastAsia" w:eastAsiaTheme="minorEastAsia"/>
          <w:sz w:val="24"/>
          <w:szCs w:val="24"/>
        </w:rPr>
        <w:t>87</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 xml:space="preserve"> 政务外网拓扑图</w:t>
      </w:r>
    </w:p>
    <w:p>
      <w:pPr>
        <w:pStyle w:val="6"/>
        <w:rPr>
          <w:rFonts w:asciiTheme="minorEastAsia" w:hAnsiTheme="minorEastAsia"/>
          <w:sz w:val="24"/>
          <w:szCs w:val="24"/>
        </w:rPr>
      </w:pPr>
      <w:bookmarkStart w:id="92" w:name="_Toc98182815"/>
      <w:r>
        <w:rPr>
          <w:rFonts w:hint="eastAsia" w:asciiTheme="minorEastAsia" w:hAnsiTheme="minorEastAsia"/>
          <w:sz w:val="24"/>
          <w:szCs w:val="24"/>
        </w:rPr>
        <w:t>互联网</w:t>
      </w:r>
      <w:bookmarkEnd w:id="92"/>
    </w:p>
    <w:p>
      <w:pPr>
        <w:pStyle w:val="61"/>
        <w:snapToGrid w:val="0"/>
        <w:ind w:firstLine="480"/>
        <w:rPr>
          <w:rFonts w:cs="宋体" w:asciiTheme="minorEastAsia" w:hAnsiTheme="minorEastAsia" w:eastAsiaTheme="minorEastAsia"/>
          <w:kern w:val="0"/>
          <w:szCs w:val="24"/>
        </w:rPr>
      </w:pPr>
      <w:r>
        <w:rPr>
          <w:rFonts w:hint="eastAsia" w:cs="宋体" w:asciiTheme="minorEastAsia" w:hAnsiTheme="minorEastAsia" w:eastAsiaTheme="minorEastAsia"/>
          <w:szCs w:val="24"/>
        </w:rPr>
        <w:t>本项目互联网网采用二层网络架构，采用单核心设计，配置防火墙、上网行为管理单元和无线网络管理单元。</w:t>
      </w:r>
    </w:p>
    <w:p>
      <w:pPr>
        <w:pStyle w:val="61"/>
        <w:snapToGrid w:val="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整体基地的无线网均采用互联网，在教室区域只做互联网的无线覆盖，宿舍区域互联网采用运营商G-PON的方式组网，由每间宿舍布置ONU通过光纤连接到楼栋OLT设备。网络宽带租用运营商。</w:t>
      </w:r>
    </w:p>
    <w:p>
      <w:pPr>
        <w:pStyle w:val="60"/>
        <w:widowControl w:val="0"/>
        <w:numPr>
          <w:ilvl w:val="0"/>
          <w:numId w:val="5"/>
        </w:numPr>
        <w:adjustRightInd/>
        <w:ind w:left="0" w:firstLineChars="0"/>
        <w:rPr>
          <w:rFonts w:cs="宋体" w:asciiTheme="minorEastAsia" w:hAnsiTheme="minorEastAsia"/>
          <w:b/>
          <w:szCs w:val="24"/>
        </w:rPr>
      </w:pPr>
      <w:r>
        <w:rPr>
          <w:rFonts w:hint="eastAsia" w:cs="宋体" w:asciiTheme="minorEastAsia" w:hAnsiTheme="minorEastAsia"/>
          <w:b/>
          <w:szCs w:val="24"/>
        </w:rPr>
        <w:t>无线WiFi系统</w:t>
      </w:r>
    </w:p>
    <w:p>
      <w:pPr>
        <w:pStyle w:val="60"/>
        <w:widowControl w:val="0"/>
        <w:numPr>
          <w:ilvl w:val="0"/>
          <w:numId w:val="7"/>
        </w:numPr>
        <w:adjustRightInd/>
        <w:ind w:left="0" w:firstLineChars="0"/>
        <w:rPr>
          <w:rFonts w:cs="宋体" w:asciiTheme="minorEastAsia" w:hAnsiTheme="minorEastAsia"/>
          <w:b/>
          <w:szCs w:val="24"/>
        </w:rPr>
      </w:pPr>
      <w:r>
        <w:rPr>
          <w:rFonts w:hint="eastAsia" w:cs="宋体" w:asciiTheme="minorEastAsia" w:hAnsiTheme="minorEastAsia"/>
          <w:b/>
          <w:szCs w:val="24"/>
        </w:rPr>
        <w:t>系统概述</w:t>
      </w:r>
    </w:p>
    <w:p>
      <w:pPr>
        <w:snapToGrid w:val="0"/>
        <w:spacing w:line="360" w:lineRule="auto"/>
        <w:ind w:firstLine="48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我们根据**训练基地的需求进行，采用瘦AP+无线控制器+POE接入交换机的组网方式，AP通过POE供电模块配合市电进行供电。本次无线网络接入互联网。</w:t>
      </w:r>
    </w:p>
    <w:p>
      <w:pPr>
        <w:pStyle w:val="6"/>
        <w:rPr>
          <w:rFonts w:asciiTheme="minorEastAsia" w:hAnsiTheme="minorEastAsia"/>
          <w:sz w:val="24"/>
          <w:szCs w:val="24"/>
        </w:rPr>
      </w:pPr>
      <w:bookmarkStart w:id="93" w:name="_Toc98182816"/>
      <w:r>
        <w:rPr>
          <w:rFonts w:hint="eastAsia" w:asciiTheme="minorEastAsia" w:hAnsiTheme="minorEastAsia"/>
          <w:sz w:val="24"/>
          <w:szCs w:val="24"/>
        </w:rPr>
        <w:t>设备网</w:t>
      </w:r>
      <w:bookmarkEnd w:id="93"/>
    </w:p>
    <w:p>
      <w:pPr>
        <w:pStyle w:val="60"/>
        <w:ind w:firstLine="480"/>
        <w:rPr>
          <w:rFonts w:cs="宋体" w:asciiTheme="minorEastAsia" w:hAnsiTheme="minorEastAsia"/>
          <w:szCs w:val="24"/>
        </w:rPr>
      </w:pPr>
      <w:r>
        <w:rPr>
          <w:rFonts w:hint="eastAsia" w:cs="宋体" w:asciiTheme="minorEastAsia" w:hAnsiTheme="minorEastAsia"/>
          <w:szCs w:val="24"/>
        </w:rPr>
        <w:t>本项目设备网采用三层网络架构，单核心设计。</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设备网主要为监控、门禁、信息发布、人脸识别、BA楼控、停车场、无线网络、智能照明等弱电系统使用的网络，采用万兆配置的核心交换机、汇聚层每台汇聚交换机按千兆接入万兆双链路上联配置、接入层按千兆接入万兆上联配置。</w:t>
      </w:r>
    </w:p>
    <w:p>
      <w:pPr>
        <w:pStyle w:val="6"/>
        <w:rPr>
          <w:rFonts w:asciiTheme="minorEastAsia" w:hAnsiTheme="minorEastAsia"/>
          <w:sz w:val="24"/>
          <w:szCs w:val="24"/>
        </w:rPr>
      </w:pPr>
      <w:bookmarkStart w:id="94" w:name="_Toc98182817"/>
      <w:r>
        <w:rPr>
          <w:rFonts w:hint="eastAsia" w:asciiTheme="minorEastAsia" w:hAnsiTheme="minorEastAsia"/>
          <w:sz w:val="24"/>
          <w:szCs w:val="24"/>
        </w:rPr>
        <w:t>基础管线</w:t>
      </w:r>
      <w:bookmarkEnd w:id="94"/>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目前园区室内综合布线系统由土建安装单位负责，网络系统配套的主干光缆、跳线及尾纤在本次设计范围内。</w:t>
      </w:r>
    </w:p>
    <w:p>
      <w:pPr>
        <w:snapToGrid w:val="0"/>
        <w:spacing w:line="360" w:lineRule="auto"/>
        <w:ind w:firstLine="480"/>
        <w:rPr>
          <w:rFonts w:cs="宋体" w:asciiTheme="minorEastAsia" w:hAnsiTheme="minorEastAsia" w:eastAsiaTheme="minorEastAsia"/>
          <w:sz w:val="24"/>
          <w:szCs w:val="24"/>
        </w:rPr>
        <w:sectPr>
          <w:footerReference r:id="rId8" w:type="first"/>
          <w:footerReference r:id="rId7" w:type="default"/>
          <w:pgSz w:w="11907" w:h="16840"/>
          <w:pgMar w:top="1440" w:right="1588" w:bottom="1440" w:left="1588" w:header="794" w:footer="794" w:gutter="0"/>
          <w:cols w:space="720" w:num="1"/>
          <w:titlePg/>
          <w:docGrid w:linePitch="326" w:charSpace="0"/>
        </w:sectPr>
      </w:pPr>
    </w:p>
    <w:p>
      <w:pPr>
        <w:pStyle w:val="4"/>
        <w:numPr>
          <w:ilvl w:val="0"/>
          <w:numId w:val="0"/>
        </w:numPr>
        <w:rPr>
          <w:rFonts w:asciiTheme="minorEastAsia" w:hAnsiTheme="minorEastAsia"/>
          <w:sz w:val="24"/>
          <w:szCs w:val="24"/>
        </w:rPr>
      </w:pPr>
      <w:bookmarkStart w:id="95" w:name="_Toc23351"/>
      <w:bookmarkStart w:id="96" w:name="_Toc98182819"/>
      <w:bookmarkStart w:id="97" w:name="_Toc81561492"/>
      <w:bookmarkStart w:id="98" w:name="_Toc10299"/>
      <w:bookmarkStart w:id="99" w:name="_Toc24650"/>
      <w:bookmarkStart w:id="100" w:name="_Toc1616"/>
      <w:bookmarkStart w:id="101" w:name="_Toc81852623"/>
      <w:bookmarkStart w:id="102" w:name="_Toc109376939"/>
      <w:bookmarkStart w:id="103" w:name="_Toc80875278"/>
      <w:r>
        <w:rPr>
          <w:rFonts w:hint="eastAsia" w:asciiTheme="minorEastAsia" w:hAnsiTheme="minorEastAsia"/>
          <w:sz w:val="24"/>
          <w:szCs w:val="24"/>
        </w:rPr>
        <w:t>公共安全系统</w:t>
      </w:r>
      <w:bookmarkEnd w:id="95"/>
      <w:bookmarkEnd w:id="96"/>
      <w:bookmarkEnd w:id="97"/>
      <w:bookmarkEnd w:id="98"/>
      <w:bookmarkEnd w:id="99"/>
      <w:bookmarkEnd w:id="100"/>
      <w:bookmarkEnd w:id="101"/>
      <w:bookmarkEnd w:id="102"/>
      <w:bookmarkEnd w:id="103"/>
    </w:p>
    <w:p>
      <w:pPr>
        <w:pStyle w:val="5"/>
        <w:rPr>
          <w:rFonts w:asciiTheme="minorEastAsia" w:hAnsiTheme="minorEastAsia" w:eastAsiaTheme="minorEastAsia"/>
          <w:sz w:val="24"/>
          <w:szCs w:val="24"/>
        </w:rPr>
      </w:pPr>
      <w:bookmarkStart w:id="104" w:name="_Toc109376940"/>
      <w:bookmarkStart w:id="105" w:name="_Toc81561494"/>
      <w:bookmarkStart w:id="106" w:name="_Toc80875280"/>
      <w:bookmarkStart w:id="107" w:name="_Toc98182821"/>
      <w:bookmarkStart w:id="108" w:name="_Toc81561495"/>
      <w:bookmarkStart w:id="109" w:name="_Toc80875281"/>
      <w:r>
        <w:rPr>
          <w:rFonts w:hint="eastAsia" w:asciiTheme="minorEastAsia" w:hAnsiTheme="minorEastAsia" w:eastAsiaTheme="minorEastAsia"/>
          <w:sz w:val="24"/>
          <w:szCs w:val="24"/>
        </w:rPr>
        <w:t>视频监控系统</w:t>
      </w:r>
      <w:bookmarkEnd w:id="104"/>
      <w:bookmarkEnd w:id="105"/>
      <w:bookmarkEnd w:id="106"/>
      <w:bookmarkEnd w:id="107"/>
    </w:p>
    <w:p>
      <w:pPr>
        <w:pStyle w:val="6"/>
        <w:rPr>
          <w:rFonts w:asciiTheme="minorEastAsia" w:hAnsiTheme="minorEastAsia"/>
          <w:sz w:val="24"/>
          <w:szCs w:val="24"/>
        </w:rPr>
      </w:pPr>
      <w:r>
        <w:rPr>
          <w:rFonts w:hint="eastAsia" w:asciiTheme="minorEastAsia" w:hAnsiTheme="minorEastAsia"/>
          <w:sz w:val="24"/>
          <w:szCs w:val="24"/>
        </w:rPr>
        <w:t>建设目标</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金华市**训练基地作为公安系统一个非常重要的场所，所要求的防护相应非常高，必须匹配相应的安防系统才能实现安全目标。安防系统是一种新兴的“集成化”、“数字化”、“智能化”的安防综合管理集成系统，整合了视频监控、入侵报警、门禁、在线巡查等，可以实现多个子系统的统一管理与相互之间的联动，使整个智能建筑真正实现了“一体化、智能化”管理，加强智能建筑的管理效果。</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安全防范技术的特点在于它所采用的多元信息采集、传输、监控、记录、管理以及一体化集成等一系列高新技术。实践证明，利用这一技术构成的安全防范系统，能为建设环境提供一个安全、便利、舒适的受保护空间。闭路电视监控系统是安防系统中不可缺少的一个重要组成部分，它不仅可以对监控部位进行全天24小时不间断实时监控，当有警情发生时保安人员可及时、准确地进行处警；也可在事后进行某些案件回放分析，重要时也可作为呈堂证供。因此，在训练基地内，建立一套完善的安全防范系统，不但可以改善学校的综合安全系数，而且更加强了安全保卫防范力度，对办公楼内人身和财产安全也起到重要保障作用，并可为大楼实现安全现代化管理创造极为有利的条件。从实际需求出发，通过严谨的设计，建立起高效的、全方位的、立体化的安全防范网络，使整个训练基地公开部位（主要出入口、财务室、档案室、走道、室外训练场等），要害部位（教学实验室、教室、机房、会议室等）设施部位等处在严密监控之中。安全管理人员通过此高科技手段，能实时掌握办公楼内部及出入口走道区域人流、物流的动态变化，能随时记录、调用有关信息，能进行有针对性的管理。</w:t>
      </w:r>
    </w:p>
    <w:p>
      <w:pPr>
        <w:snapToGrid w:val="0"/>
        <w:spacing w:line="360" w:lineRule="auto"/>
        <w:ind w:firstLine="482"/>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视频监控</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方案视频监控系统设计以数字化网络监控平台进行合理的规划、管理及其他功能的扩充（包括制定各类突发事件的预案处理方案等），包括摄像、传输、控制、显示、记录等功能，以及人脸识别、智能视频分析等多种AI技术的应用，最终，实现对不安全事件的事件预防、事中警告、事后取证查询，全面提升大楼安全质量。</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设计遵循以下三大原则：</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所有进入训练基地的人员都必须被摄像机至少捕捉到一次图像，并留有图像存储记录。</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摄像机的布置避免构成有意的窥探。</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避免同一位置过多重复的监控，保证系统投资的经济性。</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系统主要由IP摄像机（前端设备部分）、IP网络（传输网络）、私有云直存储及监控管理及控制等一系列技术及产品的有机整合。它的具体组成如下：</w:t>
      </w:r>
    </w:p>
    <w:p>
      <w:pPr>
        <w:widowControl/>
        <w:numPr>
          <w:ilvl w:val="0"/>
          <w:numId w:val="8"/>
        </w:numPr>
        <w:adjustRightInd w:val="0"/>
        <w:snapToGrid w:val="0"/>
        <w:spacing w:line="360" w:lineRule="auto"/>
        <w:ind w:left="0" w:firstLine="482"/>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前端设备部分</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本系统的前端为全网络摄像机，在前端进行编码压缩，分别就近接入各楼层接入网络设备，然后通过传输设备专网，传输到网络汇聚间。</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根据金华市**训练基地的功能结构分析，视频监控覆盖以下区域：</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整个训练基地室外区域：范围内道路、主要出入口、广场、屋顶、室外训练场、田径场；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建筑物各出入口及主要通道、电梯厅、楼顶屋面的出入口、地下室停车场各出入口&lt;含车和人&gt;根据装修情况，有吊顶的设置半球摄像机，没有吊顶的采用枪式摄像机；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重要房间：消控中心、网络汇聚间、生活水泵房、消防泵房、变配电室等位置设置半球摄像机或者枪式摄像机。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前端点位布置原则如下：</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训练基地东北面制高点塔顶配置1台大于2400万像素全景摄像机，全景监控。同时集成人工智能算法及多目标跟踪技术，可进行区域入侵、越界、进入区域、离开区域等行为检测，联动自带的特写跟踪摄像机，达到智能安保的目的。对整个广场进行全景监控，实现自动或手动对全景区域内的多个目标进行区域入侵、越界、进入区域、离开区域行为的检测；</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在训练基地主出入口，主要大楼（教学楼、宿舍楼、体育场馆）出入口设置人脸识别高清网络半球摄像机，准确抓拍和记录大楼内人员的活动轨迹；</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在大楼内重要消防控制中心、网络汇聚间、排烟机房、消防泵房、变配电室等设备房内，以及楼顶屋面等其他危险区域内配置支持虚拟警戒线及报警布撤防的智能分析摄像机；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在地下车库、楼梯口等场所安装高清红外筒型网络摄像机，以便于能监视区域内车辆、人员的活动情况；</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在机动车出入口、停车场（库）出入口及其他与外界相通的出入口选用高清网络强光抑制型摄像机，以便于能监控进出人员及车辆的情况；</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大厅区域及人行闸机区域摄像机支持智能行为分析功能，能够判断人员聚集、人员离岗、暴力及争吵、尾随等行为，并进行告警；</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在电梯厅安装的电梯专用摄像机，可监控整个电梯厅内人员的活动情况和体貌特征。</w:t>
      </w:r>
    </w:p>
    <w:p>
      <w:pPr>
        <w:widowControl/>
        <w:numPr>
          <w:ilvl w:val="0"/>
          <w:numId w:val="8"/>
        </w:numPr>
        <w:adjustRightInd w:val="0"/>
        <w:snapToGrid w:val="0"/>
        <w:spacing w:line="360" w:lineRule="auto"/>
        <w:ind w:left="0" w:firstLine="482"/>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传输网络部分</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1）本系统中传输信号主要有视频信号、控制信号、电源信号三种，考虑本次系统均采用全数字监控系统模式，因此，室内视频控制信号传输选用六类双绞线缆即可。</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电源传输部分：室内、室外摄像机采用POE交换机供电。</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号传输部分：室外每个摄像机直接到安防箱，室内则考虑预算及施工难度的情况下分区域集中传输至临近交换机，后端两者都通过收发器进行光电转换，通过光信号进行图像上传。考虑室外对设备的影响，均设置管理箱进行控制管理。</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本方案设计室内摄像机所有六类双绞线缆统一接入相应管理间设备网交换机，室外摄像机则直接接入监控中心设置的设备网交换机。通过设备局域网接入监控中心内。由其结合智能平台软件进行统一控制管理及存储。</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3）在线缆敷设时应尽可能的避免和其它强电过于靠近或穿过强电作业区等，对于该场合选用具有良好屏蔽性能的线缆。</w:t>
      </w:r>
    </w:p>
    <w:p>
      <w:pPr>
        <w:widowControl/>
        <w:numPr>
          <w:ilvl w:val="0"/>
          <w:numId w:val="8"/>
        </w:numPr>
        <w:adjustRightInd w:val="0"/>
        <w:snapToGrid w:val="0"/>
        <w:spacing w:line="360" w:lineRule="auto"/>
        <w:ind w:left="0" w:firstLine="482"/>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存储部分</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所有存储的数据全部都保存在金华雪亮工程的后端存储运营商机房新购置的存储中。存储时间1个月以上。</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使用节点数量为：693.61 TB/98T=7.1台。考虑到室外靶场内部监控、室内靶场监控、和C-2#/C-3#以及A-2#档案馆内部和网警实验室等后期建设区域需要增加监控存储，为了避免后期重复投资建设造成的资源浪费，本次建设一起考虑冗余需要增加的存储容量。所以一共考虑建设9台存储节点。</w:t>
      </w:r>
    </w:p>
    <w:p>
      <w:pPr>
        <w:widowControl/>
        <w:numPr>
          <w:ilvl w:val="0"/>
          <w:numId w:val="8"/>
        </w:numPr>
        <w:adjustRightInd w:val="0"/>
        <w:snapToGrid w:val="0"/>
        <w:spacing w:line="360" w:lineRule="auto"/>
        <w:ind w:left="0" w:firstLine="482"/>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监控管理及控制部分</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本系统采用数字化网络监控平台进行统一管理，监控中心设置在消防控制室。</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监控中心的的电视墙采用LCD液晶拼接显示屏作为主显示屏，实现相关信息的发布。拼装屏具有任意拉伸、缩放、跨屏漫游、叠加、整屏显示功能，整个拼装屏为一整体，含有拼装机柜(下部放置视频服务器等硬件设备)、拼接处理器，RGB矩阵及至各液晶所需的信号线缆等。</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系统采用视频综合平台进行解码上墙。其是一款电信级机架式视频处理综合平台产品，主要功能:模拟和数字视频信号切换，视频图像行为分析，视频信号编解码，视频压缩数据集中管理存储和网络实时预览；各种网络功能，日志功能；用户和权限管理；设备维护功能等于一体的综合视频处理平台。</w:t>
      </w:r>
    </w:p>
    <w:p>
      <w:pPr>
        <w:snapToGrid w:val="0"/>
        <w:spacing w:line="360" w:lineRule="auto"/>
        <w:ind w:firstLine="482"/>
        <w:rPr>
          <w:rFonts w:cs="宋体" w:asciiTheme="minorEastAsia" w:hAnsiTheme="minorEastAsia" w:eastAsiaTheme="minorEastAsia"/>
          <w:b/>
          <w:bCs/>
          <w:sz w:val="24"/>
          <w:szCs w:val="24"/>
          <w:lang w:val="zh-CN"/>
        </w:rPr>
      </w:pPr>
      <w:r>
        <w:rPr>
          <w:rFonts w:hint="eastAsia" w:cs="宋体" w:asciiTheme="minorEastAsia" w:hAnsiTheme="minorEastAsia" w:eastAsiaTheme="minorEastAsia"/>
          <w:b/>
          <w:bCs/>
          <w:sz w:val="24"/>
          <w:szCs w:val="24"/>
          <w:lang w:val="zh-CN"/>
        </w:rPr>
        <w:t>视频周界</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本次采用视频识别的方式进行对周界入侵进行防范，包括智能分析摄像机、服务器等配套设备。</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智能视觉监控系统由前端摄像机、网络传输、集中管理等部分组成，摄像机部分主要实现采集、编码、智能分析功能和自动跟踪目标等功能，网络传输部分采用网线或光纤收发器接入，集中管理可实现对报警、视频信号进行集中处理和操作。</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金华市**训练基地项目，面积广，周界防护长，本方案在校区室外围墙布置智能分析声光警戒网络摄像机，直线间距40米转弯补充一个摄像机，杜绝盲区、死角。在训练基地两个湖周界设置智能分析声光警戒网络摄像机，以防人员以外落水。</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视频软周界防护</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金华市**训练基地项目景观湖区域设置400万警戒网络摄像机，设置区域闯入报警，主要针对湖边周界、湖面，采用区域动态报警。用于防控有人闯入湖边危险区域和落水等危险场景。有人越过警戒线、进入警戒区域或落水求救动作，即可触发报警，报警信息可与平台电子地图联动，显示报警位置，使安保人员第一时间获得报警信息并及时处置。</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次项目所有的报警系统都可纳入中心安防综合管理平台，进行统一信息呈现、推送。在安防综合平台上，设置有电子地图，报警信息可联动电子地图，实时展现报警发生处在地图上的位置，便于安保人员在第一时间赶赴现场进行处置。同时，平台会自动调取出报警位置及周边的摄像机画面，便于指挥中心内调度人员进行调度指挥。</w:t>
      </w:r>
    </w:p>
    <w:p>
      <w:pPr>
        <w:pStyle w:val="6"/>
        <w:rPr>
          <w:rFonts w:asciiTheme="minorEastAsia" w:hAnsiTheme="minorEastAsia"/>
          <w:sz w:val="24"/>
          <w:szCs w:val="24"/>
        </w:rPr>
      </w:pPr>
      <w:r>
        <w:rPr>
          <w:rFonts w:hint="eastAsia" w:asciiTheme="minorEastAsia" w:hAnsiTheme="minorEastAsia"/>
          <w:sz w:val="24"/>
          <w:szCs w:val="24"/>
        </w:rPr>
        <w:t>系统功能</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在金华**训练基地的监控中心设置3*</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的监控电视墙。要求电视监控的画面显示能任意编程，自动或手动切换。采用计算机系统对监控进行集中管理和控制，并考虑主控和分控灵活组建、管理和控制。具有实时监看、检索回放、电子地图、系统管理、电视墙控制等功能。系统具有检查录像机、摄像机图像丢失报警功能，当视频输入信号丢失时，能发出报警。系统的架构考虑先进及稳定可靠性，摄像机的选型需充分考虑日、夜的照度、室外光线对室内的影响、电梯运行的磁场干扰等因素。采用全数字IP系统进行建设，存储时间和质量要求：1080P图像存储不少于30天*24小时。存储设计使用雪亮云存储。</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监视要求：进出的人员及车辆能被完整记录（包括携带物品、外貌特征），其人体与服装特征较清晰，车辆特征较清晰；前台处能完整记录服务过程，能清晰分辨人体肢体动作和外貌特征；大堂区域记录人员活动情况，用于场面控制与事故追索；电梯轿厢要求乘梯人员和物品完整记录，楼层及电梯上、下行标志清晰；通道监控能分辨人车行方向，人物衣着、手提物品等；监控信号要与其他子系统联动；室内外摄像机的选型及安装位置考虑使用性的同时须充分考虑美观及隐蔽性，需与室内装饰及室外景观设计配合。</w:t>
      </w:r>
    </w:p>
    <w:p>
      <w:pPr>
        <w:snapToGrid w:val="0"/>
        <w:spacing w:line="360" w:lineRule="auto"/>
        <w:ind w:firstLine="480"/>
        <w:rPr>
          <w:rFonts w:cs="宋体" w:asciiTheme="minorEastAsia" w:hAnsiTheme="minorEastAsia" w:eastAsiaTheme="minorEastAsia"/>
          <w:sz w:val="24"/>
          <w:szCs w:val="24"/>
        </w:rPr>
        <w:sectPr>
          <w:footerReference r:id="rId10" w:type="first"/>
          <w:footerReference r:id="rId9" w:type="default"/>
          <w:pgSz w:w="11907" w:h="16840"/>
          <w:pgMar w:top="1440" w:right="1588" w:bottom="1440" w:left="1588" w:header="794" w:footer="794" w:gutter="0"/>
          <w:cols w:space="720" w:num="1"/>
          <w:titlePg/>
          <w:docGrid w:linePitch="326" w:charSpace="0"/>
        </w:sectPr>
      </w:pPr>
      <w:r>
        <w:rPr>
          <w:rFonts w:hint="eastAsia" w:cs="宋体" w:asciiTheme="minorEastAsia" w:hAnsiTheme="minorEastAsia" w:eastAsiaTheme="minorEastAsia"/>
          <w:sz w:val="24"/>
          <w:szCs w:val="24"/>
        </w:rPr>
        <w:t>集成要求：视频监控能和周界报警、消防、门禁管理系统、停车管理、BA等系统联。</w:t>
      </w:r>
    </w:p>
    <w:p>
      <w:pPr>
        <w:pStyle w:val="5"/>
        <w:rPr>
          <w:rFonts w:asciiTheme="minorEastAsia" w:hAnsiTheme="minorEastAsia" w:eastAsiaTheme="minorEastAsia"/>
          <w:sz w:val="24"/>
          <w:szCs w:val="24"/>
        </w:rPr>
      </w:pPr>
      <w:bookmarkStart w:id="110" w:name="_Toc98182822"/>
      <w:bookmarkStart w:id="111" w:name="_Toc18825"/>
      <w:bookmarkStart w:id="112" w:name="_Toc109376941"/>
      <w:r>
        <w:rPr>
          <w:rFonts w:hint="eastAsia" w:asciiTheme="minorEastAsia" w:hAnsiTheme="minorEastAsia" w:eastAsiaTheme="minorEastAsia"/>
          <w:sz w:val="24"/>
          <w:szCs w:val="24"/>
        </w:rPr>
        <w:t>入侵报警系统</w:t>
      </w:r>
      <w:bookmarkEnd w:id="108"/>
      <w:bookmarkEnd w:id="109"/>
      <w:bookmarkEnd w:id="110"/>
      <w:bookmarkEnd w:id="111"/>
      <w:bookmarkEnd w:id="112"/>
    </w:p>
    <w:p>
      <w:pPr>
        <w:pStyle w:val="6"/>
        <w:rPr>
          <w:rFonts w:asciiTheme="minorEastAsia" w:hAnsiTheme="minorEastAsia"/>
          <w:sz w:val="24"/>
          <w:szCs w:val="24"/>
        </w:rPr>
      </w:pPr>
      <w:r>
        <w:rPr>
          <w:rFonts w:hint="eastAsia" w:asciiTheme="minorEastAsia" w:hAnsiTheme="minorEastAsia"/>
          <w:sz w:val="24"/>
          <w:szCs w:val="24"/>
        </w:rPr>
        <w:t>建设目标</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入侵报警系统结合训练基地内各区域功能，在重点防范区域设置双鉴探测器实现安全防范。报警探测设备通过报警主机接入到安防综合管理平台。</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当有人非法进去时即触发报警，现场立刻驱动闪灯实现现场报警对非法入侵行为进行威慑和劝退，同时将探测器报警信号通过系统总线将报警信号通过系统总线传至消控中心，联动中心声光报警。此时平台根据事先设置的报警联动方案，在电子地图上显示报警区域，并联动视频监控系统的监视、录像在电子地图上显示，并将视频解码上墙。</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保卫人员可以通过报警主机键盘实现防区布撤防。</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入侵报警系统是以安防综合平台为核心，通过接入各种报警探测器、报警主机，来对报警进行综合管控的系统，实现视频音频等各种报警联动机制，并通过客户端进行展现。</w:t>
      </w:r>
    </w:p>
    <w:p>
      <w:pPr>
        <w:pStyle w:val="6"/>
        <w:rPr>
          <w:rFonts w:asciiTheme="minorEastAsia" w:hAnsiTheme="minorEastAsia"/>
          <w:sz w:val="24"/>
          <w:szCs w:val="24"/>
        </w:rPr>
      </w:pPr>
      <w:bookmarkStart w:id="113" w:name="_Toc98182824"/>
      <w:r>
        <w:rPr>
          <w:rFonts w:hint="eastAsia" w:asciiTheme="minorEastAsia" w:hAnsiTheme="minorEastAsia"/>
          <w:sz w:val="24"/>
          <w:szCs w:val="24"/>
        </w:rPr>
        <w:t>系统设计</w:t>
      </w:r>
      <w:bookmarkEnd w:id="113"/>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在训练基地内特别容易被入侵的区域及禁区、重要设备用房等处设探测器，如被动红外入侵探测器、紧急报警按钮等设备。本工程在</w:t>
      </w:r>
      <w:r>
        <w:rPr>
          <w:rFonts w:hint="eastAsia" w:cs="宋体" w:asciiTheme="minorEastAsia" w:hAnsiTheme="minorEastAsia" w:eastAsiaTheme="minorEastAsia"/>
          <w:b/>
          <w:sz w:val="24"/>
          <w:szCs w:val="24"/>
        </w:rPr>
        <w:t>财务室、网络汇聚间、消防控制中心、射击馆枪支弹药库、武器保养室、电源配电间、档案室等重点区域</w:t>
      </w:r>
      <w:r>
        <w:rPr>
          <w:rFonts w:hint="eastAsia" w:cs="宋体" w:asciiTheme="minorEastAsia" w:hAnsiTheme="minorEastAsia" w:eastAsiaTheme="minorEastAsia"/>
          <w:sz w:val="24"/>
          <w:szCs w:val="24"/>
        </w:rPr>
        <w:t>设置被动红外入侵探测器，在消防控制中心等处设紧急报警按钮，紧急报警按钮可直接与上级处警中心联系。</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报警主要来源于报警探测器、前端传感器以及系统的主动报警。</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报警探测器的报警通常以规定算法方式实现，通过在视频区域设置相关规则，探测器自动产生报警信息发送给报警监控服务，同时根据规则联动视频监控设备进行录像，报警监控服务经过识别、判断后产生报警信息在监控平台显示，同时按照规则驱动发出声光报警，启动相关的外部设备给予警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系统的主动报警是由软件系统根据程序规则，主动产生的报警信息，并在监控平台显示，同时按照规则发出声光报警，启动相关的外部设备给予警示。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前端传感探测器通常将探测到的报警信息以开关信号的形式，通过总线方式，前端探测器信号传输到报警主机管理；经过识别、判断后发出声光报警，可以启动相关的外部设备（软件编程方式或继电器触发方式）给予警示，同时上送到报警监控服务，并在监控平台显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次设计采用总线型报警主机，由于报警主机都是自带网络模块，具有按通道旁路，报警预录等多种方式布防/撤防的特色功能，自带备用电源，防拆报警。具有多种模式，具有轰鸣声、语音投放等多种报警提示功能，同时带有通讯模块，可以插入手机卡在发生报警时可以自动发短信、打电话等。</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种探测器构成警戒防区，防区的含义是指在系统中，可以识别或区分出防范的区域或位置。根据实际设计或使用需要，系统中可以设置为一个或多个警戒防区，本次设计每个探测器或报警器设置1个防区，将这些探测源相互配合起来使用，就可以组成具有综合防范功能的防区，最终架构成一套高性能多功能的防范报警系统。</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系统设计在大楼地下层与地上公共区域的楼梯间、楼梯前室、合用前室以及候梯厅内设置双鉴探测器，将重要出入口区域管控起来，保障整个大楼的安全。</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入侵报警系统纳入综合安防管理平台统一管理，实现与其他系统的联动。</w:t>
      </w:r>
    </w:p>
    <w:p>
      <w:pPr>
        <w:pStyle w:val="5"/>
        <w:rPr>
          <w:rFonts w:asciiTheme="minorEastAsia" w:hAnsiTheme="minorEastAsia" w:eastAsiaTheme="minorEastAsia"/>
          <w:sz w:val="24"/>
          <w:szCs w:val="24"/>
        </w:rPr>
      </w:pPr>
      <w:bookmarkStart w:id="114" w:name="_Toc98182826"/>
      <w:bookmarkStart w:id="115" w:name="_Toc29638"/>
      <w:bookmarkStart w:id="116" w:name="_Toc109376942"/>
      <w:r>
        <w:rPr>
          <w:rFonts w:hint="eastAsia" w:asciiTheme="minorEastAsia" w:hAnsiTheme="minorEastAsia" w:eastAsiaTheme="minorEastAsia"/>
          <w:sz w:val="24"/>
          <w:szCs w:val="24"/>
        </w:rPr>
        <w:t>电子围栏系统</w:t>
      </w:r>
      <w:bookmarkEnd w:id="114"/>
      <w:bookmarkEnd w:id="115"/>
      <w:bookmarkEnd w:id="116"/>
    </w:p>
    <w:p>
      <w:pPr>
        <w:pStyle w:val="6"/>
        <w:rPr>
          <w:rFonts w:asciiTheme="minorEastAsia" w:hAnsiTheme="minorEastAsia"/>
          <w:sz w:val="24"/>
          <w:szCs w:val="24"/>
        </w:rPr>
      </w:pPr>
      <w:bookmarkStart w:id="117" w:name="_Toc98182828"/>
      <w:r>
        <w:rPr>
          <w:rFonts w:hint="eastAsia" w:asciiTheme="minorEastAsia" w:hAnsiTheme="minorEastAsia"/>
          <w:sz w:val="24"/>
          <w:szCs w:val="24"/>
        </w:rPr>
        <w:t>系统设计</w:t>
      </w:r>
      <w:bookmarkEnd w:id="117"/>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系统主要由多防区主机、防区探测器、电子围栏三部分组成。电子围栏是分布于周界的有形的脉冲式电子网络。</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A、防区设置</w:t>
      </w:r>
    </w:p>
    <w:p>
      <w:pPr>
        <w:snapToGrid w:val="0"/>
        <w:spacing w:line="36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金华市**训练基地外侧围墙</w:t>
      </w:r>
      <w:r>
        <w:rPr>
          <w:rFonts w:hint="eastAsia" w:cs="宋体" w:asciiTheme="minorEastAsia" w:hAnsiTheme="minorEastAsia" w:eastAsiaTheme="minorEastAsia"/>
          <w:sz w:val="24"/>
          <w:szCs w:val="24"/>
        </w:rPr>
        <w:t>总长度约为4000米，划为40个防区，我们采用20个双防区探测器。终端杆和挂线杆安装在墙内侧或者外侧和顶部。</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B、前端系统电子围栏</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脉冲电子围栏设计按以下规格：</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（1）72CM，按间距为18CM并列4根能量传导线、高强度终端杆间距100米中间挂杆间距4米，承力杆间距10米在围墙侧面用加长膨胀螺钉垂直安装，也可以用水泥浇注预埋方式。</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（2）该工程共需要20个双防区探测器。</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C、高压脉冲的传输</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防区探测器发出的高压脉冲通过18#合金线传输。</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D、取电</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由于防区探测器数量较多，沿电子围栏分散分布，我们采取统一供电方式。</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E、传输</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由于防区探测器与主机采用总线传输，我们直接采用屏蔽双绞线埋地的方式传入监控室。</w:t>
      </w:r>
    </w:p>
    <w:p>
      <w:pPr>
        <w:snapToGrid w:val="0"/>
        <w:spacing w:line="360" w:lineRule="auto"/>
        <w:ind w:firstLine="482"/>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系统其他部件数量的计算方法</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电子围墙部件的数量决定于防区长度、合金线的道数/间距、围墙形状、安装要求(安装在现有围墙/栏或独立式)。</w:t>
      </w:r>
    </w:p>
    <w:p>
      <w:pPr>
        <w:pStyle w:val="6"/>
        <w:rPr>
          <w:rFonts w:asciiTheme="minorEastAsia" w:hAnsiTheme="minorEastAsia"/>
          <w:sz w:val="24"/>
          <w:szCs w:val="24"/>
        </w:rPr>
      </w:pPr>
      <w:bookmarkStart w:id="118" w:name="_Toc98182829"/>
      <w:r>
        <w:rPr>
          <w:rFonts w:hint="eastAsia" w:asciiTheme="minorEastAsia" w:hAnsiTheme="minorEastAsia"/>
          <w:sz w:val="24"/>
          <w:szCs w:val="24"/>
        </w:rPr>
        <w:t>系统功能</w:t>
      </w:r>
      <w:bookmarkEnd w:id="118"/>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电子围栏在学校的应用优势</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1.具有威慑功能高压电网和警示标志给犯罪分子以极大的心里威慑作用，避免其实施犯罪行为，同时能避免学生企图通过翻越围栏跑到校外。</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2.主动防护性强企图跨越时给与电击，起到很好的主动防护效果；</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3.防范严密无死角可以依据地形任意架设，没有死角，消除安全盲点；</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4.误报率低能有效防止小动物、树枝、恶劣天气等造成的误报；</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5.能与安防、IT系统联网可以与监控联动，当报警时，摄像机转向相应位置开始录像；也能很好的融入IT系统；</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6.软件可以实现远程操作，方便管理从围墙现场到指挥中心距离很长，所以需要远程控制，比如远程开、关机等。</w:t>
      </w:r>
    </w:p>
    <w:p>
      <w:pPr>
        <w:pStyle w:val="5"/>
        <w:rPr>
          <w:rFonts w:asciiTheme="minorEastAsia" w:hAnsiTheme="minorEastAsia" w:eastAsiaTheme="minorEastAsia"/>
          <w:sz w:val="24"/>
          <w:szCs w:val="24"/>
        </w:rPr>
      </w:pPr>
      <w:bookmarkStart w:id="119" w:name="_Toc7682"/>
      <w:bookmarkStart w:id="120" w:name="_Toc98182830"/>
      <w:bookmarkStart w:id="121" w:name="_Toc109376943"/>
      <w:bookmarkStart w:id="122" w:name="_Toc81561496"/>
      <w:bookmarkStart w:id="123" w:name="_Toc80875282"/>
      <w:r>
        <w:rPr>
          <w:rFonts w:hint="eastAsia" w:asciiTheme="minorEastAsia" w:hAnsiTheme="minorEastAsia" w:eastAsiaTheme="minorEastAsia"/>
          <w:sz w:val="24"/>
          <w:szCs w:val="24"/>
        </w:rPr>
        <w:t>出人口控制系统</w:t>
      </w:r>
      <w:bookmarkEnd w:id="119"/>
      <w:bookmarkEnd w:id="120"/>
      <w:bookmarkEnd w:id="121"/>
      <w:bookmarkEnd w:id="122"/>
      <w:bookmarkEnd w:id="123"/>
    </w:p>
    <w:p>
      <w:pPr>
        <w:pStyle w:val="6"/>
        <w:numPr>
          <w:ilvl w:val="0"/>
          <w:numId w:val="1"/>
        </w:numPr>
        <w:rPr>
          <w:rFonts w:asciiTheme="minorEastAsia" w:hAnsiTheme="minorEastAsia"/>
          <w:sz w:val="24"/>
          <w:szCs w:val="24"/>
        </w:rPr>
      </w:pPr>
      <w:bookmarkStart w:id="124" w:name="_Toc98182831"/>
      <w:r>
        <w:rPr>
          <w:rFonts w:hint="eastAsia" w:asciiTheme="minorEastAsia" w:hAnsiTheme="minorEastAsia"/>
          <w:sz w:val="24"/>
          <w:szCs w:val="24"/>
        </w:rPr>
        <w:t>门禁一卡通管理系统</w:t>
      </w:r>
      <w:bookmarkEnd w:id="124"/>
    </w:p>
    <w:p>
      <w:pPr>
        <w:pStyle w:val="7"/>
        <w:spacing w:line="360" w:lineRule="auto"/>
        <w:rPr>
          <w:rFonts w:asciiTheme="minorEastAsia" w:hAnsiTheme="minorEastAsia" w:eastAsiaTheme="minorEastAsia"/>
        </w:rPr>
      </w:pPr>
      <w:r>
        <w:rPr>
          <w:rFonts w:hint="eastAsia" w:asciiTheme="minorEastAsia" w:hAnsiTheme="minorEastAsia" w:eastAsiaTheme="minorEastAsia"/>
        </w:rPr>
        <w:t>建设目标</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了使其管理的方便性，为其设置一套基于IC卡的一卡通系统是十分必要的。通过该系统的建立，用户只用一张经过授权的智能IC卡，便可以通过该系统强大的软件功能组合和完善的硬件配套设备，使内部工作人员仅凭一张IC卡即可进行身份认证、门禁出入控制、考勤、餐饮消费车辆管理等“一卡通”服务。</w:t>
      </w:r>
    </w:p>
    <w:p>
      <w:pPr>
        <w:pStyle w:val="7"/>
        <w:spacing w:line="360" w:lineRule="auto"/>
        <w:rPr>
          <w:rFonts w:asciiTheme="minorEastAsia" w:hAnsiTheme="minorEastAsia" w:eastAsiaTheme="minorEastAsia"/>
        </w:rPr>
      </w:pPr>
      <w:r>
        <w:rPr>
          <w:rFonts w:hint="eastAsia" w:asciiTheme="minorEastAsia" w:hAnsiTheme="minorEastAsia" w:eastAsiaTheme="minorEastAsia"/>
        </w:rPr>
        <w:t>系统设计</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建立以人脸身份识别方式为主的人行闸机、门禁、考勤系统，以人脸支付、刷卡方式为主的消费等一卡通系统。门禁管理根据不同的应用场景，合理规划使用不同的设备，如IC卡、牌照识别、指纹、NFC、人脸识别等。系统纳入“一卡通”管理系统，可与考勤、停车管理、食堂、宿管等系统合用；对于每次有效进入，都自动存贮该人员的相关信息和时间，并能每天进行有效统计和记录存档；出现非授权进入、超时开启时能发出报警信号，能显示非授权进入、超时开启发生的时间、区域或部位。具备独立组网运行功能，与火灾自动报警系统、视频监控系统联动；当线路故障、识读装置和执行机构被破坏时,能发出报警；出入口控制设备支持远程管理，硬件支持TCP/IP协议，门禁报警服务器提供ODBC接口或OPC接口，符合系统集成要求，系统数据管理要和整个系统集成。</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金华市**训练基地对于智能卡应用的需求主要包括：学生卡、消费、图书借阅、宿舍入口进出、身份识别等。</w:t>
      </w:r>
    </w:p>
    <w:p>
      <w:pPr>
        <w:snapToGrid w:val="0"/>
        <w:spacing w:line="36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本系统采用TCP/IP架构的门禁系统，接入弱电间交换机，与设在消防控制中心的门禁服务器通讯，系统接入设备网。</w:t>
      </w:r>
      <w:r>
        <w:rPr>
          <w:rFonts w:hint="eastAsia" w:cs="宋体" w:asciiTheme="minorEastAsia" w:hAnsiTheme="minorEastAsia" w:eastAsiaTheme="minorEastAsia"/>
          <w:sz w:val="24"/>
          <w:szCs w:val="24"/>
        </w:rPr>
        <w:t></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系统的主要设备包括门禁控制器、读卡器、电子门锁、出口按钮、发卡机、管理工作站及打印机。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校区采用封闭式管理，校区出入口均</w:t>
      </w:r>
      <w:r>
        <w:rPr>
          <w:rFonts w:hint="eastAsia" w:cs="宋体" w:asciiTheme="minorEastAsia" w:hAnsiTheme="minorEastAsia" w:eastAsiaTheme="minorEastAsia"/>
          <w:b/>
          <w:sz w:val="24"/>
          <w:szCs w:val="24"/>
        </w:rPr>
        <w:t>采用速通闸机</w:t>
      </w:r>
      <w:r>
        <w:rPr>
          <w:rFonts w:hint="eastAsia" w:cs="宋体" w:asciiTheme="minorEastAsia" w:hAnsiTheme="minorEastAsia" w:eastAsiaTheme="minorEastAsia"/>
          <w:sz w:val="24"/>
          <w:szCs w:val="24"/>
        </w:rPr>
        <w:t>进行出入管理，所采用的卡为**训练基地一卡通。</w:t>
      </w:r>
    </w:p>
    <w:p>
      <w:pPr>
        <w:pStyle w:val="48"/>
        <w:widowControl/>
        <w:numPr>
          <w:ilvl w:val="0"/>
          <w:numId w:val="9"/>
        </w:numPr>
        <w:adjustRightInd w:val="0"/>
        <w:snapToGrid w:val="0"/>
        <w:spacing w:line="360" w:lineRule="auto"/>
        <w:ind w:left="0" w:firstLineChars="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主要组成部分</w:t>
      </w:r>
    </w:p>
    <w:p>
      <w:pPr>
        <w:pStyle w:val="48"/>
        <w:widowControl/>
        <w:numPr>
          <w:ilvl w:val="0"/>
          <w:numId w:val="10"/>
        </w:numPr>
        <w:adjustRightInd w:val="0"/>
        <w:snapToGrid w:val="0"/>
        <w:spacing w:line="360" w:lineRule="auto"/>
        <w:ind w:left="0" w:firstLineChars="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人脸识别门禁</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本项目设计在所有宿舍楼出入口、消控室及主要设备用房设置人脸识别门禁系统，在宿舍楼主出入口设置人脸识别一体机，采用前端比对的方式，加速人员通行。</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通过人脸识别门禁系统，加强**训练基地门禁出入管理控制，完全使用人脸识别技术替代刷卡、密码等门进出入方式，做到精准识别、安全人员进出。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人脸门禁系统通过前端人脸识别比对方式，利用人脸数据实现数字化安全管理，其目的是为了有效地控制人员的出入，规范内部人力资源管理，提高重要部门、场所的安全防范能力，并且记录所有出入人员身份信息的详细情况，来实现出入口的可视化管理，从而有效地解决传统人工查验证件放行、门锁使用频繁、无法记录信息等不足点。</w:t>
      </w:r>
    </w:p>
    <w:p>
      <w:pPr>
        <w:pStyle w:val="48"/>
        <w:widowControl/>
        <w:numPr>
          <w:ilvl w:val="0"/>
          <w:numId w:val="10"/>
        </w:numPr>
        <w:adjustRightInd w:val="0"/>
        <w:snapToGrid w:val="0"/>
        <w:spacing w:line="360" w:lineRule="auto"/>
        <w:ind w:left="0" w:firstLineChars="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考勤管理</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考勤管理通过门禁读卡器及人行闸机实现考勤。上班时用来对员工进行考勤，完成正常与非正常情况下的考勤。通过刷卡、人脸识别等方法，考勤管理软件可以统计每个员工的出勤、迟到、早退、请假、加班、出差等状况，由此可节省大量人力资源，提高工作效率。</w:t>
      </w:r>
    </w:p>
    <w:p>
      <w:pPr>
        <w:pStyle w:val="7"/>
        <w:spacing w:line="360" w:lineRule="auto"/>
        <w:rPr>
          <w:rFonts w:asciiTheme="minorEastAsia" w:hAnsiTheme="minorEastAsia" w:eastAsiaTheme="minorEastAsia"/>
        </w:rPr>
      </w:pPr>
      <w:r>
        <w:rPr>
          <w:rFonts w:hint="eastAsia" w:asciiTheme="minorEastAsia" w:hAnsiTheme="minorEastAsia" w:eastAsiaTheme="minorEastAsia"/>
        </w:rPr>
        <w:t>系统功能</w:t>
      </w:r>
    </w:p>
    <w:p>
      <w:pPr>
        <w:snapToGrid w:val="0"/>
        <w:spacing w:line="360" w:lineRule="auto"/>
        <w:ind w:firstLine="482"/>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人员发卡管理功能</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支持人员开卡，挂失、解挂、退卡、换卡、绑定生物凭证等卡片操作；</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支持通过导入、导出操作迁移卡片信息；</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支持写卡，可往CPU卡和RFID卡中写入卡号；</w:t>
      </w:r>
    </w:p>
    <w:p>
      <w:pPr>
        <w:snapToGrid w:val="0"/>
        <w:spacing w:line="36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一卡通与门禁、消费系统管理功能</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支持一卡通与门禁管理系统点管理，包括门和人员通道一卡通与门禁管理系统点；</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支持一卡通与门禁管理系统权限配置和下发；支持卡（含身份证）、人脸、指纹、卡密码等凭证单独或组合使用的认证方式；</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支持一卡通与门禁管理系统权限自动下发，可配置固定时间、固定次数自动下发异动的一卡通与门禁管理系统权限，包含卡、人脸、指纹。</w:t>
      </w:r>
    </w:p>
    <w:p>
      <w:pPr>
        <w:snapToGrid w:val="0"/>
        <w:spacing w:line="36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考勤管理</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应支持通过刷卡、指纹、人脸多种方式考勤</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应支持考勤管理及考勤数据分析、报表展示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应支持普通班、工时班、签到班的班组管理模</w:t>
      </w:r>
    </w:p>
    <w:p>
      <w:pPr>
        <w:snapToGrid w:val="0"/>
        <w:spacing w:line="360" w:lineRule="auto"/>
        <w:ind w:firstLine="482"/>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其它功能</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对卡片的使用期限及错误刷卡次数可进行严格控制。</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可对所有出入事件、报警事件、故障事件等保持完整的纪录。</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可根据需要分类查询，作出报表。并可将分类筛选的条件作为纪录保存，为以后的筛选条件。</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为其它管理工作提供数据依据。</w:t>
      </w:r>
    </w:p>
    <w:p>
      <w:pPr>
        <w:snapToGrid w:val="0"/>
        <w:spacing w:line="360" w:lineRule="auto"/>
        <w:ind w:firstLine="48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当管理区域发生火灾报警时，可自动开启公共通道门电控锁。</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可实现与其它系统如消防、电梯、视频监控系统等的联动控制。</w:t>
      </w:r>
    </w:p>
    <w:p>
      <w:pPr>
        <w:pStyle w:val="6"/>
        <w:rPr>
          <w:rFonts w:asciiTheme="minorEastAsia" w:hAnsiTheme="minorEastAsia"/>
          <w:sz w:val="24"/>
          <w:szCs w:val="24"/>
        </w:rPr>
      </w:pPr>
      <w:bookmarkStart w:id="125" w:name="_Toc98182832"/>
      <w:r>
        <w:rPr>
          <w:rFonts w:hint="eastAsia" w:asciiTheme="minorEastAsia" w:hAnsiTheme="minorEastAsia"/>
          <w:sz w:val="24"/>
          <w:szCs w:val="24"/>
        </w:rPr>
        <w:t>人脸通道闸机</w:t>
      </w:r>
      <w:bookmarkEnd w:id="125"/>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本次设计在大门主出入口处设置人脸识别人行闸机。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目前市场上普遍的通道闸机大多采用IC卡或者手机二维码等形式，一旦通过闸机的人数过多则会导致排长队的情况出现，严重降低了工作效率和用户体验，同时通行卡或者二维码丢失也会给持卡人和管理人员带来不必要的麻烦，首先是持卡人需要经过重重手续才能够补办通行卡或者二维码，耗时费力；其次，一旦通行卡或者二维码落入不法分子手中则会对整个**训练基地带来安全隐患，管理人员需要付出巨大的人力和财力才能将犯罪分子抓获，威胁**训练基地内人员和财产安全。</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人脸识别人行闸机：出入闸机上人脸识别模块的摄像头会自动抓拍到人脸，进行人脸建模和特征提取，与系统库中存储的照片进行比对，如果是提前录入个人人脸、身份信息的工作人员或来访人员则通过网络控制闸机放行，并在人脸识别模块的屏幕上显示信息，如果未在系统中注册则系统发出预警提醒（指示灯或语音）。通过该闸机刷脸模块及后台系统，可以实现闸机控制、访客登记、人员管理及提醒功能和非认证人员告警功能。</w:t>
      </w:r>
    </w:p>
    <w:p>
      <w:pPr>
        <w:snapToGrid w:val="0"/>
        <w:spacing w:line="360" w:lineRule="auto"/>
        <w:ind w:firstLine="48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pPr>
        <w:pStyle w:val="6"/>
        <w:rPr>
          <w:rFonts w:asciiTheme="minorEastAsia" w:hAnsiTheme="minorEastAsia"/>
          <w:sz w:val="24"/>
          <w:szCs w:val="24"/>
        </w:rPr>
      </w:pPr>
      <w:bookmarkStart w:id="126" w:name="_Toc80875283"/>
      <w:bookmarkStart w:id="127" w:name="_Toc81561497"/>
      <w:bookmarkStart w:id="128" w:name="_Toc98182834"/>
      <w:r>
        <w:rPr>
          <w:rFonts w:hint="eastAsia" w:asciiTheme="minorEastAsia" w:hAnsiTheme="minorEastAsia"/>
          <w:sz w:val="24"/>
          <w:szCs w:val="24"/>
        </w:rPr>
        <w:t>停车场管理系统</w:t>
      </w:r>
      <w:bookmarkEnd w:id="126"/>
      <w:bookmarkEnd w:id="127"/>
      <w:bookmarkEnd w:id="128"/>
    </w:p>
    <w:p>
      <w:pPr>
        <w:pStyle w:val="7"/>
        <w:spacing w:line="360" w:lineRule="auto"/>
        <w:rPr>
          <w:rFonts w:asciiTheme="minorEastAsia" w:hAnsiTheme="minorEastAsia" w:eastAsiaTheme="minorEastAsia"/>
        </w:rPr>
      </w:pPr>
      <w:r>
        <w:rPr>
          <w:rFonts w:hint="eastAsia" w:asciiTheme="minorEastAsia" w:hAnsiTheme="minorEastAsia" w:eastAsiaTheme="minorEastAsia"/>
        </w:rPr>
        <w:t>建设目标</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停车管理系统是基地管理的重要组成部分。停车管理系统具备对临时车辆进行权限放行、对固定用户进行认证管理和车主对车辆反向寻车的功能。系统采用视频识别进出场管理方式，由抓拍相机、道闸、停车场管理平台、车位检测摄像机、诱导屏、管理电脑等组件构成。</w:t>
      </w:r>
    </w:p>
    <w:p>
      <w:pPr>
        <w:pStyle w:val="7"/>
        <w:spacing w:line="360" w:lineRule="auto"/>
        <w:rPr>
          <w:rFonts w:asciiTheme="minorEastAsia" w:hAnsiTheme="minorEastAsia" w:eastAsiaTheme="minorEastAsia"/>
        </w:rPr>
      </w:pPr>
      <w:r>
        <w:rPr>
          <w:rFonts w:hint="eastAsia" w:asciiTheme="minorEastAsia" w:hAnsiTheme="minorEastAsia" w:eastAsiaTheme="minorEastAsia"/>
        </w:rPr>
        <w:t>系统设计</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以计算机网络为平台，利用车牌识别系统、出入口智能控制器、显示屏、自动吐卡机、自动道闸、主控电脑及智能卡等设备，实现车辆出入、收费、场内车位监控等智能管理功能。系统设计采用视频车牌识别方式。</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本次设计考虑训练在基地</w:t>
      </w:r>
      <w:r>
        <w:rPr>
          <w:rFonts w:hint="eastAsia" w:cs="宋体" w:asciiTheme="minorEastAsia" w:hAnsiTheme="minorEastAsia" w:eastAsiaTheme="minorEastAsia"/>
          <w:b/>
          <w:sz w:val="24"/>
          <w:szCs w:val="24"/>
        </w:rPr>
        <w:t>北出入口、南出入口、A</w:t>
      </w:r>
      <w:r>
        <w:rPr>
          <w:rFonts w:cs="宋体" w:asciiTheme="minorEastAsia" w:hAnsiTheme="minorEastAsia" w:eastAsiaTheme="minorEastAsia"/>
          <w:b/>
          <w:sz w:val="24"/>
          <w:szCs w:val="24"/>
        </w:rPr>
        <w:t>-1#</w:t>
      </w:r>
      <w:r>
        <w:rPr>
          <w:rFonts w:hint="eastAsia" w:cs="宋体" w:asciiTheme="minorEastAsia" w:hAnsiTheme="minorEastAsia" w:eastAsiaTheme="minorEastAsia"/>
          <w:b/>
          <w:sz w:val="24"/>
          <w:szCs w:val="24"/>
        </w:rPr>
        <w:t>地下停车库东西两个出入口建设停车场管理系统。</w:t>
      </w:r>
    </w:p>
    <w:p>
      <w:pPr>
        <w:pStyle w:val="56"/>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北出入口：在北门东边设置单向双出道闸，西边设置单向双入车辆道闸；</w:t>
      </w:r>
    </w:p>
    <w:p>
      <w:pPr>
        <w:pStyle w:val="56"/>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南出入口：设置双向单进单出车辆道闸；</w:t>
      </w:r>
    </w:p>
    <w:p>
      <w:pPr>
        <w:pStyle w:val="56"/>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A</w:t>
      </w:r>
      <w:r>
        <w:rPr>
          <w:rFonts w:asciiTheme="minorEastAsia" w:hAnsiTheme="minorEastAsia" w:eastAsiaTheme="minorEastAsia"/>
          <w:sz w:val="24"/>
        </w:rPr>
        <w:t>-1#</w:t>
      </w:r>
      <w:r>
        <w:rPr>
          <w:rFonts w:hint="eastAsia" w:asciiTheme="minorEastAsia" w:hAnsiTheme="minorEastAsia" w:eastAsiaTheme="minorEastAsia"/>
          <w:sz w:val="24"/>
        </w:rPr>
        <w:t>地下停车库：设置双向单进单出车辆道闸两套。</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通过前端抓拍摄像机采集识别获取车辆信息（车牌、车型、车系、车标），利用网络将车辆信息数据发送至后端管理中心，对理出场车辆信息数据比对，确保车辆的进出有据可查、进出可控，确保停车位的合理利用，加强出入口的高效和安全管理。</w:t>
      </w:r>
    </w:p>
    <w:p>
      <w:pPr>
        <w:pStyle w:val="48"/>
        <w:widowControl/>
        <w:numPr>
          <w:ilvl w:val="0"/>
          <w:numId w:val="6"/>
        </w:numPr>
        <w:adjustRightInd w:val="0"/>
        <w:snapToGrid w:val="0"/>
        <w:spacing w:line="360" w:lineRule="auto"/>
        <w:ind w:left="0"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视频车牌识别子系统</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采用高清车牌识别停车场管理系统，主要是通过智能高清车牌识别一体机对车辆图像或者视频序列进行分析，得到每一辆车唯一的“车牌号码”，并以“车牌号码”作为车辆进出的唯一凭证，对进出车辆进行识别、验证、计费缴费、放行的停车场管理系统。</w:t>
      </w:r>
    </w:p>
    <w:p>
      <w:pPr>
        <w:snapToGrid w:val="0"/>
        <w:spacing w:line="360" w:lineRule="auto"/>
        <w:ind w:firstLine="482"/>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入场流程</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车辆可随意从任何一个入口进场，在停车场入口处设置LED显示屏，实时显示停车场空车位数，有效期或车位信息显示，欢迎光临等提示语。</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车辆行驶到停车场入口，触发地感线圈（地感线圈是车牌识别摄像机的识别区域）。地感线圈检测到信号后，车牌识别摄像机自动抓拍入场车辆的图像并自动识别车牌号、记录入场时间并将车辆信息传至服务中心，检索数据库得出车辆类别，显示在传达室中心屏幕上。</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入场车辆最终车牌识别验证，抓拍车牌号后道闸抬杆放行，同时记下车辆进入时间。</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车辆可随意从任何一个出口出场，在停车场出口处设置LED显示屏，实时显示入场时间、收费金额等信息。</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车辆行驶到停车场出口，触发地感线圈（地感线圈是车牌识别摄像机的识别区域）。地感线圈检测到信号后，“高清车牌识别摄像机”自动抓拍入场车辆的图像并自动识别车牌号，记录出场时间并将车辆信息传至服务中心，服务中心根据比对自动判断车辆性质，自动统计调出相关信息显示。车辆出场时系统将该车辆的入场信息显示在岗亭计算机屏幕上。</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出场车辆最终车牌识别验证，临时车辆根据软件制定的收费方案进行收费金额的统计，用户可开通无感支付功能，绑定开通无感支付不停车驶出或通过线上支付方式驶出。</w:t>
      </w:r>
    </w:p>
    <w:p>
      <w:pPr>
        <w:pStyle w:val="7"/>
        <w:spacing w:line="360" w:lineRule="auto"/>
        <w:rPr>
          <w:rFonts w:asciiTheme="minorEastAsia" w:hAnsiTheme="minorEastAsia" w:eastAsiaTheme="minorEastAsia"/>
        </w:rPr>
      </w:pPr>
      <w:r>
        <w:rPr>
          <w:rFonts w:hint="eastAsia" w:asciiTheme="minorEastAsia" w:hAnsiTheme="minorEastAsia" w:eastAsiaTheme="minorEastAsia"/>
        </w:rPr>
        <w:t>系统功能</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车行入口设置道闸管理系统，可通过视频识别进行出入自动管理，并具有遥控及手动按钮控制功能，对人工干预、手动开闸等行为记录；出入口有近景摄像机能记录出入口车辆车牌号码；有车辆余位显示及区位引导功能；有图像对比系统，增强防盗能力。</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停车场管理系统可与火灾报警系统联动，保证报警情况下道闸开启。收费管理系统要和消费系统对接，满足不同的计费方式和支付方式。</w:t>
      </w:r>
    </w:p>
    <w:p>
      <w:pPr>
        <w:numPr>
          <w:ilvl w:val="0"/>
          <w:numId w:val="11"/>
        </w:numPr>
        <w:snapToGrid w:val="0"/>
        <w:spacing w:line="360"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系统可动态显示停车场实时车位信息。</w:t>
      </w:r>
    </w:p>
    <w:p>
      <w:pPr>
        <w:numPr>
          <w:ilvl w:val="0"/>
          <w:numId w:val="11"/>
        </w:numPr>
        <w:snapToGrid w:val="0"/>
        <w:spacing w:line="360"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入场车辆（含固定车及临时车）免取卡不停车进入停车场，系统可准确记录车辆入所信息。</w:t>
      </w:r>
    </w:p>
    <w:p>
      <w:pPr>
        <w:numPr>
          <w:ilvl w:val="0"/>
          <w:numId w:val="11"/>
        </w:numPr>
        <w:snapToGrid w:val="0"/>
        <w:spacing w:line="360"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能提供图片对比功能，出场车辆通行时实时显示其入场图片及时间，为收费纠纷提供有效依据。</w:t>
      </w:r>
    </w:p>
    <w:p>
      <w:pPr>
        <w:numPr>
          <w:ilvl w:val="0"/>
          <w:numId w:val="11"/>
        </w:numPr>
        <w:snapToGrid w:val="0"/>
        <w:spacing w:line="360"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在后台保留车辆通行的数据，包括抓拍图片等；支持断网情况下的数据记录和正常通行。</w:t>
      </w:r>
    </w:p>
    <w:p>
      <w:pPr>
        <w:numPr>
          <w:ilvl w:val="0"/>
          <w:numId w:val="11"/>
        </w:numPr>
        <w:snapToGrid w:val="0"/>
        <w:spacing w:line="360"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系统</w:t>
      </w:r>
      <w:r>
        <w:rPr>
          <w:rFonts w:hint="eastAsia" w:cs="宋体" w:asciiTheme="minorEastAsia" w:hAnsiTheme="minorEastAsia" w:eastAsiaTheme="minorEastAsia"/>
          <w:sz w:val="24"/>
          <w:szCs w:val="24"/>
        </w:rPr>
        <w:t>支持</w:t>
      </w:r>
      <w:r>
        <w:rPr>
          <w:rFonts w:hint="eastAsia" w:cs="宋体" w:asciiTheme="minorEastAsia" w:hAnsiTheme="minorEastAsia" w:eastAsiaTheme="minorEastAsia"/>
          <w:sz w:val="24"/>
          <w:szCs w:val="24"/>
          <w:lang w:val="zh-CN"/>
        </w:rPr>
        <w:t>对车辆进行有序的分类管理，可自定义，内部车、接送车、</w:t>
      </w:r>
      <w:r>
        <w:rPr>
          <w:rFonts w:hint="eastAsia" w:cs="宋体" w:asciiTheme="minorEastAsia" w:hAnsiTheme="minorEastAsia" w:eastAsiaTheme="minorEastAsia"/>
          <w:sz w:val="24"/>
          <w:szCs w:val="24"/>
        </w:rPr>
        <w:t>社会车辆</w:t>
      </w:r>
      <w:r>
        <w:rPr>
          <w:rFonts w:hint="eastAsia" w:cs="宋体" w:asciiTheme="minorEastAsia" w:hAnsiTheme="minorEastAsia" w:eastAsiaTheme="minorEastAsia"/>
          <w:sz w:val="24"/>
          <w:szCs w:val="24"/>
          <w:lang w:val="zh-CN"/>
        </w:rPr>
        <w:t>等，具有对应的管理手段。</w:t>
      </w:r>
    </w:p>
    <w:p>
      <w:pPr>
        <w:numPr>
          <w:ilvl w:val="0"/>
          <w:numId w:val="11"/>
        </w:num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系统具备一般车辆出入口控制系统的其他功能，如日志功能、防反串、防砸等功能。</w:t>
      </w:r>
    </w:p>
    <w:p>
      <w:pPr>
        <w:pStyle w:val="5"/>
        <w:rPr>
          <w:rFonts w:asciiTheme="minorEastAsia" w:hAnsiTheme="minorEastAsia" w:eastAsiaTheme="minorEastAsia"/>
          <w:sz w:val="24"/>
          <w:szCs w:val="24"/>
        </w:rPr>
      </w:pPr>
      <w:bookmarkStart w:id="129" w:name="_Toc98182835"/>
      <w:bookmarkStart w:id="130" w:name="_Toc8418"/>
      <w:bookmarkStart w:id="131" w:name="_Toc80875284"/>
      <w:bookmarkStart w:id="132" w:name="_Toc81561498"/>
      <w:bookmarkStart w:id="133" w:name="_Toc109376944"/>
      <w:r>
        <w:rPr>
          <w:rFonts w:hint="eastAsia" w:asciiTheme="minorEastAsia" w:hAnsiTheme="minorEastAsia" w:eastAsiaTheme="minorEastAsia"/>
          <w:sz w:val="24"/>
          <w:szCs w:val="24"/>
        </w:rPr>
        <w:t>无线巡更对讲系统</w:t>
      </w:r>
      <w:bookmarkEnd w:id="129"/>
      <w:bookmarkEnd w:id="130"/>
      <w:bookmarkEnd w:id="131"/>
      <w:bookmarkEnd w:id="132"/>
      <w:bookmarkEnd w:id="133"/>
    </w:p>
    <w:p>
      <w:pPr>
        <w:pStyle w:val="6"/>
        <w:rPr>
          <w:rFonts w:asciiTheme="minorEastAsia" w:hAnsiTheme="minorEastAsia"/>
          <w:sz w:val="24"/>
          <w:szCs w:val="24"/>
        </w:rPr>
      </w:pPr>
      <w:r>
        <w:rPr>
          <w:rFonts w:hint="eastAsia" w:asciiTheme="minorEastAsia" w:hAnsiTheme="minorEastAsia"/>
          <w:sz w:val="24"/>
          <w:szCs w:val="24"/>
        </w:rPr>
        <w:t>建设目标</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结合数字对讲通信系统，采用新一代巡更系统，将无线通信技术与传统巡更系统相结合，实现数字对讲机与巡更棒的合二为一。巡更信息通过数字对讲系统的短数据传输功能，实时回传到巡更调度台，从而真正实现对巡更人员的实时在线监控。同时数字化语音为用户提供了更清晰的音质，更有效地保障了调度指挥。</w:t>
      </w:r>
    </w:p>
    <w:p>
      <w:pPr>
        <w:pStyle w:val="6"/>
        <w:rPr>
          <w:rFonts w:asciiTheme="minorEastAsia" w:hAnsiTheme="minorEastAsia"/>
          <w:sz w:val="24"/>
          <w:szCs w:val="24"/>
        </w:rPr>
      </w:pPr>
      <w:bookmarkStart w:id="134" w:name="_Toc98182837"/>
      <w:r>
        <w:rPr>
          <w:rFonts w:hint="eastAsia" w:asciiTheme="minorEastAsia" w:hAnsiTheme="minorEastAsia"/>
          <w:sz w:val="24"/>
          <w:szCs w:val="24"/>
        </w:rPr>
        <w:t>系统设计</w:t>
      </w:r>
      <w:bookmarkEnd w:id="134"/>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项目的设计需要，本项目设计采用无线巡更对讲系统，本系统主要组成设备：巡更点、巡更对讲机、巡更软件、巡更基站等。系统通过无线通信基站进行高功率的转发，能够有效地扩展通信系统中手持对讲机或车载机等的通信距离和通信能力，更加有效的促进系统资源的协调。</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系统组成：</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1、巡更点</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防水、防尘、防晒，易于安装，非接触式读取方式，无需布线，无需电源供应，可长期的保存数据；</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2、巡更对讲机</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基于PDT的数字对讲机，内置智能巡更芯片，可实现巡更和对讲的所有功能，而且不影响对讲机的通话质量；</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3、巡更巡检管理服务器</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管理人员可以系统上自定义巡逻线路、地点、人员、巡逻计划等，并提供详细的巡逻报表、查询、打印等功能。</w:t>
      </w:r>
    </w:p>
    <w:p>
      <w:pPr>
        <w:pStyle w:val="13"/>
        <w:snapToGrid w:val="0"/>
        <w:spacing w:before="156" w:after="156" w:line="360" w:lineRule="auto"/>
        <w:jc w:val="center"/>
        <w:rPr>
          <w:rFonts w:cs="宋体" w:asciiTheme="minorEastAsia" w:hAnsiTheme="minorEastAsia" w:eastAsiaTheme="minorEastAsia"/>
          <w:sz w:val="24"/>
          <w:szCs w:val="24"/>
        </w:rPr>
      </w:pPr>
    </w:p>
    <w:p>
      <w:pPr>
        <w:pStyle w:val="6"/>
        <w:rPr>
          <w:rFonts w:asciiTheme="minorEastAsia" w:hAnsiTheme="minorEastAsia"/>
          <w:sz w:val="24"/>
          <w:szCs w:val="24"/>
          <w:lang w:val="zh-CN"/>
        </w:rPr>
      </w:pPr>
      <w:bookmarkStart w:id="135" w:name="_Toc98182838"/>
      <w:r>
        <w:rPr>
          <w:rFonts w:hint="eastAsia" w:asciiTheme="minorEastAsia" w:hAnsiTheme="minorEastAsia"/>
          <w:sz w:val="24"/>
          <w:szCs w:val="24"/>
          <w:lang w:val="zh-CN"/>
        </w:rPr>
        <w:t>系统功能</w:t>
      </w:r>
      <w:bookmarkEnd w:id="135"/>
    </w:p>
    <w:p>
      <w:pPr>
        <w:snapToGrid w:val="0"/>
        <w:spacing w:line="360" w:lineRule="auto"/>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1、高度集成：将无线通讯技术与传统巡更技术向结合、资源共享，对讲机与巡更棒合二为一。在数字对讲机原有的功能基础上实现巡更的功能；</w:t>
      </w:r>
    </w:p>
    <w:p>
      <w:pPr>
        <w:snapToGrid w:val="0"/>
        <w:spacing w:line="360" w:lineRule="auto"/>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2、前沿技术：采用了射频身份识别（RFID）技术。实现了在对讲机内部嵌入射频读卡模块。</w:t>
      </w:r>
    </w:p>
    <w:p>
      <w:pPr>
        <w:snapToGrid w:val="0"/>
        <w:spacing w:line="360" w:lineRule="auto"/>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3、方便灵活：系统采用离线式，无需布线，安装简单，易携带，操作方便，性能可靠。系统扩容、线路变更容易且价格低；</w:t>
      </w:r>
    </w:p>
    <w:p>
      <w:pPr>
        <w:snapToGrid w:val="0"/>
        <w:spacing w:line="360" w:lineRule="auto"/>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4、性能稳定：不受温度、湿度，范围的影响，线路变更容易，又不宜被破坏；</w:t>
      </w:r>
    </w:p>
    <w:p>
      <w:pPr>
        <w:snapToGrid w:val="0"/>
        <w:spacing w:line="360" w:lineRule="auto"/>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5、没有干扰：与一般的无线巡更系统相比，数字无线巡更系统，避免发送巡更信息而影响对讲机通话质量；</w:t>
      </w:r>
    </w:p>
    <w:p>
      <w:pPr>
        <w:snapToGrid w:val="0"/>
        <w:spacing w:line="360" w:lineRule="auto"/>
        <w:ind w:firstLine="48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6、功能完善：灵活的线路设置和数据查询，分析功能；</w:t>
      </w:r>
    </w:p>
    <w:p>
      <w:pPr>
        <w:pStyle w:val="5"/>
        <w:rPr>
          <w:rFonts w:asciiTheme="minorEastAsia" w:hAnsiTheme="minorEastAsia" w:eastAsiaTheme="minorEastAsia"/>
          <w:sz w:val="24"/>
          <w:szCs w:val="24"/>
        </w:rPr>
      </w:pPr>
      <w:bookmarkStart w:id="136" w:name="_Toc81561499"/>
      <w:bookmarkStart w:id="137" w:name="_Toc98182839"/>
      <w:bookmarkStart w:id="138" w:name="_Toc24121"/>
      <w:bookmarkStart w:id="139" w:name="_Toc109376945"/>
      <w:bookmarkStart w:id="140" w:name="_Toc80875285"/>
      <w:r>
        <w:rPr>
          <w:rFonts w:hint="eastAsia" w:asciiTheme="minorEastAsia" w:hAnsiTheme="minorEastAsia" w:eastAsiaTheme="minorEastAsia"/>
          <w:sz w:val="24"/>
          <w:szCs w:val="24"/>
        </w:rPr>
        <w:t>安全防范综合管理平台</w:t>
      </w:r>
      <w:bookmarkEnd w:id="136"/>
      <w:bookmarkEnd w:id="137"/>
      <w:bookmarkEnd w:id="138"/>
      <w:bookmarkEnd w:id="139"/>
      <w:bookmarkEnd w:id="140"/>
    </w:p>
    <w:p>
      <w:pPr>
        <w:snapToGrid w:val="0"/>
        <w:spacing w:line="360" w:lineRule="auto"/>
        <w:ind w:firstLine="480"/>
        <w:rPr>
          <w:rFonts w:cs="宋体" w:asciiTheme="minorEastAsia" w:hAnsiTheme="minorEastAsia" w:eastAsiaTheme="minorEastAsia"/>
          <w:sz w:val="24"/>
          <w:szCs w:val="24"/>
        </w:rPr>
      </w:pPr>
      <w:bookmarkStart w:id="141" w:name="_Toc480462091"/>
      <w:bookmarkEnd w:id="141"/>
      <w:bookmarkStart w:id="142" w:name="_Toc480546530"/>
      <w:bookmarkEnd w:id="142"/>
      <w:bookmarkStart w:id="143" w:name="_Toc480537457"/>
      <w:bookmarkEnd w:id="143"/>
      <w:bookmarkStart w:id="144" w:name="_Toc480531675"/>
      <w:bookmarkEnd w:id="144"/>
      <w:bookmarkStart w:id="145" w:name="_Toc480461885"/>
      <w:bookmarkEnd w:id="145"/>
      <w:bookmarkStart w:id="146" w:name="_Toc480461614"/>
      <w:bookmarkEnd w:id="146"/>
      <w:bookmarkStart w:id="147" w:name="_Toc480463297"/>
      <w:bookmarkEnd w:id="147"/>
      <w:bookmarkStart w:id="148" w:name="_Toc480462297"/>
      <w:bookmarkEnd w:id="148"/>
      <w:bookmarkStart w:id="149" w:name="_Toc480466426"/>
      <w:bookmarkEnd w:id="149"/>
      <w:r>
        <w:rPr>
          <w:rFonts w:hint="eastAsia" w:cs="宋体" w:asciiTheme="minorEastAsia" w:hAnsiTheme="minorEastAsia" w:eastAsiaTheme="minorEastAsia"/>
          <w:sz w:val="24"/>
          <w:szCs w:val="24"/>
        </w:rPr>
        <w:t>综合安防管理平台采用组件架构，每个组件承担不同能力，从能力上分为共性业务组件、通用服务组件、基础环境组件。</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共性业务整体分为：视频监控业务、一卡通业务、车辆管理业务、报警检测业务、综合管控、网络管理和系统管理，每类业务由各自领域的组件组合而成。业务组件依赖通用服务组件及基础环境组件的能力。</w:t>
      </w:r>
    </w:p>
    <w:p>
      <w:pPr>
        <w:snapToGrid w:val="0"/>
        <w:spacing w:line="360" w:lineRule="auto"/>
        <w:ind w:firstLine="482"/>
        <w:rPr>
          <w:rFonts w:cs="宋体" w:asciiTheme="minorEastAsia" w:hAnsiTheme="minorEastAsia" w:eastAsiaTheme="minorEastAsia"/>
          <w:b/>
          <w:sz w:val="24"/>
          <w:szCs w:val="24"/>
        </w:rPr>
      </w:pPr>
      <w:bookmarkStart w:id="150" w:name="_Toc525909074"/>
      <w:r>
        <w:rPr>
          <w:rFonts w:hint="eastAsia" w:cs="宋体" w:asciiTheme="minorEastAsia" w:hAnsiTheme="minorEastAsia" w:eastAsiaTheme="minorEastAsia"/>
          <w:b/>
          <w:sz w:val="24"/>
          <w:szCs w:val="24"/>
        </w:rPr>
        <w:t>1、报警检测</w:t>
      </w:r>
      <w:bookmarkEnd w:id="150"/>
    </w:p>
    <w:p>
      <w:pPr>
        <w:pStyle w:val="62"/>
        <w:snapToGrid w:val="0"/>
        <w:rPr>
          <w:rFonts w:cs="宋体" w:asciiTheme="minorEastAsia" w:hAnsiTheme="minorEastAsia" w:eastAsiaTheme="minorEastAsia"/>
          <w:szCs w:val="24"/>
        </w:rPr>
      </w:pPr>
      <w:bookmarkStart w:id="151" w:name="_Toc430780060"/>
      <w:bookmarkEnd w:id="151"/>
      <w:bookmarkStart w:id="152" w:name="_Toc430694289"/>
      <w:bookmarkEnd w:id="152"/>
      <w:bookmarkStart w:id="153" w:name="_Toc430694087"/>
      <w:bookmarkEnd w:id="153"/>
      <w:bookmarkStart w:id="154" w:name="_Toc430694489"/>
      <w:bookmarkEnd w:id="154"/>
      <w:bookmarkStart w:id="155" w:name="_Toc430693716"/>
      <w:bookmarkEnd w:id="155"/>
      <w:bookmarkStart w:id="156" w:name="_Toc430779858"/>
      <w:bookmarkEnd w:id="156"/>
      <w:bookmarkStart w:id="157" w:name="_Toc430694687"/>
      <w:bookmarkEnd w:id="157"/>
      <w:bookmarkStart w:id="158" w:name="_Toc430694688"/>
      <w:bookmarkEnd w:id="158"/>
      <w:bookmarkStart w:id="159" w:name="_Toc430780059"/>
      <w:bookmarkEnd w:id="159"/>
      <w:bookmarkStart w:id="160" w:name="_Toc430693717"/>
      <w:bookmarkEnd w:id="160"/>
      <w:bookmarkStart w:id="161" w:name="_Toc525909071"/>
      <w:r>
        <w:rPr>
          <w:rFonts w:hint="eastAsia" w:cs="宋体" w:asciiTheme="minorEastAsia" w:hAnsiTheme="minorEastAsia" w:eastAsiaTheme="minorEastAsia"/>
          <w:szCs w:val="24"/>
        </w:rPr>
        <w:t>报警检测通过接入报警主机、紧急报警设备、雷达、消防设备和动环主机，配合各种探测器和传感器，对区域进行布防和对环境量监控。平台采用B/S架构配置、C/S架构控制结合的方式，通过报警设备、消防设备和动环设备的接入，实现防区的入侵报警、紧急求助、环境量检测、消防检测。</w:t>
      </w:r>
    </w:p>
    <w:p>
      <w:pPr>
        <w:snapToGrid w:val="0"/>
        <w:spacing w:line="360" w:lineRule="auto"/>
        <w:ind w:firstLine="482"/>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2、视频监控</w:t>
      </w:r>
      <w:bookmarkEnd w:id="161"/>
    </w:p>
    <w:p>
      <w:pPr>
        <w:pStyle w:val="62"/>
        <w:snapToGrid w:val="0"/>
        <w:rPr>
          <w:rFonts w:cs="宋体" w:asciiTheme="minorEastAsia" w:hAnsiTheme="minorEastAsia" w:eastAsiaTheme="minorEastAsia"/>
          <w:szCs w:val="24"/>
        </w:rPr>
      </w:pPr>
      <w:r>
        <w:rPr>
          <w:rFonts w:hint="eastAsia" w:cs="宋体" w:asciiTheme="minorEastAsia" w:hAnsiTheme="minorEastAsia" w:eastAsiaTheme="minorEastAsia"/>
          <w:szCs w:val="24"/>
        </w:rPr>
        <w:t>平台视频监控系统通过对前端编码设备及中心传输显示、解码设备的集中管理和业务配置，提供了视频监控，解码上墙和图片查询等应用。</w:t>
      </w:r>
    </w:p>
    <w:p>
      <w:pPr>
        <w:snapToGrid w:val="0"/>
        <w:spacing w:line="360" w:lineRule="auto"/>
        <w:ind w:firstLine="482"/>
        <w:rPr>
          <w:rFonts w:cs="宋体" w:asciiTheme="minorEastAsia" w:hAnsiTheme="minorEastAsia" w:eastAsiaTheme="minorEastAsia"/>
          <w:b/>
          <w:sz w:val="24"/>
          <w:szCs w:val="24"/>
        </w:rPr>
      </w:pPr>
      <w:bookmarkStart w:id="162" w:name="_Toc525909072"/>
      <w:r>
        <w:rPr>
          <w:rFonts w:hint="eastAsia" w:cs="宋体" w:asciiTheme="minorEastAsia" w:hAnsiTheme="minorEastAsia" w:eastAsiaTheme="minorEastAsia"/>
          <w:b/>
          <w:sz w:val="24"/>
          <w:szCs w:val="24"/>
        </w:rPr>
        <w:t>3、一卡通</w:t>
      </w:r>
      <w:bookmarkEnd w:id="162"/>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卡通业务包括门禁管理组件、人员发卡组件、梯控组件、可视对讲组件、访客管理组件、考勤管理组件、巡更组件、食堂消费管理组件，利用卡片、人脸、指纹等媒介，实现身份识别、出入管控、巡更、考勤、食堂消费等智能应用。采用B/S架构配置、C/S架构控制结合的方式对资源、卡片、人员、权限等进行一体化管理，实现设备接入、业务配置和功能应用。满足用户对出入口安全需求的同时，给予统一、集中、系统化管理的解决方案。</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从应用安全性、便利性等方面出发，推荐使用人脸作为授权和通行的唯一标识，即实现一脸通。</w:t>
      </w:r>
    </w:p>
    <w:p>
      <w:pPr>
        <w:snapToGrid w:val="0"/>
        <w:spacing w:line="360" w:lineRule="auto"/>
        <w:ind w:firstLine="482"/>
        <w:rPr>
          <w:rFonts w:cs="宋体" w:asciiTheme="minorEastAsia" w:hAnsiTheme="minorEastAsia" w:eastAsiaTheme="minorEastAsia"/>
          <w:b/>
          <w:sz w:val="24"/>
          <w:szCs w:val="24"/>
        </w:rPr>
      </w:pPr>
      <w:bookmarkStart w:id="163" w:name="_Toc525909073"/>
      <w:r>
        <w:rPr>
          <w:rFonts w:hint="eastAsia" w:cs="宋体" w:asciiTheme="minorEastAsia" w:hAnsiTheme="minorEastAsia" w:eastAsiaTheme="minorEastAsia"/>
          <w:b/>
          <w:sz w:val="24"/>
          <w:szCs w:val="24"/>
        </w:rPr>
        <w:t>4、车辆</w:t>
      </w:r>
      <w:bookmarkEnd w:id="163"/>
      <w:r>
        <w:rPr>
          <w:rFonts w:hint="eastAsia" w:cs="宋体" w:asciiTheme="minorEastAsia" w:hAnsiTheme="minorEastAsia" w:eastAsiaTheme="minorEastAsia"/>
          <w:b/>
          <w:sz w:val="24"/>
          <w:szCs w:val="24"/>
        </w:rPr>
        <w:t>管理</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利用车牌识别、GPS定位、雷达测速等技术，实现车辆的停车收费管理、行车全程监控、**训练基地测速布控。采用B/S架构配置、C/S架构控制结合的方式实现设备接入、业务配置和功能应用。</w:t>
      </w:r>
    </w:p>
    <w:p>
      <w:pPr>
        <w:snapToGrid w:val="0"/>
        <w:spacing w:line="360" w:lineRule="auto"/>
        <w:ind w:firstLine="482"/>
        <w:rPr>
          <w:rFonts w:cs="宋体" w:asciiTheme="minorEastAsia" w:hAnsiTheme="minorEastAsia" w:eastAsiaTheme="minorEastAsia"/>
          <w:b/>
          <w:sz w:val="24"/>
          <w:szCs w:val="24"/>
        </w:rPr>
      </w:pPr>
      <w:bookmarkStart w:id="164" w:name="_Toc525909075"/>
      <w:r>
        <w:rPr>
          <w:rFonts w:hint="eastAsia" w:cs="宋体" w:asciiTheme="minorEastAsia" w:hAnsiTheme="minorEastAsia" w:eastAsiaTheme="minorEastAsia"/>
          <w:b/>
          <w:sz w:val="24"/>
          <w:szCs w:val="24"/>
        </w:rPr>
        <w:t>5、网络管理</w:t>
      </w:r>
      <w:bookmarkEnd w:id="164"/>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网络管理提供对视频设备状态巡检、录像监控、视频诊断、告警查询，以及门禁设备、停车场设备的状态巡检，实现对视频监控系统、门禁系统和停车场系统的可视、可控、可管理，提升故障发现、处置效率，保证视频、门禁、停车场系统的可靠运行，实现对视频、门禁、停车场设备“全天候、全过程、全方位”的集中监控、集中展现、集中维护。</w:t>
      </w:r>
    </w:p>
    <w:p>
      <w:pPr>
        <w:snapToGrid w:val="0"/>
        <w:spacing w:line="360" w:lineRule="auto"/>
        <w:ind w:firstLine="482"/>
        <w:rPr>
          <w:rFonts w:cs="宋体" w:asciiTheme="minorEastAsia" w:hAnsiTheme="minorEastAsia" w:eastAsiaTheme="minorEastAsia"/>
          <w:b/>
          <w:sz w:val="24"/>
          <w:szCs w:val="24"/>
        </w:rPr>
      </w:pPr>
      <w:bookmarkStart w:id="165" w:name="_Toc525909070"/>
      <w:r>
        <w:rPr>
          <w:rFonts w:hint="eastAsia" w:cs="宋体" w:asciiTheme="minorEastAsia" w:hAnsiTheme="minorEastAsia" w:eastAsiaTheme="minorEastAsia"/>
          <w:b/>
          <w:sz w:val="24"/>
          <w:szCs w:val="24"/>
        </w:rPr>
        <w:t>6、综合管控</w:t>
      </w:r>
      <w:bookmarkEnd w:id="165"/>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综合管控组件提供丰富的业务联动和集成应用，用于事件的监控、检索、查看，基于电子地图的图上监控以及基于视频结构化技术的智能应用。基于红外测温技术，可实现针对人体的精准测温。高空抛物溯源应用配合精确的视频算法，实现针对高层建筑高空抛物事件的实时预警和处置闭环；</w:t>
      </w:r>
    </w:p>
    <w:p>
      <w:pPr>
        <w:snapToGrid w:val="0"/>
        <w:spacing w:line="360" w:lineRule="auto"/>
        <w:ind w:firstLine="482"/>
        <w:rPr>
          <w:rFonts w:cs="宋体" w:asciiTheme="minorEastAsia" w:hAnsiTheme="minorEastAsia" w:eastAsiaTheme="minorEastAsia"/>
          <w:b/>
          <w:sz w:val="24"/>
          <w:szCs w:val="24"/>
        </w:rPr>
      </w:pPr>
      <w:bookmarkStart w:id="166" w:name="_Toc525909076"/>
      <w:r>
        <w:rPr>
          <w:rFonts w:hint="eastAsia" w:cs="宋体" w:asciiTheme="minorEastAsia" w:hAnsiTheme="minorEastAsia" w:eastAsiaTheme="minorEastAsia"/>
          <w:b/>
          <w:sz w:val="24"/>
          <w:szCs w:val="24"/>
        </w:rPr>
        <w:t>7、系统管理</w:t>
      </w:r>
      <w:bookmarkEnd w:id="166"/>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管理实现对安保基础数据（人员/组织/车辆）、用户权限、安保区域、设备管理、综合管控配置、视频监控配置、一卡通配置、车辆管控配置、报警检测配置、网络管理配置、高级参数配置、界面配置等配置操作进行集中管理。</w:t>
      </w:r>
    </w:p>
    <w:p>
      <w:pPr>
        <w:pStyle w:val="4"/>
        <w:numPr>
          <w:ilvl w:val="0"/>
          <w:numId w:val="0"/>
        </w:numPr>
        <w:rPr>
          <w:rFonts w:asciiTheme="minorEastAsia" w:hAnsiTheme="minorEastAsia"/>
          <w:sz w:val="24"/>
          <w:szCs w:val="24"/>
        </w:rPr>
      </w:pPr>
      <w:bookmarkStart w:id="167" w:name="_Toc98182843"/>
      <w:bookmarkStart w:id="168" w:name="_Toc13419"/>
      <w:bookmarkStart w:id="169" w:name="_Toc13375"/>
      <w:bookmarkStart w:id="170" w:name="_Toc109376946"/>
      <w:r>
        <w:rPr>
          <w:rFonts w:hint="eastAsia" w:asciiTheme="minorEastAsia" w:hAnsiTheme="minorEastAsia"/>
          <w:sz w:val="24"/>
          <w:szCs w:val="24"/>
        </w:rPr>
        <w:t>基地消控中心</w:t>
      </w:r>
      <w:bookmarkEnd w:id="167"/>
      <w:bookmarkEnd w:id="168"/>
      <w:bookmarkEnd w:id="169"/>
      <w:r>
        <w:rPr>
          <w:rFonts w:hint="eastAsia" w:asciiTheme="minorEastAsia" w:hAnsiTheme="minorEastAsia"/>
          <w:sz w:val="24"/>
          <w:szCs w:val="24"/>
        </w:rPr>
        <w:t>网络汇聚间</w:t>
      </w:r>
      <w:bookmarkEnd w:id="170"/>
    </w:p>
    <w:p>
      <w:pPr>
        <w:pStyle w:val="5"/>
        <w:rPr>
          <w:rFonts w:asciiTheme="minorEastAsia" w:hAnsiTheme="minorEastAsia" w:eastAsiaTheme="minorEastAsia"/>
          <w:sz w:val="24"/>
          <w:szCs w:val="24"/>
        </w:rPr>
      </w:pPr>
      <w:bookmarkStart w:id="171" w:name="_Toc109376947"/>
      <w:r>
        <w:rPr>
          <w:rFonts w:hint="eastAsia" w:asciiTheme="minorEastAsia" w:hAnsiTheme="minorEastAsia" w:eastAsiaTheme="minorEastAsia"/>
          <w:sz w:val="24"/>
          <w:szCs w:val="24"/>
        </w:rPr>
        <w:t>建设目标</w:t>
      </w:r>
      <w:bookmarkEnd w:id="171"/>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弱电基地消控中心网络汇聚间，是保障**训练基地信息系统稳定、可靠运行的关键，为训练基地信息系统提供一个安全舒适、高效节能的设备运行环境，创造一个信息化高效管理的工作条件。</w:t>
      </w:r>
    </w:p>
    <w:p>
      <w:pPr>
        <w:pStyle w:val="5"/>
        <w:rPr>
          <w:rFonts w:asciiTheme="minorEastAsia" w:hAnsiTheme="minorEastAsia" w:eastAsiaTheme="minorEastAsia"/>
          <w:sz w:val="24"/>
          <w:szCs w:val="24"/>
        </w:rPr>
      </w:pPr>
      <w:bookmarkStart w:id="172" w:name="_Toc18818"/>
      <w:bookmarkStart w:id="173" w:name="_Toc81561506"/>
      <w:bookmarkStart w:id="174" w:name="_Toc80875292"/>
      <w:bookmarkStart w:id="175" w:name="_Toc98182845"/>
      <w:bookmarkStart w:id="176" w:name="_Toc109376948"/>
      <w:r>
        <w:rPr>
          <w:rFonts w:hint="eastAsia" w:asciiTheme="minorEastAsia" w:hAnsiTheme="minorEastAsia" w:eastAsiaTheme="minorEastAsia"/>
          <w:sz w:val="24"/>
          <w:szCs w:val="24"/>
        </w:rPr>
        <w:t>系统设计</w:t>
      </w:r>
      <w:bookmarkEnd w:id="172"/>
      <w:bookmarkEnd w:id="173"/>
      <w:bookmarkEnd w:id="174"/>
      <w:bookmarkEnd w:id="175"/>
      <w:bookmarkEnd w:id="176"/>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消控中心设置4套操作台，1台普通空调，并配置监控3*</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拼接屏电视墙。通过拼接处理器，单台屏幕分割成9画面轮训播放监控画面，也可调整成多屏幕显示一个重点监控画面。后期根据要求，配置播放预案。</w:t>
      </w:r>
    </w:p>
    <w:p>
      <w:pPr>
        <w:pStyle w:val="6"/>
        <w:rPr>
          <w:rFonts w:asciiTheme="minorEastAsia" w:hAnsiTheme="minorEastAsia"/>
          <w:sz w:val="24"/>
          <w:szCs w:val="24"/>
        </w:rPr>
      </w:pPr>
      <w:bookmarkStart w:id="177" w:name="_Toc98182847"/>
      <w:bookmarkStart w:id="178" w:name="_Toc81561508"/>
      <w:bookmarkStart w:id="179" w:name="_Toc80875294"/>
      <w:r>
        <w:rPr>
          <w:rFonts w:hint="eastAsia" w:asciiTheme="minorEastAsia" w:hAnsiTheme="minorEastAsia"/>
          <w:sz w:val="24"/>
          <w:szCs w:val="24"/>
        </w:rPr>
        <w:t>灭火系统</w:t>
      </w:r>
      <w:bookmarkEnd w:id="177"/>
      <w:bookmarkEnd w:id="178"/>
      <w:bookmarkEnd w:id="179"/>
    </w:p>
    <w:p>
      <w:pPr>
        <w:pStyle w:val="56"/>
        <w:snapToGrid w:val="0"/>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sz w:val="24"/>
        </w:rPr>
        <w:t>金华市**训练基地网络汇聚间采二氧化碳灭火器。</w:t>
      </w:r>
    </w:p>
    <w:p>
      <w:pPr>
        <w:pStyle w:val="6"/>
        <w:rPr>
          <w:rFonts w:asciiTheme="minorEastAsia" w:hAnsiTheme="minorEastAsia"/>
          <w:sz w:val="24"/>
          <w:szCs w:val="24"/>
        </w:rPr>
      </w:pPr>
      <w:bookmarkStart w:id="180" w:name="_Toc81561510"/>
      <w:bookmarkStart w:id="181" w:name="_Toc98182848"/>
      <w:bookmarkStart w:id="182" w:name="_Toc80875296"/>
      <w:r>
        <w:rPr>
          <w:rFonts w:hint="eastAsia" w:asciiTheme="minorEastAsia" w:hAnsiTheme="minorEastAsia"/>
          <w:sz w:val="24"/>
          <w:szCs w:val="24"/>
        </w:rPr>
        <w:t>防雷接地系统</w:t>
      </w:r>
      <w:bookmarkEnd w:id="180"/>
      <w:bookmarkEnd w:id="181"/>
      <w:bookmarkEnd w:id="182"/>
    </w:p>
    <w:p>
      <w:pPr>
        <w:pStyle w:val="57"/>
        <w:snapToGrid w:val="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根据《建筑物电子信息系统防雷技术规范》GB50343-2012相关内容，按雷击风险评估确定本工程建筑物电子信息系统雷电防护等级为A级。为防止汇聚间的重要设备不被雷击和浪涌损坏，在各UPS输出配电柜内设二级浪涌保护器，各楼层配电箱设三级浪涌保护器；各汇聚间及各IDF间的机柜等电源均采用带浪涌保护器的电源插座。弱电各系统模拟线缆室外引入室内接入设备前均需设浪涌保护器，光缆的所有金属接头、金属挡潮层或金属加强芯等应在两端入户处直接接地。</w:t>
      </w:r>
    </w:p>
    <w:p>
      <w:pPr>
        <w:pStyle w:val="57"/>
        <w:snapToGrid w:val="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2.本工程采用TN-S系统的接地方式，设备采用M型等电位联结方式。</w:t>
      </w:r>
    </w:p>
    <w:p>
      <w:pPr>
        <w:pStyle w:val="57"/>
        <w:snapToGrid w:val="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3.静电地板下设30x3等电位汇流铜排，各房间汇流铜排不少于2处与等电位箱连接，等电位箱由电气专业提供。</w:t>
      </w:r>
    </w:p>
    <w:p>
      <w:pPr>
        <w:pStyle w:val="57"/>
        <w:snapToGrid w:val="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4.所有机柜均采用2根不同长度的BYJR-1x16mm²导线接到等电位汇流铜排上，各静电地板采用2根不同长度的BYJR-1x16mm²导线接到等电位汇流铜排上；机柜内设备均需分别采用1根BYJR-1x6mm²导线接到机柜接地桩上。</w:t>
      </w:r>
    </w:p>
    <w:p>
      <w:pPr>
        <w:pStyle w:val="6"/>
        <w:rPr>
          <w:rFonts w:asciiTheme="minorEastAsia" w:hAnsiTheme="minorEastAsia"/>
          <w:sz w:val="24"/>
          <w:szCs w:val="24"/>
        </w:rPr>
      </w:pPr>
      <w:bookmarkStart w:id="183" w:name="_Toc81561511"/>
      <w:bookmarkStart w:id="184" w:name="_Toc98182849"/>
      <w:bookmarkStart w:id="185" w:name="_Toc80875297"/>
      <w:r>
        <w:rPr>
          <w:rFonts w:hint="eastAsia" w:asciiTheme="minorEastAsia" w:hAnsiTheme="minorEastAsia"/>
          <w:sz w:val="24"/>
          <w:szCs w:val="24"/>
        </w:rPr>
        <w:t>UPS系统</w:t>
      </w:r>
      <w:bookmarkEnd w:id="183"/>
      <w:bookmarkEnd w:id="184"/>
      <w:bookmarkEnd w:id="185"/>
    </w:p>
    <w:p>
      <w:pPr>
        <w:pStyle w:val="56"/>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金华市**训练基地UPS的需求只对汇聚间设备、出入口设备等重要设备提供不间断电源；电池后备时间按≥1小时设计。</w:t>
      </w:r>
    </w:p>
    <w:p>
      <w:pPr>
        <w:pStyle w:val="57"/>
        <w:snapToGrid w:val="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本工程引入各汇聚间的市电由强电专业完成，计算机用电设备和动力用电设备独立设配电柜及配电回路。</w:t>
      </w:r>
    </w:p>
    <w:p>
      <w:pPr>
        <w:pStyle w:val="6"/>
        <w:rPr>
          <w:rFonts w:asciiTheme="minorEastAsia" w:hAnsiTheme="minorEastAsia"/>
          <w:sz w:val="24"/>
          <w:szCs w:val="24"/>
        </w:rPr>
      </w:pPr>
      <w:bookmarkStart w:id="186" w:name="_Toc81561512"/>
      <w:bookmarkStart w:id="187" w:name="_Toc98182850"/>
      <w:bookmarkStart w:id="188" w:name="_Toc80875298"/>
      <w:r>
        <w:rPr>
          <w:rFonts w:hint="eastAsia" w:asciiTheme="minorEastAsia" w:hAnsiTheme="minorEastAsia"/>
          <w:sz w:val="24"/>
          <w:szCs w:val="24"/>
        </w:rPr>
        <w:t>空调系统</w:t>
      </w:r>
      <w:bookmarkEnd w:id="186"/>
      <w:bookmarkEnd w:id="187"/>
      <w:bookmarkEnd w:id="188"/>
    </w:p>
    <w:p>
      <w:pPr>
        <w:pStyle w:val="56"/>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金华**训练基地网络汇聚间采用2台5P柜式普通空调进行温度控制，消控中心采用1台5P柜式普通空调。</w:t>
      </w:r>
    </w:p>
    <w:p>
      <w:pPr>
        <w:pStyle w:val="4"/>
        <w:numPr>
          <w:ilvl w:val="0"/>
          <w:numId w:val="0"/>
        </w:numPr>
        <w:rPr>
          <w:rFonts w:asciiTheme="minorEastAsia" w:hAnsiTheme="minorEastAsia"/>
          <w:sz w:val="24"/>
          <w:szCs w:val="24"/>
        </w:rPr>
      </w:pPr>
      <w:bookmarkStart w:id="189" w:name="_Toc81852625"/>
      <w:bookmarkStart w:id="190" w:name="_Toc81561514"/>
      <w:bookmarkStart w:id="191" w:name="_Toc12861"/>
      <w:bookmarkStart w:id="192" w:name="_Toc109376949"/>
      <w:bookmarkStart w:id="193" w:name="_Toc98182852"/>
      <w:bookmarkStart w:id="194" w:name="_Toc8310"/>
      <w:bookmarkStart w:id="195" w:name="_Toc6708"/>
      <w:r>
        <w:rPr>
          <w:rFonts w:hint="eastAsia" w:asciiTheme="minorEastAsia" w:hAnsiTheme="minorEastAsia"/>
          <w:sz w:val="24"/>
          <w:szCs w:val="24"/>
        </w:rPr>
        <w:t>室外</w:t>
      </w:r>
      <w:bookmarkEnd w:id="189"/>
      <w:bookmarkEnd w:id="190"/>
      <w:bookmarkEnd w:id="191"/>
      <w:r>
        <w:rPr>
          <w:rFonts w:hint="eastAsia" w:asciiTheme="minorEastAsia" w:hAnsiTheme="minorEastAsia"/>
          <w:sz w:val="24"/>
          <w:szCs w:val="24"/>
        </w:rPr>
        <w:t>管线</w:t>
      </w:r>
      <w:bookmarkEnd w:id="192"/>
      <w:bookmarkEnd w:id="193"/>
      <w:bookmarkEnd w:id="194"/>
      <w:bookmarkEnd w:id="195"/>
    </w:p>
    <w:p>
      <w:pPr>
        <w:pStyle w:val="5"/>
        <w:rPr>
          <w:rFonts w:asciiTheme="minorEastAsia" w:hAnsiTheme="minorEastAsia" w:eastAsiaTheme="minorEastAsia"/>
          <w:sz w:val="24"/>
          <w:szCs w:val="24"/>
        </w:rPr>
      </w:pPr>
      <w:bookmarkStart w:id="196" w:name="_Toc109376950"/>
      <w:r>
        <w:rPr>
          <w:rFonts w:hint="eastAsia" w:asciiTheme="minorEastAsia" w:hAnsiTheme="minorEastAsia" w:eastAsiaTheme="minorEastAsia"/>
          <w:sz w:val="24"/>
          <w:szCs w:val="24"/>
        </w:rPr>
        <w:t>建设目标</w:t>
      </w:r>
      <w:bookmarkEnd w:id="196"/>
    </w:p>
    <w:p>
      <w:pPr>
        <w:pStyle w:val="56"/>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金华**训练基地占地面积大，管理范围广，周界长，又有中央的景观湖，基地建筑、训练场地、功能区域分布在基地各处，同样信息化基础设备也布及基地各处。基地的外界周边和景观湖周边也需要信息化基础设备来进行管理。所以需要建设信息化室外综合管线系统，将整个基地的信息化设备互联互通，统一平台管理。</w:t>
      </w:r>
    </w:p>
    <w:p>
      <w:pPr>
        <w:pStyle w:val="5"/>
        <w:rPr>
          <w:rFonts w:cs="宋体" w:asciiTheme="minorEastAsia" w:hAnsiTheme="minorEastAsia" w:eastAsiaTheme="minorEastAsia"/>
          <w:sz w:val="24"/>
          <w:szCs w:val="24"/>
        </w:rPr>
      </w:pPr>
      <w:bookmarkStart w:id="197" w:name="_Toc109376951"/>
      <w:r>
        <w:rPr>
          <w:rFonts w:hint="eastAsia" w:asciiTheme="minorEastAsia" w:hAnsiTheme="minorEastAsia" w:eastAsiaTheme="minorEastAsia"/>
          <w:sz w:val="24"/>
          <w:szCs w:val="24"/>
        </w:rPr>
        <w:t>系统设计</w:t>
      </w:r>
      <w:bookmarkEnd w:id="197"/>
    </w:p>
    <w:p>
      <w:pPr>
        <w:pStyle w:val="56"/>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本次室外管路工程处楼与楼之间的室外管路工程由土建总包负责，其它室外区域弱电管路工程由本次信息化项目设计。室外设备的连接光缆、弱电线缆由本次设计考虑。</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本次室外管路设计要求，景观带等区域敷设2*PE32管，过沥青马路或水泥硬质路面，采用2*SC32镀锌钢管敷设。遇拐角区域需设置手孔井方便线缆拐弯，手孔井大小参照国家建筑标准设计图集09X700（上）规格要求。</w:t>
      </w:r>
    </w:p>
    <w:p>
      <w:pPr>
        <w:pStyle w:val="56"/>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室外主干采用千兆单模12芯光纤，双路由设计；室外设备采用4芯室外光缆到安防箱，安防箱采用6类线缆到设备，设备供电采用POE方式。交换机供电则通过管路接就近集中供电箱。</w:t>
      </w:r>
    </w:p>
    <w:p>
      <w:pPr>
        <w:pStyle w:val="56"/>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室外弱电管路应避免与燃气管道、高压电力电缆在道路上同侧敷设，当不可避免时，当不可避免时，应与其它管线敷设距离满足最小净距的要求。</w:t>
      </w:r>
    </w:p>
    <w:p>
      <w:pPr>
        <w:pStyle w:val="56"/>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所有穿过建筑物伸缩缝、沉降缝、后浇带的管线应参照98D301-2的17和18页做法施工。</w:t>
      </w:r>
    </w:p>
    <w:p>
      <w:pPr>
        <w:pStyle w:val="56"/>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室外布置室外智能安防箱，放置信息化基础设备。</w:t>
      </w:r>
    </w:p>
    <w:p>
      <w:pPr>
        <w:pStyle w:val="2"/>
        <w:adjustRightInd w:val="0"/>
        <w:snapToGrid w:val="0"/>
        <w:spacing w:beforeAutospacing="0" w:afterAutospacing="0"/>
        <w:rPr>
          <w:sz w:val="28"/>
          <w:szCs w:val="28"/>
        </w:rPr>
      </w:pPr>
      <w:bookmarkStart w:id="198" w:name="_Toc58847883"/>
      <w:r>
        <w:rPr>
          <w:sz w:val="28"/>
          <w:szCs w:val="28"/>
        </w:rPr>
        <w:t>1</w:t>
      </w:r>
      <w:r>
        <w:rPr>
          <w:rFonts w:hint="default"/>
          <w:sz w:val="28"/>
          <w:szCs w:val="28"/>
        </w:rPr>
        <w:t>.4</w:t>
      </w:r>
      <w:r>
        <w:rPr>
          <w:sz w:val="28"/>
          <w:szCs w:val="28"/>
        </w:rPr>
        <w:t>技术、服务、供货与集成需求说明</w:t>
      </w:r>
    </w:p>
    <w:p>
      <w:pPr>
        <w:snapToGrid w:val="0"/>
        <w:spacing w:line="500" w:lineRule="exact"/>
        <w:ind w:firstLine="481" w:firstLineChars="200"/>
        <w:rPr>
          <w:rFonts w:ascii="宋体" w:hAnsi="宋体" w:cs="宋体"/>
          <w:sz w:val="24"/>
          <w:szCs w:val="24"/>
        </w:rPr>
      </w:pPr>
      <w:r>
        <w:rPr>
          <w:rFonts w:hint="eastAsia" w:ascii="宋体" w:hAnsi="宋体" w:cs="宋体"/>
          <w:b/>
          <w:sz w:val="24"/>
          <w:szCs w:val="24"/>
        </w:rPr>
        <w:t>1、设备说明</w:t>
      </w:r>
      <w:r>
        <w:rPr>
          <w:rFonts w:hint="eastAsia" w:ascii="宋体" w:hAnsi="宋体" w:cs="宋体"/>
          <w:sz w:val="24"/>
          <w:szCs w:val="24"/>
        </w:rPr>
        <w:t>：</w:t>
      </w:r>
    </w:p>
    <w:p>
      <w:pPr>
        <w:spacing w:line="500" w:lineRule="exact"/>
        <w:ind w:firstLine="480" w:firstLineChars="200"/>
        <w:rPr>
          <w:rFonts w:ascii="宋体" w:hAnsi="宋体" w:cs="宋体"/>
          <w:bCs/>
          <w:sz w:val="24"/>
          <w:szCs w:val="24"/>
        </w:rPr>
      </w:pPr>
      <w:r>
        <w:rPr>
          <w:rFonts w:hint="eastAsia" w:ascii="宋体" w:hAnsi="宋体" w:cs="宋体"/>
          <w:sz w:val="24"/>
          <w:szCs w:val="24"/>
        </w:rPr>
        <w:t>（1）投标人所投产品必须是全新的、未使用过的、符合有关质量检测标准的。所有设备须原包装到位，需要的</w:t>
      </w:r>
      <w:r>
        <w:rPr>
          <w:rFonts w:hint="eastAsia" w:ascii="宋体" w:hAnsi="宋体" w:cs="宋体"/>
          <w:b/>
          <w:sz w:val="24"/>
          <w:szCs w:val="24"/>
        </w:rPr>
        <w:t>配件必须是原包装到达采购方，未经采购方允许不得私自预先安装（原厂安装的除外）</w:t>
      </w:r>
      <w:r>
        <w:rPr>
          <w:rFonts w:hint="eastAsia" w:ascii="宋体" w:hAnsi="宋体" w:cs="宋体"/>
          <w:sz w:val="24"/>
          <w:szCs w:val="24"/>
        </w:rPr>
        <w:t>。本次采购的设备，采购方要求不低于以上主要技术指标的产品，投标人必须对其他的集成与技术差异提供说明（具体技术指标详见招标文件）</w:t>
      </w:r>
      <w:r>
        <w:rPr>
          <w:rFonts w:hint="eastAsia" w:ascii="宋体" w:hAnsi="宋体" w:cs="宋体"/>
          <w:bCs/>
          <w:sz w:val="24"/>
          <w:szCs w:val="24"/>
        </w:rPr>
        <w:t>，并在投标文件的商务技术文件中</w:t>
      </w:r>
      <w:r>
        <w:rPr>
          <w:rFonts w:hint="eastAsia" w:ascii="宋体" w:hAnsi="宋体" w:cs="宋体"/>
          <w:bCs/>
          <w:color w:val="000000" w:themeColor="text1"/>
          <w:sz w:val="24"/>
          <w:szCs w:val="24"/>
          <w14:textFill>
            <w14:solidFill>
              <w14:schemeClr w14:val="tx1"/>
            </w14:solidFill>
          </w14:textFill>
        </w:rPr>
        <w:t>按照清单中的要求</w:t>
      </w:r>
      <w:r>
        <w:rPr>
          <w:rFonts w:hint="eastAsia" w:ascii="宋体" w:hAnsi="宋体" w:cs="宋体"/>
          <w:bCs/>
          <w:sz w:val="24"/>
          <w:szCs w:val="24"/>
        </w:rPr>
        <w:t>提供投标产品的技术参数和检测报告、相关证书、官网链接、截图等证明文件。</w:t>
      </w:r>
    </w:p>
    <w:p>
      <w:pPr>
        <w:spacing w:line="500" w:lineRule="exact"/>
        <w:ind w:firstLine="480" w:firstLineChars="200"/>
        <w:rPr>
          <w:rFonts w:ascii="宋体" w:hAnsi="宋体" w:cs="宋体"/>
          <w:bCs/>
          <w:sz w:val="24"/>
          <w:szCs w:val="24"/>
        </w:rPr>
      </w:pPr>
      <w:r>
        <w:rPr>
          <w:rFonts w:hint="eastAsia" w:ascii="宋体" w:hAnsi="宋体" w:cs="宋体"/>
          <w:sz w:val="24"/>
          <w:szCs w:val="24"/>
        </w:rPr>
        <w:t>（2）</w:t>
      </w:r>
      <w:r>
        <w:rPr>
          <w:rFonts w:hint="eastAsia" w:ascii="宋体" w:hAnsi="宋体" w:cs="宋体"/>
          <w:bCs/>
          <w:color w:val="000000" w:themeColor="text1"/>
          <w:sz w:val="24"/>
          <w:szCs w:val="24"/>
          <w14:textFill>
            <w14:solidFill>
              <w14:schemeClr w14:val="tx1"/>
            </w14:solidFill>
          </w14:textFill>
        </w:rPr>
        <w:t>设备清单中</w:t>
      </w:r>
      <w:r>
        <w:rPr>
          <w:rFonts w:hint="eastAsia" w:ascii="宋体" w:hAnsi="宋体"/>
          <w:color w:val="000000" w:themeColor="text1"/>
          <w:sz w:val="24"/>
          <w:szCs w:val="24"/>
          <w14:textFill>
            <w14:solidFill>
              <w14:schemeClr w14:val="tx1"/>
            </w14:solidFill>
          </w14:textFill>
        </w:rPr>
        <w:t>标记“●”</w:t>
      </w:r>
      <w:r>
        <w:rPr>
          <w:rFonts w:hint="eastAsia" w:ascii="宋体" w:hAnsi="宋体" w:cs="宋体"/>
          <w:bCs/>
          <w:color w:val="000000" w:themeColor="text1"/>
          <w:sz w:val="24"/>
          <w:szCs w:val="24"/>
          <w14:textFill>
            <w14:solidFill>
              <w14:schemeClr w14:val="tx1"/>
            </w14:solidFill>
          </w14:textFill>
        </w:rPr>
        <w:t>的要求为</w:t>
      </w:r>
      <w:r>
        <w:rPr>
          <w:rFonts w:hint="eastAsia" w:ascii="宋体" w:hAnsi="宋体"/>
          <w:color w:val="000000" w:themeColor="text1"/>
          <w:sz w:val="24"/>
          <w:szCs w:val="24"/>
          <w14:textFill>
            <w14:solidFill>
              <w14:schemeClr w14:val="tx1"/>
            </w14:solidFill>
          </w14:textFill>
        </w:rPr>
        <w:t>关键技术参数</w:t>
      </w:r>
      <w:r>
        <w:rPr>
          <w:rFonts w:hint="eastAsia" w:ascii="宋体" w:hAnsi="宋体" w:cs="宋体"/>
          <w:bCs/>
          <w:color w:val="000000" w:themeColor="text1"/>
          <w:sz w:val="24"/>
          <w:szCs w:val="24"/>
          <w14:textFill>
            <w14:solidFill>
              <w14:schemeClr w14:val="tx1"/>
            </w14:solidFill>
          </w14:textFill>
        </w:rPr>
        <w:t>，为达到该要求，投标人需在设备清单中详细列明所提供的品牌、型号、配置数量等具体信息，未按照清单中的要求提供</w:t>
      </w:r>
      <w:r>
        <w:rPr>
          <w:rFonts w:hint="eastAsia" w:ascii="宋体" w:hAnsi="宋体" w:cs="宋体"/>
          <w:bCs/>
          <w:sz w:val="24"/>
          <w:szCs w:val="24"/>
        </w:rPr>
        <w:t>或提供不全相关产品资料以及评标委员会根据投标人提供的资料认为所选品牌型号、配置信息不能达到招标文件的技术指标、功能要求及品牌档次的，则在评审时将作出对其不利的评定，并有可能导致被判定为重大偏离。</w:t>
      </w:r>
    </w:p>
    <w:p>
      <w:pPr>
        <w:spacing w:line="500" w:lineRule="exact"/>
        <w:ind w:firstLine="480" w:firstLineChars="200"/>
        <w:rPr>
          <w:rFonts w:ascii="宋体" w:hAnsi="宋体" w:cs="宋体"/>
          <w:bCs/>
          <w:sz w:val="24"/>
          <w:szCs w:val="24"/>
        </w:rPr>
      </w:pPr>
      <w:r>
        <w:rPr>
          <w:rFonts w:hint="eastAsia" w:ascii="宋体" w:hAnsi="宋体" w:cs="宋体"/>
          <w:bCs/>
          <w:sz w:val="24"/>
          <w:szCs w:val="24"/>
        </w:rPr>
        <w:t>（3）投标人应确保投标所选用的设备、材料之间的兼容性，如评标时发现投标人投标选用的设备、材料存在不兼容性，将对其作出不利的评定，并有可能导致被判定为重大偏离。</w:t>
      </w:r>
    </w:p>
    <w:p>
      <w:pPr>
        <w:spacing w:line="500" w:lineRule="exact"/>
        <w:ind w:firstLine="480" w:firstLineChars="200"/>
        <w:rPr>
          <w:rFonts w:ascii="宋体" w:hAnsi="宋体" w:cs="宋体"/>
          <w:sz w:val="24"/>
          <w:szCs w:val="24"/>
        </w:rPr>
      </w:pPr>
      <w:r>
        <w:rPr>
          <w:rFonts w:hint="eastAsia" w:ascii="宋体" w:hAnsi="宋体" w:cs="宋体"/>
          <w:bCs/>
          <w:sz w:val="24"/>
          <w:szCs w:val="24"/>
        </w:rPr>
        <w:t>（4）如中标后在工程实施中发现选用的设备、材料存在不兼容性或招标方认为有必要，投标人应无条件同意在工程实施过程中采用由采购单位组织的专家组推荐品牌中任选一品牌，根据系统功能要求及技术参数选择相应型号及其相关材料进行替换，且合同价不变，投标人不得对此提出异议</w:t>
      </w:r>
      <w:r>
        <w:rPr>
          <w:rFonts w:hint="eastAsia" w:ascii="宋体" w:hAnsi="宋体" w:cs="宋体"/>
          <w:sz w:val="24"/>
          <w:szCs w:val="24"/>
        </w:rPr>
        <w:t>。</w:t>
      </w:r>
    </w:p>
    <w:p>
      <w:pPr>
        <w:spacing w:line="500" w:lineRule="exact"/>
        <w:ind w:firstLine="480" w:firstLineChars="200"/>
        <w:rPr>
          <w:rFonts w:ascii="宋体" w:hAnsi="宋体" w:cs="宋体"/>
          <w:sz w:val="24"/>
          <w:szCs w:val="24"/>
        </w:rPr>
      </w:pPr>
      <w:r>
        <w:rPr>
          <w:rFonts w:hint="eastAsia" w:ascii="宋体" w:hAnsi="宋体" w:cs="宋体"/>
          <w:bCs/>
          <w:sz w:val="24"/>
          <w:szCs w:val="24"/>
        </w:rPr>
        <w:t>（5）如采购方在所列设备清单存在不合理与不完善的，投标人能提出良好的解决方案与合理化建议的，将在评定时予以有利的评判</w:t>
      </w:r>
      <w:r>
        <w:rPr>
          <w:rFonts w:hint="eastAsia" w:ascii="宋体" w:hAnsi="宋体" w:cs="宋体"/>
          <w:sz w:val="24"/>
          <w:szCs w:val="24"/>
        </w:rPr>
        <w:t>。</w:t>
      </w:r>
    </w:p>
    <w:p>
      <w:pPr>
        <w:spacing w:line="500" w:lineRule="exact"/>
        <w:ind w:firstLine="481" w:firstLineChars="200"/>
        <w:rPr>
          <w:rFonts w:ascii="宋体" w:hAnsi="宋体" w:cs="宋体"/>
          <w:sz w:val="24"/>
          <w:szCs w:val="24"/>
        </w:rPr>
      </w:pPr>
      <w:r>
        <w:rPr>
          <w:rFonts w:hint="eastAsia" w:ascii="宋体" w:hAnsi="宋体" w:cs="宋体"/>
          <w:b/>
          <w:sz w:val="24"/>
          <w:szCs w:val="24"/>
        </w:rPr>
        <w:t>2.安装说明：</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（1）供货安装地点：由采购人指定。</w:t>
      </w:r>
    </w:p>
    <w:p>
      <w:pPr>
        <w:spacing w:line="500" w:lineRule="exact"/>
        <w:ind w:firstLine="480" w:firstLineChars="200"/>
        <w:rPr>
          <w:rFonts w:ascii="宋体" w:hAnsi="宋体" w:cs="宋体"/>
          <w:sz w:val="24"/>
          <w:szCs w:val="24"/>
        </w:rPr>
      </w:pPr>
      <w:r>
        <w:rPr>
          <w:rFonts w:hint="eastAsia" w:ascii="宋体" w:hAnsi="宋体" w:cs="宋体"/>
          <w:sz w:val="24"/>
          <w:szCs w:val="24"/>
        </w:rPr>
        <w:t>（2）中标单位应主动配合采购人进行施工前的准备工作</w:t>
      </w:r>
      <w:r>
        <w:rPr>
          <w:rFonts w:hint="eastAsia" w:ascii="宋体" w:hAnsi="宋体" w:cs="宋体"/>
          <w:b/>
          <w:bCs/>
          <w:sz w:val="24"/>
          <w:szCs w:val="24"/>
        </w:rPr>
        <w:t>，如：配合设计单位深化施工图设计，由中标单位提供相关资料，最终以设计单位提供的图纸为准</w:t>
      </w:r>
      <w:r>
        <w:rPr>
          <w:rFonts w:hint="eastAsia" w:ascii="宋体" w:hAnsi="宋体" w:cs="宋体"/>
          <w:sz w:val="24"/>
          <w:szCs w:val="24"/>
        </w:rPr>
        <w:t>。</w:t>
      </w:r>
    </w:p>
    <w:p>
      <w:pPr>
        <w:spacing w:line="500" w:lineRule="exact"/>
        <w:ind w:firstLine="480" w:firstLineChars="200"/>
        <w:rPr>
          <w:rFonts w:ascii="宋体" w:hAnsi="宋体" w:cs="宋体"/>
          <w:sz w:val="24"/>
          <w:szCs w:val="24"/>
        </w:rPr>
      </w:pPr>
      <w:r>
        <w:rPr>
          <w:rFonts w:hint="eastAsia" w:ascii="宋体" w:hAnsi="宋体" w:cs="宋体"/>
          <w:sz w:val="24"/>
          <w:szCs w:val="24"/>
        </w:rPr>
        <w:t>（3）中标单位应提供安装计划给采购人认可。写明详细的项目时间安排，明确完成时间及质保期内的完善、维修、保养服务措施等。</w:t>
      </w:r>
    </w:p>
    <w:p>
      <w:pPr>
        <w:spacing w:line="500" w:lineRule="exact"/>
        <w:ind w:firstLine="480" w:firstLineChars="200"/>
        <w:rPr>
          <w:rFonts w:ascii="宋体" w:hAnsi="宋体" w:cs="宋体"/>
          <w:sz w:val="24"/>
          <w:szCs w:val="24"/>
        </w:rPr>
      </w:pPr>
      <w:r>
        <w:rPr>
          <w:rFonts w:hint="eastAsia" w:ascii="宋体" w:hAnsi="宋体" w:cs="宋体"/>
          <w:sz w:val="24"/>
          <w:szCs w:val="24"/>
        </w:rPr>
        <w:t>（4）在得到采购人的认可后，中标单位应组织力量认真进行安装，并保证质量达到相关标准。在安装过程中，一经发现质量问题应及时拆除和重新安装，直到符合相关标准，由中标单位承担拆除和重新施工的费用。</w:t>
      </w:r>
    </w:p>
    <w:p>
      <w:pPr>
        <w:spacing w:line="500" w:lineRule="exact"/>
        <w:ind w:firstLine="480" w:firstLineChars="200"/>
        <w:rPr>
          <w:rFonts w:ascii="宋体" w:hAnsi="宋体" w:cs="宋体"/>
          <w:sz w:val="24"/>
          <w:szCs w:val="24"/>
        </w:rPr>
      </w:pPr>
      <w:r>
        <w:rPr>
          <w:rFonts w:hint="eastAsia" w:ascii="宋体" w:hAnsi="宋体" w:cs="宋体"/>
          <w:sz w:val="24"/>
          <w:szCs w:val="24"/>
        </w:rPr>
        <w:t>（5）中标单位应遵守安全生产有关管理规定，严格按安全标准组织施工，遵守和实施安全文明管理制度，并随时接受行业安全检查人员依法实施的监督检查，采取必要的安全防护措施，消除事故隐患。由于中标单位安全文明措施不力造成事故的责任和因此发生的费用，由中标单位承担。</w:t>
      </w:r>
    </w:p>
    <w:p>
      <w:pPr>
        <w:spacing w:line="500" w:lineRule="exact"/>
        <w:ind w:firstLine="480" w:firstLineChars="200"/>
        <w:rPr>
          <w:rFonts w:ascii="宋体" w:hAnsi="宋体" w:cs="宋体"/>
          <w:sz w:val="24"/>
          <w:szCs w:val="24"/>
        </w:rPr>
      </w:pPr>
      <w:r>
        <w:rPr>
          <w:rFonts w:hint="eastAsia" w:ascii="宋体" w:hAnsi="宋体" w:cs="宋体"/>
          <w:sz w:val="24"/>
          <w:szCs w:val="24"/>
        </w:rPr>
        <w:t>（6）中标单位应对其在施工场地的工作人员进行安全教育，并对他们的安全负责。中标单位不得违反安全管理的规定进行施工。因中标单位原因导致的安全事故，由中标单位承担相应责任及发生的费用。</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（7）投标人需保证采购人本次采购设备、软件与原有设备、软件稳定兼容，经与采购人协商确认后，完成必需的集成工作，并承担全部工作责任。</w:t>
      </w:r>
    </w:p>
    <w:p>
      <w:pPr>
        <w:spacing w:line="500" w:lineRule="exact"/>
        <w:ind w:firstLine="481" w:firstLineChars="200"/>
        <w:rPr>
          <w:rFonts w:ascii="宋体" w:hAnsi="宋体" w:cs="宋体"/>
          <w:b/>
          <w:sz w:val="24"/>
          <w:szCs w:val="24"/>
        </w:rPr>
      </w:pPr>
      <w:r>
        <w:rPr>
          <w:rFonts w:hint="eastAsia" w:ascii="宋体" w:hAnsi="宋体" w:cs="宋体"/>
          <w:b/>
          <w:sz w:val="24"/>
          <w:szCs w:val="24"/>
        </w:rPr>
        <w:t>3.信用承诺：</w:t>
      </w:r>
    </w:p>
    <w:p>
      <w:pPr>
        <w:spacing w:line="500" w:lineRule="exact"/>
        <w:ind w:firstLine="480" w:firstLineChars="200"/>
        <w:rPr>
          <w:rFonts w:ascii="宋体" w:hAnsi="宋体" w:cs="宋体"/>
          <w:sz w:val="24"/>
          <w:szCs w:val="24"/>
        </w:rPr>
      </w:pPr>
      <w:r>
        <w:rPr>
          <w:rFonts w:hint="eastAsia" w:ascii="宋体" w:hAnsi="宋体" w:cs="宋体"/>
          <w:sz w:val="24"/>
          <w:szCs w:val="24"/>
        </w:rPr>
        <w:t>投标人必须保证在投标文件中说明的其他技术指标、产品资料、按照招标文件要求提供的案例、服务承诺、实施方案等是真实的，无条件同意一旦由专家或者使用单位或者设备到货后或者实施使用中发现技术指标、产品资料、案例、服务承诺、实施方案等与标书中说明不符或安装调试中达不到采购方集成要求，影响采购方按期正常应用的，采购</w:t>
      </w:r>
      <w:r>
        <w:rPr>
          <w:rFonts w:hint="eastAsia" w:ascii="宋体" w:hAnsi="宋体" w:cs="宋体"/>
          <w:bCs/>
          <w:sz w:val="24"/>
          <w:szCs w:val="24"/>
        </w:rPr>
        <w:t>人有权拒绝接受，造成逾期的，按逾期交货进行处理。</w:t>
      </w:r>
      <w:r>
        <w:rPr>
          <w:rFonts w:hint="eastAsia" w:ascii="宋体" w:hAnsi="宋体" w:cs="宋体"/>
          <w:sz w:val="24"/>
          <w:szCs w:val="24"/>
        </w:rPr>
        <w:t xml:space="preserve"> </w:t>
      </w:r>
    </w:p>
    <w:p>
      <w:pPr>
        <w:snapToGrid w:val="0"/>
        <w:spacing w:line="500" w:lineRule="exact"/>
        <w:ind w:firstLine="481" w:firstLineChars="200"/>
        <w:rPr>
          <w:rFonts w:ascii="宋体" w:hAnsi="宋体" w:cs="宋体"/>
          <w:b/>
          <w:sz w:val="24"/>
          <w:szCs w:val="24"/>
        </w:rPr>
      </w:pPr>
      <w:r>
        <w:rPr>
          <w:rFonts w:hint="eastAsia" w:ascii="宋体" w:hAnsi="宋体" w:cs="宋体"/>
          <w:b/>
          <w:sz w:val="24"/>
          <w:szCs w:val="24"/>
        </w:rPr>
        <w:t>4.中标后项目负责人不得随意变动。项目负责人须全程参与项目及各阶段实施情况的汇报工作，并配合采购人做好项目的验收工作。</w:t>
      </w:r>
    </w:p>
    <w:p>
      <w:pPr>
        <w:snapToGrid w:val="0"/>
        <w:spacing w:line="500" w:lineRule="exact"/>
        <w:ind w:firstLine="481"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5.与系统建设其他参与方的协作与配合</w:t>
      </w:r>
    </w:p>
    <w:p>
      <w:pPr>
        <w:snapToGrid w:val="0"/>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金华市**训练基地科技信息化建设是一项系统工程，系统建设包括**教学信息化实施单位、基础设施信息化实施单位、工程监理方等众多参与方。各参与方应</w:t>
      </w:r>
      <w:r>
        <w:fldChar w:fldCharType="begin"/>
      </w:r>
      <w:r>
        <w:instrText xml:space="preserve"> HYPERLINK "https://www.so.com/link?m=aJVhqgTSRGHzP1pXmuKwk4NBP6T7DlqkEEhgymLRBDl7UDPGYWtkmiEVRdCtrQ5IISXZbwMS1iteR%2Bi4wjR7me6NtR1mpy1%2B8rWNFAKrYkz4wEQF9LtSx0Wu0R1RGhMjKT3GC6uj7QapQ746ZEhXmt80VUYC9Z6HUROx%2B1e%2BdO0wrBIzpp%2FtXVZ%2Bclv8DRZy%2FUqOKiEHug6f%2BTieE2eNYLnNvpQUDvxtCq%2FZohxV4LE2tfEBA6A5bwys2Gz7aQ5d2x3eLvoDOg%2FxT1tR8NZqaoa9aN3xvg%2FDD" \t "_blank" </w:instrText>
      </w:r>
      <w:r>
        <w:fldChar w:fldCharType="separate"/>
      </w:r>
      <w:r>
        <w:rPr>
          <w:rFonts w:hint="eastAsia" w:ascii="宋体" w:hAnsi="宋体" w:cs="宋体"/>
          <w:color w:val="000000" w:themeColor="text1"/>
          <w:sz w:val="24"/>
          <w:szCs w:val="24"/>
          <w14:textFill>
            <w14:solidFill>
              <w14:schemeClr w14:val="tx1"/>
            </w14:solidFill>
          </w14:textFill>
        </w:rPr>
        <w:t>与工程有关各单位紧密协作，并制定完善的工作协调机制与具体配合措</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施。</w:t>
      </w:r>
    </w:p>
    <w:p>
      <w:pPr>
        <w:snapToGrid w:val="0"/>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数据采集系统接口须无条件对金华市**训练基地科技信息化其他建设实施单位开放，并配合各实施单位完成各系统的数据对接。**训练基地科技信息化项目总集成由“金华市**训练基地科技信息化项目（基础设施信息化）”中标单位负责，金华市公安局**训练基地科技信息化项目（**教学信息化）、金华市公安局**训练基地科技信息化项目（**教学信息化）两个项目中标公司配合。三家单位必须通力合作，保证项目建设整体完成，</w:t>
      </w:r>
      <w:r>
        <w:rPr>
          <w:rFonts w:hint="eastAsia" w:ascii="宋体" w:hAnsi="宋体" w:cs="宋体"/>
          <w:color w:val="000000" w:themeColor="text1"/>
          <w:sz w:val="24"/>
          <w:szCs w:val="24"/>
          <w:lang w:val="en-US" w:eastAsia="zh-CN"/>
          <w14:textFill>
            <w14:solidFill>
              <w14:schemeClr w14:val="tx1"/>
            </w14:solidFill>
          </w14:textFill>
        </w:rPr>
        <w:t>项目终验将把集成配合工作情况纳入验收内容</w:t>
      </w:r>
      <w:r>
        <w:rPr>
          <w:rFonts w:hint="eastAsia" w:ascii="宋体" w:hAnsi="宋体" w:cs="宋体"/>
          <w:color w:val="000000" w:themeColor="text1"/>
          <w:sz w:val="24"/>
          <w:szCs w:val="24"/>
          <w14:textFill>
            <w14:solidFill>
              <w14:schemeClr w14:val="tx1"/>
            </w14:solidFill>
          </w14:textFill>
        </w:rPr>
        <w:t>。</w:t>
      </w:r>
    </w:p>
    <w:p>
      <w:pPr>
        <w:snapToGrid w:val="0"/>
        <w:spacing w:line="500" w:lineRule="exact"/>
        <w:ind w:firstLine="421" w:firstLineChars="200"/>
        <w:rPr>
          <w:rFonts w:hAnsi="宋体" w:cs="宋体"/>
          <w:b/>
          <w:szCs w:val="21"/>
        </w:rPr>
      </w:pPr>
      <w:r>
        <w:rPr>
          <w:rFonts w:hint="eastAsia" w:hAnsi="宋体" w:cs="宋体"/>
          <w:b/>
          <w:szCs w:val="21"/>
        </w:rPr>
        <w:t>6.综合考虑相关费用</w:t>
      </w:r>
    </w:p>
    <w:p>
      <w:pPr>
        <w:snapToGrid w:val="0"/>
        <w:spacing w:line="500" w:lineRule="exact"/>
        <w:ind w:firstLine="420" w:firstLineChars="200"/>
        <w:rPr>
          <w:rFonts w:hint="eastAsia" w:ascii="宋体" w:hAnsi="宋体" w:cs="宋体"/>
          <w:b/>
          <w:sz w:val="24"/>
          <w:szCs w:val="24"/>
        </w:rPr>
      </w:pPr>
      <w:r>
        <w:rPr>
          <w:rFonts w:hint="eastAsia" w:hAnsi="宋体" w:cs="宋体"/>
          <w:bCs/>
          <w:szCs w:val="21"/>
        </w:rPr>
        <w:t>金华市**训练基地科技信息化项目（基础设施信息化）中：室外管线，预算经费是154.5371万元</w:t>
      </w:r>
      <w:r>
        <w:rPr>
          <w:rFonts w:hint="eastAsia" w:hAnsi="宋体" w:cs="宋体"/>
          <w:bCs/>
          <w:color w:val="FF0000"/>
          <w:szCs w:val="21"/>
        </w:rPr>
        <w:t>（最终价格以审计为准）</w:t>
      </w:r>
      <w:r>
        <w:rPr>
          <w:rFonts w:hint="eastAsia" w:hAnsi="宋体" w:cs="宋体"/>
          <w:bCs/>
          <w:szCs w:val="21"/>
        </w:rPr>
        <w:t>，目前**训练基地部分室外工程已完成绿化、道路沥青铺设，如涉及开挖道路、铺设管网的施工以及绿化、道路恢复等费用，应综合考虑在内。</w:t>
      </w:r>
    </w:p>
    <w:p>
      <w:pPr>
        <w:snapToGrid w:val="0"/>
        <w:spacing w:line="500" w:lineRule="exact"/>
        <w:ind w:firstLine="481" w:firstLineChars="200"/>
        <w:rPr>
          <w:rFonts w:ascii="宋体" w:hAnsi="宋体" w:cs="宋体"/>
          <w:b/>
          <w:sz w:val="24"/>
          <w:szCs w:val="24"/>
        </w:rPr>
      </w:pPr>
      <w:r>
        <w:rPr>
          <w:rFonts w:hint="eastAsia" w:ascii="宋体" w:hAnsi="宋体" w:cs="宋体"/>
          <w:b/>
          <w:sz w:val="24"/>
          <w:szCs w:val="24"/>
        </w:rPr>
        <w:t>7.其他要求：</w:t>
      </w:r>
    </w:p>
    <w:p>
      <w:pPr>
        <w:snapToGrid w:val="0"/>
        <w:spacing w:line="500" w:lineRule="exact"/>
        <w:ind w:firstLine="480" w:firstLineChars="200"/>
        <w:rPr>
          <w:rFonts w:ascii="宋体" w:hAnsi="宋体"/>
          <w:sz w:val="24"/>
          <w:szCs w:val="24"/>
        </w:rPr>
      </w:pPr>
      <w:r>
        <w:rPr>
          <w:rFonts w:hint="eastAsia" w:ascii="宋体" w:hAnsi="宋体" w:cs="宋体"/>
          <w:color w:val="000000" w:themeColor="text1"/>
          <w:sz w:val="24"/>
          <w:szCs w:val="24"/>
          <w14:textFill>
            <w14:solidFill>
              <w14:schemeClr w14:val="tx1"/>
            </w14:solidFill>
          </w14:textFill>
        </w:rPr>
        <w:t>本项目为交钥匙工程，投标人负责整体项目的勘察、深化设计（如需）、供货与施工，应当以满足招标文件的项目实际要求为准，且不得转包。投标人需保证按期保质完成采购需求中所列的各项具体内容及相关的集成工作，所需设备配置、软件、软件许可（含清单中未说明但必需的）、各种费用及可能需要的配件、可能的第三方指导、电源线、电源接头、零地电压、网络跳线、光纤跳线等以及均由投标人自行协调完成，并承担全部费用及工作责任。本项目报价还须包含配合费用、水电费、数据迁移、迁移过程中的数据安全和完整性等其他合理费用，不再另计。</w:t>
      </w:r>
      <w:r>
        <w:rPr>
          <w:rFonts w:ascii="宋体" w:hAnsi="宋体"/>
          <w:sz w:val="24"/>
          <w:szCs w:val="24"/>
        </w:rPr>
        <w:t>采购文件中的工作内容请实地勘察，因管线敷设造成的开槽、开孔、苗木损坏等需自行恢复，相关检测费（包括但不限于智能化综合布线系统检测）等费用需考虑在内，并由供应商组织实施。</w:t>
      </w:r>
    </w:p>
    <w:p/>
    <w:p>
      <w:pPr>
        <w:pStyle w:val="2"/>
        <w:adjustRightInd w:val="0"/>
        <w:snapToGrid w:val="0"/>
        <w:spacing w:beforeAutospacing="0" w:afterAutospacing="0"/>
        <w:rPr>
          <w:sz w:val="28"/>
          <w:szCs w:val="28"/>
        </w:rPr>
      </w:pPr>
      <w:r>
        <w:rPr>
          <w:sz w:val="28"/>
          <w:szCs w:val="28"/>
        </w:rPr>
        <w:t>1</w:t>
      </w:r>
      <w:r>
        <w:rPr>
          <w:rFonts w:hint="default"/>
          <w:sz w:val="28"/>
          <w:szCs w:val="28"/>
        </w:rPr>
        <w:t>.5</w:t>
      </w:r>
      <w:r>
        <w:rPr>
          <w:sz w:val="28"/>
          <w:szCs w:val="28"/>
        </w:rPr>
        <w:t>采购清单及基本技术参数要求</w:t>
      </w:r>
    </w:p>
    <w:p>
      <w:pPr>
        <w:pStyle w:val="56"/>
      </w:pPr>
      <w:r>
        <w:rPr>
          <w:rFonts w:hint="eastAsia"/>
        </w:rPr>
        <w:t>1、建筑设备监控系统</w:t>
      </w:r>
    </w:p>
    <w:tbl>
      <w:tblPr>
        <w:tblStyle w:val="30"/>
        <w:tblW w:w="0" w:type="auto"/>
        <w:tblInd w:w="113" w:type="dxa"/>
        <w:tblLayout w:type="autofit"/>
        <w:tblCellMar>
          <w:top w:w="0" w:type="dxa"/>
          <w:left w:w="108" w:type="dxa"/>
          <w:bottom w:w="0" w:type="dxa"/>
          <w:right w:w="108" w:type="dxa"/>
        </w:tblCellMar>
      </w:tblPr>
      <w:tblGrid>
        <w:gridCol w:w="462"/>
        <w:gridCol w:w="980"/>
        <w:gridCol w:w="6059"/>
        <w:gridCol w:w="454"/>
        <w:gridCol w:w="454"/>
      </w:tblGrid>
      <w:tr>
        <w:tblPrEx>
          <w:tblCellMar>
            <w:top w:w="0" w:type="dxa"/>
            <w:left w:w="108" w:type="dxa"/>
            <w:bottom w:w="0" w:type="dxa"/>
            <w:right w:w="108" w:type="dxa"/>
          </w:tblCellMar>
        </w:tblPrEx>
        <w:trPr>
          <w:trHeight w:val="270"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主要技术参数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建筑设备控制平台工作站</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处理器：英特尔至强可扩展处理器，不低于3.0Ghz主频硬盘：不小于1TG SATA+256GB SSD内存：不小于16GB系统：预装WindowServer2012或以上版本安装方式：机架式/塔式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0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系统监控软件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自动化控制系统监控软件单机版本 ，C/S架构对自动化各个子系统进行进行监视、控制、测量与记录平面导航图或设备列表对所需区域设备进行实时监控查询各个报警信号的实时记录及历史纪录，可选弹出式报警授权中心：管理员及密码管理，可安人员的类别设置不同的登陆用户名进行登陆，查询及操作不同的区域集中控制，分散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管理工作站</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I5/8G/SSD:128G/1T机械硬盘/独立显卡/显示器21.5寸</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打印工作单元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技术类型：黑白激光；耗材类型：鼓粉分离式硒鼓</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7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组合型DDC控制器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一体化控制器,内建处理器及IO处理单元，可扩展I/O模块3个尺寸：W205xH121xD59（mm)，电源：DC24V，功耗＜6W防护等级：IP50，安装方式：标准DIN35导轨安装处理器主频200Mhz，RAM512KB，FLASH2M开关输入：12路，干结点，光耦隔离，LED状态指示开关输出：6路，继电器，10A，LED状态指示模拟输入：6路，电压（0~10V）/电流（0~20mA）/温度电阻（PT1000）模拟输出：4路，电压（0~10V）串行接口：1路RS-485，支持上、下行自由口通讯，通信接口：1路以太网，上行支持ModbusTCP，OPCDA支持微信小程序，离线进行数据监测和控制全系列模块在-30℃~+80℃高低温极值下连续工作超过4小时。全系列模块在（40±2℃）90%~95%潮湿环境下连续工作超过48小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22</w:t>
            </w:r>
          </w:p>
        </w:tc>
      </w:tr>
      <w:tr>
        <w:tblPrEx>
          <w:tblCellMar>
            <w:top w:w="0" w:type="dxa"/>
            <w:left w:w="108" w:type="dxa"/>
            <w:bottom w:w="0" w:type="dxa"/>
            <w:right w:w="108" w:type="dxa"/>
          </w:tblCellMar>
        </w:tblPrEx>
        <w:trPr>
          <w:trHeight w:val="15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数字量DDC控制器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一体化控制器,内建处理器及IO处理单元，可扩展I/O模块3个尺寸：W205xH121xD59（mm)，电源：DC24V，功耗＜6W防护等级：IP50，安装方式：标准DIN35导轨安装处理器主频200Mhz，RAM512KB，FLASH2M开关输入：20路，干结点，光耦隔离，LED状态指示开关输出：8路，继电器，10A，LED状态指示串行接口：1路RS-485，支持上、下行自由口通讯，通信接口：上行支持ModbusTCP，OPCDA支持微信小程序，离线进行数据监测和控制全系列模块在-30℃~+80℃高低温极值下连续工作超过4小时。全系列模块在（40±2℃）90%~95%潮湿环境下连续工作超过48小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26</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多联机定制网关采集器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尺寸：W180xH60xD59（mm)，电源：DC24V，功耗＜6W防护等级：IP54支持主流多联机接口接入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44</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多联机定制网关主机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多联机采集器组网智能主机电源：DC24V，功耗＜6W防护等级：IP50，安装方式：标准DIN35导轨安装</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模块连接端子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模块总线专用连接器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29</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室内DDC专用控制箱</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电源：AC220V，防护等级：IP54外壳材质：铁，安装方式：壁挂/落地，默认壁挂成套电器：空气开关/插座/保险丝/电源接线端子/零排</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18</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室内DDC专用控制箱</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电源：AC220V，防护等级：IP54外壳材质：铁，安装方式：壁挂/落地，默认壁挂成套电器：空气开关/插座/保险丝/电源接线端子/零排</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室外DDC专用控制箱</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电源：AC220V，防护等级：IP54外壳材质：不锈钢，安装方式：壁挂/落地，默认壁挂成套电器：空气开关/插座/保险丝/电源接线端子/零排</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7</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开关电源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电源：AC220V输出电压：DC24V，输出功率：50W，安装方式：DIN35导轨工作环境：-40~85℃ 10%~95%RH 无冷凝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29</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执行机构 专用电源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安装尺寸：W85xL64 (mm)，安装孔6x10 (mm)电源：AC220V，输出电压：AC24V，输出功率：100VA，安装方式：螺丝固定工作环境：-4~40℃ 无冷凝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29</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风道温度传感器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电源：无源输出信号：PT1000, 量程：-50℃-150℃±0.3℃工作温度：-30~70℃ 5~95%无冷凝防护等级：IP54, 安装方式：风道式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90</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风速压差开关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电源：无源输出信号：触点信号, 量程：30-300pa/50-500pa工作温度：-40℃~85℃ 5~95%无冷凝防护等级：IP54, 安装方式：风道式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90</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滤网压差开关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电源：无源输出信号：触点信号, 量程：30-300pa/50-500pa工作温度：-40℃~85℃ 5~95%无冷凝防护等级：IP54, 安装方式：风道式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90</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开关型风门执行器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电源：DC24V输入信号：开、关触点， 反馈信号：开、关触点， 扭矩：10Nm工作温度：-30℃~80℃ 95%RH，无凝露</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组</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90</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网络线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芯线直径：≧0.57mm产品直径：≧6.2 mm；护套材料：PVC/LSZH；包装方式：305m/箱；产品标准：YD/T 1019-2001、TIA/EIA- 568B2.1-2001产品特性：具有低的传输延迟和误码率，以及较高的抗电磁干扰性。</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信号线及控制总线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RVVP2*1.0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信号线及控制总线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RVVP4*1.0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信号线及控制总线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RVSP2*1.0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信号线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RVV4*1.0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信号线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RVV8*1.0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信号线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RVV2*1.0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10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上位机软件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智能照明控制系统监控软件-基础版C/S架构（250点以下）对智能照明各个系统进行进行监视、控制、测量与记录平面导航图或设备列表对所需区域设备进行实时监控查询各个报警信号的实时记录及历史纪录，可选弹出式报警授权中心：管理员及密码管理，可安人员的类别设置不同的登陆用户名进行登陆，查询及操作不同的区域集中控制，分散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76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8路16A智能继电器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8通道照明回路控制器电源：DC11-30V，功耗＜6W防护等级：IP50，安装方式：标准DIN35导轨安装通道容量：额定电压250VAC/440VAC，额定电流16A/每回路（阻性负载）线缆规格：负载回路线径支持0.2-4.0mm2设备功能：多回路顺序延时启动功能，手动控制功能，断电保持功能本地数码管地址显示，支持红外遥控控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24</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4键智能面板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调光型6键智能面板电源：DC11-30V，功耗＜0.5W防护等级：IP50，安装方式：86底盒安装带2路传感器可接入各类干接点传感器带LED反馈，可自定义按键标签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70</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640mA总线电源模块</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电源：AC220V输出电压：DC24V，输出功率：150W，安装方式：DIN35导轨工作环境：-40~85℃ 10%~95%RH 无冷凝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14</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系统通讯总线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总线线缆（200m）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15</w:t>
            </w:r>
          </w:p>
        </w:tc>
      </w:tr>
    </w:tbl>
    <w:p>
      <w:pPr>
        <w:pStyle w:val="56"/>
      </w:pPr>
      <w:r>
        <w:rPr>
          <w:rFonts w:hint="eastAsia"/>
        </w:rPr>
        <w:t>2、建筑能效监管系统</w:t>
      </w:r>
    </w:p>
    <w:tbl>
      <w:tblPr>
        <w:tblStyle w:val="30"/>
        <w:tblW w:w="0" w:type="auto"/>
        <w:tblInd w:w="113" w:type="dxa"/>
        <w:tblLayout w:type="autofit"/>
        <w:tblCellMar>
          <w:top w:w="0" w:type="dxa"/>
          <w:left w:w="108" w:type="dxa"/>
          <w:bottom w:w="0" w:type="dxa"/>
          <w:right w:w="108" w:type="dxa"/>
        </w:tblCellMar>
      </w:tblPr>
      <w:tblGrid>
        <w:gridCol w:w="455"/>
        <w:gridCol w:w="683"/>
        <w:gridCol w:w="6245"/>
        <w:gridCol w:w="467"/>
        <w:gridCol w:w="559"/>
      </w:tblGrid>
      <w:tr>
        <w:tblPrEx>
          <w:tblCellMar>
            <w:top w:w="0" w:type="dxa"/>
            <w:left w:w="108" w:type="dxa"/>
            <w:bottom w:w="0" w:type="dxa"/>
            <w:right w:w="108" w:type="dxa"/>
          </w:tblCellMar>
        </w:tblPrEx>
        <w:trPr>
          <w:trHeight w:val="270"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主要技术参数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27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能源计量控制软件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建筑能源运维管理平台B/S架构，RESTFUL架构通知管理功能：可配置用户欠费、采集器离线等报警、通知信息的发送方式用户管理功能：各用户的项目及权限管理仪表盘功能：显示项目概况及主要数据功能实时抄表功能：实时表具数据读取记录报表查询功能：按日、按月、按任意时间范围；按表、按区域等范围生成对应数据报表账单查询功能：用户的账单自定义生成，实时抄表读取业主管理功能：业主所属表具的自定义设置，业主信息、付费方式、预警值设置费率配置功能：各类表具的费率自定义设置费控管理功能：预付费自动切断、后付费手动切断功能，需搭配费控表具方案实现。实现电、水、热等多类型表具的统一数据平台管理及付费控制，搭配本系统配套的费控表具或任意符合接入要求的第三方费控表具，均可实现用能分析功能支持总用能分析：按能耗分项、建筑区域、组织机构、自定义标签进行的能耗分项统计分析用能平衡功能：支持最多四级表具的平衡分析用能计划功能：支持用能绩效管理用能趋势功能：支持同比分析、环比分析自定义报表功能，支持自定义的饼图，柱图，折线图分析定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区域数据上传网关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智能仪表通讯采集器，DC18-30V，功耗＜0.5W，2口10M/100M自适应网口下行支持ModbusTCP数据采集上行支持ModbusTCP，MQTT传输协议，搭配云平台上传数据支持本地数据存储，掉电保存，支持2048点数据转发支持数据清洗，整理功能支持容器部署框架，支持区域设备补偿算法，参数整定补偿算法等标准DIN35导轨安装</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智能仪表区域管理器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智能仪表通讯采集器，电源：DC18-30V，功耗：＜0.5W规格：W108，H112，D62（mm)，安装方式：标准DIN35导轨安装下行接口：2路RS232/RS485/RS422 支持ModbusRTU，DLT645，188规约等协议上行接口：1路10M/100M自适应网口，支持ModbusTCP，OPCDA等协议设备功能：支持本地数据存储，掉电保存</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14</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智能仪表区域管理器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智能仪表通讯采集器，电源：DC18-30V，功耗：＜0.5W规格：W108，H112，D62（mm)，安装方式：标准DIN35导轨安装下行接口：2路RS232/RS485/RS422 支持ModbusRTU，DLT645，188规约等协议上行接口：1路10M/100M自适应网口，支持ModbusTCP，OPCDA等协议设备功能：支持本地数据存储，掉电保存</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14</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室内能耗专用控制箱</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电源：AC220V，防护等级：IP54外壳材质：铁，开门形式：单开门，安装方式：壁挂/落地，默认壁挂成套电器：空气开关/插座/保险丝/电源接线端子/零排</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14</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系统接口软件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第三方表具设备接入，符合标准的MODBUS协议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电表通讯线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RVSP2*1.0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水表通讯线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RVSP4*1.0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0.3</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网络线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芯线直径：≧0.57mm产品直径：≧6.2 mm；护套材料：PVC/LSZH；包装方式：305m/箱；产品标准：YD/T 1019-2001、TIA/EIA- 568B2.1-2001产品特性：具有低的传输延迟和误码率，以及较高的抗电磁干扰性。</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bl>
    <w:p>
      <w:pPr>
        <w:pStyle w:val="56"/>
      </w:pPr>
    </w:p>
    <w:p>
      <w:pPr>
        <w:pStyle w:val="2"/>
        <w:rPr>
          <w:szCs w:val="24"/>
        </w:rPr>
      </w:pPr>
      <w:r>
        <w:br w:type="page"/>
      </w:r>
    </w:p>
    <w:p>
      <w:pPr>
        <w:pStyle w:val="56"/>
      </w:pPr>
      <w:r>
        <w:rPr>
          <w:rFonts w:hint="eastAsia"/>
        </w:rPr>
        <w:t>3、公寓管理系统</w:t>
      </w:r>
    </w:p>
    <w:tbl>
      <w:tblPr>
        <w:tblStyle w:val="30"/>
        <w:tblW w:w="0" w:type="auto"/>
        <w:tblInd w:w="113" w:type="dxa"/>
        <w:tblLayout w:type="autofit"/>
        <w:tblCellMar>
          <w:top w:w="0" w:type="dxa"/>
          <w:left w:w="108" w:type="dxa"/>
          <w:bottom w:w="0" w:type="dxa"/>
          <w:right w:w="108" w:type="dxa"/>
        </w:tblCellMar>
      </w:tblPr>
      <w:tblGrid>
        <w:gridCol w:w="465"/>
        <w:gridCol w:w="854"/>
        <w:gridCol w:w="6065"/>
        <w:gridCol w:w="465"/>
        <w:gridCol w:w="560"/>
      </w:tblGrid>
      <w:tr>
        <w:tblPrEx>
          <w:tblCellMar>
            <w:top w:w="0" w:type="dxa"/>
            <w:left w:w="108" w:type="dxa"/>
            <w:bottom w:w="0" w:type="dxa"/>
            <w:right w:w="108" w:type="dxa"/>
          </w:tblCellMar>
        </w:tblPrEx>
        <w:trPr>
          <w:trHeight w:val="270"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主要技术参数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77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公寓管理系统</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1、前台管理系统（1）预订 房价查询：根据宾客的需求，如到达日期，天数，房类，预计房价等信息查看所需房类资源、房价信息等。 预订列表：查看所有预订单信息，并可根据宾客来源分类，如散客、团队、CRS等。 ALERT提醒：自定义触发时机，主动性弹出提醒服务；系统默认的提醒包括宾客投诉及遗留物品。（2）接待 入住模式：可选择入住模式，如普通散客、会员、钟点房等，钟点房按小时自动计费。 智能排房：批量排房，并可根据宾客CRM信息自动过滤选房；自动显示客房前后相关时间段的预订或在住信息。 入住登记：批量排房，并可根据宾客CRM信息自动过滤选房；自动显示客房前后相关时间段的预订或在住信息。 同住：同住宾客共享一个账务主体，并共享关系，各人分开付账。 联房：同行宾客自动联房，联房主单修改后，自动将修改项目列出供选择，批量修改相关联主单。 在店服务：设置允许记账点，自定义账户，设置固定支出，留言及电话服务，物品租赁，发票服务等。 团队处理：团队预留房调整，团体付费定义，宾客信息批量修改，批量处理相关联主单，批量扫身份证及发房卡等。 特殊处理：宾客换房处理、签单控制、一键续住、留言服务、团散转化、客房电话控制等个性化服务操作。 信息查询：客房资源、宾客信息的结合查询；协议单位及房价查询；联房账务查询等。 打印设置：自定义打印模块，权限控制账单修改打印功能。（3）（4）财务 应收账：记录AR账户名、级别、类型、联系人、备注信息等；设置AR账户记账限制等。 应收交班：根据日期、工号、班次查询AR转账列表、收款明细表、收款汇总表及分类明细表。 消费账：内部招待可按部门、个人单独记录核算；消费点建立消费账记录挂账。 催账报表：催账报表可确保每间房有足够的定金，预防逃账的发生。 账龄分析：按账号选择时间段或营业日期进行账龄分析，可进行综合分析及明细统计。 编辑营业预算：将公寓年度营业预算录入于系统中，通过报表查看预算完成率。 夜间稽核：自定义夜审步骤，系统数据整理，生成重要统计数据及财务报表。（5）客房中心 房态图：多种房态效果图，显示所有分楼层汇总信息及指定楼层客房的详细显示；配套的客房实时使用报告。 房态管理：集成的房态管理功能，支持批量处理，客房信息详细内容同步显示并可根据公寓需求自定义。 查房报房：实时显示宾客入住与退房的流水信息，及其相关的操作人员和时间；可针对结账查房请求，给予相应的回复。 客房账务：多项客房费用的入账处理，以快捷明细的方式选择费用入账；账务明细查询。 拾遗物品：客房拾遗物品系统录入与转交记录，遗留物品在宾客下次入住时弹出提醒。 租赁物品：客房租赁物品管理，宾客退房时，系统弹出提醒便于回收。 交班报表：指定工号、日期、班别的交班报表查询打印。（6）报表 报表：公寓运营分析报表；经理查询报表；财务审核报表，各部门及职责归类报表。 自定义：可自定义报表格式。2、 接口系统 电话接口：可以与目前学校使用的电话程控交换机进行对接，实现电话计费、等级控制。 门锁接口：实现电子门锁对接，快速发行客人门卡。 早餐接口：通过门卡实现客人早餐验证。移动接口：实现系统移动化管理对接。公安接口：与现有的公安旅馆业管理系统对接，支持人证比对，简化前台工作。</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学员系统一卡通接口</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专用定制接口：公寓管理系统对接学员卡管理系统，实现学员信息自动识别、学员一卡通用。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自助入住接口</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专用定制接口：自助机对接教务系统，实现学员信息自动识别、学员一卡通用。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30秒入住接口</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30秒入住接口：可以与自助入住设备对接，实现30秒入住。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自助登记一体机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机架：造型:新颖独特、线条简洁明朗，色彩搭配前卫；材质：冷轧钢板，工业塑胶，坚硬厚实，不易变形；工艺：采用折弯滚园模具成型，模具成型，整体高强度； 表层处理：防锈、防腐、耐磨，不易沾污损坏；内部结构：布线规范整齐，电子布局规范合理； 外部结构：各部件模块与机柜结合紧密工艺精细；主机：ARM六核CPU； 4GB内存，16G存储；支持双屏显示：LVDS、HDMI、最高1080P显示； 千兆网口、WiFi、蓝牙；最高6*USB，4*232串口；电源12V；触摸屏显示屏：≥19寸，高品质液晶面板；分辨率1280*1024；对比度：1000:1(Typ)；显示颜色：16.7M；亮度：300cd/m2；响应时间：5ms；接口形式：LVDS接口；身份识别：符合ISO 14443 Type B 国际标准Type B非接触IC卡阅读技术，工作频率13.56MHZ；阅读距离 0~3cm，阅读时间：＜1s， 通讯方式：串口通讯，内嵌公安部专用安全控制模块；人脸识别：双目宽动态摄像头：有效像素1920*1080；带有自动白平衡，AE等功能；红外灯光谱850nm；最低照度：1LUX；自动白平衡：支持；逆光补偿：支持；传输速率：480MB/S；USB供电；条码扫描：解码种类：包括所有通用的一维码、二维码，手机扫码支付； 串口通讯；支持虚拟串口、命令触发；发卡模块:支持Mifare 1 ISO15693，ISO1443A标准卡片的发行，标配卡箱可存放100张0.76mm厚卡片，可拔插式废卡回收箱：可支持最多18张（后抽箱式）；发卡箱回收功能：支持卡箱回收卡片循环使用；支持卡预空提醒，卡空提醒，回收卡满，发卡故障等多种报警状态；读卡模块/房卡读写器:Windows ES7嵌入式系统，4核4G内存，32GB硬盘2*232串口，双网口，4*USB，VGA,HDMI24v供电，支持上电启动。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插卡取电模块</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安装方式：标准86型底盒安装，可和其他开关组成连体开关；2、常规M1卡，可根据酒店要求定制TEMIC卡、T57卡、EM卡等等3、身份识别：可识别客人、服务员、工程人员、管理员等不同身份4、插卡迎宾模式，拔卡延时断电，节能降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431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智能房卡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智能高频卡，配合客控系统、校园一卡通使用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张</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800</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RCU主机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十二路继电器控制模块，既可手动开关控制负载通断，也可配合酒店客房智能控制系统，实现不同场景模式设置。集成弱电输入，强电输出，实现弱电控制强电，具备智能化、网络化等特点。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五路继电器控制模块</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五路继电器控制模块，既可手动开关控制负载通断，也可配合酒店客房智能控制系统，实现不同场景模式设置。集成弱电输入，强电输出，实现弱电控制强电，具备智能化、网络化等特点。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电源模块</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电源模块,为系统提供12V电源，2.1A</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红外模块</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红外模块，用于酒店客房智能控制系统中的控制电视和控制空调，配合客控系统，控制接收红外遥控信号的设备。具有应用范围广，模块小，方便实用等特点。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三通模块</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通讯转接模块，用于酒店客房智能控制系统中的协议转换部分，作为三个通道的RS485通讯模块，实现房控系统能控制不同协议的其他设备。具有应用范围广，模块小，实用等优点。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九路多功能输入输出模块</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用于酒店客房智能控制系统中信号的输入输出转接，支持红外、门磁、按键(干接点类型)的接入,配合客控系统使用。具有应用范围广，模块小，方便实用等特点。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中间继电器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1.控制客房应急灯2.由立式 中间继电器卡座和直插式中间继电器组成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联体客控</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1、强电输出：支持1路30A继电器输出；继电器输出，支持12路负载输出2、ELV输入输出 20路按键输入和20路LED输出；20路按键可以随机配置为场景按键，服务请求按键，自复位按键，红外，门磁，干接点card；3、支持强弱电窗帘、窗纱控制。4、支持比特485面板级联，支持门显接入5、尺寸：300*125*51mm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房控箱</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箱体尺寸：590*370*120mm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门磁开关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嵌入式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电动窗帘电机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窗帘控制电机，主传动箱采用进口聚甲醛材质，内含树脂齿轮和进口轴承，自带窗帘布挂钩，金属件采用304不锈钢表面镜面处理。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8</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电动窗帘导轨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窗帘、窗纱需要提供窗帘盒长度，4米。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进门处开关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两连体（廊灯、勿扰/插卡取电外壳）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卫生间处开关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单体（排气扇、镜前灯、卫生间）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客厅处开关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两连体（温控器/筒灯、灯带、吊灯、射灯）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客厅处开关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两连体（总开/窗帘开、窗帘关、窗纱开、窗纱关）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阳台处开关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单体（阳台灯）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卫生间处开关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两连体（卫生间、淋浴间/镜前灯、排气扇）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卧室进门处开关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两连体（温控器/筒灯）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左床头处开关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三连体（总开、射灯、灯带/阅读灯、筒灯、夜灯/五孔双USB插座）</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右床头处开关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四连体（五孔双USB插座/窗纱开、窗纱关、窗帘开、窗帘关/夜灯、筒灯、阅读灯/灯带、射灯、总开）</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卫生间处开关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单体（排气扇、镜前灯、淋浴间）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客厅处开关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单体（吊灯）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客厅处开关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三连体（射灯、筒灯、灯带/窗帘开、窗帘关、窗纱开、窗纱关/温控器）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储藏室处开关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单体（储藏室）</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走道处开关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单体（廊灯）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餐厅处开关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两连体（筒灯、灯带/温控器）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客控读卡器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配合客控使用，用于写房间的取电卡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软件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客控平台，是一个酒店智能客控的web服务平台，可以通过浏览器客户端实现对酒店设备和客房的智能管理。1）、B/S架构2）、能耗统计分析绿色环保。3）、房间状态控制。4）、微信手机控制授权方便使用。5）、分组权限管理设置灵活。6）、客人服务请求一目了然。7）、场景序列批量下发定制灵活。8）、巡检设备状态节省人工及维护成本。</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平台控制软件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终端用户，通过软件可以控制客房内灯光、空调等设备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bl>
    <w:p>
      <w:pPr>
        <w:pStyle w:val="56"/>
      </w:pPr>
      <w:r>
        <w:rPr>
          <w:rFonts w:hint="eastAsia"/>
        </w:rPr>
        <w:t>4、阳光厨房</w:t>
      </w:r>
    </w:p>
    <w:tbl>
      <w:tblPr>
        <w:tblStyle w:val="30"/>
        <w:tblW w:w="0" w:type="auto"/>
        <w:tblInd w:w="113" w:type="dxa"/>
        <w:tblLayout w:type="autofit"/>
        <w:tblCellMar>
          <w:top w:w="0" w:type="dxa"/>
          <w:left w:w="108" w:type="dxa"/>
          <w:bottom w:w="0" w:type="dxa"/>
          <w:right w:w="108" w:type="dxa"/>
        </w:tblCellMar>
      </w:tblPr>
      <w:tblGrid>
        <w:gridCol w:w="454"/>
        <w:gridCol w:w="1135"/>
        <w:gridCol w:w="5896"/>
        <w:gridCol w:w="462"/>
        <w:gridCol w:w="462"/>
      </w:tblGrid>
      <w:tr>
        <w:tblPrEx>
          <w:tblCellMar>
            <w:top w:w="0" w:type="dxa"/>
            <w:left w:w="108" w:type="dxa"/>
            <w:bottom w:w="0" w:type="dxa"/>
            <w:right w:w="108" w:type="dxa"/>
          </w:tblCellMar>
        </w:tblPrEx>
        <w:trPr>
          <w:trHeight w:val="270"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主要技术参数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防油污摄像机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支持前盖便捷拆卸清洗，适用于厨房等油烟较多的环境使用200万星光级1/2.7” CMOS AI开放平台筒型网络摄像机设备内置高效白光阵列灯，低功耗支持对口罩，帽子，衣服颜色（红色、黑色、白色）的检测，支持跟踪，支持优选，支持抓拍，支持上报最优的人脸抓图，支持人脸增强，人脸曝光最低照度:彩色: 0.005Lux @ (F1.2, AGC ON) 黑白: 0.001Lux @ (F1.2, AGC ON), 0 Lux with IR宽动态:超宽动态范围达120dB，室内逆光环境下监控视频压缩标准:H.265/H.264 / MJPEG最大图像尺寸:1920×1080防护等级:IP66补光距离:50米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12</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温湿度摄像机套装（包含摄像机+传感器）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200万1/3” CMOS 超宽动态网络摄像机（含温湿度传感器）支持OSD叠加温湿度信息支持定时上报当前的温湿度数据支持设置温湿度上下限阈值信息支持阈值超限报警最低照度:彩色：0.005Lux @(F1.2,AGC ON) ,黑白:0.001Lux @(F1.2,AGC ON) 0 Lux with IR宽动态范围:120dB视频压缩标准:H.265/H.264 / MJPEG最大图像尺寸:1920×1080红外照射距离:支持红外10-30米防暴等级:防暴等级支持IK10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动火离人热成像摄像机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热成像：分辨率160×120；焦距2mm；可见光：400万；焦距2mm；视频模式：双光融合；吸烟检测距离：3m；支持温度异常报警功能；区域入侵报警有效距离：14m；红外照射距离：15米；电源：DC12V/POE，8W；工作温度和湿度：-40℃-70℃，湿度小于95%；防护等级：IP66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w:t>
            </w:r>
          </w:p>
        </w:tc>
      </w:tr>
      <w:tr>
        <w:tblPrEx>
          <w:tblCellMar>
            <w:top w:w="0" w:type="dxa"/>
            <w:left w:w="108" w:type="dxa"/>
            <w:bottom w:w="0" w:type="dxa"/>
            <w:right w:w="108" w:type="dxa"/>
          </w:tblCellMar>
        </w:tblPrEx>
        <w:trPr>
          <w:trHeight w:val="21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超高清解码器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高清视音频解码器，采用Linux操作系统，运行稳定可靠支持1路HDMI信号或1路VGA输出支持1路HDMI音频输出输出分辨率：HDMI：4K: 3840 × 2160@30 Hz(仅奇数口), 1080p: 1920 × 1080@50/60 Hz, WSXGA: 1680×1050/60Hz, UXGA: 1600 × 1200@60 Hz (仅奇数口), 720p: 1280 × 720@50 Hz/60 Hz, SXGA: 1280 × 1024@60 Hz, XGA: 1024 × 768@60 HzBNC：支持PAL、NTSC制式编码格式：支持H.265、H.264、MPEG4、MJPEG等主流的编码格式；封装格式：支持PS、RTP、TS、ES等主流的封装格式；音频解码：支持G.722、G.711A、G.726、G.711U、MPEG2-L2、AAC音频格式的解码；解码能力：支持3路1200W，或4路800W，或8路500W，或10路300W，或16路1080P及以下分辨率同时实时解码；画面分割：支持1、4、9、16画面分割显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金属监视器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55寸4K液晶监视器亮度：350 cd/m2雾度：2 %背光源类型：D-LED物理分辨率：3840×2160@60 Hz对比度：1200：1屏幕可视区域：1209.6 (H) mm × 680.4 (V) mm可视角：178° (H) / 178°(V)显示尺寸：54.61 inch响应时间：8 ms色域：72%色深度：10bit (8 bit + FRC)</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bl>
    <w:p>
      <w:pPr>
        <w:pStyle w:val="56"/>
      </w:pPr>
      <w:r>
        <w:rPr>
          <w:rFonts w:hint="eastAsia"/>
        </w:rPr>
        <w:t>5、信息网络系统</w:t>
      </w:r>
    </w:p>
    <w:tbl>
      <w:tblPr>
        <w:tblStyle w:val="30"/>
        <w:tblW w:w="0" w:type="auto"/>
        <w:tblInd w:w="113" w:type="dxa"/>
        <w:tblLayout w:type="autofit"/>
        <w:tblCellMar>
          <w:top w:w="0" w:type="dxa"/>
          <w:left w:w="108" w:type="dxa"/>
          <w:bottom w:w="0" w:type="dxa"/>
          <w:right w:w="108" w:type="dxa"/>
        </w:tblCellMar>
      </w:tblPr>
      <w:tblGrid>
        <w:gridCol w:w="457"/>
        <w:gridCol w:w="1029"/>
        <w:gridCol w:w="5909"/>
        <w:gridCol w:w="458"/>
        <w:gridCol w:w="556"/>
      </w:tblGrid>
      <w:tr>
        <w:tblPrEx>
          <w:tblCellMar>
            <w:top w:w="0" w:type="dxa"/>
            <w:left w:w="108" w:type="dxa"/>
            <w:bottom w:w="0" w:type="dxa"/>
            <w:right w:w="108" w:type="dxa"/>
          </w:tblCellMar>
        </w:tblPrEx>
        <w:trPr>
          <w:trHeight w:val="270"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主要技术参数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4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公安网防火墙</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硬件参数：1U标准机架，双电源，千兆电口≥8个，千兆光口≥2个；性能参数：网络吞吐≥4Gbps，并发连接数≥80万，新建连接数≥5万，支持IPSec VPN（3DES加密性能）≥150Mbps，SSL VPN最大并发数≥200个，IPSec VPN隧道数≥300个；功能参数：1.支持L2TP VPN，GRE VPN，支持安全域隔离功能，支持包过滤策略功能，能够针对源地址、目的地址、MAC、应用、服务、时间等多维度进行安全策略控制，内置VPN加密功能，提供远程VPN接入功能；2.支持对被保护对象的流量进行分析，通过对流量日志的统计整理，智能生成包过滤策略，提高运维人员工作效率;3.支持对安全策略进行冗余分析;6..支持针对不同策略、不同流量修改TCP，UDP和ICMP协议的连接超时时间；11.访问控制策略支持基于源/目的IP，源/目的端口，源/目的区域，用户（组），应用/服务类型的细化控制方式；12. 双机支持A/S，A/A方式部署，支持配置同步，会话同步和用户状态同步；13. 支持管理员权限分级，支持安全管理员、审计员、系统管理员三种权限。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公安网48口汇聚交换机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交换容量≥2.56Tbps, 包转发率≥1080Mpps万兆光口≥48个,40G QSFP+光口≥2个支持；Cpu保护技术支持本地堆叠和远程堆叠，最大堆叠数量≥9台支持基于IP、MAC的VLAN划分IPv4:静态路由、RIP V1/2、ECMP、支持OSPF、IS-IS、BGP,支持VRRP,支持策略路由；IPv6:静态路由,支持RIPng,支持OSPFv3,支持BGP4+,支持ISISv6,BFD v6等支持以太环保护协议支持并配置双电源,双风扇冗余支持10KV业务端口防雷能力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公安网8口接入交换机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交换容量≥336Gbps，包转发率≥80Mpps8个千兆电口，4个千兆SFP支持MAC地址容量≥16K支持Cpu保护技术支持静态路由，支持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 G.8032 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公安网24口接入交换机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交换容量≥336Gbps, 包转发率≥108Mpps千兆电口≥24个,万兆光口≥4个支持MAC地址容量≥16K支持Cpu保护技术支持静态路由，支持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8</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公安网48口接入交换机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交换容量≥432Gbps, 包转发率≥144Mpps千兆电口≥48个,万兆光口≥4个支持MAC地址容量≥16K支持Cpu保护技术支持静态路由，支持 RIP/RIPng，OSPF v2/v3协议</w:t>
            </w:r>
            <w:r>
              <w:rPr>
                <w:rFonts w:hint="eastAsia" w:ascii="宋体" w:hAnsi="宋体" w:cs="宋体"/>
                <w:color w:val="FF0000"/>
                <w:kern w:val="0"/>
                <w:sz w:val="22"/>
              </w:rPr>
              <w:t>★支持Telemetry技术（提供官网截图及链接）</w:t>
            </w:r>
            <w:r>
              <w:rPr>
                <w:rFonts w:hint="eastAsia" w:ascii="宋体" w:hAnsi="宋体" w:cs="宋体"/>
                <w:kern w:val="0"/>
                <w:sz w:val="22"/>
              </w:rPr>
              <w:t>，将交换机的实时资源信息与告警信息上送至运维平台，运维平台针对实时数据进行分析，可实现网络质量回溯，故障排查，风险预警，架构优化等功能，</w:t>
            </w:r>
            <w:r>
              <w:rPr>
                <w:rFonts w:hint="eastAsia" w:ascii="宋体" w:hAnsi="宋体" w:cs="宋体"/>
                <w:color w:val="FF0000"/>
                <w:kern w:val="0"/>
                <w:sz w:val="22"/>
              </w:rPr>
              <w:t>★精确保障用户体验支持以太网环保护协议 ERPS（提供官网截图及链接）</w:t>
            </w:r>
            <w:r>
              <w:rPr>
                <w:rFonts w:hint="eastAsia" w:ascii="宋体" w:hAnsi="宋体" w:cs="宋体"/>
                <w:kern w:val="0"/>
                <w:sz w:val="22"/>
              </w:rPr>
              <w:t>，切换时间≤50ms支持10KV业务端口防雷能力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18</w:t>
            </w:r>
          </w:p>
        </w:tc>
      </w:tr>
      <w:tr>
        <w:tblPrEx>
          <w:tblCellMar>
            <w:top w:w="0" w:type="dxa"/>
            <w:left w:w="108" w:type="dxa"/>
            <w:bottom w:w="0" w:type="dxa"/>
            <w:right w:w="108" w:type="dxa"/>
          </w:tblCellMar>
        </w:tblPrEx>
        <w:trPr>
          <w:trHeight w:val="27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互联网防火墙</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硬件参数：1U标准机架，双电源，千兆电口≥8个，千兆光口≥2个；性能参数：网络吞吐≥4Gbps，并发连接数≥80万，新建连接数≥5万，支持IPSec VPN（3DES加密性能）≥150Mbps，SSL VPN最大并发数≥200个，IPSec VPN隧道数≥300个；功能参数：1.支持L2TP VPN，GRE VPN，支持安全域隔离功能，支持包过滤策略功能，能够针对源地址、目的地址、MAC、应用、服务、时间等多维度进行安全策略控制，内置VPN加密功能，提供远程VPN接入功能；2.支持对被保护对象的流量进行分析，通过对流量日志的统计整理，智能生成包过滤策略，提高运维人员工作效率;3.支持对安全策略进行冗余分析;6..支持针对不同策略、不同流量修改TCP，UDP和ICMP协议的连接超时时间；11.访问控制策略支持基于源/目的IP，源/目的端口，源/目的区域，用户（组），应用/服务类型的细化控制方式；12. 双机支持A/S，A/A方式部署，支持配置同步，会话同步和用户状态同步；13. 支持管理员权限分级，支持安全管理员、审计员、系统管理员三种权限。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32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互联网上网行为管理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多核架构设计，不允许采用X86架构，功能采用模块化结构设计；要求三层吞吐量≥4Gbps，七层吞吐量≥1.6Gbps；功能全开适用带宽≥300M，行为审计、应用控制适用终端规模≥1500台。支持路由模式、透明（网桥）模式、混合模式，支持镜像接口，部署模式切换无需重启设备；支持≥12个千兆电口，≥12个千兆光口；支持静态路由、策略路由、RIP、OSPF、ISP路由，其中ISP路由支持自定义，并可提供基于应用的策略路由支持配置基于用户和应用均为任意的7元组的IPv6策略，支持全IPV6能力，产品能力包含上网行为审计、上网行为控制、流量控制、认证、日志、报表等。支持基于终端端口、操作系统等维度的资产安全分析，列表中显示资产详细信息并支持下钻查询资产风险总览、攻击链等支持分析冗余策略、隐藏策略、冲突策略、可合并策略、空策略、过期策略，支持本地中英文Web界面管理及命令行管理，支持远程安全管理，支持统一集中管理平台管理，集中管理平台收集ACG全量日志满足网络安全法6个月日志留存要求，支持批量版本升级、策略下发、零配置上线等功能IPSec VPN支持第三方对接和快速配置，自有设备对接时加密算法等参数无需配置，自动生成，仅需配置保护子网、共享密钥、IP地址实际配置三年特征库升级服务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1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互联网核心交换机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76.8Tbps,包转发率≥8640Mpps；主控引擎≥2，整机全宽业务板槽位数≥6，不增加交换板卡，实现全宽业务板槽位数≥6，或者交换网槽位≥2，便于业务后期弹性扩展；为考虑设备安全性，要求设备支持冗余主控、冗余模块化电源</w:t>
            </w:r>
            <w:r>
              <w:rPr>
                <w:rFonts w:hint="eastAsia" w:ascii="宋体" w:hAnsi="宋体" w:cs="宋体"/>
                <w:color w:val="FF0000"/>
                <w:kern w:val="0"/>
                <w:sz w:val="22"/>
              </w:rPr>
              <w:t>★支持专业的无线 AC 业务板卡（提供官网截图证明材料），支持随板AC功能（要求提供tolly或者泰尔测试报告证明）</w:t>
            </w:r>
            <w:r>
              <w:rPr>
                <w:rFonts w:hint="eastAsia" w:ascii="宋体" w:hAnsi="宋体" w:cs="宋体"/>
                <w:kern w:val="0"/>
                <w:sz w:val="22"/>
              </w:rPr>
              <w:t>支持CPU保护功能；</w:t>
            </w:r>
            <w:r>
              <w:rPr>
                <w:rFonts w:hint="eastAsia" w:ascii="宋体" w:hAnsi="宋体" w:cs="宋体"/>
                <w:color w:val="FF0000"/>
                <w:kern w:val="0"/>
                <w:sz w:val="22"/>
              </w:rPr>
              <w:t>★支持真实业务流的实时检测技术，快速故障定位（要求提供tolly或泰尔测试报告证明）</w:t>
            </w:r>
            <w:r>
              <w:rPr>
                <w:rFonts w:hint="eastAsia" w:ascii="宋体" w:hAnsi="宋体" w:cs="宋体"/>
                <w:kern w:val="0"/>
                <w:sz w:val="22"/>
              </w:rPr>
              <w:t>；支持 RRPP 快速环网保护协议；支持 Smart-Link 协议，保证双上行网络拓扑的业务毫秒级快速切换；</w:t>
            </w:r>
            <w:r>
              <w:rPr>
                <w:rFonts w:hint="eastAsia" w:ascii="宋体" w:hAnsi="宋体" w:cs="宋体"/>
                <w:color w:val="FF0000"/>
                <w:kern w:val="0"/>
                <w:sz w:val="22"/>
              </w:rPr>
              <w:t>★支持硬件级加密技术 Macsec 技术（要求提供tolly或泰尔测试报告证明）</w:t>
            </w:r>
            <w:r>
              <w:rPr>
                <w:rFonts w:hint="eastAsia" w:ascii="宋体" w:hAnsi="宋体" w:cs="宋体"/>
                <w:kern w:val="0"/>
                <w:sz w:val="22"/>
              </w:rPr>
              <w:t>；（802.1ae）为了提高网络的时钟精确性，需支持1588v2时钟功能；要求配置电源模块数量≥2，主控引擎≥2，万兆业务光口≥8，千兆光口≥48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无线控制器授权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采用插卡式或随板式无线控制器支持802.11 a/b/g/n/ac/ax整机最大可管理AP数量≥2048在核心基础上再独立配置无线AP管理授权≥256个,含无线护航服务。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互联网24口POE接入交换机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交换容量≥336Gbps, 包转发率≥51Mpps千兆电口≥24个,千兆光口≥4个；</w:t>
            </w:r>
            <w:r>
              <w:rPr>
                <w:rFonts w:hint="eastAsia" w:ascii="宋体" w:hAnsi="宋体" w:cs="宋体"/>
                <w:color w:val="FF0000"/>
                <w:kern w:val="0"/>
                <w:sz w:val="22"/>
              </w:rPr>
              <w:t>★支持POE/POE+，POE输出功率≥380W，（提供官网截图及链接）</w:t>
            </w:r>
            <w:r>
              <w:rPr>
                <w:rFonts w:hint="eastAsia" w:ascii="宋体" w:hAnsi="宋体" w:cs="宋体"/>
                <w:kern w:val="0"/>
                <w:sz w:val="22"/>
              </w:rPr>
              <w:t>；支持MAC地址容量≥16K支持Cpu保护技术支持静态路由，支持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15</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互联网48口POE接入交换机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交换容量≥432Gbps, 包转发率≥87Mpps千兆电口≥48个,千兆光口≥4个支持POE/POE+支持MAC地址容量≥16K支持Cpu保护技术支持静态路由，支持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互联网8口接入交换机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交换容量≥336Gbps，包转发率≥27Mpps千兆电口≥8个，千兆SFP≥4个支持MAC地址容量≥16K支持Cpu保护技术支持静态路由，支持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6</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无线AP</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室内吸顶放装式AP，支持AP零配置上线，由无线控制器下发配置；满足Wi-Fi 6（802.11ax）标准，支持802.11a/b/g/n/ac/ac wave2/ax，支持2.4G和5G双频段同时工作总空间流数≥6；整机速率≥5Gbps；100/1000M/2.5G电口≥1，10/100/1000M电口≥1支持蓝牙 5.1/RFID/Zigbee支持802.1x认证、MAC地址认证、PSK认证、Portal认证等支持报文过滤、MAC地址过滤、广播风暴抑制等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255</w:t>
            </w:r>
          </w:p>
        </w:tc>
      </w:tr>
      <w:tr>
        <w:tblPrEx>
          <w:tblCellMar>
            <w:top w:w="0" w:type="dxa"/>
            <w:left w:w="108" w:type="dxa"/>
            <w:bottom w:w="0" w:type="dxa"/>
            <w:right w:w="108" w:type="dxa"/>
          </w:tblCellMar>
        </w:tblPrEx>
        <w:trPr>
          <w:trHeight w:val="27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政务外网防火墙</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硬件参数：1U标准机架，双电源，千兆电口≥8个，千兆光口≥2个；性能参数：网络吞吐≥4Gbps，并发连接数≥80万，新建连接数≥5万，支持IPSec VPN（3DES加密性能）≥150Mbps，SSL VPN最大并发数≥200个，IPSec VPN隧道数≥300个；功能参数：1.支持L2TP VPN，GRE VPN，支持安全域隔离功能，支持包过滤策略功能，能够针对源地址、目的地址、MAC、应用、服务、时间等多维度进行安全策略控制，内置VPN加密功能，提供远程VPN接入功能；2.支持对被保护对象的流量进行分析，通过对流量日志的统计整理，智能生成包过滤策略，提高运维人员工作效率;3.支持对安全策略进行冗余分析;6..支持针对不同策略、不同流量修改TCP，UDP和ICMP协议的连接超时时间；11.访问控制策略支持基于源/目的IP，源/目的端口，源/目的区域，用户（组），应用/服务类型的细化控制方式；12. 双机支持A/S，A/A方式部署，支持配置同步，会话同步和用户状态同步；13. 支持管理员权限分级，支持安全管理员、审计员、系统管理员三种权限。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政务外网48口汇聚交换机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交换容量≥2.56Tbps, 包转发率≥1080Mpps万兆光口≥48个,40G QSFP+光口≥2个；支持Cpu保护技术支持本地堆叠和远程堆叠，最大堆叠数量≥9台支持基于IP、MAC的VLAN划分IPv4:静态路由、RIP V1/2、ECMP、支持OSPF、IS-IS、BGP,支持VRRP,支持策略路由；IPv6:静态路由,支持RIPng,支持OSPFv3,支持BGP4+,支持ISISv6,BFD v6等支持以太环保护协议支持并配置双电源,双风扇冗余支持10KV业务端口防雷能力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政务外网48口接入交换机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交换容量≥432Gbps, 包转发率≥144Mpps千兆电口≥48个,万兆光口≥4个支持MAC地址容量≥16K支持Cpu保护技术支持静态路由，支持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8</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政务外网24口接入交换机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交换容量≥336Gbps, 包转发率≥108Mpps千兆电口≥24个,万兆光口≥4个支持MAC地址容量≥16K支持Cpu保护技术支持静态路由，支持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8</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政务外网8口接入交换机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交换容量≥336Gbps，包转发率≥27Mpps10/100/1000Base-T接口≥8个，千兆SFP≥4个支持MAC地址容量≥16K支持Cpu保护技术支持静态路由，支持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设备网防火墙</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硬件参数：1U标准机架，双电源，千兆电口≥8个，千兆光口≥2个；性能参数：网络吞吐≥4Gbps，并发连接数≥80万，新建连接数≥5万，支持IPSec VPN（3DES加密性能）≥150Mbps，SSL VPN最大并发数≥200个，IPSec VPN隧道数≥300个；功能参数：1.支持L2TP VPN，GRE VPN，支持安全域隔离功能，支持包过滤策略功能，能够针对源地址、目的地址、MAC、应用、服务、时间等多维度进行安全策略控制，内置VPN加密功能，提供远程VPN接入功能；2.支持对被保护对象的流量进行分析，通过对流量日志的统计整理，智能生成包过滤策略，提高运维人员工作效率;3.支持对安全策略进行冗余分析;6..支持针对不同策略、不同流量修改TCP，UDP和ICMP协议的连接超时时间；11.访问控制策略支持基于源/目的IP，源/目的端口，源/目的区域，用户（组），应用/服务类型的细化控制方式；12. 双机支持A/S，A/A方式部署，支持配置同步，会话同步和用户状态同步；13. 支持管理员权限分级，支持安全管理员、审计员、系统管理员三种权限。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9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设备网网管平台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提供统一性能、告警、资源、配置、拓扑能力，实现全网设备的统一管理，简化管理，提升运维效率；提供标准AAA能力，支持802.1X，MAC，Portal认证；支持有线无线一体化管理，可统一管理AC、AP、无线终端、PoE交换机等设备，支持在拓扑上支持展示设备告警、状态，可以十分逼真的展示全网的网络结构；无线设备拓扑，显示AC与Fit AP间的逻辑连接关系，显示Fit AP当前在线Client，AC拓扑中支持链路显示参数，包括仅显示在线AP、仅显示不在线AP和仅显示Rogue AP。通过无线位置视图拓扑，可按照设备所在区域，能够在位置视图中查看AP设备的物理位置；提供向导化的配置管理工具，帮助管理员轻松完成下面配置：Radio策略、服务策略、信噪比参数；支持无线参数802.11中a\b\g\n\ac各种协议的统一配置，一套系统可以在统一界面解决多种配置需求；通过人性化的优化向导设置，建立网络评估任务对无线网络运行状况进行评估，了解WLAN网络运行状况；生成基于拓扑，AP，终端三个维度的网络优化报告，发现薄弱区域，确认需要补点的位置，通过专业报表给未来网络优化提供建议；本次配置100个网络设备管理授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8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设备网核心交换机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76.8Tbps,包转发率≥8640Mpps；主控引擎≥2，整机全宽业务板槽位数≥6，不增加交换板卡，实现全宽业务板槽位数≥6，或者交换网槽位≥2，便于业务后期弹性扩展；为考虑设备安全性，要求设备支持冗余主控、冗余模块化电源支持专业的无线 AC 业务板卡支持CPU保护功能；支持真实业务流的实时检测技术，快速故障定位；支持 RRPP 快速环网保护协议；支持 Smart-Link 协议，保证双上行网络拓扑的业务毫秒级快速切换支持硬件级加密技术 Macsec 技术（802.1ae）为了提高网络的时钟精确性，需支持1588v2时钟功能；要求配置电源模块数量≥2，主控引擎≥2，千兆电口≥24，千兆光口≥20，万兆光口≥4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设备网24口汇聚交换机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交换容量≥756Gbps, 包转发率≥222Mpps千兆光口≥24个,SFP+万兆光口≥4个,扩展插槽≥1实现CPU保护功能，能限制非法报文对CPU的攻击，保护交换机在各种环境下稳定工作支持本地堆叠和远程堆叠，最大堆叠数量≥9台支持基于IP、MAC的VLAN划分IPv4:静态路由、RIP V1/2、ECMP、支持OSPF、IS-IS、BGP,支持VRRP,支持策略路由；IPv6:静态路由,支持RIPng,支持OSPFv3,支持BGP4+,支持ISISv6,BFD v6等支持并配置双电源,双风扇冗余支持10KV业务端口防雷能力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设备网48口POE接入交换机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交换容量≥432Gbps, 包转发率≥87Mpps千兆电口≥48个,千兆光口≥4个支持POE/POE+支持MAC地址容量≥16K支持Cpu保护技术支持静态路由，支持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20</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设备网8口POE接入交换机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交换容量≥256Gbps, 包转发率≥36Mpps千兆电口≥8个,千兆光口≥4个，导轨式安装支持POE/POE+支持MAC地址容量≥16K可以区分环网端口和业务端口，支持将环网（RRPP、ERPS）端口划为独立的广播域，杜绝网络风暴。任意两个端口可用于组成自愈环网，支持多个独立自愈环，冗余切换时间小于50ms。支持802.3x流控及半双工背压流控支持以太网环保护协议ERPS支持静态路由，支持 RIP、RIPng 协议支持工业级工作温度范围，最大可达-40°C ~ 65°C，可以在极冷和极热环境中在室外机柜中工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57</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设备网24口POE接入交换机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交换容量≥336Gbps, 包转发率≥51Mpps千兆电口≥24个,千兆光口≥4个支持POE/POE+支持MAC地址容量≥16K支持Cpu保护技术支持静态路由，支持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8</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安防存储节点24口汇聚交换机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交换容量≥2.56Tbps, 包转发率≥720Mpps万兆光口≥24个,40G QSFP+光口≥2个,支持Cpu保护技术支持本地堆叠和远程堆叠，最大堆叠数量≥9台支持基于IP、MAC的VLAN划分IPv4:静态路由、RIP V1/2、ECMP、支持OSPF、IS-IS、BGP,支持VRRP,支持策略路由；IPv6:静态路由,支持RIPng,支持OSPFv3,支持BGP4+,支持ISISv6,BFD v6等支持以太环保护协议支持并配置双电源,双风扇冗余支持10KV业务端口防雷能力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安防存储节点48口接入交换机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交换容量≥432Gbps, 包转发率≥144Mpps千兆电口≥48个,万兆光口≥4个支持POE/POE+支持MAC地址容量≥16K支持Cpu保护技术支持静态路由，支持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**基地实战指挥中心48口接入交换机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交换容量≥432Gbps, 包转发率≥144Mpps千兆电口≥48个,万兆光口≥4个支持POE/POE+支持MAC地址容量≥16K支持Cpu保护技术支持静态路由，支持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政务网48口接入交换机（教室）</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交换容量336Gbps，包转发率87Mpps；48个10/100/1000Base-T接口，4个千兆SFP；支持MAC地址容量≥16K支持Cpu保护技术支持静态路由，支持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政务网24口接入交换机（教室）</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交换容量336Gbps，包转发率51Mpps；24个10/100/1000Base-T接口，4个千兆SFP；支持MAC地址容量≥16K支持Cpu保护技术支持静态路由，支持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政务网8口接入交换机（教室）</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交换容量336Gbps，包转发率24Mpps；8个10/100/1000Base-T接口，2个千兆SFP；支持MAC地址容量≥16K支持Cpu保护技术支持静态路由，支持 RIP/RIPng，OSPF v2/v3协议支持Telemetry技术，将交换机的实时资源信息与告警信息上送至运维平台，运维平台针对实时数据进行分析，可实现网络质量回溯，故障排查，风险预警，架构优化等功能，精确保障用户体验支持以太网环保护协议 ERPS，切换时间≤50ms支持10KV业务端口防雷能力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千兆单模光模块</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光模块-eSFP-GE-单模模块(1310nm,10km,LC)</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280</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万兆单模光模块</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光模块-SFP+-10G-单模模块(1310nm,10km,LC)</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190</w:t>
            </w:r>
          </w:p>
        </w:tc>
      </w:tr>
      <w:tr>
        <w:tblPrEx>
          <w:tblCellMar>
            <w:top w:w="0" w:type="dxa"/>
            <w:left w:w="108" w:type="dxa"/>
            <w:bottom w:w="0" w:type="dxa"/>
            <w:right w:w="108" w:type="dxa"/>
          </w:tblCellMar>
        </w:tblPrEx>
        <w:trPr>
          <w:trHeight w:val="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日志审计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软硬一体化1U标准机架式设备，配备单电源，自带千面主流安全设备、网络设备、中间件、服务器、数据库、操作系统等设备对象的日志数据采集；支持主动、被动相结合的数据采集方式；支持日志转发；支持Syslog、SNMP、JDBC、WMI、FTP、文件等进行数据采集；支持通过Agent采集日志数据；支持采集网络流量，解析协议不少于ICMP、DNS、HTTP、Memcache、MySQL、PgSQL、TNS、Redis、Thrift、MongoDB、NFS、TDS、Sybase、Drda、Dameng、POP、SMTP、达梦等；提供TOP10资产事件趋势，支持实时告警数、资产总数、日志事件总数、系统健康状况的图表显示。并支持资产总数、日志事件总数、系统健康状况四项的下钻查看详情；支持基于策略的多资产海量日志关联分析，发现安全事件进行关联通知；系统内置不少于50种常见安全事件关联分析规则；满足单位根据等级保护中关于网络安全、主机安全、风险管理等相关事件统计要求。提供按照全网概况、操作系统分析、安全设备分析、网络设备分析、数据库分析、Web应用分析、连接关系、事件关系、网络流量等进行分类的分析图组。</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数据库审计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软硬一体化1U标准机架式设备，配备单电源，自带千兆电口≥4，硬盘容量≥4T，带有扩展槽数≥1；SQL处理能力≥28000条/秒、入库量30000条/秒、日志存储能力≥4亿条；可审计的业务系统数量≥1.，支持单个扩展或扩展至无限个数据库实例功能参数：支持系统自检功能且提供独立界面，当系统自身侦测到日志存储空间不足、昨日业务数据量超标、磁盘错误、license过期、无配置备份、系统掉电、监听网卡断开；支持基于SQL模板设置模板状态，过滤匹配该模板的语句，并能根据以下条件查询模板信息：关键字查找模板、触发规则、状态，且可根据所需选择排序字段。同时支持SQL模版和关联的具体语句的相互跳转查看提供监察人员使用的监察视图，可展示今日、本周以及本月统方事件，同时可根据工号为对象进行二次钻取，展示统方事件分布；支持普通查询、模糊查询、明细查询、词组查询、流水号查询五种匹配命中方式，同时可叠加多达27种查询条件，其中包含会话语句种类、重复程度、耗时、数量、排除关键字及时段选择，查询结果支持多种格式导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3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36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运维审计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硬件参数：1U标准机架式设备，配备单电源，自带6个千兆电，1个扩展槽，硬盘容量≥2T；性能参数：最大字符连接300个，最大图型连接100个，默认管理点数200个；实配1个双因素认证动态口令卡，3个双因素认证USBkey。功能参数：支持Chrome、Firefox、IE、Safrai等主流浏览器，产品应用不依赖JAVA及Flash支持双因素组合认证，可以将两种认证方式自定义组合为全新的认证方式；支持AD账号的自动化同步，可将未纳管的AD账号自动添加到系统中并自动赋予指定角色，无需管理员干预;支持用户标签视图管理，可根据自定义的筛选条件快速统计出符合条件的账户信息；支持按不同属性对资产进行多级分类并自动生成树状结构的资源视图；支持不同资产之间的联动配置，彼此之间可实现自动跳转访问;支持基于A/B角管理模式的双人复核，当用户登录到目标设备时，必须经过复核人的复核确认后才能正常操作当会话复核人发现操作存在风险，可实时暂停;支持密码工单管理，可通过工单申请相应资源的明文密码，审批通过后可通过邮件方式向申请人发送相应提示信息，有效期后平台会自动回收相应账号密码，并自动触发密码变更操作支持资源、用户、操作三个维度审计智能检索，其中在操作检索层面，支持多关键字检索，检索结果直接定位到相关操作片段，并能将多个会话的操作片段进行一键合并和基于时间的操作排序重组;</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37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公安网链路租赁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1年链路租用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38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政务外网链路租赁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1年链路租用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视频专网链路租赁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1年链路租用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宿舍宽带租赁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每间宿舍1年100m宽带租赁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431</w:t>
            </w:r>
          </w:p>
        </w:tc>
      </w:tr>
    </w:tbl>
    <w:p>
      <w:pPr>
        <w:pStyle w:val="56"/>
      </w:pPr>
      <w:r>
        <w:rPr>
          <w:rFonts w:hint="eastAsia"/>
        </w:rPr>
        <w:t>6、安全技术防范系统</w:t>
      </w:r>
    </w:p>
    <w:tbl>
      <w:tblPr>
        <w:tblStyle w:val="30"/>
        <w:tblW w:w="0" w:type="auto"/>
        <w:tblInd w:w="113" w:type="dxa"/>
        <w:tblLayout w:type="autofit"/>
        <w:tblCellMar>
          <w:top w:w="0" w:type="dxa"/>
          <w:left w:w="108" w:type="dxa"/>
          <w:bottom w:w="0" w:type="dxa"/>
          <w:right w:w="108" w:type="dxa"/>
        </w:tblCellMar>
      </w:tblPr>
      <w:tblGrid>
        <w:gridCol w:w="552"/>
        <w:gridCol w:w="1038"/>
        <w:gridCol w:w="5705"/>
        <w:gridCol w:w="458"/>
        <w:gridCol w:w="656"/>
      </w:tblGrid>
      <w:tr>
        <w:tblPrEx>
          <w:tblCellMar>
            <w:top w:w="0" w:type="dxa"/>
            <w:left w:w="108" w:type="dxa"/>
            <w:bottom w:w="0" w:type="dxa"/>
            <w:right w:w="108" w:type="dxa"/>
          </w:tblCellMar>
        </w:tblPrEx>
        <w:trPr>
          <w:trHeight w:val="270"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主要技术参数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rPr>
            </w:pPr>
            <w:r>
              <w:rPr>
                <w:rFonts w:hint="eastAsia" w:ascii="宋体" w:hAnsi="宋体" w:cs="宋体"/>
                <w:kern w:val="0"/>
                <w:sz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彩色枪式摄像机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200万 1/2.7“ CMOS 红外筒型网络摄像机智能侦测：支持越界侦测，区域入侵侦测最低照度: 彩色：0.01 Lux @（F1.2，AGC ON），0 Lux with IR宽动态: 120 dB补光距离: 最远可达30 m防补光过曝: 支持红外波长范围: 850 nm补光灯类型: 红外灯最大图像尺寸: ≥ 1920 × 1080视频压缩标准: 主码流：H.265/H.264网络存储: 支持NAS（NFS，SMB/CIFS均支持）网络: 1个RJ45 10 M/100 M自适应以太网口启动和工作温湿度: -30 ℃~60 ℃，湿度小于95%（无凝结）防护: IP67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290</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支架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壁装支架外观 适用范围 适合枪型、筒型、一体型摄像机壁装材料 铝合金调整角度 水平：360°，垂直：-45°~45°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290</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电源适配器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国标,12V1A输出,Φ2.1圆头，桌面式，输入350mm,输出800mm输入电压：AC170V~240V</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290</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彩色半球摄像机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200万 1/2.7“ CMOS ICR星光级半球型网络摄像机最低照度: 彩色：0.01 Lux @（F1.2，AGC ON），0 Lux with IR宽动态: 120 dB调节角度: 水平：0°~355°，垂直：0°~75°补光灯类型: 红外灯补光距离: 最远可达30 m最大图像尺寸: 1920 × 1080视频压缩标准: 主码流：H.265/H.264网络存储: 支持NAS（NFS，SMB/CIFS均支持），支持Micro SD(即TF卡)/Micro SDHC/Micro SDXC卡（最大256 GB）网络: 1个RJ45 10 M/100 M自适应以太网口防护: IP67，IK10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232</w:t>
            </w:r>
          </w:p>
        </w:tc>
      </w:tr>
      <w:tr>
        <w:tblPrEx>
          <w:tblCellMar>
            <w:top w:w="0" w:type="dxa"/>
            <w:left w:w="108" w:type="dxa"/>
            <w:bottom w:w="0" w:type="dxa"/>
            <w:right w:w="108" w:type="dxa"/>
          </w:tblCellMar>
        </w:tblPrEx>
        <w:trPr>
          <w:trHeight w:val="3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人脸半球摄像机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400万 星光级 1/2.7“CMOS AI轻智能抓拍半球型网络摄像机人脸抓拍：支持同时检测并且抓拍30张人脸，支持对运动人脸进行检测、跟踪、抓拍、评分、筛选输出最优的人脸抓图，支持最佳抓拍，快速抓拍周界：支持区域入侵、越界侦测、进入区域、离开区域功能；支持基于具体的目标类型（人或车辆）触发的报警道路监控：支持背向行驶车辆抓拍，支持车牌、子品牌、车身颜色、车辆类型。支持行人、非机动车、机动车的混行检测最低照度: 彩色：0.005 Lux @（F1.2，AGC ON）；黑白：0.001 Lux @（F1.2，AGC ON），0 Lux with IR调节角度: 水平：0~355°，垂直：0~75°，旋转：0~355°宽动态: 120 dB焦距、视场角: 2.7~12mm：水平视场角：99.4°~32.6°，垂直视场角：53.0°~18.3°，对角线视场角：117.7°~37.5°补光灯类型: 红外，850 nm补光距离: 2.7~12 mm：普通监控：30 m，人脸抓拍/识别：3 m防补光过曝: 支持防补光过曝开启和关闭，开启下支持自动和手动，手动支持根据距离等级控制补光灯亮度最大图像尺寸: 2560 × 1440视频压缩标准: H.265/H.264/MJPEG网络存储: 支持Micro SD(即TF卡)/Micro SDHC/Micro SDXC卡（最大256 GB）断网本地存储及断网续传，NAS（NFS，SMB/CIFS均支持），支持SD卡加密及SD卡状态检测网络: 1个RJ45 10 M/100 M自适应以太网口防护: IP67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29</w:t>
            </w:r>
          </w:p>
        </w:tc>
      </w:tr>
      <w:tr>
        <w:tblPrEx>
          <w:tblCellMar>
            <w:top w:w="0" w:type="dxa"/>
            <w:left w:w="108" w:type="dxa"/>
            <w:bottom w:w="0" w:type="dxa"/>
            <w:right w:w="108" w:type="dxa"/>
          </w:tblCellMar>
        </w:tblPrEx>
        <w:trPr>
          <w:trHeight w:val="24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电梯专用摄像机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200万1/2.7” CMOS日夜型迷你半球型网络摄像机最低照度: 彩色：0.01 Lux @（F1.2，AGC ON），0 Lux with IR宽动态: 120 dB调节角度: 水平：-30°~30°，垂直：0°~75°，旋转：0°~360°焦距、视场角: 2.8 mm，水平视场角：107.1°，垂直视场角：57°，对角线视场角：127.6°补光灯类型: 红外灯补光距离: 最远可达10 m最大图像尺寸: 1920 × 1080视频压缩标准: 主码流：H.265/H.264网络存储: 支持NAS（NFS，SMB/CIFS均支持），支持Micro SD(即TF卡)/Micro SDHC/Micro SDXC卡（最大256 GB）网络: 1个RJ45 10 M/100 M自适应以太网口音频: 1个内置麦克风复位: 支持启动和工作温湿度: -30 ℃~60 ℃，湿度小于95%（无凝结）电流及功耗: DC：12 V，0.54 A，最大功耗：6.5 W；PoE：802.3af，36 V~57 V，0.20 A~0.13 A，最大功耗：7.5 W供电方式: DC：12 V ± 25%；PoE：802.3af，Class 3电源接口类型: Ø5.5 mm圆口防护: IP66，IK08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26</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电梯网桥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5.8G电梯网桥，802.11ac制式成对包装，距离500米3网口设计，支持路由功能定向天线成对包装</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26</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楼层显示器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电梯停层、运行数据与监控画面同时显示；支持最高100M传输速率；光电探测型楼显和磁感应楼显主机通用；网络接口：RJ45 100M；工作电压：12VDC。</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26</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强光抑制型摄像机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200万 1/2.7“ CMOS红外筒型网络摄像机智能侦测：支持越界侦测，区域入侵侦测最低照度: 彩色：0.002 Lux @（F1.2，AGC ON），0 Lux with IR宽动态: 120 dB补光距离: 最远可达50 m防补光过曝: 支持红外波长范围: 850 nm补光灯类型: 红外灯最大图像尺寸: 1920 × 1080视频压缩标准: 主码流：H.265/H.264网络存储: 支持NAS（NFS，SMB/CIFS均支持）音频: 1个内置麦克风网络: 1个RJ45 10 M/100 M自适应以太网口</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支架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壁装支架外观 白适用范围 适合枪型、筒型、一体型摄像机壁装材料 铝合金调整角度 水平：360°，垂直：-45°~45°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电源适配器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国标,12V1A输出,Φ2.1圆头，桌面式，输入350mm,输出800mm输入电压：AC170V~240V</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37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室内一体化快球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【全景 4Mp 全彩4倍；细节 4Mp 红外 23 倍】支持深度学习算法，提供精准的人车分类侦测、报警、联动跟踪；支持双路区域入侵侦测、越界侦测、进入区域侦测和离开区域侦测等智能侦测并联动跟踪；支持同时检测 5 张人脸，支持对运动人脸进行检测、跟踪、抓拍、评分、筛选，输出最优的人脸抓图；内置加热玻璃，有效除雾；传感器类型: 【全景】1/1.8“CMOS；【细节】1/2.8“ CMOS；最低照度:【全景】彩色：0.001Lux ，黑白：0.0001 Lux ，【细节】彩色：0.001 Lux ，黑白：0.0001 Lux ，0 Lux；宽动态: 120dB 超宽动态；焦距:【全景】8mm to 32mm；【细节】5.4 mm to 125 mm，23 倍光学变倍；水平范围: 360°，垂直范围:-15°-90°(自动翻转)；水平速度:水平键控速度：0.1°-160°/s,速度可设;水平预置点速度：240°/s；垂直速度: 垂直键控速度：0.1°-120°/s,速度可设;垂直预置点速度：200°/s；主码流帧率分辨率:【全景】：50 Hz: 25fps (2688×1520); 60 Hz: 30fps (2688×1520)，【细节】：50 Hz: 25 fps (2688×1520); 60 Hz: 30fps ( 2688×1520)视频压缩标准: H.265,H.264,MJPEG；网络存储: NAS (NFS，SMB/ CIFS), ANR；网络接口: RJ45 网口,自适应 10M/100M 网络数据；SD 卡扩展: 内置 Micro SD 卡插槽,支持 Micro SD(即 TF 卡)/Micro SDHC/Micro SDXC卡,最大支持 256G；补光：白光照射距离: 【全景】30 m，红外照射距离: 【细节】150 m；工作温湿度: -30℃-65℃；湿度小于 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14</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支架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壁装支架/白色/铝合金</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14</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室外枪机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200万 1/2.7“ CMOS 红外筒型网络摄像机智能侦测：支持越界侦测，区域入侵侦测最低照度: 彩色：0.01 Lux @（F1.2，AGC ON），0 Lux with IR宽动态: 120 dB补光距离: 最远可达30 m防补光过曝: 支持红外波长范围: 850 nm补光灯类型: 红外灯最大图像尺寸: 1920 × 1080视频压缩标准: 主码流：H.265/H.264网络存储: 支持NAS（NFS，SMB/CIFS均支持）网络: 1个RJ45 10 M/100 M自适应以太网口启动和工作温湿度: -30 ℃~60 ℃，湿度小于95%（无凝结）供电方式: DC：12 V ± 25%，支持防反接保护；PoE：802.3af，Class 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201</w:t>
            </w:r>
          </w:p>
        </w:tc>
      </w:tr>
      <w:tr>
        <w:tblPrEx>
          <w:tblCellMar>
            <w:top w:w="0" w:type="dxa"/>
            <w:left w:w="108" w:type="dxa"/>
            <w:bottom w:w="0" w:type="dxa"/>
            <w:right w:w="108" w:type="dxa"/>
          </w:tblCellMar>
        </w:tblPrEx>
        <w:trPr>
          <w:trHeight w:val="24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室外人脸摄像机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支持人脸检测：支持跟踪，支持优选，支持抓拍，支持上报最优的人脸抓图，支持人脸增强，人脸曝光，支持人脸属性提取，支持6种属性，8种表情采用超星光超低照度400万像素1/1.8英寸CMOS图像传感器，低照度效果好，图像清晰度高）最大可输出400万(2688×1520)@25fps电动变焦，焦距10mm~40mm；支持H.265编码，压缩比高，实现超低码流传输支持超景深技术：景深可独立调节，不依赖光圈，最大光圈下景深仍可覆盖全场景目标。支持五码流功能，三路高清视频显示支持走廊模式，宽动态，3D降噪，强光抑制，背光补偿，数字水印，适用不同监控环境支持ROI，SMART H.264/H.265，灵活编码，适用不同带宽和存储环境支持报警2进2出，音频2进1出，BNC，最大支持256G Micro SD卡，内置MIC支持AC24V供电方式，支持DC12V电源返送，最大电流165mA,方便工程安装支持IP66防护等级；补光灯角度调整检验：样机自带补光灯可在垂直方向手动调节角度30°</w:t>
            </w:r>
            <w:r>
              <w:rPr>
                <w:rFonts w:hint="eastAsia" w:ascii="宋体" w:hAnsi="宋体" w:cs="宋体"/>
                <w:color w:val="FF0000"/>
                <w:kern w:val="0"/>
                <w:sz w:val="22"/>
              </w:rPr>
              <w:t>●镜头光圈：F1.2士5%（需提供公安部检测报告证明）</w:t>
            </w:r>
            <w:r>
              <w:rPr>
                <w:rFonts w:hint="eastAsia" w:ascii="宋体" w:hAnsi="宋体" w:cs="宋体"/>
                <w:kern w:val="0"/>
                <w:sz w:val="22"/>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支架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壁装支架外观 适用范围 适合枪型、筒型、一体型摄像机壁装材料 铝合金调整角度 水平：360°，垂直：-45°~45°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230</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电源适配器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DC12V电源适配器颜色: 黑色安装方式: 壁挂式输入规格: AC176V~260V，50Hz，0.8A输出规格: DC12V/2A输入效率≥85.00%负载调整率: ±5%纹波/噪声: 150mVp-p输出功率: 24W Max输入接口: 3C插头输出接口形式: ø5.5×2.1×10mm线长: 800mm工作温度和湿度: 0℃~40℃,湿度10%~90%(无凝结)产品尺寸（mm）: 75.0(L)*35.0(W)*28.0(H)</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230</w:t>
            </w:r>
          </w:p>
        </w:tc>
      </w:tr>
      <w:tr>
        <w:tblPrEx>
          <w:tblCellMar>
            <w:top w:w="0" w:type="dxa"/>
            <w:left w:w="108" w:type="dxa"/>
            <w:bottom w:w="0" w:type="dxa"/>
            <w:right w:w="108" w:type="dxa"/>
          </w:tblCellMar>
        </w:tblPrEx>
        <w:trPr>
          <w:trHeight w:val="29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400万警戒网络摄像机（周界）</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400万 星光级 1/3“ CMOS 智能筒型网络摄像机采用深度学习硬件及算法，支持越界侦测，区域入侵侦测，进入区域侦测和离开区域侦测；</w:t>
            </w:r>
            <w:r>
              <w:rPr>
                <w:rFonts w:hint="eastAsia" w:ascii="宋体" w:hAnsi="宋体" w:cs="宋体"/>
                <w:kern w:val="0"/>
                <w:sz w:val="22"/>
              </w:rPr>
              <w:br w:type="textWrapping"/>
            </w:r>
            <w:r>
              <w:rPr>
                <w:rFonts w:hint="eastAsia" w:ascii="宋体" w:hAnsi="宋体" w:cs="宋体"/>
                <w:color w:val="FF0000"/>
                <w:kern w:val="0"/>
                <w:sz w:val="22"/>
              </w:rPr>
              <w:t>●支持联动闪光报警灯，联动声音报警；（需提供公安部检测报告证明）</w:t>
            </w:r>
            <w:r>
              <w:rPr>
                <w:rFonts w:hint="eastAsia" w:ascii="宋体" w:hAnsi="宋体" w:cs="宋体"/>
                <w:kern w:val="0"/>
                <w:sz w:val="22"/>
              </w:rPr>
              <w:br w:type="textWrapping"/>
            </w:r>
            <w:r>
              <w:rPr>
                <w:rFonts w:hint="eastAsia" w:ascii="宋体" w:hAnsi="宋体" w:cs="宋体"/>
                <w:kern w:val="0"/>
                <w:sz w:val="22"/>
              </w:rPr>
              <w:t>最低照度: 彩色：0.005 Lux @（F1.2，AGC ON），0 Lux with IR宽动态: 120 dB红外距离: 最远可达50 m波长范围: 850 nm防补光过曝: 支持闪光报警: 支持最大图像尺寸: 2560 × 1440视频压缩标准: 主码流：H.265/H.264支持声音报警功能，报警声音类型不小于10种，报警声级及报警次数可设置。需具备智能分析抗干扰功能，当非人或车辆目标经过检测区域时，不会触发报警。网络存储: 支持NAS（NFS，SMB/CIFS均支持），支持Micro SD(即TF卡)/Micro SDHC/Micro SDXC卡（最大256 GB），断网本地录像存储及断网续传网络: 1个RJ45 10 M/100 M自适应以太网口电源输出: DC12 V，100 mA，用于拾音器供电启动及工作温湿度: -30 ℃~60 ℃，湿度小于95%（无凝结）供电方式: DC：12 V ± 25%，支持防反接保护；PoE：802.3af，Class 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周界摄像机支架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壁装支架外观 适用范围 适合枪型、筒型、一体型摄像机壁装材料 铝合金调整角度 水平：360°，垂直：-45°~45°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电源适配器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DC12V电源适配器颜色: 黑色安装方式: 壁挂式输入规格: AC176V~260V，50Hz，0.8A输出规格: DC12V/2A输入效率≥85.00%负载调整率: ±5%纹波/噪声: 150mVp-p输出功率: 24W Max输入接口: 3C插头输出接口形式: ø5.5×2.1×10mm线长: 800mm工作温度和湿度: 0℃~40℃,湿度10%~90%(无凝结)产品尺寸（mm）: 75.0(L)*35.0(W)*28.0(H)</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37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室外一体化快球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【全景 4Mp 全彩4倍；细节 4Mp 红外 23 倍】支持深度学习算法，提供精准的人车分类侦测、报警、联动跟踪；支持双路区域入侵侦测、越界侦测、进入区域侦测和离开区域侦测等智能侦测并联动跟踪；支持同时检测 5 张人脸，支持对运动人脸进行检测、跟踪、抓拍、评分、筛选，输出最优的人脸抓图；内置加热玻璃，有效除雾；传感器类型: 【全景】1/1.8“CMOS；【细节】1/1.8“ CMOS；最低照度:【全景】彩色：0.001Lux ，黑白：0.0001 Lux ，【细节】彩色：0.001 Lux ，黑白：0.0001 Lux ，0 Lux；宽动态: 120dB 超宽动态；焦距:【全景】8mm to 32mm；【细节】5.4 mm to 125 mm，23 倍光学变倍；水平范围: 360°，垂直范围:-15°-90°(自动翻转)；水平速度:水平键控速度：0.1°-160°/s,速度可设;水平预置点速度：240°/s；垂直速度: 垂直键控速度：0.1°-120°/s,速度可设;垂直预置点速度：200°/s；主码流帧率分辨率:【全景】：50 Hz: 25fps (2688×1520); 60 Hz: 30fps (2688×1520)，【细节】：50 Hz: 25 fps (2688×1520); 60 Hz: 30fps ( 2688×1520)视频压缩标准: H.265,H.264,MJPEG；网络存储: NAS (NFS，SMB/ CIFS), ANR；网络接口: RJ45 网口,自适应 10M/100M 网络数据；SD 卡扩展: 内置 Micro SD 卡插槽,支持 Micro SD(即 TF 卡)/Micro SDHC/Micro SDXC卡,最大支持 256G；补光：白光照射距离: 【全景】30 m，红外照射距离: 【细节】150 m；工作温湿度: -30℃-65℃；湿度小于 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20</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支架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壁装支架/白色/铝合金</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20</w:t>
            </w:r>
          </w:p>
        </w:tc>
      </w:tr>
      <w:tr>
        <w:tblPrEx>
          <w:tblCellMar>
            <w:top w:w="0" w:type="dxa"/>
            <w:left w:w="108" w:type="dxa"/>
            <w:bottom w:w="0" w:type="dxa"/>
            <w:right w:w="108" w:type="dxa"/>
          </w:tblCellMar>
        </w:tblPrEx>
        <w:trPr>
          <w:trHeight w:val="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AR全景摄像机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2400万270°AR高空全景】星光级全景网络高清智能球机，采用一体化设计，单产品即可同时提供全景与特写画面，兼顾全景与细节；支持人群分布图：人群监测、全局及区域人数统计、人群密度阈值报警联动监视功能，为人群全局监测、焦点监测提供强有力措施；具备AR视频标签管理功能，支持视频画面中添加最多500个标签；具备AR视频标签防抖动，防漂移功能 ；具备标签联动、查看功能；具备相机视频联动功能，可实现高高、高低、低高三种视频联动功能；自带镜头，另配6个图像采集模块，可输出1路主视频图像和6路辅视频图像。可将6个辅视频图像进行无缝拼接，实现270°拼接画面显示，并抓拍拼接后的图像。拼接后的辅视频图像：水平视场角为270°，垂直视场角为111°；传感器类型: 【全景】1/1.8“CMOS，【细节】1/1.8“CMOS最低照度: 【全景】0.0005 Lux/F1.0（彩色），0.0001 Lux/F1.0（黑白），【细节】星光级超低照度，0.0005 Lux/F1.2（彩色），0.0001 Lux/F1.2（黑白），0 Lux with IR 光学变倍: 40倍焦距: 【全景】2.8 mm；【细节】5.5mm~220mm红外照射距离: 450 m防补光过曝: 支持水平范围: 360°，垂直范围: -15°~90°（自动翻转）水平速度: 水平键控速度：0.1°~210°/s，速度可设；水平预置点速度：240°/s垂直速度: 垂直键控速度：0.1°~150°/s，速度可设；垂直预置点速度：200°/s主码流帧率分辨率:【全景】主码流：8192×2700@25fps，辅码流1：2048×680@25fps，辅码流2：3840×1248@25fps；【细节】主码流：2560×1440 @25fps，辅码流1：704×480@25fps，辅码流2：1920×1080@25fps；视频压缩标准: H.265，H.264，MJPEG网络接口: RJ45网口，自适应10 M/100 M/1000 M网络数据光纤接口: FC接口，内置光纤模块，1000 M网络数据，波长TX1310/RX1550 nm，单模单纤，20 km传输距离供电方式: DC36 V设备功耗: 最大功耗：135 W（其中红外灯最大功耗：12 W）工作温湿度: -40 ℃~70 ℃，湿度小于90%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4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人脸识别枪机（出入口）</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支持人脸检测：支持跟踪，支持优选，支持抓拍，支持上报最优的人脸抓图，支持人脸增强，人脸曝光，支持人脸属性提取，支持6种属性，8种表情采用超星光超低照度400万像素1/1.8英寸CMOS图像传感器，低照度效果好，图像清晰度高）最大可输出400万(2688×1520)@25fps电动变焦，焦距10mm~40mm；支持H.265编码，压缩比高，实现超低码流传输支持超景深技术：景深可独立调节，不依赖光圈，最大光圈下景深仍可覆盖全场景目标。支持五码流功能，三路高清视频显示支持走廊模式，宽动态，3D降噪，强光抑制，背光补偿，数字水印，适用不同监控环境支持ROI，SMART H.264/H.265，灵活编码，适用不同带宽和存储环境支持报警2进2出，音频2进1出，BNC，最大支持256G Micro SD卡，内置MIC支持AC24V供电方式，支持DC12V电源返送，最大电流165mA,方便工程安装支持IP66防护等级镜头光圈：F1.2士5%补光灯角度调整检验：样机自带补光灯可在垂直方向手动调节角度30°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w:t>
            </w:r>
          </w:p>
        </w:tc>
      </w:tr>
      <w:tr>
        <w:tblPrEx>
          <w:tblCellMar>
            <w:top w:w="0" w:type="dxa"/>
            <w:left w:w="108" w:type="dxa"/>
            <w:bottom w:w="0" w:type="dxa"/>
            <w:right w:w="108" w:type="dxa"/>
          </w:tblCellMar>
        </w:tblPrEx>
        <w:trPr>
          <w:trHeight w:val="18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国产化服务器（信创）</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HG7280/32G DDR4/600G 10K SAS×2(RAID_1) /SAS_HBA/1GbE×2/550W(1+1)/2U2U单路标准机架式服务器CPU：1颗 HG7280(32核，2.0GHz)内存2*16G DDR4，16根内存插槽，最大支持扩展至2TB内存硬盘：2块600G 10K 2.5寸SAS硬盘阵列卡：SAS_HBA卡, 支持RAID 0/1/10PCIE扩展：最大可支持6个PCIe扩展插槽网口：2个千兆电口其他接口：1个千兆RJ-45管理接口，4个USB 3.0接口，2个位于机箱后部，2个位于机箱前部1个VGA口，位于机箱后部电源：标配550W（1+1）白金冗余电源 支持200-240V 50/60Hz AC/HVDC机箱规格：87.8mm(高)x 448mm(宽)x730mm(深)设备重量：约28KG（含导轨）操作系统：UOS(试用版)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54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视频云存储节点</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外形规格：4U机架；主处理器：高性能六核处理器；操作系统：嵌入式LINUX系统；高速缓存：16GBDDR4主频2666MHz；电源冗余：1+1冗余电源；供电方式：550W；100V~240V，50/60Hz，支持热插拔；网络接口：4个千兆数据电口，2个万兆数据光口；硬盘个数：标配内置1块2.5英寸SATA240G企业级固态硬盘，最大支持24个2.5“或3.5“的SATA硬盘或者SAS硬盘；功耗：不大于500W（含硬盘）；最大接入：视频512路，图片300路；视频最大存储：300路或800Mbps；图片最大存储：200条记录/3秒，每条记录1张500KB大图+1张50KB小图；采用Erasure Code冗余技术，数据分片后存储至多台节点中，支持设备级、硬盘级容错；支持N+M多种容错模式（N+1，N+2，N+3，N+4），磁盘利用率为N/（N+M）；支持录像业务级别按空间、时间的循环覆盖；支持融合存储，支持视频、图片、文档等数据混合存储；支持视频录像能以文件方式被第三方应用从云存储中直接读取；支持存储节点间基于性能和容量的负载均衡，节点内部基于硬盘性能和容量的负载均衡；在80%磁盘利用率下，最大容忍四台存储节点同时故障，历史录像不丢失。</w:t>
            </w:r>
            <w:r>
              <w:rPr>
                <w:rFonts w:hint="eastAsia" w:ascii="宋体" w:hAnsi="宋体" w:cs="宋体"/>
                <w:kern w:val="0"/>
                <w:sz w:val="22"/>
              </w:rPr>
              <w:br w:type="textWrapping"/>
            </w:r>
            <w:r>
              <w:rPr>
                <w:rFonts w:hint="eastAsia" w:ascii="宋体" w:hAnsi="宋体" w:cs="宋体"/>
                <w:color w:val="000000"/>
                <w:kern w:val="0"/>
                <w:sz w:val="22"/>
              </w:rPr>
              <w:t>支持基于云原生架构和容器化技术，支持网络、CPU、存储空间、SSD等多种资源虚拟化、进行统一管理和调度；支持基于CPU、GPU、容器业务类型、超融合节点类型等多种复杂调度策略。 基于容器化进行智能化负载均衡管理。支持数据库、数据存储、智能分析、平台应用等多种业务模型进行统一调度和管理。</w:t>
            </w:r>
            <w:r>
              <w:rPr>
                <w:rFonts w:hint="eastAsia" w:ascii="宋体" w:hAnsi="宋体" w:cs="宋体"/>
                <w:color w:val="000000"/>
                <w:kern w:val="0"/>
                <w:sz w:val="22"/>
              </w:rPr>
              <w:br w:type="textWrapping"/>
            </w:r>
            <w:r>
              <w:rPr>
                <w:rFonts w:hint="eastAsia" w:ascii="宋体" w:hAnsi="宋体" w:cs="宋体"/>
                <w:color w:val="000000"/>
                <w:kern w:val="0"/>
                <w:sz w:val="22"/>
              </w:rPr>
              <w:t>支持单台服务器构建超融合云存储系统，支持单台扩展为多台超融合集群系统。支持第三方应用通过容器化方式快速在超融合系统中进行部署和统一调度。云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9</w:t>
            </w:r>
          </w:p>
        </w:tc>
      </w:tr>
      <w:tr>
        <w:tblPrEx>
          <w:tblCellMar>
            <w:top w:w="0" w:type="dxa"/>
            <w:left w:w="108" w:type="dxa"/>
            <w:bottom w:w="0" w:type="dxa"/>
            <w:right w:w="108" w:type="dxa"/>
          </w:tblCellMar>
        </w:tblPrEx>
        <w:trPr>
          <w:trHeight w:val="81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综合安防管理平台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系统基础信息管理：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一、组织资源管理1、支持组织基础信息的增删改查、导入、导出等功能；二、区域资源管理1、支持区域基础信息的增删改查、导入、导出等功能；三、人员信息管理1、支持人员信息的增删改查、导入、导出，包括人脸、指纹采集；2、支持人员基础信息自定义扩展；四、卡片信息管理1、支持卡片基本信息的增删改查、导入、导出；2、支持人员开卡、退卡、挂失、解挂、换卡及卡扇区加密；五、车辆信息管理1、支持车辆基本信息的增删改查、导入、导出；六、设备信息管理1、提供设备统一接入管理，包括：视频设备、出入口设备、门禁设备、梯控设备、可视对讲设备、食堂消费设备、寻车诱导设备、卡口设备、车载设备、报警设备等。2、支持AD域七、系统用户管理1、支持账户基本信息和角色信息的增删改查；2、支持配置不同角色权限，包括菜单权限、组织权限、区域权限、资源权限、功能控制权限；3、支持用户组权限分配；4、支持用户安全管理，可绑定用户mac地址及IP，可自行修改用户密码或者管理员重置密码；5、支持从Windows域同步用户信息，用于域账户进行平台登录；6、支持组件集群高可用，包括但不限于：设备接入服务和智能设备接入服务集群高可用、媒体网关服务集群高可用、视频联网网关服务集群高可用、视频点播服务集群高可用八、核心参数配置1、支持首页菜单自定义展示设置；2、支持所有设备统一校时；3、提供账户安全设置，支持账户密码有效期设置。图上监控：图上监控应用以地图可视化模式为各类设备资源提供可视化展示及控制操作，在地图上可展示各类资源点的地理位置，通过接收资源点报警事件，实现报警信息可视化展示。1、支持地图配置能力，包含在线（高德）、离线GIS地图（高德、自定义）2、支持资源上图配置能力，实现资源的地图可视化展示及控制操作，资源类型包含监控点、报警输出、报警输入、门禁点、出入口、停车场、传感器、手持视频终端、园区卡口资源、防区、报警输入、报警输出、报警主机IO输出、消防设备；3、支持事件可视化监控能力，实时展示报警事件，支持历史报警事件查询；4、支持针对移动GPS设备的轨迹回放能力，如单兵设备；事件联动：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5、支持设备录像回传至中心存储，可以支持计划回传和手动回传两种模式一、事件联动管理1、支持事件联动规则配置管理，包括规则增删改查；2、支持事件规则计划模板，包括全天候模式、工作日模式、周末模式及自定义模式；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4、提供7种高级联动规则模版配置，支持配置满足在指定时间段存在多个触发事件类型而联动多个并发动作的场景。二、事件检索管理1、支持报警事件自定义时间存储，最长支持36个月存储；2、支持多种维度检索报警事件，包括：区域、位置、事件源、事件等级、时间、状态等维度；3、支持事件详情查看，包括抓图、录像等；4、支持对报警事件进行标记、处理以及导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40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综合安防管理平台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视频监控应用提供视频管理服务，实现视频预览、录像回放、视频上墙、视频事件监控服务能力，并且在网络带宽不足、有流量限制的网络环境下可以通过以图片替代视频的模式提供监控服务。一、视频预览1、支持视频实时预览能力，实现预览窗口布局切换、预览画面自适应及全屏切换；2、支持云台控制、实时抓图、紧急录像、即时回放、主子码流切换、声音开启\关闭、辅屏预览（1个辅屏）、对讲、广播、报警输出控制的能力；3、支持智能规则展示的能力（如：针对热成像设备温度信息实时展示）；4、支持资源视图管理能力，以视图形式管理监控点、视频预览轮巡等自定义资源组，其中视图类型包含公有视图和私有视图；5、支持全景视频监控预览能力，支持球型鹰眼、全景摄像机的全景模式；二、录像回放1、支持录像计划管理能力，支持实时录像计划、录像回传计划；2、支持录像回放能力，支持多画面同步回放和异步回放切换、超高倍速回放、分段回放、录像下载、录像剪辑、录像标签、录像锁定、录像抓图；三、图片监控1、支持视频预览与图片实时监控模式切换能力，实现图片监控模式；2、支持图片查询回放能力，实现按监控点、时间段展示抓拍图片；3、支持图片自动播放能力，支持图片自动播放速度可设置；4、支持图片下载能力；四、视频上墙1、支持电视墙场景管理能力，实现场景窗口配置、场景切换计划配置以及轮巡计划的管理；2、支持上墙控制能力，实现场景一键上墙、场景切换、电视墙切换、监控点上下墙、轮巡控制操作；五、视频事件1、支持视频事件布撤防能力，可按计划模版进行布防，事件类型包括移动侦测、视频丢失、视频遮挡、报警输入、报警输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千路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综合安防管理平台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视频级联应用主要为视频监控业务提供级联服务，专注于平台域间视频联网，基于视频通用标准协议（GB/T28181-2011,GB/T28181-2016）与外域平台互联互通，实现上级平台对下级平台视频资源点位的操作控制。1、支持上下级域注册管理能力，实现平台数据级联；2、支持资源同步能力；3、支持级联视频点位实时预览、录像回放、录像下载、语音对讲能力；4、支持级联视频点位设备操作控制能力；5、支持下级平台推送到本级平台视频点位路数控制能力，通过级联点位授权路数控制；其中第3、4点需要基于视频监控应用特性提供业务应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8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综合安防管理平台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满足综治、物业、智慧社区、教育、消防等各个行业联网场景，针对人脸、一卡通、停车场等数据对接标准规范的数据提供联网汇聚、分发级联能力，满足数据汇聚联网应用的需求。一、支持按照不同协议对接第三方接入数据1、包括但不限于1400标准协议，治安部标协议以及其他第三方协议；二、提供企标相关的数据对接1、门禁、停车场、人脸、过车、访客、可视对讲等数据四、提供不同设备的反控能力1、提供门禁设备反控能力，包含开、关门、常开、常闭；2、提供停车场出入口道闸反控、停车缴费服务能力；规格：200W/天数据量（大小图500-600K）；感知数据延时30s以内 ；事件数据延时4-20s，可以调节</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综合安防管理平台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基础门禁管理通过接入多种门禁设备，利用卡片、人脸、指纹介质，实现人员身份识别、出入管控等智能应用，主要提供门禁权限管理、事件管理、门禁状态查看、门禁远程控制、人员出入记录实时展示、远程呼叫对讲等应用。访客管理提供访客预约、访客登记、人证比对、访客签离、访客权限管理、短信通知、来访记录查看等功能。针对不同的场景可自定义访客单内容、短信内容、访客信息字段等。考勤管理提供人员的考勤管理应用，主要包括考勤点管理、考勤规则管理、出勤调整管理、以及考勤信息的查询统计应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81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综合安防管理平台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一、出入口车道管理1、支持停车场出入口设备的管理，包含出入口抓拍机、道闸、显示屏等2、支持对停车场的管理，配置停车库的名称、车位数、车道信息、车库管理人员电话3、支持对车道的管理，支持管理车道方向、识别模式（车牌识别、卡号识别）和启用时段二、车辆管理1、支持固定车、临时车、预约车、黑名单车辆的管理2、支持黑名单车辆管控，黑名单车辆进出报警提醒3、支持预约车管理，按次预约和按时段预约三、车辆放行规则管理1、支持嵌套停车场场景下的车辆进出管理和余位统计2、支持出入口潮汐车道、摩托车车道、混行车道的车道模式3、支持自动放行、手动放行和单进单出等多种放行模式；支持车位满时固定车辆、临时车辆自动放行4、支持配置特殊车辆（武警车、警车、使馆车）、车牌类型、车牌前缀，自动放行5、支持配置节假日车辆自动免费放行6、支持按车辆群组配置放行规则，按放行时段（全天、按日、按周）配置入场和出场放行权限、车位满是否放行、是否余位统计群组车进行配置7、支持一户多车。当车主只有一个车位两辆车时，只允许一辆车进入停车场8、支持车辆满位排队进场，当停车场车位满时，有车辆出场后，四、出入口显示和语音播报管理1、支持根据车道类型自定义配置LED屏的显示内容，支持过车显示内容和空闲显示内容，显示内容可自定义配置文字颜色、文字对齐方式、显示方式和显示内容2、出入口显示屏的空闲显示内容包括：空余车位、当前时间、当前日期及自定义文字3、出入口显示屏的过车显示内容，可以根据车辆类型配置不同的内容，包括：车牌号码、车辆卡号、车辆类型、入场时间、到期提醒、空余车位、账户余额、车辆分类、一户多车满位及自定义文字4、出入口显示屏支持根据车道的启用和禁用状态显示对应的图标5、支持根据车辆类型，自定义配置入场播报、出场播报和放行播报的语音播报内容6、语音播报的入场播报，包括：车牌号码、到期时间、一户多车满位、欢迎光临/车位已满、车辆分类及自定义文字7、语音播报的出场播报，包括：车牌号码、车辆卡号、入场时间、收费金额/到期提醒、出场时间、停车时长、余额提醒、车辆分类及自定义文字五、库内车辆管理1、支持按停车时长进行库内车辆的查询2、支持对库内车辆进行车牌校正3、支持对场内异常车辆的记录进行清理4、支持对场内无牌车定期自动清理六、记录查询和统计1、支持多种记录查询包括：过车记录、停车记录、场内车辆记录、预约记录、班次记录；查询结果支持列表和图片两种方式展示2、支持车流量按日、月、年、自定义日期，统计停车场车辆进出的车流量总数、平均车流量、峰值车流量八、岗亭管控1、支持查看停车场的总车位、剩余车位和预约车位信息2、支持查看各车道的过车信息，包含过车时间、车牌号、放行状态3、支持控制车道开闸、常开、关闸4、支持查看各车道设备的在线状态5、支持对在出入口的车辆进行校正车牌、修改车辆类型和手动放行。6、支持查询过车记录、预约车辆、固定车辆信息7、支持将车辆添加到黑名单8、支持违章车辆在出入口实现放行限制，并展示违章详情记录九、中心管控 1、支持查看车道的过车记录，包含过车时间、车牌号码、车辆类型、停车库、入库口等2、支持远程控制车道，对车道进行开闸、关闸、常开和呼叫的操作3、支持远程查看各车道设备的在线状态4、支持出入口票箱、可视对讲发起与中心对讲，中心对车辆进行校正车牌、手动放行的操作5、支持在中心查看一户多车车辆的车辆信息和在场状态，可通过强制离场操作将已在场内的一户多车车辆改为离场状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车道</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综合安防管理平台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人员布控应用以人脸识别技术为核心，通过前端视频和后端比对分析设备，对人脸进行抓拍、分析，实现人脸自动识别，提供人员布控服务能力。1、支持重点人员、陌生人、高频人员信息管理能力；2、支持重点人员识别计划、陌生人识别计划、高频人员识别计划管理能力，实现人员实时布控；3、支持重点人员、陌生人、高频人员识别记录管理及轨迹追踪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综合安防管理平台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单平台最大传感器量：27W；（传感器指：烟感、手报、声光等）2、报警接收能力：50条/s3、隐患接收能力：50条/s4、报警数据最大存储时间：72个月5、监测数据最大存储时间：72个月6、隐患数据最大存储时间：72个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综合安防管理平台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视频质量诊断应用，提供视频图像诊断和监测服务。1、支持监控点通道的图像质量诊断结果统计和查看。2、支持图像模糊、图像过亮、图像偏色、图像过暗、图像过亮、视频抖动、视频丢帧、场景变换、视频遮挡、对比度、条纹干扰、噪声干扰、信号丢失、黑白图像指标诊断。3、支持码流分辨率、编码格式指标采集。。4、支持诊断对比图查看和诊断结果矫正功能。5、支持巡检计划配置，可以按照类型和资源以及自定义的巡检周期进行巡检计划配置。6、支持监控点图像质量统计报表，展现各类诊断故障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综合安防管理平台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过对接通用业务组件，如结构化数据、实时监测数据、业务数据、统计分析数据、报警数据等，在实景地图中进行标签化展示和联动；一、标签自定义扩展管理：1、提供自定义标签类型扩展的能力，支持对标签内文本、视频、图片、超链接等控件进行自定义排版并发布；二、通用业务标签管理1、人员管控标签类：人脸标签（iSee/iFar）、人体标签（iFar）、人员密度标签（iFar）、客流量（iSee/iFar）标签等；2、车辆管控标签类：道路卡口（iFar）、园区卡口点（iSee）、停车场（iSee）、出入口（iSee）；3、一卡通标签类：门禁点标签（iSee）；4、报警检测标签类：紧急报警标签（关联报警柱、报警盒等）、报警防区标签（关联报警主机防区）三、动态数据标签管理：平台通过接收GPS设备（如单兵、执法记录仪、车载等）上报的位置信息，结合前端AR鹰眼设备时空重构算法，将其实时位置以移动标签的形式展示在实景地图中，可用于应急预案场景中，安保警力资源的实时调度；1、支持在实景地图中展示移动GPS设备的位置，支持实时视频预览、对讲等能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液晶拼接单元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 LCD显示单元为：55“超窄边液晶屏；LG面板;物理分辨率达到1920×1080，响应时间≤8ms。（2） LCD显示单元物理拼缝≤1.8mm，亮度达到500cd/㎡，对比度达到1400:1，图像显示清晰度≥950TVL，亮度鉴别等级为11级。（3） 液晶显示单元的风扇具备良好的散热效果，风扇散热性能≥60%。（4） 液晶显示单元连续运行24小时，液晶表面中心温度≤50℃，边缘测试点与中心温差≤10℃。（5） 液晶显示单元具有帧宽度调节技术，通过调节画面宽度，解决输入信号四周黑边问题。（6） LCD显示单元支持边缘屏蔽功能，智能去除黑边功能，可消除显示终端上存在的黑边，及因拼缝带来的图像变形。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15</w:t>
            </w:r>
          </w:p>
        </w:tc>
      </w:tr>
      <w:tr>
        <w:tblPrEx>
          <w:tblCellMar>
            <w:top w:w="0" w:type="dxa"/>
            <w:left w:w="108" w:type="dxa"/>
            <w:bottom w:w="0" w:type="dxa"/>
            <w:right w:w="108" w:type="dxa"/>
          </w:tblCellMar>
        </w:tblPrEx>
        <w:trPr>
          <w:trHeight w:val="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10米DVI线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DVI-D电缆,单通道,24AWG,10m,黑色端子镀金，耐氧化，阻抗小，信号传输更稳定。双磁环设计，抗干扰，信号高效传输。即插即用，无需驱动程序。环保加厚外被，耐磨抗弯折，不易断裂，经久耐用。内置均衡器，信号传输距离更长，满足长距离使用场景。对于穿管场景，采用航空头设计，施工更方便。产品经过多项专业测试，有品质保证。自带螺柱，可以固定在设备上，使用稳定可靠。产品特性接口类型：DVI视频版本：DVI支持最大分辨率：1080P 60Hz线缆类型（音视频线）：铜缆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15</w:t>
            </w:r>
          </w:p>
        </w:tc>
      </w:tr>
      <w:tr>
        <w:tblPrEx>
          <w:tblCellMar>
            <w:top w:w="0" w:type="dxa"/>
            <w:left w:w="108" w:type="dxa"/>
            <w:bottom w:w="0" w:type="dxa"/>
            <w:right w:w="108" w:type="dxa"/>
          </w:tblCellMar>
        </w:tblPrEx>
        <w:trPr>
          <w:trHeight w:val="37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解码器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基于嵌入式硬件平台开发的一款解码设备 支持HDMI、BNC输出口解码输出 支持H.265、H.264、MPEG4、MJPEG等多种编码码流解码，解码性能强劲，支持4K超高清输出 HDMI（奇数口）输出分辨率最高支持4K（3840 × 2160@30 Hz） 支持H.265、H.264、MPEG4、MJPEG等主流的编码格式的解码 支持主动解码和被动解码两种解码模式 支持VGA、DVI、HDMI本地输入 支持开窗、窗口漫游、窗口分屏功能 支持远程录像文件的解码输出 支持直连前端设备解码上墙和通过流媒体转发的方式解码上墙 支持使用RTSP URL方式从编码设备取流解码 支持open network video interface标准协议接入设备，支持GB28181协议接入设备 支持RTP\RTSP协议进行网络源预览 支持平台以SDK方式集成设备 完备的运维管理 支持Web方式访问、配置和管理 支持远程获取和配置参数，支持远程导出和导入参数 支持远程获取系统运行状态、系统日志 支持远程重启、恢复默认配置、升级等日常维护 支持遥控器控制画面切换、场景切换 输入参数：2路VGA, 2路DVI/HDMI；DVI/HMDI输入2选1 输入分辨率：1080P: 1920 × 1080@50/60 Hz, 720P: 1280 × 720@50/60 Hz 输出参数：15路HDMI, 8路BNC 输出分辨率：HDMI: 4K: 3840 × 2160@30 Hz(仅奇数口支持), 1080p: 1920 × 1080@60/50 Hz, 720p: 1280 × 720@50 Hz/60 Hz 解码能力：支持5路多轨3200W，或15路1200W，或20路800W，或80路1080P 及以下分辨率同时实时解码 画面分割数：1/2/4/6/8/9/12/16/25/36 网口：2个 RJ45 10M/100M/1000Mbps 自适应以太网接口</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电视墙</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定做钢制3*5视频墙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管理工作站</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I5/8G/SSD:128G/1T机械硬盘/独立显卡/显示器21.5寸</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报警控制分机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总线网络报警主机双防区扩展模块/2个扩展防区数/124最大级联数/1.0mA静态电流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报警控制主机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专业级总线制网络报警主机，自带8防区，可扩展至256防区/自带4路继电器，可扩展至256路继电器输出/串口输出/电话/网络上报/8个独立子系统/总线可达2400米/2.2K 线尾组，支持本地8路防区/2线制防区防拆/支持定时撤布防/时控输出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控制键盘</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LCD报警键盘；连接到报警主机，可以对报警主机进行操作和编程，通过指示灯和报警音提示报警；主机状态指示灯：系统故障（橙色），网络链接状态（绿色），报警（红色），布撤防（蓝色），配置状态（红绿双色）功能键：8个，工程、查询，旁路，一键，火警，紧急，左键，右键；防拆功能：支持；与主机通讯：485；键盘警情输出：蜂鸣器；功能特性：对主机编程、撤布防、消警、旁路/旁路恢复、工程测试、子系统操作、继电器操作、主机状态查询；功耗：1.8W；工作温度：-10℃～＋55℃；工作湿度：10％～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被动红外-微波双技术探测器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有线室内双鉴探测器；探测方式：被动红外+微波探测范围：12m / 90° ；全范围PIR辅以24GHz微波探测测速范围：0.2～3m/s灵敏度：自动；35Kg 防宠支持自动灵敏度和数字温度补偿；光学密封，下视窗保护支持下视窗保护；支持数字温度补偿；支持智能算法；微波频段：24GHz(24.15～24.25GHz)防拆保护：开盖；报警输出：常闭标称功耗：17mA(最大)；设备供电：9 - 16 VDC；标称电压：12 VDC安装高度：1.8m ～ 2.4m工作温度：-10 °C ～ 55 °C；储存温度：-20 °C ～ 60 °C；工作湿度：10% - 90%安装方式：壁装使用场景：室内</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12</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双防区四线制脉冲电子围栏主机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高压模式脉冲峰值：5000—10000v低压模式脉冲峰值：500—1000v脉冲周期：1s—1.5s脉冲持续时间：≤0.1s供电电源：AC220V,±15%,50Hz AC24V, ±15%,≥30W蓄电池备用电源：DC12V，≥7AH使用环境：温度-25℃— +55℃相对湿度：≤95%防护等级：IP44（配套防雨箱）功率：30W</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防雨箱</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SUS201不锈钢材质，600*400*180mm、壁厚0.6mm，三角锁、无安装孔、无导轨、无防拆开关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避雷器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化学防雷；防静电；易于维护；保护无线通讯信号不受脉冲高压干扰。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铝制4线终端杆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长820mm，外径33mm，铝合金材质表面本色阳极氧化</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73</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复合型绝缘子（黑）</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黑色工程塑料，耐腐蚀、抗氧化，配套M4*10自攻螺丝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2.92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十字盘头自攻螺丝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304不锈钢，M4*10自攻螺丝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2.92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收紧器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黑色ABS工程塑料，抗高压、抗氧化、耐腐蚀性，用于合金线的收紧</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2.92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终端杆帽子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黑色PVC橡胶材质、有弹性，耐腐蚀、抗氧化</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0.73</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万向底座(承立杆)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铝压铸、多角度调节，螺丝孔间距40mm，安装不分左右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1.46</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外六角螺丝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304不锈钢，M6*55外六角螺丝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1.46</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铝制4线承力杆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长820mm，外径28mm，铝合金材质表面本色阳极氧化</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137</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承力杆绝缘子（新）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黑色工程塑料，耐腐蚀、抗氧化，配套M4*10自攻螺丝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5.48</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承力杆帽子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黑色PVC橡胶材质、有弹性，耐腐蚀、抗氧化</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1.37</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十字盘头自攻螺丝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304不锈钢，M4*10自攻螺丝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5.48</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万向底座(承立杆)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铝压铸、多角度调节，螺丝孔间距40mm，安装不分左右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2.74</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外六角螺丝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304不锈钢，M6*55外六角螺丝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2.74</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4线常规PV过线杆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长820mm，直径10mm，玻璃纤维材质，灰色</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8.4</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基础型PV杆绝缘子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黑色工程塑料，耐腐蚀、抗氧化，配套M4*10自攻螺丝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33.6</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PV杆帽子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黑色PVC橡胶材质、有弹性，耐腐蚀、抗氧化</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8.4</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十字盘头自攻螺丝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304不锈钢，M4*10自攻螺丝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33.6</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常规PV杆管套（黑色）</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黑色工程塑料，耐腐蚀、抗氧化，配套M4*12自攻螺丝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8.4</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十字盘头自攻螺丝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304不锈钢，M4*12自攻螺丝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16.8</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万向底座（PV杆）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铝压铸、多角度调节，螺丝孔间距40mm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8.4</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线线连接器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铝合金材质，固定防区末端的合金线。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3.36</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常规警示牌（新）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黄色，双面为夜光显示，尺寸100*200mm，平均按10米左右安装一块。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4.2</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20#多股合金线400米/盘</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Φ2.0mm电子围栏专业合金线，抗氧化，耐腐蚀，耐高压，每百米电阻小于2.5欧姆。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168</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高压绝缘导线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脉冲电子围栏专业高压绝缘导线，黑色，绝缘层耐受30KV电压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警灯（室外）</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DC12V 1W，室外安装，报警时发出声光报警信号威慑入侵者</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42</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双防区警灯支架（通用）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用于安装两个室外警灯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DC12V 1A</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42</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总线型网络报警主机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防区数量：2000路总线制防区+8路分线制防区通信总线：2路RS485总线、1路网络总线支持设备：脉冲主机、张力主机、地址码、灯控模块、电子地图模块、防区键盘警号供电：1路、DC12V/1A辅助电源：1路、DC12V/1.5A支持键盘数：16个子系统：8个独立（1个公共）网口：1路，10/100M蓄电池备电接口：1组 12V/7AH主电源：AC220V±15%最大功耗：40w工作温度：-20℃~+60℃工作湿度：10%~90%重量：≤4.5kg</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高端键盘</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显示屏：4.3英寸真彩屏通信接口：1路网口电源输入：AC24V（±20%）或DC12V（±15%）工作温度：-20℃~+60℃工作湿度：10%~90%尺寸：228*140*36mm最大功率：1W工作温度：-20℃~60℃；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1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报警综合管理软件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电子地图：支持地图添加、删除、修改，显示防区地理位置，提供各种便捷操作警情：显示实时报警情况，查询历史报警记录，处理警情报警控制：防区和子系统状态信息的卡片化展示，便捷的布撤防、旁路消警操作视频预览：查看前端设备的实时视频，并提供丰富的操作，包括多窗口分割、视频抓图、云台控制、实时录像、图像显示设置、窗口比例设置，以及视频轮切等功能录像回放：搜索、回放、下载视频点位的远程录像，回放服务器本地录像和图片。用户管理：添加、删除、修改用户，配置用户的操作和管理权限设备管理：添加、修改、删除设备，包括智控终端、报警主机和视频设备，支持设备的远程配置联动配置：报警联动配置，支持配置任意报警源联动视频预览、录像、报警输出、短信、邮件等联动动作轮巡配置：视频轮巡任务管理，支持轮巡任务的增加、修改、删除和查询数据报表：可根据设备状态、操作日志、报警处理结果自动生成数据报表，支持列表呈现和视图呈现报警通知：系统能采集前端设备、服务设备的报警信息，并可以将报警派发到客户端，发送邮件、短信等通知到指定用户，以及进行其它报警联动功能。系统配置：服务器和本地常用参数的配置平台授权：可根据实际需求定制客户端功能和权限配额，显示用户当前的授权项及其配额情况。同时也支持用户扩充功能或权限配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警灯（室内）</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DC12V 1W，室内安装，报警时发出声光报警信号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DC12V 1A</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接地桩（钉字型）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长度1.5米、直径16mm、外镀锌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63</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单芯接地线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6mm2黄绿双色接地线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6.3</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配线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RVV2*1.5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17</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网线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六类网线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17</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配管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PVC32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21</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单门磁力锁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锁体主体颜色为：氧化银。最大静态直线拉力：280kg(600Lbs)；断电开锁，满足消防要求；具有电锁状态指示灯（红灯为开锁状态， 绿灯为上锁状态）；支持锁状态侦测信号(门磁)输出：NO/NC/COM接点；工作电压：12V/500mA 或 24V/250mA；锁体尺寸：长240*宽48.8*厚27.5(mm)；吸板尺寸：长180*宽38.8*高13(mm)；使用环境：室内（不防水）；适用门型：木门、玻璃门、金属门、防火门；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单门磁力锁支架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选用材料：高强铝合金，表面喷沙外壳处理：阳极硬化电镀处理适用门型：木门、金属门开门方式：90度内开式门L型支架尺寸：长240*宽48.8*厚30.4(mm)Z型支架尺寸：长180*宽50*厚50(mm)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w:t>
            </w:r>
          </w:p>
        </w:tc>
      </w:tr>
      <w:tr>
        <w:tblPrEx>
          <w:tblCellMar>
            <w:top w:w="0" w:type="dxa"/>
            <w:left w:w="108" w:type="dxa"/>
            <w:bottom w:w="0" w:type="dxa"/>
            <w:right w:w="108" w:type="dxa"/>
          </w:tblCellMar>
        </w:tblPrEx>
        <w:trPr>
          <w:trHeight w:val="4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人脸识别读卡器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FF0000"/>
                <w:kern w:val="0"/>
                <w:sz w:val="22"/>
              </w:rPr>
            </w:pPr>
            <w:r>
              <w:rPr>
                <w:rFonts w:hint="eastAsia" w:ascii="宋体" w:hAnsi="宋体" w:cs="宋体"/>
                <w:color w:val="FF0000"/>
                <w:kern w:val="0"/>
                <w:sz w:val="22"/>
              </w:rPr>
              <w:t>●1、设备外观：LCD触摸显示屏≥7英寸，200万像素双目摄像头，面部识别距离0.2-3m，支持照片视频防假；（公安部检测报告证明）</w:t>
            </w:r>
            <w:r>
              <w:rPr>
                <w:rFonts w:hint="eastAsia" w:ascii="宋体" w:hAnsi="宋体" w:cs="宋体"/>
                <w:kern w:val="0"/>
                <w:sz w:val="22"/>
              </w:rPr>
              <w:br w:type="textWrapping"/>
            </w:r>
            <w:r>
              <w:rPr>
                <w:rFonts w:hint="eastAsia" w:ascii="宋体" w:hAnsi="宋体" w:cs="宋体"/>
                <w:kern w:val="0"/>
                <w:sz w:val="22"/>
              </w:rPr>
              <w:t>2、设备容量：支持6000张人脸白名单，1：N人脸比对时间＜0.2S/人，支持6000张卡片，50000条记录；3、认证方式：支持人脸、刷卡、密码（超级密码）及其组合的认证方式；可读取Mifare卡（IC卡）、CPU卡序列号/内容、身份证序列号；4、通讯方式：上行通讯为TCP/IP；支持外接RS485，Wiegand副读卡器（不支持外接指纹读卡器）；基线支持标准韦根34/26；5、视频对讲：支持与云眸、4200客户端、主副室内分机、管理机的视频对讲功能；支持远程视频预览功能，可以通过RTSP协议输出视频码流，编码格式H.264；6、输入接口：LAN*1、RS485*1、wiegand * 1、USB*1、门磁*1、报警输入*2、防拆*1、开门按钮*1；7、输出接口：电锁*1个，报警输出*1个；8、工作电压： DC 12V/2A，不自带电源；9、使用环境：室内外环境，室外使用必须搭配遮阳罩；10、安装方式：标配金属安装挂板，支持明装、86底盒安装；12、工作温度：-30~65℃。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48</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人脸识别读卡器电源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输入电压：100-240VAC；输出电压：12VDC；输出电流：4.17A；输出功率：50W；支持蓄电池（0T7-12）接入（设备本身不含蓄电池）；工作温度：-10℃-+70℃；工作湿度：＜95%；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48</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出门按钮</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结构：塑料面板；性能：最大耐电流1.25A，电压250V；输出：常开；类型：适合埋入式电器盒使用；尺寸：86*86mm；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48</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磁力锁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锁体主体颜色为：氧化银。最大静态直线拉力：280kg(600Lbs)*2；断电开锁，满足消防要求；具有电锁状态指示灯（红灯为开锁状态， 绿灯为上锁状态）；支持锁状态侦测信号(门磁)输出：NO/NC/COM接点；工作电压：12V/1040mA 或 24V/520mA；锁体尺寸：长480*宽48.8*厚27.5(mm)；吸板尺寸：长180*宽38.8*高13(mm)；使用环境：室内（不防水）；适用门型：木门、玻璃门、金属门、防火门；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48</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磁力锁支架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选用材料：高强铝合金，表面喷沙外壳处理：阳极硬化电镀处理适用门型：木门、金属门开门方式：90度内开式门L型支架尺寸：长480*宽48.8*厚30.4(mm)Z型支架尺寸：长180*宽50*厚50(mm)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48</w:t>
            </w:r>
          </w:p>
        </w:tc>
      </w:tr>
      <w:tr>
        <w:tblPrEx>
          <w:tblCellMar>
            <w:top w:w="0" w:type="dxa"/>
            <w:left w:w="108" w:type="dxa"/>
            <w:bottom w:w="0" w:type="dxa"/>
            <w:right w:w="108" w:type="dxa"/>
          </w:tblCellMar>
        </w:tblPrEx>
        <w:trPr>
          <w:trHeight w:val="45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400万全局摄像机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【400万1/1.8“ CMOS全局摄像机】全局摄像机集合定点看全景、动点看细节的优势，采用一体化设计，由双镜头相机与高性能GPU模块组成，内嵌深度学习算法，以海量图片及视频资源为路基，通过机器自身提取目标特征，形成深层可供学习的人脸、人体、车辆图像，极大的提升了目标人脸、人体、车辆的检出率。支持人员自动检测并联动动点镜头进行快速锁定抓拍，提供满足人脸比对的图片，并进行人体人脸关联人体最远检测距离可达40米，人脸最远检测距离可达30米，车辆最远检测距离15米内置2个GPU芯片和2个图像传感器，靶面尺寸均不小于1/1.8英寸支持GB35114安全加密；</w:t>
            </w:r>
            <w:r>
              <w:rPr>
                <w:rFonts w:hint="eastAsia" w:ascii="宋体" w:hAnsi="宋体" w:cs="宋体"/>
                <w:kern w:val="0"/>
                <w:sz w:val="22"/>
              </w:rPr>
              <w:br w:type="textWrapping"/>
            </w:r>
            <w:r>
              <w:rPr>
                <w:rFonts w:hint="eastAsia" w:ascii="宋体" w:hAnsi="宋体" w:cs="宋体"/>
                <w:color w:val="FF0000"/>
                <w:kern w:val="0"/>
                <w:sz w:val="22"/>
              </w:rPr>
              <w:t>●传感器类型:【全景】1/1.8“ progressive scan CMOS,【细节】1/1.8“ progressive scan CMOS；（公安部检测报告证明）</w:t>
            </w:r>
            <w:r>
              <w:rPr>
                <w:rFonts w:hint="eastAsia" w:ascii="宋体" w:hAnsi="宋体" w:cs="宋体"/>
                <w:kern w:val="0"/>
                <w:sz w:val="22"/>
              </w:rPr>
              <w:br w:type="textWrapping"/>
            </w:r>
            <w:r>
              <w:rPr>
                <w:rFonts w:hint="eastAsia" w:ascii="宋体" w:hAnsi="宋体" w:cs="宋体"/>
                <w:kern w:val="0"/>
                <w:sz w:val="22"/>
              </w:rPr>
              <w:t>最低照度:【全景】彩色：0.0005 Lux @(F1.0，AGC ON)，黑白：0.0001Lux @(F1.0，AGC ON)；【细节】彩色：0.001Lux @ (F1.6，AGC ON)，黑白：0.0002Lux @(F1.6,AGC ON)宽动态: 120dB超宽动态焦距: 【全景】定焦6mm，【细节】13mm-52mm，4倍光学变倍 水平范围: 【细节】0-210°垂直范围: 【细节】-15°-22°水平速度: 【细节】水平键控速度：0.1°-200°/s,速度可设； 水平预置点速度：300°/s垂直速度: 【细节】垂直键控速度：0.1°-120°/s,速度可设； 垂直预置点速度：120°/s主码流帧率分辨率: 50Hz: 25fps（2560 × 1440）;60Hz: 30fps（2560 × 1440）视频压缩标准: H.265,H.264,MJPEG网络接口: RJ45网口,自适应10M/100M/1000M网络数据SD卡扩展: 内置Micro SD卡(即TF卡)插槽,最大支持256G白光照射距离: 【全景】暖白补光，车辆/车牌15m红外照射距离:【细节】混合补光，人体40m，人脸30m工作温湿度: -40℃-70℃；湿度小于90%除雾: 加热除雾防护: IP66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全局支架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壁装支架/铂晶灰/铝合金/Φ203.5×254.5mm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大门人员通道-左闸</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产品尺寸≥1500mm*200mm*960mm2、通道宽度：550mm-1100mm3、设备容量：支持6万张普通卡、3千张来宾卡、18万条事件记录4、通行速度：20-60人每分钟，受人员情况和通行模式影响5、红外对数：12对6、门翼材质：不锈钢圆管/亚克力7、箱体材质：304拉丝不锈钢，1.2±0.12mm8、电压功率：AC 100~240V/50~60HZ/ 单通道（一组通道）额定功率：320W9、工作温度：-20℃~70℃10、物理接口：TCP/IP,I/O,RS232,RS485S12、高级功能：翻越报警；分时段管控，最多支持8个时段常开、常闭模式设定；反潜回功能，单通道反潜回，多通道跨主机反潜回</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大门人员通道-中闸</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产品尺寸≥1500mm*200mm*960mm2、通道宽度：550mm-1100mm3、设备容量：支持6万张普通卡、3千张来宾卡、18万条事件记录4、通行速度：20-60人每分钟，受人员情况和通行模式影响5、红外对数：12对6、门翼材质：不锈钢圆管/亚克力7、箱体材质：304拉丝不锈钢，1.2±0.12mm8、电压功率：AC 100~240V/50~60HZ/ 单通道（一组通道）额定功率：320W9、工作温度：-20℃~70℃10、物理接口：TCP/IP,I/O,RS232,RS485S12、高级功能：翻越报警；分时段管控，最多支持8个时段常开、常闭模式设定；反潜回功能，单通道反潜回，多通道跨主机反潜回</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大门人员通道-右闸</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产品尺寸≥1500mm*200mm*960mm2、通道宽度：550mm-1100mm3、设备容量：支持6万张普通卡、3千张来宾卡、18万条事件记录4、通行速度：20-60人每分钟，受人员情况和通行模式影响5、红外对数：12对6、门翼材质：不锈钢圆管/亚克力7、箱体材质：304拉丝不锈钢，1.2±0.12mm8、电压功率：AC 100~240V/50~60HZ/ 单通道（一组通道）额定功率：320W9、工作温度：-20℃~70℃10、物理接口：TCP/IP,I/O,RS232,RS485S12、高级功能：翻越报警；分时段管控，最多支持8个时段常开、常闭模式设定；反潜回功能，单通道反潜回，多通道跨主机反潜回</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4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测温人脸识别组件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测温、人脸识别】1、设备外观：采用7英寸触摸显示屏，200万像素双目摄像头，面部识别距离0.5m-1.5m；2、设备容量：支持50000张人脸白名单，50000张卡，100000条记录存储；3、体温检测：非接触式体温检测，温度检测距离在0.5m~1.5m之间，测温精度±0.5℃；4、认证方式：支持人脸识别、刷卡（需外接485或韦根读卡器）、刷卡+人脸（需USB身份证阅读器）、人证比对（需外接USB身份证阅读器），识别人员身份后获取该人员体温数据统一绑定，支持识别(ISC/云眸)访客二维码；5、通讯方式：有线网络、WiFi；6、设备接口： LAN*1；RS485*1；韦根*1；USB *1；门磁*1；开门按钮*1；报警输入*2；电锁*1；报警输出*1；7、传感器类型：氧化钒(VOx)微测辐射热计（热成像测温）；8、工作电压：DC 12V/2A，需独立供电；9、使用环境：室内，无风环境；10、安装方式：通道安装；11、工作温度：0℃-50℃。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6</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人员通道遥控器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支持远程控制闸机开门、常开、关门（取消常开）；发射频率：433MHz；</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访客自助产品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1、设备外观：高清双屏显示，带有电容触摸显示屏≥15.6寸和液晶显示屏≥11.6寸；2、系统参数：设备采用Windows 764位操作系统；3、存储大小：64G固态硬盘、DDR3 4GB内存4、人证功能：内置200万高清摄像头，自带身份证阅读器，支持1：1人证比对成功后自动填入访客信息；5、发卡功能：可通过身份证阅读器给访客发卡（Mifare卡、CPU卡序列号、身份证序列号或身份证号码（仅ISC客访客客户端支持）），使访客能够在被授权的门禁刷卡通行；6、内置二维码扫描仪，可识别H5界面访客预约码完成访客登记，或识别访客凭条的二维码完成访客签离；7、内置高速热敏打印机，可打印访客凭条（打印纸要求：纸宽58mm、纸卷直径≤45mm）；8、通信方式：双网口设计，支持TCP/IP有线网络通讯；9、输入电压：AC220V（自带电源适配器）；10、工作功率：≤59W；</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国产化台式 PC（信创）</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台式微型计算机CPU：兆芯EU6780A，8核,主频 2.7GHzBIOS：百敖V1.0内存： 8G DDR4 2666MT/s硬盘：256GB SSD SATA显卡：2G独立显卡光驱：DVD-RW操作系统：支持UOS操作系统显示器：22英寸 分辨率1920×1080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9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超高清解码器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高清视音频解码器，采用Linux操作系统，运行稳定可靠支持1路HDMI信号或1路VGA输出支持1路HDMI音频输出输入分辨率：4K: 3840 × 2160@30Hz, WSXGA: 1680 × 1050/60 Hz, WXGA: 1440 × 900/60 Hz, WXGA: 1280 × 800/60 Hz, 1366 × 768/60 Hz, 1080p: 1920 × 1080@50/60 Hz, UXGA: 1600 × 1200@ 60Hz, XVGA: 1280 × 960@60 Hz, 720p: 1280 × 720@50 Hz/60 Hz, SXGA: 1280 × 1024@60 Hz, XGA: 1024 × 768@60 Hz输出分辨率：HDMI：4K: 3840 × 2160@30 Hz(仅奇数口), 1080p: 1920 × 1080@50/60 Hz, WSXGA: 1680×1050/60Hz, UXGA: 1600 × 1200@60 Hz (仅奇数口), 720p: 1280 × 720@50 Hz/60 Hz, SXGA: 1280 × 1024@60 Hz, XGA: 1024 × 768@60 HzBNC：支持PAL、NTSC制式编码格式：支持H.265、H.264、MPEG4、MJPEG等主流的编码格式；封装格式：支持PS、RTP、TS、ES等主流的封装格式；音频解码：支持G.722、G.711A、G.726、G.711U、MPEG2-L2、AAC音频格式的解码；解码能力：支持3路1200W，或4路800W，或8路500W，或10路300W，或16路1080P及以下分辨率同时实时解码；画面分割：支持1、4、9、16画面分割显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金属监视器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55寸4K液晶监视器，金属外观亮度：350 cd/m2雾度：2 %连续使用时间：7 × 24 H背光源类型：D-LED物理分辨率：3840 × 2160@60 Hz对比度：4000：1屏幕可视区域：1209.6 (H) mm × 680.4 (V) mm可视角：178° (H) / 178°(V)显示尺寸：54.61 inch响应时间：8 ms色域：72%色深度：10bit (8 bit + FRC)</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37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400万智能抓拍显示道闸一体机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400万智能抓拍显示道闸一体机】高度集成：快速道闸、智能抓拍机、补光灯、LED屏/LCD屏、防砸雷达、求助按钮、语音播报、语音对讲于一体；快速通行：集成行星齿轮道闸，传动效率高，性能稳定，快速抬杆慢速落杆，实现快速通行；高清晰：400万像素高清摄像机，最大分辨率可达2688*1520，帧率高达25fps；低照度：1/1.8“逐行扫描CMOS，成像效果好，0.002Lux低照度监控效果，夜间看的更清；显示屏：LCD版：21.5英寸LCD屏，可支持无牌车扫码进出、支持二维码显示、支持图片视频广告播放；镜头：满足适应场景。；车牌识别种类：支持识别的号牌类型包括大（小）型汽车、使领馆汽车、警用汽车、教练汽车、新能源汽车、军车等；2019式武警车牌等国标车牌；车辆结构化：支持车型识别，车标识别，车身颜色识别，子品牌检测；黑白名单控制：支持黑、白名单的导入及对比，可直接联动道闸开闸，支持脱机运行；多种触发模式：支持视频触发、线圈触发、雷达触发等多种触发模式；捕获率高，纯视频识别，纯视频抓拍时可捕获无车牌，捕获率99.9%以上；防跟车模式：支持视频防跟车、雷达/线圈防跟车两种模式，对于连续过车的场景，可实现跟车不落杆，有效解决拥堵问题；防护等级：机箱表面采用抗紫外线静电喷塑工艺，不起皮，不褪色，防尘防水等级符合室外设备IP54级别要求；易安装维护：一体化结构设计，布线简单，调试方便。一站式安装维护，缩短施工周期达1/3以上；防跟车模式：支持视频防跟车、雷达/线圈防跟车两种模式，对于连续过车的场景，可实现跟车不落杆，有效解决拥堵问题。</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停车配件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0.75mm²，绞合导体，镀锡铜，绝缘蓝色PVC外被，1捆线圈50米。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出入口控制终端</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内存：4GB标配128G SSD指示灯：电源指示灯/运行指示灯显示器分辨率：1920×1080电源：DC12V/5A适配器机械特性：黑色铝型材外壳、无风扇热设计，保证机器稳定运行。功耗：峰值60W，平均35W工作环境：工作环境温度:0 ℃～40 ℃；、工作湿度10%～95%功能特性：无风扇设计，集成交换机、485接口、报警4进4出、视频HDMI接口，22寸1080p显示屏，配置键鼠套件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数字中转台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频率范围 136-174MHz 400~470MHz信道数量：16 信道间隔 12.5/20/25KHz射频输出功率 5-50W频率稳定性 +/-0.5PPM接收机邻近信道选择 65dB/12.5kHz双模操作智能切换领先的时分多址技术具有中转台远程诊断与控制功能双时隙数字语音流功能模拟数字自动切换功能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二信道合路器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频率MHz： 136-174，400-470MHz，信道间隔离度dB： ≥75输入端电压驻波比 ≤1.3输入承载功率W： 100温度范围℃： -40~+80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二信道分路器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工作频率：136-174MHz 、400~470MHz带内插损：≤3 dB增益：≥20 dB端口驻波比：≤1.3 端口隔离：≥80 dB平均功率：20-40W 输入阻抗：50Ω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宽频双工器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频率范围：136-174MHz 、403~470MHz工作带宽：±10 MHz 功率容量：25W 连接形式：N 收发间隔：5.7插入损耗：≤1.0dB阻 抗：50Ω 电压驻波比：≤1.5抑制度：＞75dB隔离度：＞75 dB</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上行信号剥离</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频率范围(MHz) 403~435插入损耗(dB) ≤0.5耦合损耗（dB） 29±1端口隔离度(dB) ≥20单端口最大承载功率（w） 50功率容量（W） 50驻波比 ≤1.5阻抗(Ω) 50耦合端口数 6直通端口数 1安装方式 机架式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下行信号剥离</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频率范围(MHz) 403~435插入损耗(dB) ≤0.5耦合损耗（dB） 29±1端口隔离度(dB) ≥20单端口最大承载功率（w） 50功率容量（W） 50驻波比 ≤1.5阻抗(Ω) 50耦合端口数 6直通端口数 1安装方式 机架式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光链路设备（近）</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频率范围：400-470MHz，输出功率/接收功率：-4dBm。射频输入功率：-5dBm~3dBm，传输距离：＜20功率。发射无光报警：-3dBm。接收无光报警：-10dBm。底部噪声：＜-134dBm/Hz。三阶互调＜-65dBc。驻波比：＜1.3.光接头损耗：0.2dB。光发射功率为0+3dBM,激光器波长1550nm,光接收灵敏度优于-16dBM,连接器FC/APC;</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光链路设备（远）</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工作频率：400~470MHz。工作频率带宽：2MHz。双工间隔：10MHz。带外抑制≥70dB。增益可调范围：上行：20~30dB，下行：10~42dB。上行噪声系数：≤5dB。输出功率/接收工：2mW。传输距离：＜20公里。发射无光报警：-3dBm。接收无光报警：-10dBm。底部噪声＜-134dBm/Hz。三阶互调＜-65dBc。光发射功率为0+3dBM,激光器波长1310nm,光接收灵敏度优于-16dBM,连接器FC/APC。</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1/2射频同轴电缆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特性阻抗：50±1Ω速度系数：88% 电容：76 pF/m最大使用频率：8.8 GHZ额定功率峰值： 58 KW内导体直流电阻：1.62Ω/Km外导体直流电阻：2.08Ω/Km绝缘介电强度：6000 DC.V最大电压驻波比：≤1.15三阶交调：≥155 dBc 平均功率：VSWR 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米</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耦合器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频率范围：100MHZ-450MHZ驻波比：≤1.3插入损耗：≤0.8隔离度：≥22dB功率容量：50W温度范围：-30～+60℃工作湿度：-40～80℃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室内全向天线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频率范围：403~470MHz 输入阻抗：50Ω 驻波比： ＜1.46增益：2.15dBi极化方式：垂直避雷保护：直流接地耐功率：100W</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室外玻璃钢天线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率范围：403~470MHz 输入阻抗：50Ω 驻波比： ＜1.5增益：5dBi极化方式：垂直避雷保护：直流接地耐功率：100W</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天线防雷器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工作频率 0～11GHz最大持续电压Un ≤75最大通流容量 10KV限流电压 ≤650V插入损值 ≤0.2dB驻波比 ＜1.3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电缆接头</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特性阻抗.ohm 50频率范围.GHz 0-3电压驻波比VSWR ＜1.2绝缘电阻.MΩ ≥5000接触电阻.中心导体间. MΩ ≤0.5接触电阻.外导体间. MΩ ≤0.3屏蔽效率.dBi 90外壳 黄铜 Brass绝缘子 聚四氟乙烯内导体 黄铜螺母 黄铜</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弯头</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标准阻抗：ohm 50频率范围：GHz 0-3电压额定值：50Hz，VRMS 335电介质耐压：V 2500电压驻波比 ≤1.2接触电阻.中心导体间. MΩ ≤5接触电阻.外导体间. MΩ ≤2.6绝缘体电阻：M ≥5000金属配件 黄铜外导体 黄铜內导体（插针） 黄铜绝缘体 聚四氟乙烯最大插入力：lbs 3．41最大拔离力：lbs 4．5最大中心针推力：lbs 4耐久力（插拔次数） 至少可达500次温度范围：℃ -40~+90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主机连接设备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定制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6</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巡更数字对讲机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通讯频道数量：32；频率范围：400-470MHz；频率稳定度：0.5ppm；产品功率： 功率4W；电池容量：不小于1500mAH锂电池；DMR双时隙工作，TDMA制式；支持直通模式下的双时隙通信；支持自动数模切换功能；标配数字巡更功能，内置巡更模块；能够实现巡更打点，实时回传，并支持巡更数据储存及读取；采用RFID读取方式；不低于IP54防水等级；支持信道播报功能；支持用数字对讲机读取身份卡信息并进行实时回传；内含巡更模块，自带巡更打点、巡更数据实时回传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20</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巡更调度主机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频道数量：1024；频率范围：400-470MHz；发射功率： 5-25瓦；TDMA制式；双时隙工作；2英寸彩色LCD显示屏，中文显示，支持中文菜单操作，含电及吸盘天线。要求与巡更数字对讲机为同品牌。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3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巡更软件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实时在线巡更方式，巡更数据通过数字对讲机实时传输；支持巡更人员配置，巡更点配置，可定制巡更工作计划和巡更路线；巡更员位置实时显示，电子地图，数据存储，轨迹回放。支持日志统计，巡更数据可分别根据巡更人、巡更点、巡更计划按时间段统计、导出；支持查询巡更数据，可以按时间段查询巡更线路上巡更点的巡更数据；可以支持调度车台或调度中转台连接；要求巡更软件与巡更数字对讲机为同品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身份卡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具有身份识别功能，可以用数字对讲机进行身份卡信息读取并回传系统，确认当前对讲机使用人员；</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20</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巡更点</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射频感应行，七级防水；无源模式，不需充电和维护，长期使用；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200</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对讲机频占费</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当地无线电管理局收取，1年费用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部/年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20</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中继台频占费</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当地无线电管理局收取，1年费用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部/年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电磁环境检测费</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当地无线电管理局收取</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bl>
    <w:p>
      <w:pPr>
        <w:pStyle w:val="56"/>
      </w:pPr>
      <w:r>
        <w:rPr>
          <w:rFonts w:hint="eastAsia"/>
        </w:rPr>
        <w:t>7、基地消控中心</w:t>
      </w:r>
    </w:p>
    <w:tbl>
      <w:tblPr>
        <w:tblStyle w:val="30"/>
        <w:tblW w:w="5000" w:type="pct"/>
        <w:tblInd w:w="0" w:type="dxa"/>
        <w:tblLayout w:type="autofit"/>
        <w:tblCellMar>
          <w:top w:w="0" w:type="dxa"/>
          <w:left w:w="108" w:type="dxa"/>
          <w:bottom w:w="0" w:type="dxa"/>
          <w:right w:w="108" w:type="dxa"/>
        </w:tblCellMar>
      </w:tblPr>
      <w:tblGrid>
        <w:gridCol w:w="574"/>
        <w:gridCol w:w="1265"/>
        <w:gridCol w:w="5536"/>
        <w:gridCol w:w="574"/>
        <w:gridCol w:w="573"/>
      </w:tblGrid>
      <w:tr>
        <w:tblPrEx>
          <w:tblCellMar>
            <w:top w:w="0" w:type="dxa"/>
            <w:left w:w="108" w:type="dxa"/>
            <w:bottom w:w="0" w:type="dxa"/>
            <w:right w:w="108" w:type="dxa"/>
          </w:tblCellMar>
        </w:tblPrEx>
        <w:trPr>
          <w:trHeight w:val="270"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4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模块名称</w:t>
            </w:r>
          </w:p>
        </w:tc>
        <w:tc>
          <w:tcPr>
            <w:tcW w:w="32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主要技术参数</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81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市电配电柜</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市电配电柜，采用落地式安装结构，产品符合IEC898、GB10963标准和CCC安全认证，统一美观；内部主要元器件断路器采用知名品牌；带三相电源防雷器装置；配置智能电量仪表，可显示运行电压、电流等信息，可接入机房监控系统平台，并通过远程通信，能实现机房数据的集中监控。</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81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UPS配电柜</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UPS配电柜，采用落地式安装结构，产品符合IEC898、GB10963标准和CCC安全认证统一美观；内部主要元器件断路器采用知名品牌；带三相电源防雷器装置；配置智能电量仪表，可显示运行电压、电流等信息，可接入机房监控系统平台，并通过远程通信，能实现机房数据的集中监控。。</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市电总进线电缆</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ZR-YJV-4*70+1*35mm²</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m</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UPS总输入输出电缆</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ZR-YJV-4*50+1*35mm²</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m</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54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5P柜机、操作台、电视墙等电缆</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ZR-RVV-3*6mm²</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m</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150</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机柜电缆</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ZR-RVV-3*6mm²</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m</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150</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三相防浪涌保护器</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限压型，四模块，40kA（In）,80kA（Imax）,Up＜2500V。</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　</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三相防浪涌保护器</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限压型，四模块，20kA（In）,40kA（Imax）,Up＜1800V。</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　</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接地铜排</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30*3mm紫铜排</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m</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绝缘子固定桩</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SM40绝缘子φ8内螺纹，φ8膨胀螺丝，φ8*150mm螺丝。</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30</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接地端子箱</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局部型，10位，地板下安装。</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接地线缆</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黄绿线ZR-BVR6mm²、ZR-BVR16mm²、ZR-BVR50mm²。</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安装辅材</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包含膨胀螺丝、螺丝螺母、铜皮子、胶布及扎带等。</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批</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81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14</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UPS主机</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三进三出30KVA高频在线式主机，输入电压范围：380±25%V；输入频率：50±5%Hz；输出电压：220±1%；过载能力：≦125%负载时维持1分钟后旁路；具备输入过压保护、电池欠压保护、过载保护、短路保护、过温保护等功能。</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0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15</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蓄电池</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12V100AH阀控密封式胶体免维护蓄电池；采用纳米二氧化硅胶体电解质和高锡正极板合金设计，以提高电池性能；循环寿命长，极佳的深循环放电能力；可靠的密封技术，长寿命设计，浮充设计寿命≥10年（25℃）；优秀的充电接受能力；自放电率≤3%/月（25℃）；密封反应效率高≥98%；使用温度范围：-40~60℃。</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节</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32</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16</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电池柜</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32节柜，组装结构，单台内部可摆放不少于32节12V100AH蓄电池，外观颜色与UPS主机一致。</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17</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电池连接线缆</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包含蓄电池与蓄电池之间连接线缆等。</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根</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32</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18</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电池组连接线缆</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包含电池柜与电池柜之间连接线缆等。</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54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UPS至电池汇流柜连接线缆</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包含UPS主机至电池汇流柜之间连接线缆等。</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20</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电池汇流柜</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电池汇流柜，内含电池组总直流空开、分组直流空开、连接母排及柜体，与电池柜配套安装。</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21</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安装辅材</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包含铜鼻子、热缩管、金属软管、胶布及扎带等。</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批</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22</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5P柜式普通空调</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5P立柜式普通空调，冷暖型，包含配套铜管等安装辅材。</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5P柜式普通空调</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5P立柜式普通空调，冷暖型，包含配套铜管等安装辅材。</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24</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4工位操作台</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4工位操作台</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10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25</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服务器机柜</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1、19英寸42U标准服务器机柜，柜体尺寸（宽*深*高）：600*1200*2000mm；采用具有良好透风性能网状结构，网孔门，前门单开，后门双开；为了便于安装、拆装，侧板分段设计。 2、采用高强度的优质冷轧钢板，主体骨架采用≥2.0mm厚材料，其它≥1.2mm厚材料；机柜承重层板材料采用≥1.5mm厚材料；机柜静态承重≥1500KG，动态承重≥1000KG。3、机柜前后门设计高密度网孔门，开孔率不低于70%。</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7</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26</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机柜侧板</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机柜侧面封板，与服务器机柜配套安装。</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27</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PDU</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输入32A，输出12位(国标10A/16A)，带接线盒及指示灯，左右侧安装。</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条</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14</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28</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安装辅材</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包含并柜组件、固定件、接地端子及螺丝螺母等。</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批</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29</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手提式二氧化碳灭火器</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手提式二氧化碳灭火器</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套</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189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30</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基地平台服务器</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鲲鹏平台: 12*3.5英寸/EXP扩展/L6平台/2*(鲲鹏920 5221K,32Core@2.6GHz,8DIMM)/4*GE/21Q2-XC平台内存: 4 * DDR4 RDIMM内存-64GB-2933MT/sSATA SSD: 1 * SSD/SATA-6Gb/s-读取密集型-PM883系列/480G（无托架）SATA HDD: 2 * 通用硬盘-2TB-SATA 6Gb/s-7.2K rpm-128MB缓存或以上-3.5英寸(无托架）RAID: 1 * SR450C SAS/SATA RAID 卡,RAID0,1,10,5,50,6,60,2GB Cache(Avago3508),支持超级电容和边带管理-2U散件电源模块: 1 * 电源模块/服务器白金900W PAC900S12-B2版本交流电源/02312XWK服务器配件: 1 * 硬盘转接支架-3.5安装2.5寸服务器配件: 2 * 3.5英寸硬盘托架/宝德样式托架服务器配件: 1 * 2U静态滑轨套件（导轨）</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台</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31</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云机房租赁</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1年云机房租赁费用</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机柜</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w:t>
            </w:r>
          </w:p>
        </w:tc>
      </w:tr>
    </w:tbl>
    <w:p>
      <w:pPr>
        <w:pStyle w:val="56"/>
      </w:pPr>
      <w:r>
        <w:rPr>
          <w:rFonts w:hint="eastAsia"/>
        </w:rPr>
        <w:t>8、室外管线</w:t>
      </w:r>
    </w:p>
    <w:tbl>
      <w:tblPr>
        <w:tblStyle w:val="30"/>
        <w:tblW w:w="5000" w:type="pct"/>
        <w:tblInd w:w="0" w:type="dxa"/>
        <w:tblLayout w:type="autofit"/>
        <w:tblCellMar>
          <w:top w:w="0" w:type="dxa"/>
          <w:left w:w="108" w:type="dxa"/>
          <w:bottom w:w="0" w:type="dxa"/>
          <w:right w:w="108" w:type="dxa"/>
        </w:tblCellMar>
      </w:tblPr>
      <w:tblGrid>
        <w:gridCol w:w="525"/>
        <w:gridCol w:w="1217"/>
        <w:gridCol w:w="5488"/>
        <w:gridCol w:w="526"/>
        <w:gridCol w:w="766"/>
      </w:tblGrid>
      <w:tr>
        <w:tblPrEx>
          <w:tblCellMar>
            <w:top w:w="0" w:type="dxa"/>
            <w:left w:w="108" w:type="dxa"/>
            <w:bottom w:w="0" w:type="dxa"/>
            <w:right w:w="108" w:type="dxa"/>
          </w:tblCellMar>
        </w:tblPrEx>
        <w:trPr>
          <w:trHeight w:val="270"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4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模块名称</w:t>
            </w:r>
          </w:p>
        </w:tc>
        <w:tc>
          <w:tcPr>
            <w:tcW w:w="32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主要技术参数</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土方工程</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土方开挖、回填</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立方米</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3000</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配管</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PE32，国标</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米</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12000</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配管</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PVC32，国标</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41</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配管</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镀锌钢管SC32，国标</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米</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1900</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手孔井</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550mm*550mm*900mm（含井盖）</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60</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室外安防箱</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400mm*550mm*200mm，含二合一防雷器、集中电源、光纤收发器等配件</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个</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63</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室外立杆</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3.5米，含基础</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根</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63</w:t>
            </w:r>
          </w:p>
        </w:tc>
      </w:tr>
      <w:tr>
        <w:tblPrEx>
          <w:tblCellMar>
            <w:top w:w="0" w:type="dxa"/>
            <w:left w:w="108" w:type="dxa"/>
            <w:bottom w:w="0" w:type="dxa"/>
            <w:right w:w="108" w:type="dxa"/>
          </w:tblCellMar>
        </w:tblPrEx>
        <w:trPr>
          <w:trHeight w:val="54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24芯室外单模光缆</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外护套材料：聚乙烯（PE） 光缆重量：76-88kg/KM 光缆加强件：两根高强度磷化钢丝 钢丝直径：0.9mm</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米</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49000</w:t>
            </w:r>
          </w:p>
        </w:tc>
      </w:tr>
      <w:tr>
        <w:tblPrEx>
          <w:tblCellMar>
            <w:top w:w="0" w:type="dxa"/>
            <w:left w:w="108" w:type="dxa"/>
            <w:bottom w:w="0" w:type="dxa"/>
            <w:right w:w="108" w:type="dxa"/>
          </w:tblCellMar>
        </w:tblPrEx>
        <w:trPr>
          <w:trHeight w:val="54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4芯室外单模铠装光缆</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外护套材料：聚乙烯（PE） 光缆外径：8.0-9.0mm 光缆重量：76-88kg/KM 光缆加强件：两根高强度磷化钢丝 钢丝直径：0.9mm</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100</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配线</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六类网线</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百米</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50</w:t>
            </w:r>
          </w:p>
        </w:tc>
      </w:tr>
      <w:tr>
        <w:tblPrEx>
          <w:tblCellMar>
            <w:top w:w="0" w:type="dxa"/>
            <w:left w:w="108" w:type="dxa"/>
            <w:bottom w:w="0" w:type="dxa"/>
            <w:right w:w="108" w:type="dxa"/>
          </w:tblCellMar>
        </w:tblPrEx>
        <w:trPr>
          <w:trHeight w:val="10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六类非屏蔽RJ45网络跳线（2米）</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水晶头塑料材质：聚碳酸酯（PC） 跳线接头类型：注塑RJ45端子-注塑RJ45端子 跳线线缆类型：4*2*7/0.18mm对绞芯线 跳线线缆护套材质：PVC 跳线线缆外径：6.2±0.2mm 跳线线缆阻抗类型：100±15Ω 连接方式：RJ45端插接RJ45配线架跳线弯曲半径：≥2D(D：跳线外径) 适用信号：六类非屏蔽信道 使用温度： -20～70℃ 湿度：85%（温度85℃±3℃）</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百根</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22.66</w:t>
            </w:r>
          </w:p>
        </w:tc>
      </w:tr>
      <w:tr>
        <w:tblPrEx>
          <w:tblCellMar>
            <w:top w:w="0" w:type="dxa"/>
            <w:left w:w="108" w:type="dxa"/>
            <w:bottom w:w="0" w:type="dxa"/>
            <w:right w:w="108" w:type="dxa"/>
          </w:tblCellMar>
        </w:tblPrEx>
        <w:trPr>
          <w:trHeight w:val="54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LC-LC单模双芯光纤跳线（2米）</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LC-LC型双芯OM3单模光纤跳线(2米)，UPC端面，电信级，橙色外护套</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根</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273</w:t>
            </w:r>
          </w:p>
        </w:tc>
      </w:tr>
      <w:tr>
        <w:tblPrEx>
          <w:tblCellMar>
            <w:top w:w="0" w:type="dxa"/>
            <w:left w:w="108" w:type="dxa"/>
            <w:bottom w:w="0" w:type="dxa"/>
            <w:right w:w="108" w:type="dxa"/>
          </w:tblCellMar>
        </w:tblPrEx>
        <w:trPr>
          <w:trHeight w:val="54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LC单模光纤尾纤（1米）</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LC型单芯单模尾纤(1米)，UPC端面，电信级，橙色外护套</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根</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1490</w:t>
            </w:r>
          </w:p>
        </w:tc>
      </w:tr>
      <w:tr>
        <w:tblPrEx>
          <w:tblCellMar>
            <w:top w:w="0" w:type="dxa"/>
            <w:left w:w="108" w:type="dxa"/>
            <w:bottom w:w="0" w:type="dxa"/>
            <w:right w:w="108" w:type="dxa"/>
          </w:tblCellMar>
        </w:tblPrEx>
        <w:trPr>
          <w:trHeight w:val="27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14</w:t>
            </w:r>
          </w:p>
        </w:tc>
        <w:tc>
          <w:tcPr>
            <w:tcW w:w="74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广播线</w:t>
            </w:r>
          </w:p>
        </w:tc>
        <w:tc>
          <w:tcPr>
            <w:tcW w:w="32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rPr>
            </w:pPr>
            <w:r>
              <w:rPr>
                <w:rFonts w:hint="eastAsia" w:ascii="宋体" w:hAnsi="宋体" w:cs="宋体"/>
                <w:kern w:val="0"/>
                <w:sz w:val="22"/>
              </w:rPr>
              <w:t>RVVP2*2.0</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米</w:t>
            </w:r>
          </w:p>
        </w:tc>
        <w:tc>
          <w:tcPr>
            <w:tcW w:w="3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1200</w:t>
            </w:r>
          </w:p>
        </w:tc>
      </w:tr>
    </w:tbl>
    <w:p>
      <w:pPr>
        <w:widowControl/>
        <w:jc w:val="left"/>
      </w:pPr>
      <w:r>
        <w:br w:type="page"/>
      </w:r>
    </w:p>
    <w:bookmarkEnd w:id="198"/>
    <w:p>
      <w:pPr>
        <w:pStyle w:val="15"/>
        <w:spacing w:before="156" w:after="156" w:line="360" w:lineRule="auto"/>
        <w:jc w:val="center"/>
        <w:outlineLvl w:val="0"/>
      </w:pPr>
      <w:r>
        <w:rPr>
          <w:rFonts w:hint="eastAsia" w:hAnsi="宋体"/>
          <w:b/>
          <w:color w:val="000000"/>
          <w:sz w:val="36"/>
          <w:szCs w:val="36"/>
        </w:rPr>
        <w:t xml:space="preserve">第三章  投标人须知 </w:t>
      </w:r>
    </w:p>
    <w:p>
      <w:pPr>
        <w:pStyle w:val="29"/>
        <w:ind w:firstLine="600"/>
        <w:jc w:val="center"/>
        <w:rPr>
          <w:rFonts w:ascii="仿宋" w:hAnsi="仿宋" w:eastAsia="仿宋_GB2312"/>
          <w:color w:val="000000"/>
          <w:sz w:val="30"/>
          <w:szCs w:val="30"/>
        </w:rPr>
      </w:pPr>
      <w:r>
        <w:rPr>
          <w:rFonts w:hint="eastAsia" w:ascii="仿宋" w:hAnsi="仿宋" w:eastAsia="仿宋_GB2312"/>
          <w:color w:val="000000"/>
          <w:sz w:val="30"/>
          <w:szCs w:val="30"/>
        </w:rPr>
        <w:t>前附表</w:t>
      </w:r>
    </w:p>
    <w:tbl>
      <w:tblPr>
        <w:tblStyle w:val="30"/>
        <w:tblW w:w="10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69"/>
        <w:gridCol w:w="1814"/>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spacing w:line="400" w:lineRule="atLeast"/>
              <w:jc w:val="center"/>
              <w:rPr>
                <w:rFonts w:ascii="宋体" w:cs="宋体"/>
                <w:sz w:val="22"/>
              </w:rPr>
            </w:pPr>
            <w:r>
              <w:rPr>
                <w:rFonts w:hint="eastAsia" w:ascii="宋体" w:cs="宋体"/>
                <w:sz w:val="22"/>
              </w:rPr>
              <w:t>序号</w:t>
            </w:r>
          </w:p>
        </w:tc>
        <w:tc>
          <w:tcPr>
            <w:tcW w:w="1814" w:type="dxa"/>
            <w:vAlign w:val="center"/>
          </w:tcPr>
          <w:p>
            <w:pPr>
              <w:spacing w:line="400" w:lineRule="atLeast"/>
              <w:jc w:val="center"/>
              <w:rPr>
                <w:rFonts w:ascii="宋体" w:cs="宋体"/>
                <w:sz w:val="22"/>
              </w:rPr>
            </w:pPr>
            <w:r>
              <w:rPr>
                <w:rFonts w:hint="eastAsia" w:ascii="宋体" w:cs="宋体"/>
                <w:sz w:val="22"/>
              </w:rPr>
              <w:t>内容</w:t>
            </w:r>
          </w:p>
        </w:tc>
        <w:tc>
          <w:tcPr>
            <w:tcW w:w="7776" w:type="dxa"/>
            <w:vAlign w:val="center"/>
          </w:tcPr>
          <w:p>
            <w:pPr>
              <w:spacing w:line="400" w:lineRule="atLeast"/>
              <w:jc w:val="center"/>
              <w:rPr>
                <w:rFonts w:ascii="宋体" w:cs="宋体"/>
                <w:sz w:val="22"/>
              </w:rPr>
            </w:pPr>
            <w:r>
              <w:rPr>
                <w:rFonts w:hint="eastAsia" w:ascii="宋体" w:cs="宋体"/>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lang w:val="zh-CN"/>
              </w:rPr>
            </w:pPr>
            <w:r>
              <w:rPr>
                <w:rFonts w:hint="eastAsia" w:ascii="宋体" w:cs="宋体"/>
                <w:sz w:val="22"/>
                <w:lang w:val="zh-CN"/>
              </w:rPr>
              <w:t>1</w:t>
            </w:r>
          </w:p>
        </w:tc>
        <w:tc>
          <w:tcPr>
            <w:tcW w:w="1814" w:type="dxa"/>
            <w:vAlign w:val="center"/>
          </w:tcPr>
          <w:p>
            <w:pPr>
              <w:rPr>
                <w:rFonts w:ascii="宋体" w:cs="宋体"/>
                <w:sz w:val="22"/>
              </w:rPr>
            </w:pPr>
            <w:r>
              <w:rPr>
                <w:rFonts w:hint="eastAsia" w:ascii="宋体" w:cs="宋体"/>
                <w:sz w:val="22"/>
              </w:rPr>
              <w:t>项目名称</w:t>
            </w:r>
          </w:p>
        </w:tc>
        <w:tc>
          <w:tcPr>
            <w:tcW w:w="7776" w:type="dxa"/>
            <w:vAlign w:val="center"/>
          </w:tcPr>
          <w:p>
            <w:pPr>
              <w:rPr>
                <w:rFonts w:ascii="宋体" w:cs="宋体"/>
                <w:color w:val="000000" w:themeColor="text1"/>
                <w:sz w:val="22"/>
                <w14:textFill>
                  <w14:solidFill>
                    <w14:schemeClr w14:val="tx1"/>
                  </w14:solidFill>
                </w14:textFill>
              </w:rPr>
            </w:pPr>
            <w:r>
              <w:rPr>
                <w:rFonts w:hint="eastAsia" w:ascii="宋体" w:cs="宋体"/>
                <w:color w:val="000000" w:themeColor="text1"/>
                <w:sz w:val="22"/>
                <w14:textFill>
                  <w14:solidFill>
                    <w14:schemeClr w14:val="tx1"/>
                  </w14:solidFill>
                </w14:textFill>
              </w:rPr>
              <w:t>金华市公安局**训练基地科技信息化项目（基础设施信息化）项目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2</w:t>
            </w:r>
          </w:p>
        </w:tc>
        <w:tc>
          <w:tcPr>
            <w:tcW w:w="1814" w:type="dxa"/>
            <w:vAlign w:val="center"/>
          </w:tcPr>
          <w:p>
            <w:pPr>
              <w:rPr>
                <w:rFonts w:ascii="宋体" w:cs="宋体"/>
                <w:sz w:val="22"/>
              </w:rPr>
            </w:pPr>
            <w:r>
              <w:rPr>
                <w:rFonts w:hint="eastAsia" w:ascii="宋体" w:cs="宋体"/>
                <w:sz w:val="22"/>
              </w:rPr>
              <w:t>采购数量及单位</w:t>
            </w:r>
          </w:p>
        </w:tc>
        <w:tc>
          <w:tcPr>
            <w:tcW w:w="7776" w:type="dxa"/>
            <w:vAlign w:val="center"/>
          </w:tcPr>
          <w:p>
            <w:pPr>
              <w:rPr>
                <w:rFonts w:ascii="宋体" w:cs="宋体"/>
                <w:color w:val="000000" w:themeColor="text1"/>
                <w:sz w:val="22"/>
                <w14:textFill>
                  <w14:solidFill>
                    <w14:schemeClr w14:val="tx1"/>
                  </w14:solidFill>
                </w14:textFill>
              </w:rPr>
            </w:pPr>
            <w:r>
              <w:rPr>
                <w:rFonts w:hint="eastAsia" w:ascii="宋体" w:cs="宋体"/>
                <w:color w:val="000000" w:themeColor="text1"/>
                <w:sz w:val="22"/>
                <w14:textFill>
                  <w14:solidFill>
                    <w14:schemeClr w14:val="tx1"/>
                  </w14:solidFill>
                </w14:textFill>
              </w:rPr>
              <w:t>见采购需求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3</w:t>
            </w:r>
          </w:p>
        </w:tc>
        <w:tc>
          <w:tcPr>
            <w:tcW w:w="1814" w:type="dxa"/>
            <w:vAlign w:val="center"/>
          </w:tcPr>
          <w:p>
            <w:pPr>
              <w:rPr>
                <w:rFonts w:ascii="宋体" w:cs="宋体"/>
                <w:sz w:val="22"/>
              </w:rPr>
            </w:pPr>
            <w:r>
              <w:rPr>
                <w:rFonts w:hint="eastAsia" w:ascii="宋体" w:cs="宋体"/>
                <w:sz w:val="22"/>
              </w:rPr>
              <w:t>资金来源</w:t>
            </w:r>
          </w:p>
        </w:tc>
        <w:tc>
          <w:tcPr>
            <w:tcW w:w="7776" w:type="dxa"/>
            <w:vAlign w:val="center"/>
          </w:tcPr>
          <w:p>
            <w:pPr>
              <w:rPr>
                <w:rFonts w:ascii="宋体" w:cs="宋体"/>
                <w:sz w:val="22"/>
              </w:rPr>
            </w:pPr>
            <w:r>
              <w:rPr>
                <w:rFonts w:hint="eastAsia" w:ascii="宋体" w:cs="宋体"/>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4</w:t>
            </w:r>
          </w:p>
        </w:tc>
        <w:tc>
          <w:tcPr>
            <w:tcW w:w="1814" w:type="dxa"/>
            <w:vAlign w:val="center"/>
          </w:tcPr>
          <w:p>
            <w:pPr>
              <w:rPr>
                <w:rFonts w:ascii="宋体" w:cs="宋体"/>
                <w:sz w:val="22"/>
              </w:rPr>
            </w:pPr>
            <w:r>
              <w:rPr>
                <w:rFonts w:hint="eastAsia" w:ascii="宋体" w:cs="宋体"/>
                <w:sz w:val="22"/>
              </w:rPr>
              <w:t>采购方式</w:t>
            </w:r>
          </w:p>
        </w:tc>
        <w:tc>
          <w:tcPr>
            <w:tcW w:w="7776" w:type="dxa"/>
            <w:vAlign w:val="center"/>
          </w:tcPr>
          <w:p>
            <w:pPr>
              <w:rPr>
                <w:rFonts w:ascii="宋体" w:cs="宋体"/>
                <w:sz w:val="22"/>
              </w:rPr>
            </w:pPr>
            <w:r>
              <w:rPr>
                <w:rFonts w:hint="eastAsia" w:ascii="宋体" w:cs="宋体"/>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5</w:t>
            </w:r>
          </w:p>
        </w:tc>
        <w:tc>
          <w:tcPr>
            <w:tcW w:w="1814" w:type="dxa"/>
            <w:vAlign w:val="center"/>
          </w:tcPr>
          <w:p>
            <w:pPr>
              <w:adjustRightInd w:val="0"/>
              <w:rPr>
                <w:rFonts w:ascii="宋体" w:cs="宋体"/>
                <w:sz w:val="22"/>
              </w:rPr>
            </w:pPr>
            <w:r>
              <w:rPr>
                <w:rFonts w:hint="eastAsia" w:ascii="宋体" w:cs="宋体"/>
                <w:sz w:val="22"/>
              </w:rPr>
              <w:t>采购人</w:t>
            </w:r>
          </w:p>
        </w:tc>
        <w:tc>
          <w:tcPr>
            <w:tcW w:w="7776" w:type="dxa"/>
            <w:vAlign w:val="center"/>
          </w:tcPr>
          <w:p>
            <w:pPr>
              <w:adjustRightInd w:val="0"/>
            </w:pPr>
            <w:r>
              <w:rPr>
                <w:rFonts w:hint="eastAsia"/>
              </w:rPr>
              <w:t>名称：</w:t>
            </w:r>
            <w:r>
              <w:rPr>
                <w:rFonts w:hint="eastAsia" w:asciiTheme="minorEastAsia" w:hAnsiTheme="minorEastAsia" w:eastAsiaTheme="minorEastAsia" w:cstheme="minorEastAsia"/>
                <w:color w:val="000000" w:themeColor="text1"/>
                <w:sz w:val="22"/>
                <w14:textFill>
                  <w14:solidFill>
                    <w14:schemeClr w14:val="tx1"/>
                  </w14:solidFill>
                </w14:textFill>
              </w:rPr>
              <w:t>金华市公安局</w:t>
            </w:r>
          </w:p>
          <w:p>
            <w:pPr>
              <w:adjustRightInd w:val="0"/>
            </w:pPr>
            <w:r>
              <w:rPr>
                <w:rFonts w:hint="eastAsia"/>
              </w:rPr>
              <w:t>联系人：</w:t>
            </w:r>
            <w:r>
              <w:rPr>
                <w:rFonts w:hint="eastAsia" w:asciiTheme="minorEastAsia" w:hAnsiTheme="minorEastAsia" w:eastAsiaTheme="minorEastAsia" w:cstheme="minorEastAsia"/>
                <w:color w:val="000000" w:themeColor="text1"/>
                <w:kern w:val="0"/>
                <w:sz w:val="22"/>
                <w14:textFill>
                  <w14:solidFill>
                    <w14:schemeClr w14:val="tx1"/>
                  </w14:solidFill>
                </w14:textFill>
              </w:rPr>
              <w:t>陈</w:t>
            </w:r>
            <w:r>
              <w:rPr>
                <w:rFonts w:hint="eastAsia" w:asciiTheme="minorEastAsia" w:hAnsiTheme="minorEastAsia" w:eastAsiaTheme="minorEastAsia" w:cstheme="minorEastAsia"/>
                <w:color w:val="000000"/>
                <w:kern w:val="0"/>
                <w:sz w:val="22"/>
              </w:rPr>
              <w:t>旻</w:t>
            </w:r>
          </w:p>
          <w:p>
            <w:pPr>
              <w:adjustRightInd w:val="0"/>
            </w:pPr>
            <w:r>
              <w:rPr>
                <w:rFonts w:hint="eastAsia"/>
              </w:rPr>
              <w:t>电话：</w:t>
            </w:r>
            <w:r>
              <w:rPr>
                <w:rFonts w:hint="eastAsia" w:asciiTheme="minorEastAsia" w:hAnsiTheme="minorEastAsia" w:eastAsiaTheme="minorEastAsia" w:cstheme="minorEastAsia"/>
                <w:color w:val="000000"/>
                <w:kern w:val="0"/>
                <w:sz w:val="22"/>
              </w:rPr>
              <w:t>13957988088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6</w:t>
            </w:r>
          </w:p>
        </w:tc>
        <w:tc>
          <w:tcPr>
            <w:tcW w:w="1814" w:type="dxa"/>
            <w:vAlign w:val="center"/>
          </w:tcPr>
          <w:p>
            <w:pPr>
              <w:rPr>
                <w:rFonts w:ascii="宋体" w:cs="宋体"/>
                <w:sz w:val="22"/>
              </w:rPr>
            </w:pPr>
            <w:r>
              <w:rPr>
                <w:rFonts w:hint="eastAsia" w:ascii="宋体" w:cs="宋体"/>
                <w:sz w:val="22"/>
              </w:rPr>
              <w:t>采购机构</w:t>
            </w:r>
          </w:p>
        </w:tc>
        <w:tc>
          <w:tcPr>
            <w:tcW w:w="7776" w:type="dxa"/>
            <w:vAlign w:val="center"/>
          </w:tcPr>
          <w:p>
            <w:pPr>
              <w:adjustRightInd w:val="0"/>
              <w:rPr>
                <w:rFonts w:ascii="宋体" w:cs="宋体"/>
                <w:sz w:val="22"/>
              </w:rPr>
            </w:pPr>
            <w:r>
              <w:rPr>
                <w:rFonts w:hint="eastAsia" w:ascii="宋体" w:cs="宋体"/>
                <w:sz w:val="22"/>
              </w:rPr>
              <w:t>名称：金华市政府采购中心</w:t>
            </w:r>
          </w:p>
          <w:p>
            <w:pPr>
              <w:adjustRightInd w:val="0"/>
              <w:rPr>
                <w:rFonts w:ascii="宋体" w:cs="宋体"/>
                <w:color w:val="000000" w:themeColor="text1"/>
                <w:sz w:val="22"/>
                <w14:textFill>
                  <w14:solidFill>
                    <w14:schemeClr w14:val="tx1"/>
                  </w14:solidFill>
                </w14:textFill>
              </w:rPr>
            </w:pPr>
            <w:r>
              <w:rPr>
                <w:rFonts w:hint="eastAsia" w:ascii="宋体" w:cs="宋体"/>
                <w:color w:val="000000" w:themeColor="text1"/>
                <w:sz w:val="22"/>
                <w14:textFill>
                  <w14:solidFill>
                    <w14:schemeClr w14:val="tx1"/>
                  </w14:solidFill>
                </w14:textFill>
              </w:rPr>
              <w:t>项目负责人：</w:t>
            </w:r>
            <w:r>
              <w:rPr>
                <w:rFonts w:hint="eastAsia" w:asciiTheme="minorEastAsia" w:hAnsiTheme="minorEastAsia" w:eastAsiaTheme="minorEastAsia" w:cstheme="minorEastAsia"/>
                <w:sz w:val="22"/>
              </w:rPr>
              <w:t>王老师</w:t>
            </w:r>
            <w:r>
              <w:rPr>
                <w:rFonts w:ascii="宋体" w:cs="宋体"/>
                <w:color w:val="000000" w:themeColor="text1"/>
                <w:sz w:val="22"/>
                <w14:textFill>
                  <w14:solidFill>
                    <w14:schemeClr w14:val="tx1"/>
                  </w14:solidFill>
                </w14:textFill>
              </w:rPr>
              <w:t xml:space="preserve"> </w:t>
            </w:r>
          </w:p>
          <w:p>
            <w:pPr>
              <w:adjustRightInd w:val="0"/>
              <w:rPr>
                <w:rFonts w:ascii="宋体" w:cs="宋体"/>
                <w:sz w:val="22"/>
              </w:rPr>
            </w:pPr>
            <w:r>
              <w:rPr>
                <w:rFonts w:hint="eastAsia" w:ascii="宋体" w:cs="宋体"/>
                <w:color w:val="000000" w:themeColor="text1"/>
                <w:sz w:val="22"/>
                <w14:textFill>
                  <w14:solidFill>
                    <w14:schemeClr w14:val="tx1"/>
                  </w14:solidFill>
                </w14:textFill>
              </w:rPr>
              <w:t>联系电话：</w:t>
            </w:r>
            <w:r>
              <w:rPr>
                <w:rFonts w:hint="eastAsia" w:asciiTheme="minorEastAsia" w:hAnsiTheme="minorEastAsia" w:eastAsiaTheme="minorEastAsia" w:cstheme="minorEastAsia"/>
                <w:sz w:val="22"/>
              </w:rPr>
              <w:t>83182702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7</w:t>
            </w:r>
          </w:p>
        </w:tc>
        <w:tc>
          <w:tcPr>
            <w:tcW w:w="1814" w:type="dxa"/>
            <w:vAlign w:val="center"/>
          </w:tcPr>
          <w:p>
            <w:pPr>
              <w:rPr>
                <w:rFonts w:ascii="宋体" w:cs="宋体"/>
                <w:sz w:val="22"/>
              </w:rPr>
            </w:pPr>
            <w:r>
              <w:rPr>
                <w:rFonts w:hint="eastAsia" w:ascii="宋体" w:cs="宋体"/>
                <w:sz w:val="22"/>
              </w:rPr>
              <w:t>招标内容</w:t>
            </w:r>
          </w:p>
        </w:tc>
        <w:tc>
          <w:tcPr>
            <w:tcW w:w="7776" w:type="dxa"/>
            <w:vAlign w:val="center"/>
          </w:tcPr>
          <w:p>
            <w:pPr>
              <w:adjustRightInd w:val="0"/>
              <w:rPr>
                <w:rFonts w:ascii="宋体" w:cs="宋体"/>
                <w:sz w:val="22"/>
              </w:rPr>
            </w:pPr>
            <w:r>
              <w:rPr>
                <w:rFonts w:hint="eastAsia" w:ascii="宋体" w:cs="宋体"/>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8</w:t>
            </w:r>
          </w:p>
        </w:tc>
        <w:tc>
          <w:tcPr>
            <w:tcW w:w="1814" w:type="dxa"/>
            <w:vAlign w:val="center"/>
          </w:tcPr>
          <w:p>
            <w:pPr>
              <w:rPr>
                <w:rFonts w:ascii="宋体" w:cs="宋体"/>
                <w:sz w:val="22"/>
              </w:rPr>
            </w:pPr>
            <w:r>
              <w:rPr>
                <w:rFonts w:hint="eastAsia" w:ascii="宋体" w:cs="宋体"/>
                <w:sz w:val="22"/>
              </w:rPr>
              <w:t>评标办法</w:t>
            </w:r>
          </w:p>
        </w:tc>
        <w:tc>
          <w:tcPr>
            <w:tcW w:w="7776" w:type="dxa"/>
            <w:vAlign w:val="center"/>
          </w:tcPr>
          <w:p>
            <w:pPr>
              <w:adjustRightInd w:val="0"/>
              <w:rPr>
                <w:rFonts w:ascii="宋体" w:cs="宋体"/>
                <w:sz w:val="22"/>
              </w:rPr>
            </w:pPr>
            <w:r>
              <w:rPr>
                <w:rFonts w:hint="eastAsia" w:ascii="宋体" w:cs="宋体"/>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9</w:t>
            </w:r>
          </w:p>
        </w:tc>
        <w:tc>
          <w:tcPr>
            <w:tcW w:w="1814" w:type="dxa"/>
            <w:vAlign w:val="center"/>
          </w:tcPr>
          <w:p>
            <w:pPr>
              <w:rPr>
                <w:rFonts w:ascii="宋体" w:cs="宋体"/>
                <w:sz w:val="22"/>
              </w:rPr>
            </w:pPr>
            <w:r>
              <w:rPr>
                <w:rFonts w:hint="eastAsia" w:ascii="宋体" w:cs="宋体"/>
                <w:sz w:val="22"/>
              </w:rPr>
              <w:t>投标供应商</w:t>
            </w:r>
          </w:p>
          <w:p>
            <w:pPr>
              <w:rPr>
                <w:rFonts w:ascii="宋体" w:cs="宋体"/>
                <w:sz w:val="22"/>
              </w:rPr>
            </w:pPr>
            <w:r>
              <w:rPr>
                <w:rFonts w:hint="eastAsia" w:ascii="宋体" w:cs="宋体"/>
                <w:sz w:val="22"/>
              </w:rPr>
              <w:t>资格要求</w:t>
            </w:r>
          </w:p>
        </w:tc>
        <w:tc>
          <w:tcPr>
            <w:tcW w:w="7776" w:type="dxa"/>
            <w:vAlign w:val="center"/>
          </w:tcPr>
          <w:p>
            <w:pPr>
              <w:adjustRightInd w:val="0"/>
              <w:rPr>
                <w:rFonts w:ascii="宋体" w:cs="宋体"/>
                <w:kern w:val="28"/>
                <w:sz w:val="22"/>
              </w:rPr>
            </w:pPr>
            <w:r>
              <w:rPr>
                <w:rFonts w:hint="eastAsia" w:ascii="宋体" w:cs="宋体"/>
                <w:sz w:val="22"/>
              </w:rPr>
              <w:t>见第一章采购公告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10</w:t>
            </w:r>
          </w:p>
        </w:tc>
        <w:tc>
          <w:tcPr>
            <w:tcW w:w="1814" w:type="dxa"/>
            <w:vAlign w:val="center"/>
          </w:tcPr>
          <w:p>
            <w:pPr>
              <w:adjustRightInd w:val="0"/>
              <w:rPr>
                <w:rFonts w:ascii="宋体" w:cs="宋体"/>
                <w:sz w:val="22"/>
              </w:rPr>
            </w:pPr>
            <w:r>
              <w:rPr>
                <w:rFonts w:hint="eastAsia" w:ascii="宋体" w:cs="宋体"/>
                <w:sz w:val="22"/>
              </w:rPr>
              <w:t>是否接受联合体投标</w:t>
            </w:r>
          </w:p>
        </w:tc>
        <w:tc>
          <w:tcPr>
            <w:tcW w:w="7776" w:type="dxa"/>
            <w:vAlign w:val="center"/>
          </w:tcPr>
          <w:p>
            <w:pPr>
              <w:adjustRightInd w:val="0"/>
              <w:spacing w:line="300" w:lineRule="exact"/>
              <w:rPr>
                <w:rFonts w:ascii="宋体" w:cs="宋体"/>
                <w:sz w:val="22"/>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宋体" w:cs="宋体"/>
                <w:sz w:val="22"/>
              </w:rPr>
              <w:t>不接受</w:t>
            </w:r>
          </w:p>
          <w:p>
            <w:pPr>
              <w:adjustRightInd w:val="0"/>
              <w:spacing w:line="300" w:lineRule="exact"/>
              <w:rPr>
                <w:rFonts w:ascii="宋体" w:cs="宋体"/>
                <w:sz w:val="22"/>
              </w:rPr>
            </w:pPr>
            <w:sdt>
              <w:sdtPr>
                <w:rPr>
                  <w:rFonts w:hint="eastAsia" w:ascii="仿宋_GB2312" w:hAnsi="仿宋" w:eastAsia="仿宋_GB2312" w:cs="Arial"/>
                  <w:kern w:val="0"/>
                  <w:sz w:val="24"/>
                </w:rPr>
                <w:id w:val="16984486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宋体" w:cs="宋体"/>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11</w:t>
            </w:r>
          </w:p>
        </w:tc>
        <w:tc>
          <w:tcPr>
            <w:tcW w:w="1814" w:type="dxa"/>
            <w:vAlign w:val="center"/>
          </w:tcPr>
          <w:p>
            <w:pPr>
              <w:adjustRightInd w:val="0"/>
              <w:rPr>
                <w:rFonts w:ascii="宋体" w:cs="宋体"/>
                <w:sz w:val="22"/>
              </w:rPr>
            </w:pPr>
            <w:r>
              <w:rPr>
                <w:rFonts w:hint="eastAsia" w:ascii="宋体" w:cs="宋体"/>
                <w:sz w:val="22"/>
              </w:rPr>
              <w:t>踏勘现场</w:t>
            </w:r>
          </w:p>
        </w:tc>
        <w:tc>
          <w:tcPr>
            <w:tcW w:w="7776" w:type="dxa"/>
            <w:vAlign w:val="center"/>
          </w:tcPr>
          <w:p>
            <w:pPr>
              <w:adjustRightInd w:val="0"/>
              <w:spacing w:line="300" w:lineRule="exact"/>
              <w:rPr>
                <w:rFonts w:ascii="宋体" w:cs="宋体"/>
                <w:sz w:val="22"/>
              </w:rPr>
            </w:pPr>
            <w:sdt>
              <w:sdtPr>
                <w:rPr>
                  <w:rFonts w:hint="eastAsia" w:ascii="仿宋_GB2312" w:hAnsi="仿宋" w:eastAsia="仿宋_GB2312" w:cs="Arial"/>
                  <w:kern w:val="0"/>
                  <w:sz w:val="24"/>
                </w:rPr>
                <w:id w:val="-1247644350"/>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þ</w:t>
                </w:r>
              </w:sdtContent>
            </w:sdt>
            <w:r>
              <w:rPr>
                <w:rFonts w:hint="eastAsia" w:ascii="宋体" w:cs="宋体"/>
                <w:sz w:val="22"/>
              </w:rPr>
              <w:t>不组织</w:t>
            </w:r>
          </w:p>
          <w:p>
            <w:pPr>
              <w:adjustRightInd w:val="0"/>
              <w:spacing w:line="300" w:lineRule="exact"/>
              <w:rPr>
                <w:rFonts w:ascii="宋体" w:cs="宋体"/>
                <w:sz w:val="22"/>
              </w:rPr>
            </w:pPr>
            <w:sdt>
              <w:sdtPr>
                <w:rPr>
                  <w:rFonts w:hint="eastAsia" w:ascii="仿宋_GB2312" w:hAnsi="仿宋" w:eastAsia="仿宋_GB2312" w:cs="Arial"/>
                  <w:kern w:val="0"/>
                  <w:sz w:val="24"/>
                </w:rPr>
                <w:id w:val="-102116223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宋体" w:cs="宋体"/>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12</w:t>
            </w:r>
          </w:p>
        </w:tc>
        <w:tc>
          <w:tcPr>
            <w:tcW w:w="1814" w:type="dxa"/>
            <w:vAlign w:val="center"/>
          </w:tcPr>
          <w:p>
            <w:pPr>
              <w:adjustRightInd w:val="0"/>
              <w:rPr>
                <w:rFonts w:ascii="宋体" w:cs="宋体"/>
                <w:sz w:val="22"/>
              </w:rPr>
            </w:pPr>
            <w:r>
              <w:rPr>
                <w:rFonts w:hint="eastAsia" w:ascii="宋体" w:cs="宋体"/>
                <w:sz w:val="22"/>
              </w:rPr>
              <w:t>是否允许递交备选投标方案</w:t>
            </w:r>
          </w:p>
        </w:tc>
        <w:tc>
          <w:tcPr>
            <w:tcW w:w="7776" w:type="dxa"/>
            <w:vAlign w:val="center"/>
          </w:tcPr>
          <w:p>
            <w:pPr>
              <w:adjustRightInd w:val="0"/>
              <w:spacing w:line="300" w:lineRule="exact"/>
              <w:rPr>
                <w:rFonts w:ascii="宋体" w:cs="宋体"/>
                <w:sz w:val="22"/>
              </w:rPr>
            </w:pPr>
            <w:sdt>
              <w:sdtPr>
                <w:rPr>
                  <w:rFonts w:hint="eastAsia" w:ascii="仿宋_GB2312" w:hAnsi="仿宋" w:eastAsia="仿宋_GB2312" w:cs="Arial"/>
                  <w:kern w:val="0"/>
                  <w:sz w:val="24"/>
                </w:rPr>
                <w:id w:val="-162807534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þ</w:t>
                </w:r>
              </w:sdtContent>
            </w:sdt>
            <w:r>
              <w:rPr>
                <w:rFonts w:hint="eastAsia" w:ascii="宋体" w:cs="宋体"/>
                <w:sz w:val="22"/>
              </w:rPr>
              <w:t>不允许</w:t>
            </w:r>
          </w:p>
          <w:p>
            <w:pPr>
              <w:adjustRightInd w:val="0"/>
              <w:spacing w:line="300" w:lineRule="exact"/>
              <w:rPr>
                <w:rFonts w:ascii="宋体" w:cs="宋体"/>
                <w:sz w:val="22"/>
              </w:rPr>
            </w:pPr>
            <w:sdt>
              <w:sdtPr>
                <w:rPr>
                  <w:rFonts w:hint="eastAsia" w:ascii="仿宋_GB2312" w:hAnsi="仿宋" w:eastAsia="仿宋_GB2312" w:cs="Arial"/>
                  <w:kern w:val="0"/>
                  <w:sz w:val="24"/>
                </w:rPr>
                <w:id w:val="-119437634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13</w:t>
            </w:r>
          </w:p>
        </w:tc>
        <w:tc>
          <w:tcPr>
            <w:tcW w:w="1814" w:type="dxa"/>
            <w:vAlign w:val="center"/>
          </w:tcPr>
          <w:p>
            <w:pPr>
              <w:adjustRightInd w:val="0"/>
              <w:rPr>
                <w:rFonts w:ascii="宋体" w:cs="宋体"/>
                <w:sz w:val="22"/>
              </w:rPr>
            </w:pPr>
            <w:r>
              <w:rPr>
                <w:rFonts w:hint="eastAsia" w:ascii="宋体" w:cs="宋体"/>
                <w:sz w:val="22"/>
              </w:rPr>
              <w:t>是否允许采购进口产品</w:t>
            </w:r>
          </w:p>
        </w:tc>
        <w:tc>
          <w:tcPr>
            <w:tcW w:w="7776" w:type="dxa"/>
            <w:vAlign w:val="center"/>
          </w:tcPr>
          <w:p>
            <w:pPr>
              <w:spacing w:line="300" w:lineRule="exact"/>
              <w:rPr>
                <w:rFonts w:ascii="仿宋_GB2312" w:hAnsi="仿宋" w:eastAsia="仿宋_GB2312" w:cs="Arial"/>
                <w:kern w:val="0"/>
                <w:sz w:val="24"/>
              </w:rPr>
            </w:pPr>
            <w:sdt>
              <w:sdtPr>
                <w:rPr>
                  <w:rFonts w:hint="eastAsia" w:ascii="仿宋_GB2312" w:hAnsi="仿宋" w:eastAsia="仿宋_GB2312" w:cs="Arial"/>
                  <w:kern w:val="0"/>
                  <w:sz w:val="24"/>
                </w:rPr>
                <w:id w:val="-16411066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宋体" w:cs="宋体"/>
                <w:sz w:val="22"/>
              </w:rPr>
              <w:t>本项目不允许采购进口产品。</w:t>
            </w:r>
          </w:p>
          <w:p>
            <w:pPr>
              <w:adjustRightInd w:val="0"/>
              <w:spacing w:line="300" w:lineRule="exact"/>
              <w:rPr>
                <w:rFonts w:ascii="宋体" w:cs="宋体"/>
                <w:sz w:val="22"/>
              </w:rPr>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Theme="minorEastAsia" w:hAnsiTheme="minorEastAsia" w:eastAsiaTheme="minorEastAsia" w:cstheme="minorEastAsia"/>
                <w:kern w:val="0"/>
                <w:sz w:val="24"/>
              </w:rPr>
              <w:t>可</w:t>
            </w:r>
            <w:r>
              <w:rPr>
                <w:rFonts w:hint="eastAsia" w:ascii="宋体" w:cs="宋体"/>
                <w:sz w:val="22"/>
              </w:rPr>
              <w:t>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r>
              <w:rPr>
                <w:rFonts w:hint="eastAsia" w:ascii="仿宋_GB2312" w:hAnsi="仿宋" w:eastAsia="仿宋_GB2312" w:cs="Arial"/>
                <w:kern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14</w:t>
            </w:r>
          </w:p>
        </w:tc>
        <w:tc>
          <w:tcPr>
            <w:tcW w:w="1814" w:type="dxa"/>
            <w:vAlign w:val="center"/>
          </w:tcPr>
          <w:p>
            <w:pPr>
              <w:adjustRightInd w:val="0"/>
              <w:rPr>
                <w:rFonts w:ascii="宋体" w:cs="宋体"/>
                <w:sz w:val="22"/>
              </w:rPr>
            </w:pPr>
            <w:r>
              <w:rPr>
                <w:rFonts w:hint="eastAsia" w:ascii="宋体" w:cs="宋体"/>
                <w:sz w:val="22"/>
              </w:rPr>
              <w:t>投标货币</w:t>
            </w:r>
          </w:p>
        </w:tc>
        <w:tc>
          <w:tcPr>
            <w:tcW w:w="7776" w:type="dxa"/>
            <w:vAlign w:val="center"/>
          </w:tcPr>
          <w:p>
            <w:pPr>
              <w:adjustRightInd w:val="0"/>
              <w:rPr>
                <w:rFonts w:ascii="宋体" w:cs="宋体"/>
                <w:sz w:val="22"/>
              </w:rPr>
            </w:pPr>
            <w:r>
              <w:rPr>
                <w:rFonts w:hint="eastAsia" w:ascii="宋体" w:cs="宋体"/>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669" w:type="dxa"/>
            <w:vAlign w:val="center"/>
          </w:tcPr>
          <w:p>
            <w:pPr>
              <w:autoSpaceDE w:val="0"/>
              <w:autoSpaceDN w:val="0"/>
              <w:adjustRightInd w:val="0"/>
              <w:snapToGrid w:val="0"/>
              <w:spacing w:line="300" w:lineRule="exact"/>
              <w:jc w:val="center"/>
              <w:rPr>
                <w:rFonts w:ascii="宋体" w:cs="宋体"/>
                <w:sz w:val="22"/>
              </w:rPr>
            </w:pPr>
            <w:r>
              <w:rPr>
                <w:rFonts w:hint="eastAsia" w:ascii="宋体" w:cs="宋体"/>
                <w:sz w:val="22"/>
              </w:rPr>
              <w:t>15</w:t>
            </w:r>
          </w:p>
        </w:tc>
        <w:tc>
          <w:tcPr>
            <w:tcW w:w="1814" w:type="dxa"/>
            <w:vAlign w:val="center"/>
          </w:tcPr>
          <w:p>
            <w:pPr>
              <w:adjustRightInd w:val="0"/>
              <w:spacing w:line="300" w:lineRule="exact"/>
              <w:rPr>
                <w:rFonts w:ascii="宋体" w:cs="宋体"/>
                <w:sz w:val="22"/>
              </w:rPr>
            </w:pPr>
            <w:r>
              <w:rPr>
                <w:rFonts w:hint="eastAsia" w:ascii="宋体" w:cs="宋体"/>
                <w:sz w:val="22"/>
              </w:rPr>
              <w:t>投标语言</w:t>
            </w:r>
          </w:p>
        </w:tc>
        <w:tc>
          <w:tcPr>
            <w:tcW w:w="7776" w:type="dxa"/>
            <w:vAlign w:val="center"/>
          </w:tcPr>
          <w:p>
            <w:pPr>
              <w:adjustRightInd w:val="0"/>
              <w:spacing w:line="300" w:lineRule="exact"/>
              <w:rPr>
                <w:rFonts w:ascii="宋体" w:cs="宋体"/>
                <w:sz w:val="22"/>
              </w:rPr>
            </w:pPr>
            <w:r>
              <w:rPr>
                <w:rFonts w:hint="eastAsia" w:ascii="宋体" w:cs="宋体"/>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cs="宋体"/>
                <w:sz w:val="22"/>
              </w:rPr>
            </w:pPr>
            <w:r>
              <w:rPr>
                <w:rFonts w:hint="eastAsia" w:ascii="宋体" w:cs="宋体"/>
                <w:sz w:val="22"/>
              </w:rPr>
              <w:t>16</w:t>
            </w:r>
          </w:p>
        </w:tc>
        <w:tc>
          <w:tcPr>
            <w:tcW w:w="1814" w:type="dxa"/>
            <w:vAlign w:val="center"/>
          </w:tcPr>
          <w:p>
            <w:pPr>
              <w:spacing w:line="300" w:lineRule="exact"/>
              <w:rPr>
                <w:rFonts w:ascii="宋体" w:cs="宋体"/>
                <w:sz w:val="22"/>
              </w:rPr>
            </w:pPr>
            <w:r>
              <w:rPr>
                <w:rFonts w:hint="eastAsia" w:ascii="宋体" w:cs="宋体"/>
                <w:sz w:val="22"/>
              </w:rPr>
              <w:t>投标有效期</w:t>
            </w:r>
          </w:p>
        </w:tc>
        <w:tc>
          <w:tcPr>
            <w:tcW w:w="7776" w:type="dxa"/>
            <w:vAlign w:val="center"/>
          </w:tcPr>
          <w:p>
            <w:pPr>
              <w:spacing w:line="300" w:lineRule="exact"/>
              <w:rPr>
                <w:rFonts w:ascii="宋体" w:cs="宋体"/>
                <w:sz w:val="22"/>
              </w:rPr>
            </w:pPr>
            <w:r>
              <w:rPr>
                <w:rFonts w:hint="eastAsia" w:ascii="宋体" w:cs="宋体"/>
                <w:sz w:val="22"/>
              </w:rPr>
              <w:t>提交投标文件截止时间起90天。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cs="宋体"/>
                <w:sz w:val="22"/>
                <w:lang w:val="zh-CN"/>
              </w:rPr>
            </w:pPr>
            <w:r>
              <w:rPr>
                <w:rFonts w:hint="eastAsia" w:ascii="宋体" w:cs="宋体"/>
                <w:sz w:val="22"/>
                <w:lang w:val="zh-CN"/>
              </w:rPr>
              <w:t>1</w:t>
            </w:r>
            <w:r>
              <w:rPr>
                <w:rFonts w:hint="eastAsia" w:ascii="宋体" w:cs="宋体"/>
                <w:sz w:val="22"/>
              </w:rPr>
              <w:t>7</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投标文件的形式</w:t>
            </w:r>
          </w:p>
        </w:tc>
        <w:tc>
          <w:tcPr>
            <w:tcW w:w="7776" w:type="dxa"/>
            <w:vAlign w:val="center"/>
          </w:tcPr>
          <w:p>
            <w:pPr>
              <w:spacing w:line="300" w:lineRule="exact"/>
              <w:rPr>
                <w:rFonts w:ascii="宋体"/>
                <w:snapToGrid w:val="0"/>
                <w:sz w:val="22"/>
              </w:rPr>
            </w:pPr>
            <w:r>
              <w:rPr>
                <w:rFonts w:hint="eastAsia" w:ascii="宋体"/>
                <w:snapToGrid w:val="0"/>
                <w:sz w:val="22"/>
              </w:rPr>
              <w:t>投标供应商应准备电子投标文件。</w:t>
            </w:r>
          </w:p>
          <w:p>
            <w:pPr>
              <w:spacing w:line="300" w:lineRule="exact"/>
              <w:rPr>
                <w:rFonts w:ascii="宋体"/>
                <w:snapToGrid w:val="0"/>
                <w:sz w:val="22"/>
              </w:rPr>
            </w:pPr>
            <w:r>
              <w:rPr>
                <w:rFonts w:hint="eastAsia" w:ascii="宋体"/>
                <w:snapToGrid w:val="0"/>
                <w:sz w:val="22"/>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18</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投标文件的编制</w:t>
            </w:r>
          </w:p>
        </w:tc>
        <w:tc>
          <w:tcPr>
            <w:tcW w:w="7776" w:type="dxa"/>
            <w:vAlign w:val="center"/>
          </w:tcPr>
          <w:p>
            <w:pPr>
              <w:spacing w:line="300" w:lineRule="exact"/>
              <w:rPr>
                <w:rFonts w:ascii="宋体"/>
                <w:snapToGrid w:val="0"/>
                <w:sz w:val="22"/>
              </w:rPr>
            </w:pPr>
            <w:r>
              <w:rPr>
                <w:rFonts w:hint="eastAsia" w:ascii="宋体"/>
                <w:snapToGrid w:val="0"/>
                <w:sz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19</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投标文件组成</w:t>
            </w:r>
          </w:p>
        </w:tc>
        <w:tc>
          <w:tcPr>
            <w:tcW w:w="7776" w:type="dxa"/>
            <w:vAlign w:val="center"/>
          </w:tcPr>
          <w:p>
            <w:pPr>
              <w:spacing w:line="300" w:lineRule="exact"/>
              <w:rPr>
                <w:rFonts w:ascii="宋体"/>
                <w:snapToGrid w:val="0"/>
                <w:sz w:val="22"/>
              </w:rPr>
            </w:pPr>
            <w:r>
              <w:rPr>
                <w:rFonts w:hint="eastAsia" w:ascii="宋体"/>
                <w:bCs/>
                <w:snapToGrid w:val="0"/>
                <w:sz w:val="22"/>
              </w:rPr>
              <w:t>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20</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投标文件的盖章</w:t>
            </w:r>
          </w:p>
        </w:tc>
        <w:tc>
          <w:tcPr>
            <w:tcW w:w="7776" w:type="dxa"/>
            <w:vAlign w:val="center"/>
          </w:tcPr>
          <w:p>
            <w:pPr>
              <w:spacing w:line="300" w:lineRule="exact"/>
              <w:rPr>
                <w:rFonts w:ascii="宋体"/>
                <w:snapToGrid w:val="0"/>
                <w:sz w:val="22"/>
              </w:rPr>
            </w:pPr>
            <w:r>
              <w:rPr>
                <w:rFonts w:hint="eastAsia" w:ascii="宋体"/>
                <w:snapToGrid w:val="0"/>
                <w:sz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21</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法定代表人或其授权代表签字或盖章</w:t>
            </w:r>
          </w:p>
        </w:tc>
        <w:tc>
          <w:tcPr>
            <w:tcW w:w="7776" w:type="dxa"/>
            <w:vAlign w:val="center"/>
          </w:tcPr>
          <w:p>
            <w:pPr>
              <w:spacing w:line="300" w:lineRule="exact"/>
              <w:rPr>
                <w:rFonts w:ascii="宋体"/>
                <w:snapToGrid w:val="0"/>
                <w:sz w:val="22"/>
              </w:rPr>
            </w:pPr>
            <w:r>
              <w:rPr>
                <w:rFonts w:hint="eastAsia" w:ascii="宋体"/>
                <w:snapToGrid w:val="0"/>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22</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投标文件份数</w:t>
            </w:r>
          </w:p>
        </w:tc>
        <w:tc>
          <w:tcPr>
            <w:tcW w:w="7776" w:type="dxa"/>
            <w:vAlign w:val="center"/>
          </w:tcPr>
          <w:p>
            <w:pPr>
              <w:spacing w:line="300" w:lineRule="exact"/>
              <w:rPr>
                <w:rFonts w:ascii="宋体"/>
                <w:snapToGrid w:val="0"/>
                <w:sz w:val="22"/>
              </w:rPr>
            </w:pPr>
            <w:r>
              <w:rPr>
                <w:rFonts w:hint="eastAsia" w:ascii="宋体"/>
                <w:snapToGrid w:val="0"/>
                <w:sz w:val="22"/>
              </w:rPr>
              <w:t>电子加密投标文件在线上传递交一份。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23</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投标文件的上传和递交</w:t>
            </w:r>
          </w:p>
        </w:tc>
        <w:tc>
          <w:tcPr>
            <w:tcW w:w="7776" w:type="dxa"/>
            <w:vAlign w:val="center"/>
          </w:tcPr>
          <w:p>
            <w:pPr>
              <w:spacing w:line="300" w:lineRule="exact"/>
              <w:rPr>
                <w:rFonts w:ascii="宋体"/>
                <w:snapToGrid w:val="0"/>
                <w:sz w:val="22"/>
              </w:rPr>
            </w:pPr>
            <w:r>
              <w:rPr>
                <w:rFonts w:hint="eastAsia" w:ascii="宋体"/>
                <w:snapToGrid w:val="0"/>
                <w:sz w:val="22"/>
              </w:rPr>
              <w:t>本项目通过“政府采购云平台（</w:t>
            </w:r>
            <w:r>
              <w:rPr>
                <w:rFonts w:ascii="宋体"/>
                <w:snapToGrid w:val="0"/>
                <w:sz w:val="22"/>
              </w:rPr>
              <w:t>www.zcygov.cn）”实行在线投标响应（电子投标），投标供应商应当在投标截止时间前，将生成的“电子加密投标文件”上传递交至“政府采购云平台”。</w:t>
            </w:r>
          </w:p>
          <w:p>
            <w:pPr>
              <w:spacing w:line="300" w:lineRule="exact"/>
              <w:rPr>
                <w:rFonts w:ascii="宋体"/>
                <w:snapToGrid w:val="0"/>
                <w:sz w:val="22"/>
              </w:rPr>
            </w:pPr>
            <w:r>
              <w:rPr>
                <w:rFonts w:hint="eastAsia" w:ascii="宋体"/>
                <w:snapToGrid w:val="0"/>
                <w:sz w:val="22"/>
              </w:rPr>
              <w:t>“电子加密投标文件”的上传、递交：</w:t>
            </w:r>
          </w:p>
          <w:p>
            <w:pPr>
              <w:spacing w:line="300" w:lineRule="exact"/>
              <w:rPr>
                <w:rFonts w:ascii="宋体"/>
                <w:snapToGrid w:val="0"/>
                <w:sz w:val="22"/>
              </w:rPr>
            </w:pPr>
            <w:r>
              <w:rPr>
                <w:rFonts w:hint="eastAsia" w:ascii="宋体"/>
                <w:snapToGrid w:val="0"/>
                <w:sz w:val="22"/>
              </w:rPr>
              <w:t>a.投标供应商应在投标截止时间前将“电子加密投标文件”成功上传递交至“政府采购云平台”，否则投标无效。</w:t>
            </w:r>
          </w:p>
          <w:p>
            <w:pPr>
              <w:spacing w:line="300" w:lineRule="exact"/>
              <w:rPr>
                <w:rFonts w:ascii="宋体"/>
                <w:snapToGrid w:val="0"/>
                <w:sz w:val="22"/>
              </w:rPr>
            </w:pPr>
            <w:r>
              <w:rPr>
                <w:rFonts w:hint="eastAsia" w:ascii="宋体"/>
                <w:snapToGrid w:val="0"/>
                <w:sz w:val="22"/>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24</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投标文件加密解密</w:t>
            </w:r>
          </w:p>
        </w:tc>
        <w:tc>
          <w:tcPr>
            <w:tcW w:w="7776" w:type="dxa"/>
            <w:vAlign w:val="center"/>
          </w:tcPr>
          <w:p>
            <w:pPr>
              <w:spacing w:line="300" w:lineRule="exact"/>
              <w:rPr>
                <w:rFonts w:ascii="宋体"/>
                <w:snapToGrid w:val="0"/>
                <w:sz w:val="22"/>
              </w:rPr>
            </w:pPr>
            <w:r>
              <w:rPr>
                <w:rFonts w:hint="eastAsia" w:ascii="宋体"/>
                <w:snapToGrid w:val="0"/>
                <w:sz w:val="22"/>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ascii="宋体"/>
                <w:snapToGrid w:val="0"/>
                <w:sz w:val="22"/>
              </w:rPr>
            </w:pPr>
            <w:r>
              <w:rPr>
                <w:rFonts w:ascii="宋体"/>
                <w:snapToGrid w:val="0"/>
                <w:sz w:val="22"/>
              </w:rPr>
              <w:t>2、通过“政府采购云平台”成功上传递交的“电子加密投标文件”无法按时解密的，</w:t>
            </w:r>
            <w:r>
              <w:rPr>
                <w:rFonts w:hint="eastAsia" w:ascii="宋体"/>
                <w:snapToGrid w:val="0"/>
                <w:sz w:val="22"/>
              </w:rPr>
              <w:t>其投标文件按拒收处理</w:t>
            </w:r>
            <w:r>
              <w:rPr>
                <w:rFonts w:ascii="宋体"/>
                <w:snapToGrid w:val="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25</w:t>
            </w:r>
          </w:p>
        </w:tc>
        <w:tc>
          <w:tcPr>
            <w:tcW w:w="1814" w:type="dxa"/>
            <w:vAlign w:val="center"/>
          </w:tcPr>
          <w:p>
            <w:pPr>
              <w:spacing w:line="300" w:lineRule="exact"/>
              <w:jc w:val="center"/>
              <w:rPr>
                <w:rFonts w:ascii="宋体" w:cs="宋体"/>
                <w:color w:val="FF0000"/>
                <w:sz w:val="22"/>
              </w:rPr>
            </w:pPr>
            <w:r>
              <w:rPr>
                <w:rFonts w:hint="eastAsia" w:ascii="宋体" w:cs="宋体"/>
                <w:sz w:val="22"/>
              </w:rPr>
              <w:t>投标样品</w:t>
            </w:r>
          </w:p>
        </w:tc>
        <w:tc>
          <w:tcPr>
            <w:tcW w:w="7776" w:type="dxa"/>
            <w:vAlign w:val="center"/>
          </w:tcPr>
          <w:p>
            <w:pPr>
              <w:spacing w:line="300" w:lineRule="exact"/>
              <w:rPr>
                <w:rFonts w:ascii="宋体" w:cs="宋体"/>
                <w:sz w:val="22"/>
              </w:rPr>
            </w:pPr>
            <w:sdt>
              <w:sdtPr>
                <w:rPr>
                  <w:rFonts w:hint="eastAsia" w:ascii="仿宋_GB2312" w:hAnsi="仿宋" w:eastAsia="仿宋_GB2312" w:cs="Arial"/>
                  <w:kern w:val="0"/>
                  <w:sz w:val="24"/>
                </w:rPr>
                <w:id w:val="108102843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þ</w:t>
                </w:r>
              </w:sdtContent>
            </w:sdt>
            <w:r>
              <w:rPr>
                <w:rFonts w:hint="eastAsia" w:ascii="宋体" w:cs="宋体"/>
                <w:sz w:val="22"/>
              </w:rPr>
              <w:t>不需要</w:t>
            </w:r>
          </w:p>
          <w:p>
            <w:pPr>
              <w:spacing w:line="300" w:lineRule="exact"/>
              <w:rPr>
                <w:rFonts w:ascii="宋体" w:cs="宋体"/>
                <w:sz w:val="22"/>
              </w:rPr>
            </w:pPr>
            <w:sdt>
              <w:sdtPr>
                <w:rPr>
                  <w:rFonts w:hint="eastAsia" w:ascii="仿宋_GB2312" w:hAnsi="仿宋" w:eastAsia="仿宋_GB2312" w:cs="Arial"/>
                  <w:kern w:val="0"/>
                  <w:sz w:val="24"/>
                </w:rPr>
                <w:id w:val="-196610907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宋体" w:cs="宋体"/>
                <w:sz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9"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26</w:t>
            </w:r>
          </w:p>
        </w:tc>
        <w:tc>
          <w:tcPr>
            <w:tcW w:w="1814" w:type="dxa"/>
            <w:vAlign w:val="center"/>
          </w:tcPr>
          <w:p>
            <w:pPr>
              <w:spacing w:line="300" w:lineRule="exact"/>
              <w:jc w:val="center"/>
              <w:rPr>
                <w:rFonts w:ascii="宋体" w:cs="宋体"/>
                <w:sz w:val="22"/>
              </w:rPr>
            </w:pPr>
            <w:r>
              <w:rPr>
                <w:rFonts w:hint="eastAsia" w:ascii="宋体" w:cs="宋体"/>
                <w:sz w:val="22"/>
              </w:rPr>
              <w:t>投标保证金</w:t>
            </w:r>
          </w:p>
        </w:tc>
        <w:tc>
          <w:tcPr>
            <w:tcW w:w="7776" w:type="dxa"/>
            <w:vAlign w:val="center"/>
          </w:tcPr>
          <w:p>
            <w:pPr>
              <w:spacing w:line="300" w:lineRule="exact"/>
              <w:rPr>
                <w:rFonts w:ascii="宋体" w:cs="宋体"/>
                <w:sz w:val="22"/>
              </w:rPr>
            </w:pPr>
            <w:r>
              <w:rPr>
                <w:rFonts w:hint="eastAsia" w:ascii="宋体" w:cs="宋体"/>
                <w:bCs/>
                <w:sz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27</w:t>
            </w:r>
          </w:p>
        </w:tc>
        <w:tc>
          <w:tcPr>
            <w:tcW w:w="1814" w:type="dxa"/>
            <w:vAlign w:val="center"/>
          </w:tcPr>
          <w:p>
            <w:pPr>
              <w:adjustRightInd w:val="0"/>
              <w:spacing w:line="300" w:lineRule="exact"/>
              <w:jc w:val="center"/>
              <w:rPr>
                <w:rFonts w:ascii="宋体" w:cs="宋体"/>
                <w:sz w:val="22"/>
              </w:rPr>
            </w:pPr>
            <w:r>
              <w:rPr>
                <w:rFonts w:hint="eastAsia" w:ascii="宋体" w:cs="宋体"/>
                <w:sz w:val="22"/>
              </w:rPr>
              <w:t>履约担保</w:t>
            </w:r>
          </w:p>
        </w:tc>
        <w:tc>
          <w:tcPr>
            <w:tcW w:w="7776" w:type="dxa"/>
            <w:vAlign w:val="center"/>
          </w:tcPr>
          <w:p>
            <w:pPr>
              <w:spacing w:line="300" w:lineRule="exact"/>
              <w:rPr>
                <w:rFonts w:ascii="宋体"/>
                <w:snapToGrid w:val="0"/>
                <w:sz w:val="22"/>
              </w:rPr>
            </w:pPr>
            <w:r>
              <w:rPr>
                <w:rFonts w:hint="eastAsia" w:ascii="宋体"/>
                <w:snapToGrid w:val="0"/>
                <w:sz w:val="22"/>
              </w:rPr>
              <w:t>履约保证金的收取详见第二章招标需求。</w:t>
            </w:r>
          </w:p>
          <w:p>
            <w:pPr>
              <w:spacing w:line="300" w:lineRule="exact"/>
              <w:rPr>
                <w:rFonts w:ascii="宋体"/>
                <w:snapToGrid w:val="0"/>
                <w:sz w:val="22"/>
              </w:rPr>
            </w:pPr>
            <w:r>
              <w:rPr>
                <w:rFonts w:ascii="宋体"/>
                <w:snapToGrid w:val="0"/>
                <w:sz w:val="22"/>
              </w:rPr>
              <w:t>拟签订的合同文本要求成交人提交履约保证金的，供应商应当以支票、汇票、本票或者金融机构、担保机构出具的保函等非现金形式提交。鼓励和支持供应商以履约保函形式提供履约保证金。采购人不得拒收履约保函。</w:t>
            </w:r>
          </w:p>
          <w:p>
            <w:pPr>
              <w:spacing w:line="300" w:lineRule="exact"/>
              <w:rPr>
                <w:rFonts w:ascii="宋体"/>
                <w:snapToGrid w:val="0"/>
                <w:sz w:val="22"/>
              </w:rPr>
            </w:pPr>
            <w:r>
              <w:rPr>
                <w:rFonts w:ascii="宋体"/>
                <w:snapToGrid w:val="0"/>
                <w:sz w:val="22"/>
              </w:rPr>
              <w:t>供应商可登录政采云平台-【金融服务】—【我的项目】—【已备案合同】以保函形式提供：</w:t>
            </w:r>
          </w:p>
          <w:p>
            <w:pPr>
              <w:spacing w:line="300" w:lineRule="exact"/>
              <w:rPr>
                <w:rFonts w:ascii="宋体"/>
                <w:snapToGrid w:val="0"/>
                <w:sz w:val="22"/>
              </w:rPr>
            </w:pPr>
            <w:r>
              <w:rPr>
                <w:rFonts w:ascii="宋体"/>
                <w:snapToGrid w:val="0"/>
                <w:sz w:val="22"/>
              </w:rPr>
              <w:t>1、供应商在合同列表选择需要投保的合同，点击[保函推荐]。</w:t>
            </w:r>
          </w:p>
          <w:p>
            <w:pPr>
              <w:spacing w:line="300" w:lineRule="exact"/>
            </w:pPr>
            <w:r>
              <w:rPr>
                <w:rFonts w:ascii="宋体"/>
                <w:snapToGrid w:val="0"/>
                <w:sz w:val="22"/>
              </w:rPr>
              <w:t>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28</w:t>
            </w:r>
          </w:p>
        </w:tc>
        <w:tc>
          <w:tcPr>
            <w:tcW w:w="1814" w:type="dxa"/>
            <w:vAlign w:val="center"/>
          </w:tcPr>
          <w:p>
            <w:pPr>
              <w:spacing w:line="300" w:lineRule="exact"/>
              <w:jc w:val="center"/>
              <w:rPr>
                <w:rFonts w:ascii="宋体" w:cs="Courier New"/>
                <w:sz w:val="22"/>
              </w:rPr>
            </w:pPr>
            <w:r>
              <w:rPr>
                <w:rFonts w:hint="eastAsia" w:ascii="宋体" w:cs="Courier New"/>
                <w:sz w:val="22"/>
              </w:rPr>
              <w:t>投标截止时间</w:t>
            </w:r>
          </w:p>
          <w:p>
            <w:pPr>
              <w:spacing w:line="300" w:lineRule="exact"/>
              <w:jc w:val="center"/>
              <w:rPr>
                <w:rFonts w:ascii="宋体"/>
              </w:rPr>
            </w:pPr>
            <w:r>
              <w:rPr>
                <w:rFonts w:hint="eastAsia" w:ascii="宋体" w:cs="Courier New"/>
                <w:sz w:val="22"/>
              </w:rPr>
              <w:t>投标地点</w:t>
            </w:r>
          </w:p>
        </w:tc>
        <w:tc>
          <w:tcPr>
            <w:tcW w:w="7776" w:type="dxa"/>
            <w:vAlign w:val="center"/>
          </w:tcPr>
          <w:p>
            <w:pPr>
              <w:numPr>
                <w:ilvl w:val="0"/>
                <w:numId w:val="12"/>
              </w:numPr>
              <w:spacing w:line="300" w:lineRule="exact"/>
              <w:rPr>
                <w:rFonts w:ascii="宋体" w:cs="Courier New"/>
                <w:sz w:val="22"/>
              </w:rPr>
            </w:pPr>
            <w:r>
              <w:rPr>
                <w:rFonts w:hint="eastAsia" w:ascii="宋体" w:cs="Courier New"/>
                <w:color w:val="FF0000"/>
                <w:sz w:val="22"/>
                <w:lang w:val="en-US" w:eastAsia="zh-CN"/>
              </w:rPr>
              <w:t>09</w:t>
            </w:r>
            <w:r>
              <w:rPr>
                <w:rFonts w:hint="eastAsia" w:ascii="宋体" w:cs="Courier New"/>
                <w:color w:val="FF0000"/>
                <w:sz w:val="22"/>
              </w:rPr>
              <w:t xml:space="preserve"> -</w:t>
            </w:r>
            <w:r>
              <w:rPr>
                <w:rFonts w:hint="eastAsia" w:ascii="宋体" w:cs="Courier New"/>
                <w:color w:val="FF0000"/>
                <w:sz w:val="22"/>
                <w:lang w:val="en-US" w:eastAsia="zh-CN"/>
              </w:rPr>
              <w:t>23</w:t>
            </w:r>
            <w:r>
              <w:rPr>
                <w:rFonts w:hint="eastAsia" w:ascii="宋体" w:cs="Courier New"/>
                <w:color w:val="FF0000"/>
                <w:sz w:val="22"/>
              </w:rPr>
              <w:t xml:space="preserve">  </w:t>
            </w:r>
            <w:r>
              <w:rPr>
                <w:rFonts w:hint="eastAsia" w:ascii="宋体" w:cs="Courier New"/>
                <w:sz w:val="22"/>
              </w:rPr>
              <w:t>上午09:30截止(北京时间)。</w:t>
            </w:r>
          </w:p>
          <w:p>
            <w:pPr>
              <w:spacing w:line="300" w:lineRule="exact"/>
              <w:rPr>
                <w:rFonts w:ascii="宋体"/>
              </w:rPr>
            </w:pPr>
            <w:r>
              <w:rPr>
                <w:rFonts w:hint="eastAsia" w:ascii="宋体" w:cs="Courier New"/>
                <w:sz w:val="22"/>
              </w:rPr>
              <w:t>投标地点：金华市双龙南街858号财富大厦4楼开标2室</w:t>
            </w:r>
            <w:r>
              <w:rPr>
                <w:rFonts w:hint="eastAsia" w:ascii="宋体"/>
                <w:sz w:val="22"/>
              </w:rPr>
              <w:t>（本项目采用在线投标方式，投标供应商无须前往投标现场。）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0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29</w:t>
            </w:r>
          </w:p>
        </w:tc>
        <w:tc>
          <w:tcPr>
            <w:tcW w:w="1814" w:type="dxa"/>
            <w:vAlign w:val="center"/>
          </w:tcPr>
          <w:p>
            <w:pPr>
              <w:spacing w:line="300" w:lineRule="exact"/>
              <w:jc w:val="center"/>
              <w:rPr>
                <w:rFonts w:ascii="宋体" w:cs="宋体"/>
                <w:sz w:val="22"/>
              </w:rPr>
            </w:pPr>
            <w:r>
              <w:rPr>
                <w:rFonts w:hint="eastAsia" w:ascii="宋体" w:cs="宋体"/>
                <w:sz w:val="22"/>
              </w:rPr>
              <w:t>开标时间</w:t>
            </w:r>
          </w:p>
          <w:p>
            <w:pPr>
              <w:spacing w:line="300" w:lineRule="exact"/>
              <w:jc w:val="center"/>
              <w:rPr>
                <w:rFonts w:ascii="宋体" w:cs="宋体"/>
                <w:sz w:val="22"/>
              </w:rPr>
            </w:pPr>
            <w:r>
              <w:rPr>
                <w:rFonts w:hint="eastAsia" w:ascii="宋体" w:cs="宋体"/>
                <w:sz w:val="22"/>
              </w:rPr>
              <w:t>开标地点</w:t>
            </w:r>
          </w:p>
        </w:tc>
        <w:tc>
          <w:tcPr>
            <w:tcW w:w="7776" w:type="dxa"/>
            <w:vAlign w:val="center"/>
          </w:tcPr>
          <w:p>
            <w:pPr>
              <w:spacing w:line="300" w:lineRule="exact"/>
              <w:rPr>
                <w:rFonts w:ascii="宋体" w:cs="宋体"/>
                <w:sz w:val="22"/>
              </w:rPr>
            </w:pPr>
            <w:r>
              <w:rPr>
                <w:rFonts w:hint="eastAsia" w:ascii="宋体" w:cs="宋体"/>
                <w:sz w:val="22"/>
              </w:rPr>
              <w:t xml:space="preserve">开标时间：2022- </w:t>
            </w:r>
            <w:r>
              <w:rPr>
                <w:rFonts w:hint="eastAsia" w:ascii="宋体" w:cs="宋体"/>
                <w:sz w:val="22"/>
                <w:lang w:val="en-US" w:eastAsia="zh-CN"/>
              </w:rPr>
              <w:t>09</w:t>
            </w:r>
            <w:r>
              <w:rPr>
                <w:rFonts w:hint="eastAsia" w:ascii="宋体" w:cs="宋体"/>
                <w:sz w:val="22"/>
              </w:rPr>
              <w:t xml:space="preserve"> </w:t>
            </w:r>
            <w:r>
              <w:rPr>
                <w:rFonts w:hint="eastAsia" w:ascii="宋体" w:cs="宋体"/>
                <w:color w:val="FF0000"/>
                <w:sz w:val="22"/>
              </w:rPr>
              <w:t>-</w:t>
            </w:r>
            <w:r>
              <w:rPr>
                <w:rFonts w:hint="eastAsia" w:ascii="宋体" w:cs="宋体"/>
                <w:color w:val="FF0000"/>
                <w:sz w:val="22"/>
                <w:lang w:val="en-US" w:eastAsia="zh-CN"/>
              </w:rPr>
              <w:t>23</w:t>
            </w:r>
            <w:r>
              <w:rPr>
                <w:rFonts w:hint="eastAsia" w:ascii="宋体" w:cs="宋体"/>
                <w:color w:val="FF0000"/>
                <w:sz w:val="22"/>
              </w:rPr>
              <w:t xml:space="preserve">  </w:t>
            </w:r>
            <w:r>
              <w:rPr>
                <w:rFonts w:hint="eastAsia" w:ascii="宋体" w:cs="宋体"/>
                <w:sz w:val="22"/>
              </w:rPr>
              <w:t>上午9:30  (北京时间)</w:t>
            </w:r>
          </w:p>
          <w:p>
            <w:pPr>
              <w:spacing w:line="300" w:lineRule="exact"/>
              <w:rPr>
                <w:rFonts w:ascii="宋体" w:cs="宋体"/>
                <w:sz w:val="22"/>
              </w:rPr>
            </w:pPr>
            <w:r>
              <w:rPr>
                <w:rFonts w:hint="eastAsia" w:ascii="宋体" w:cs="宋体"/>
                <w:sz w:val="22"/>
              </w:rPr>
              <w:t>开标地点：</w:t>
            </w:r>
            <w:r>
              <w:rPr>
                <w:rFonts w:hint="eastAsia" w:ascii="宋体"/>
                <w:sz w:val="22"/>
              </w:rPr>
              <w:t>金华市双龙南街858号财富大厦4楼开标2室（本项目采用在线投标方式，投标供应商无须前往开标现场。）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30</w:t>
            </w:r>
          </w:p>
        </w:tc>
        <w:tc>
          <w:tcPr>
            <w:tcW w:w="1814" w:type="dxa"/>
            <w:vAlign w:val="center"/>
          </w:tcPr>
          <w:p>
            <w:pPr>
              <w:spacing w:line="300" w:lineRule="exact"/>
              <w:jc w:val="center"/>
              <w:rPr>
                <w:rFonts w:ascii="宋体" w:cs="宋体"/>
                <w:sz w:val="22"/>
              </w:rPr>
            </w:pPr>
            <w:r>
              <w:rPr>
                <w:rFonts w:hint="eastAsia" w:ascii="宋体" w:cs="宋体"/>
                <w:sz w:val="22"/>
              </w:rPr>
              <w:t>评审委员会的</w:t>
            </w:r>
          </w:p>
          <w:p>
            <w:pPr>
              <w:spacing w:line="300" w:lineRule="exact"/>
              <w:jc w:val="center"/>
              <w:rPr>
                <w:rFonts w:ascii="宋体" w:cs="宋体"/>
                <w:sz w:val="22"/>
              </w:rPr>
            </w:pPr>
            <w:r>
              <w:rPr>
                <w:rFonts w:hint="eastAsia" w:ascii="宋体" w:cs="宋体"/>
                <w:sz w:val="22"/>
              </w:rPr>
              <w:t>组建</w:t>
            </w:r>
          </w:p>
        </w:tc>
        <w:tc>
          <w:tcPr>
            <w:tcW w:w="7776" w:type="dxa"/>
            <w:vAlign w:val="center"/>
          </w:tcPr>
          <w:p>
            <w:pPr>
              <w:spacing w:line="300" w:lineRule="exact"/>
              <w:rPr>
                <w:rFonts w:ascii="宋体" w:cs="宋体"/>
                <w:sz w:val="22"/>
              </w:rPr>
            </w:pPr>
            <w:r>
              <w:rPr>
                <w:rFonts w:hint="eastAsia" w:ascii="宋体" w:cs="宋体"/>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669" w:type="dxa"/>
            <w:vAlign w:val="center"/>
          </w:tcPr>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r>
              <w:rPr>
                <w:rFonts w:hint="eastAsia" w:ascii="宋体" w:cs="宋体"/>
                <w:sz w:val="22"/>
              </w:rPr>
              <w:t>31</w:t>
            </w:r>
          </w:p>
        </w:tc>
        <w:tc>
          <w:tcPr>
            <w:tcW w:w="1814" w:type="dxa"/>
            <w:vAlign w:val="center"/>
          </w:tcPr>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r>
              <w:rPr>
                <w:rFonts w:hint="eastAsia" w:ascii="宋体" w:cs="宋体"/>
                <w:sz w:val="22"/>
              </w:rPr>
              <w:t>政府采购</w:t>
            </w:r>
          </w:p>
          <w:p>
            <w:pPr>
              <w:adjustRightInd w:val="0"/>
              <w:spacing w:line="300" w:lineRule="exact"/>
              <w:jc w:val="center"/>
              <w:rPr>
                <w:rFonts w:ascii="宋体" w:cs="宋体"/>
                <w:sz w:val="22"/>
              </w:rPr>
            </w:pPr>
            <w:r>
              <w:rPr>
                <w:rFonts w:hint="eastAsia" w:ascii="宋体" w:cs="宋体"/>
                <w:sz w:val="22"/>
              </w:rPr>
              <w:t>扶持政策</w:t>
            </w:r>
          </w:p>
        </w:tc>
        <w:tc>
          <w:tcPr>
            <w:tcW w:w="7776" w:type="dxa"/>
            <w:vAlign w:val="center"/>
          </w:tcPr>
          <w:p>
            <w:pPr>
              <w:spacing w:line="300" w:lineRule="exact"/>
              <w:rPr>
                <w:rFonts w:ascii="宋体" w:cs="宋体"/>
                <w:sz w:val="22"/>
              </w:rPr>
            </w:pPr>
            <w:r>
              <w:rPr>
                <w:rFonts w:ascii="宋体" w:cs="宋体"/>
                <w:sz w:val="22"/>
              </w:rPr>
              <w:t>1、扶持中小企业（监狱企业、残疾人福利性单位）：</w:t>
            </w:r>
          </w:p>
          <w:p>
            <w:pPr>
              <w:spacing w:line="300" w:lineRule="exact"/>
              <w:rPr>
                <w:rFonts w:ascii="宋体" w:cs="宋体"/>
                <w:sz w:val="22"/>
              </w:rPr>
            </w:pPr>
            <w:r>
              <w:rPr>
                <w:rFonts w:ascii="宋体" w:cs="宋体"/>
                <w:sz w:val="22"/>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spacing w:line="300" w:lineRule="exact"/>
              <w:rPr>
                <w:rFonts w:ascii="宋体" w:cs="宋体"/>
                <w:sz w:val="22"/>
              </w:rPr>
            </w:pPr>
            <w:r>
              <w:rPr>
                <w:rFonts w:ascii="宋体" w:cs="宋体"/>
                <w:sz w:val="22"/>
              </w:rPr>
              <w:t>（1）项目预算：</w:t>
            </w:r>
            <w:r>
              <w:rPr>
                <w:rFonts w:hint="eastAsia" w:ascii="宋体" w:cs="宋体"/>
                <w:sz w:val="22"/>
                <w:highlight w:val="yellow"/>
                <w:u w:val="single"/>
              </w:rPr>
              <w:t xml:space="preserve">  840.4436    </w:t>
            </w:r>
            <w:r>
              <w:rPr>
                <w:rFonts w:ascii="宋体" w:cs="宋体"/>
                <w:sz w:val="22"/>
              </w:rPr>
              <w:t>万元</w:t>
            </w:r>
          </w:p>
          <w:p>
            <w:pPr>
              <w:spacing w:line="300" w:lineRule="exact"/>
              <w:rPr>
                <w:rFonts w:ascii="宋体" w:cs="宋体"/>
                <w:sz w:val="22"/>
              </w:rPr>
            </w:pPr>
            <w:r>
              <w:rPr>
                <w:rFonts w:ascii="宋体" w:cs="宋体"/>
                <w:sz w:val="22"/>
              </w:rPr>
              <w:t>（2）项目属性：</w:t>
            </w:r>
            <w:r>
              <w:rPr>
                <w:rFonts w:hint="eastAsia" w:ascii="宋体" w:cs="宋体"/>
                <w:sz w:val="22"/>
                <w:highlight w:val="yellow"/>
                <w:u w:val="single"/>
              </w:rPr>
              <w:t xml:space="preserve"> </w:t>
            </w:r>
            <w:r>
              <w:rPr>
                <w:rFonts w:ascii="宋体" w:cs="宋体"/>
                <w:sz w:val="22"/>
                <w:highlight w:val="yellow"/>
                <w:u w:val="single"/>
              </w:rPr>
              <w:t>③工程类</w:t>
            </w:r>
            <w:r>
              <w:rPr>
                <w:rFonts w:hint="eastAsia" w:ascii="宋体" w:cs="宋体"/>
                <w:sz w:val="22"/>
                <w:highlight w:val="yellow"/>
                <w:u w:val="single"/>
              </w:rPr>
              <w:t xml:space="preserve">     </w:t>
            </w:r>
            <w:r>
              <w:rPr>
                <w:rFonts w:ascii="宋体" w:cs="宋体"/>
                <w:sz w:val="22"/>
              </w:rPr>
              <w:t>（①货物类/②服务类/③工程类）</w:t>
            </w:r>
          </w:p>
          <w:p>
            <w:pPr>
              <w:spacing w:line="300" w:lineRule="exact"/>
              <w:rPr>
                <w:rFonts w:ascii="宋体" w:cs="宋体"/>
                <w:sz w:val="22"/>
              </w:rPr>
            </w:pPr>
            <w:r>
              <w:rPr>
                <w:rFonts w:ascii="宋体" w:cs="宋体"/>
                <w:sz w:val="22"/>
              </w:rPr>
              <w:t>（3）项目对应的中小企业划分标准所属行业： </w:t>
            </w:r>
            <w:r>
              <w:rPr>
                <w:rFonts w:ascii="宋体" w:cs="宋体"/>
                <w:sz w:val="22"/>
                <w:highlight w:val="yellow"/>
                <w:u w:val="single"/>
              </w:rPr>
              <w:t xml:space="preserve">  </w:t>
            </w:r>
            <w:r>
              <w:rPr>
                <w:rFonts w:hint="eastAsia" w:ascii="宋体" w:cs="宋体"/>
                <w:sz w:val="22"/>
                <w:highlight w:val="yellow"/>
                <w:u w:val="single"/>
              </w:rPr>
              <w:t>软件和信息技术服务业</w:t>
            </w:r>
            <w:r>
              <w:rPr>
                <w:rFonts w:ascii="宋体" w:cs="宋体"/>
                <w:sz w:val="22"/>
                <w:highlight w:val="yellow"/>
                <w:u w:val="single"/>
              </w:rPr>
              <w:t xml:space="preserve">   </w:t>
            </w:r>
            <w:r>
              <w:rPr>
                <w:rFonts w:ascii="宋体" w:cs="宋体"/>
                <w:sz w:val="22"/>
              </w:rPr>
              <w:t>（具体根据《中小企业划型标准规定》执行）</w:t>
            </w:r>
          </w:p>
          <w:p>
            <w:pPr>
              <w:spacing w:line="300" w:lineRule="exact"/>
              <w:rPr>
                <w:rFonts w:ascii="宋体" w:cs="宋体"/>
                <w:sz w:val="22"/>
              </w:rPr>
            </w:pPr>
            <w:r>
              <w:rPr>
                <w:rFonts w:ascii="宋体" w:cs="宋体"/>
                <w:sz w:val="22"/>
              </w:rPr>
              <w:t xml:space="preserve">（4）本项目 </w:t>
            </w:r>
            <w:r>
              <w:rPr>
                <w:rFonts w:ascii="宋体" w:cs="宋体"/>
                <w:sz w:val="22"/>
                <w:highlight w:val="yellow"/>
                <w:u w:val="single"/>
              </w:rPr>
              <w:t xml:space="preserve"> </w:t>
            </w:r>
            <w:r>
              <w:rPr>
                <w:rFonts w:hint="eastAsia" w:ascii="宋体" w:cs="宋体"/>
                <w:sz w:val="22"/>
                <w:highlight w:val="yellow"/>
                <w:u w:val="single"/>
              </w:rPr>
              <w:t>否</w:t>
            </w:r>
            <w:r>
              <w:rPr>
                <w:rFonts w:ascii="宋体" w:cs="宋体"/>
                <w:sz w:val="22"/>
                <w:highlight w:val="yellow"/>
                <w:u w:val="single"/>
              </w:rPr>
              <w:t xml:space="preserve"> </w:t>
            </w:r>
            <w:r>
              <w:rPr>
                <w:rFonts w:ascii="宋体" w:cs="宋体"/>
                <w:sz w:val="22"/>
              </w:rPr>
              <w:t>（是/否）属于预留份额专门面向中小企业采购的项目。</w:t>
            </w:r>
          </w:p>
          <w:p>
            <w:pPr>
              <w:spacing w:line="300" w:lineRule="exact"/>
              <w:rPr>
                <w:rFonts w:ascii="宋体" w:cs="宋体"/>
                <w:sz w:val="22"/>
              </w:rPr>
            </w:pPr>
            <w:r>
              <w:rPr>
                <w:rFonts w:ascii="宋体" w:cs="宋体"/>
                <w:sz w:val="22"/>
              </w:rPr>
              <w:t>2、节能产品、环境标志产品的强制采购政策</w:t>
            </w:r>
          </w:p>
          <w:p>
            <w:pPr>
              <w:spacing w:line="300" w:lineRule="exact"/>
              <w:rPr>
                <w:rFonts w:ascii="宋体" w:cs="宋体"/>
                <w:sz w:val="22"/>
              </w:rPr>
            </w:pPr>
            <w:r>
              <w:rPr>
                <w:rFonts w:ascii="宋体" w:cs="宋体"/>
                <w:sz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300" w:lineRule="exact"/>
              <w:rPr>
                <w:rFonts w:ascii="宋体" w:cs="宋体"/>
                <w:sz w:val="22"/>
              </w:rPr>
            </w:pPr>
            <w:r>
              <w:rPr>
                <w:rFonts w:ascii="宋体" w:cs="宋体"/>
                <w:sz w:val="22"/>
              </w:rPr>
              <w:t>3、节能产品、环境标志产品的优先采购政策</w:t>
            </w:r>
          </w:p>
          <w:p>
            <w:pPr>
              <w:spacing w:line="300" w:lineRule="exact"/>
            </w:pPr>
            <w:r>
              <w:rPr>
                <w:rFonts w:ascii="宋体" w:cs="宋体"/>
                <w:sz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32</w:t>
            </w:r>
          </w:p>
        </w:tc>
        <w:tc>
          <w:tcPr>
            <w:tcW w:w="1814" w:type="dxa"/>
            <w:vAlign w:val="center"/>
          </w:tcPr>
          <w:p>
            <w:pPr>
              <w:pStyle w:val="58"/>
              <w:ind w:firstLine="0" w:firstLineChars="0"/>
              <w:rPr>
                <w:rFonts w:cs="宋体"/>
                <w:sz w:val="22"/>
              </w:rPr>
            </w:pPr>
            <w:r>
              <w:rPr>
                <w:rFonts w:hint="eastAsia" w:ascii="仿宋_GB2312" w:hAnsi="仿宋_GB2312" w:eastAsia="仿宋_GB2312" w:cs="仿宋_GB2312"/>
                <w:snapToGrid w:val="0"/>
                <w:sz w:val="24"/>
                <w:szCs w:val="24"/>
              </w:rPr>
              <w:t>节能产品</w:t>
            </w:r>
          </w:p>
        </w:tc>
        <w:tc>
          <w:tcPr>
            <w:tcW w:w="7776" w:type="dxa"/>
            <w:vAlign w:val="center"/>
          </w:tcPr>
          <w:p>
            <w:pPr>
              <w:snapToGrid w:val="0"/>
              <w:spacing w:line="360" w:lineRule="auto"/>
              <w:rPr>
                <w:rFonts w:ascii="仿宋" w:hAnsi="仿宋" w:eastAsia="仿宋" w:cs="仿宋"/>
                <w:sz w:val="24"/>
              </w:rPr>
            </w:pPr>
            <w:r>
              <w:rPr>
                <w:rFonts w:hint="eastAsia" w:ascii="仿宋" w:hAnsi="仿宋" w:eastAsia="仿宋" w:cs="仿宋"/>
                <w:sz w:val="24"/>
              </w:rPr>
              <w:t>□ 强制采购节能产品</w:t>
            </w:r>
          </w:p>
          <w:p>
            <w:pPr>
              <w:pStyle w:val="58"/>
              <w:ind w:firstLine="0" w:firstLineChars="0"/>
              <w:rPr>
                <w:rFonts w:ascii="仿宋" w:hAnsi="仿宋" w:eastAsia="仿宋" w:cs="仿宋"/>
                <w:kern w:val="2"/>
                <w:sz w:val="24"/>
              </w:rPr>
            </w:pPr>
            <w:r>
              <w:rPr>
                <w:rFonts w:hint="eastAsia" w:ascii="仿宋" w:hAnsi="仿宋" w:eastAsia="仿宋" w:cs="仿宋"/>
                <w:kern w:val="2"/>
                <w:sz w:val="24"/>
              </w:rPr>
              <w:sym w:font="Wingdings 2" w:char="0052"/>
            </w:r>
            <w:r>
              <w:rPr>
                <w:rFonts w:hint="eastAsia" w:ascii="仿宋" w:hAnsi="仿宋" w:eastAsia="仿宋" w:cs="仿宋"/>
                <w:kern w:val="2"/>
                <w:sz w:val="24"/>
              </w:rPr>
              <w:t xml:space="preserve"> 优先采购节能产品</w:t>
            </w:r>
          </w:p>
          <w:p>
            <w:pPr>
              <w:pStyle w:val="58"/>
              <w:ind w:firstLine="0" w:firstLineChars="0"/>
              <w:rPr>
                <w:rFonts w:cs="宋体"/>
                <w:sz w:val="22"/>
              </w:rPr>
            </w:pPr>
            <w:r>
              <w:rPr>
                <w:rFonts w:hint="eastAsia" w:ascii="仿宋" w:hAnsi="仿宋" w:eastAsia="仿宋" w:cs="仿宋"/>
                <w:kern w:val="2"/>
                <w:sz w:val="24"/>
              </w:rPr>
              <w:sym w:font="Wingdings" w:char="00A8"/>
            </w:r>
            <w:r>
              <w:rPr>
                <w:rFonts w:hint="eastAsia" w:ascii="仿宋" w:hAnsi="仿宋" w:eastAsia="仿宋" w:cs="仿宋"/>
                <w:kern w:val="2"/>
                <w:sz w:val="24"/>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33</w:t>
            </w:r>
          </w:p>
        </w:tc>
        <w:tc>
          <w:tcPr>
            <w:tcW w:w="1814" w:type="dxa"/>
            <w:vAlign w:val="center"/>
          </w:tcPr>
          <w:p>
            <w:pPr>
              <w:pStyle w:val="58"/>
              <w:ind w:firstLine="0" w:firstLineChars="0"/>
              <w:rPr>
                <w:rFonts w:cs="宋体"/>
                <w:sz w:val="22"/>
              </w:rPr>
            </w:pPr>
            <w:r>
              <w:rPr>
                <w:rFonts w:hint="eastAsia" w:ascii="仿宋_GB2312" w:hAnsi="仿宋_GB2312" w:eastAsia="仿宋_GB2312" w:cs="仿宋_GB2312"/>
                <w:snapToGrid w:val="0"/>
                <w:sz w:val="24"/>
                <w:szCs w:val="24"/>
              </w:rPr>
              <w:t>环境标志产品</w:t>
            </w:r>
          </w:p>
        </w:tc>
        <w:tc>
          <w:tcPr>
            <w:tcW w:w="7776" w:type="dxa"/>
            <w:vAlign w:val="center"/>
          </w:tcPr>
          <w:p>
            <w:pPr>
              <w:pStyle w:val="58"/>
              <w:ind w:firstLine="0" w:firstLineChars="0"/>
              <w:rPr>
                <w:rFonts w:ascii="仿宋" w:hAnsi="仿宋" w:eastAsia="仿宋" w:cs="仿宋"/>
                <w:kern w:val="2"/>
                <w:sz w:val="24"/>
              </w:rPr>
            </w:pPr>
            <w:r>
              <w:rPr>
                <w:rFonts w:hint="eastAsia" w:ascii="仿宋" w:hAnsi="仿宋" w:eastAsia="仿宋" w:cs="仿宋"/>
                <w:kern w:val="2"/>
                <w:sz w:val="24"/>
              </w:rPr>
              <w:sym w:font="Wingdings 2" w:char="0052"/>
            </w:r>
            <w:r>
              <w:rPr>
                <w:rFonts w:hint="eastAsia" w:ascii="仿宋" w:hAnsi="仿宋" w:eastAsia="仿宋" w:cs="仿宋"/>
                <w:kern w:val="2"/>
                <w:sz w:val="24"/>
              </w:rPr>
              <w:t xml:space="preserve"> 优先采购环境标志产品</w:t>
            </w:r>
          </w:p>
          <w:p>
            <w:pPr>
              <w:snapToGrid w:val="0"/>
              <w:spacing w:line="360" w:lineRule="auto"/>
              <w:rPr>
                <w:rFonts w:ascii="宋体" w:cs="宋体"/>
                <w:sz w:val="22"/>
              </w:rPr>
            </w:pPr>
            <w:r>
              <w:rPr>
                <w:rFonts w:hint="eastAsia" w:ascii="仿宋" w:hAnsi="仿宋" w:eastAsia="仿宋" w:cs="仿宋"/>
                <w:sz w:val="24"/>
              </w:rPr>
              <w:sym w:font="Wingdings" w:char="00A8"/>
            </w:r>
            <w:r>
              <w:rPr>
                <w:rFonts w:hint="eastAsia" w:ascii="仿宋" w:hAnsi="仿宋" w:eastAsia="仿宋" w:cs="仿宋"/>
                <w:sz w:val="24"/>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34</w:t>
            </w:r>
          </w:p>
        </w:tc>
        <w:tc>
          <w:tcPr>
            <w:tcW w:w="1814" w:type="dxa"/>
            <w:vAlign w:val="center"/>
          </w:tcPr>
          <w:p>
            <w:pPr>
              <w:spacing w:line="300" w:lineRule="exact"/>
              <w:jc w:val="center"/>
              <w:rPr>
                <w:rFonts w:ascii="宋体" w:cs="宋体"/>
                <w:sz w:val="22"/>
              </w:rPr>
            </w:pPr>
            <w:r>
              <w:rPr>
                <w:rFonts w:hint="eastAsia" w:ascii="宋体" w:cs="宋体"/>
                <w:sz w:val="22"/>
              </w:rPr>
              <w:t>投标供应商</w:t>
            </w:r>
          </w:p>
          <w:p>
            <w:pPr>
              <w:spacing w:line="300" w:lineRule="exact"/>
              <w:jc w:val="center"/>
              <w:rPr>
                <w:rFonts w:ascii="宋体" w:cs="宋体"/>
                <w:sz w:val="22"/>
              </w:rPr>
            </w:pPr>
            <w:r>
              <w:rPr>
                <w:rFonts w:hint="eastAsia" w:ascii="宋体" w:cs="宋体"/>
                <w:sz w:val="22"/>
              </w:rPr>
              <w:t>信用查询</w:t>
            </w:r>
          </w:p>
        </w:tc>
        <w:tc>
          <w:tcPr>
            <w:tcW w:w="7776" w:type="dxa"/>
            <w:vAlign w:val="center"/>
          </w:tcPr>
          <w:p>
            <w:pPr>
              <w:spacing w:line="300" w:lineRule="exact"/>
              <w:rPr>
                <w:rFonts w:ascii="宋体" w:cs="宋体"/>
                <w:sz w:val="22"/>
              </w:rPr>
            </w:pPr>
            <w:r>
              <w:rPr>
                <w:rFonts w:hint="eastAsia" w:ascii="宋体" w:cs="宋体"/>
                <w:sz w:val="22"/>
              </w:rPr>
              <w:t>根据《关于在政府采购活动中查询及使用信用记录有关问题的通知》财库[2016]125号的规定：</w:t>
            </w:r>
          </w:p>
          <w:p>
            <w:pPr>
              <w:spacing w:line="300" w:lineRule="exact"/>
              <w:rPr>
                <w:rFonts w:ascii="宋体" w:cs="宋体"/>
                <w:sz w:val="22"/>
              </w:rPr>
            </w:pPr>
            <w:r>
              <w:rPr>
                <w:rFonts w:hint="eastAsia" w:ascii="宋体" w:cs="宋体"/>
                <w:sz w:val="22"/>
              </w:rPr>
              <w:t>（1）招标人或采购代理机构将对本项目供应商的信用记录进行查询。查询渠道为信用中国网站（www.creditchina.gov.cn）、中国政府采购网（www.ccgp.gov.cn）；</w:t>
            </w:r>
          </w:p>
          <w:p>
            <w:pPr>
              <w:spacing w:line="300" w:lineRule="exact"/>
              <w:rPr>
                <w:rFonts w:ascii="宋体" w:cs="宋体"/>
                <w:sz w:val="22"/>
              </w:rPr>
            </w:pPr>
            <w:r>
              <w:rPr>
                <w:rFonts w:hint="eastAsia" w:ascii="宋体" w:cs="宋体"/>
                <w:sz w:val="22"/>
              </w:rPr>
              <w:t>（2）截止时点：提交投标文件（响应文件）截止时间前3年内；</w:t>
            </w:r>
          </w:p>
          <w:p>
            <w:pPr>
              <w:spacing w:line="300" w:lineRule="exact"/>
              <w:rPr>
                <w:rFonts w:ascii="宋体" w:cs="宋体"/>
                <w:sz w:val="22"/>
              </w:rPr>
            </w:pPr>
            <w:r>
              <w:rPr>
                <w:rFonts w:hint="eastAsia" w:ascii="宋体" w:cs="宋体"/>
                <w:sz w:val="22"/>
              </w:rPr>
              <w:t>（3）查询记录和证据的留存：信用信息查询记录和证据以网页截图等方式留存。</w:t>
            </w:r>
          </w:p>
          <w:p>
            <w:pPr>
              <w:spacing w:line="300" w:lineRule="exact"/>
              <w:rPr>
                <w:rFonts w:ascii="宋体" w:cs="宋体"/>
                <w:sz w:val="22"/>
              </w:rPr>
            </w:pPr>
            <w:r>
              <w:rPr>
                <w:rFonts w:hint="eastAsia" w:ascii="宋体" w:cs="宋体"/>
                <w:sz w:val="22"/>
              </w:rPr>
              <w:t>（4）使用规则：被列入失信被执行人、重大税收违法案件当事人名单、政府采购严重违法失信行为记录名单及其它不符合《中华人民共和国政府采购法》第二十二条规定条件的，其投标将被拒绝。</w:t>
            </w:r>
          </w:p>
          <w:p>
            <w:pPr>
              <w:spacing w:line="300" w:lineRule="exact"/>
              <w:rPr>
                <w:rFonts w:ascii="宋体" w:cs="宋体"/>
                <w:sz w:val="22"/>
              </w:rPr>
            </w:pPr>
            <w:r>
              <w:rPr>
                <w:rFonts w:hint="eastAsia" w:ascii="宋体" w:cs="宋体"/>
                <w:sz w:val="22"/>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35</w:t>
            </w:r>
          </w:p>
        </w:tc>
        <w:tc>
          <w:tcPr>
            <w:tcW w:w="1814" w:type="dxa"/>
            <w:vAlign w:val="center"/>
          </w:tcPr>
          <w:p>
            <w:pPr>
              <w:spacing w:line="300" w:lineRule="exact"/>
              <w:jc w:val="center"/>
              <w:rPr>
                <w:rFonts w:ascii="宋体" w:cs="宋体"/>
                <w:sz w:val="22"/>
              </w:rPr>
            </w:pPr>
            <w:r>
              <w:rPr>
                <w:rFonts w:hint="eastAsia" w:ascii="宋体" w:cs="宋体"/>
                <w:sz w:val="22"/>
              </w:rPr>
              <w:t>合同备案</w:t>
            </w:r>
          </w:p>
        </w:tc>
        <w:tc>
          <w:tcPr>
            <w:tcW w:w="7776" w:type="dxa"/>
            <w:vAlign w:val="center"/>
          </w:tcPr>
          <w:p>
            <w:pPr>
              <w:spacing w:line="300" w:lineRule="exact"/>
              <w:rPr>
                <w:rFonts w:ascii="宋体" w:cs="宋体"/>
                <w:sz w:val="22"/>
              </w:rPr>
            </w:pPr>
            <w:r>
              <w:rPr>
                <w:rFonts w:hint="eastAsia" w:ascii="宋体" w:cs="宋体"/>
                <w:sz w:val="22"/>
              </w:rPr>
              <w:t>1.除不可抗力等特殊情况外，采购人原则上应当在中标通知书发出之日起20日内，与成交人按照采购文件确定的事项签订政府采购合同，中标供应商与采购人签订合同后，2天内将</w:t>
            </w:r>
            <w:r>
              <w:rPr>
                <w:rFonts w:hint="eastAsia" w:ascii="宋体" w:cs="宋体"/>
                <w:b/>
                <w:bCs/>
                <w:sz w:val="22"/>
              </w:rPr>
              <w:t>合同原件</w:t>
            </w:r>
            <w:r>
              <w:rPr>
                <w:rFonts w:hint="eastAsia" w:ascii="宋体" w:cs="宋体"/>
                <w:sz w:val="22"/>
              </w:rPr>
              <w:t>送至采购人及采购机构处，并在签订之日起2个工作日内将政府采购合同在浙江政府采购网上公告。</w:t>
            </w:r>
          </w:p>
          <w:p>
            <w:pPr>
              <w:spacing w:line="300" w:lineRule="exact"/>
              <w:rPr>
                <w:rFonts w:ascii="宋体" w:cs="宋体"/>
                <w:sz w:val="22"/>
              </w:rPr>
            </w:pPr>
            <w:r>
              <w:rPr>
                <w:rFonts w:hint="eastAsia" w:ascii="宋体" w:cs="宋体"/>
                <w:sz w:val="22"/>
              </w:rPr>
              <w:t>2.成交人按规定的日期、时间、地点，由法定代表人或其授权代表与采购人代表签订合同。如成交人为联合体的，由联合体成员各方法定代表人或其授权代表与采购人代表签订合同。</w:t>
            </w:r>
          </w:p>
          <w:p>
            <w:pPr>
              <w:spacing w:line="300" w:lineRule="exact"/>
              <w:rPr>
                <w:rFonts w:ascii="宋体" w:cs="宋体"/>
                <w:sz w:val="22"/>
              </w:rPr>
            </w:pPr>
            <w:r>
              <w:rPr>
                <w:rFonts w:hint="eastAsia" w:ascii="宋体" w:cs="宋体"/>
                <w:sz w:val="22"/>
              </w:rPr>
              <w:t>3.如签订合同并生效后，供应商无故拒绝或延期，除按照合同条款处理外，列入不良行为记录一次，并给予通报。</w:t>
            </w:r>
          </w:p>
          <w:p>
            <w:pPr>
              <w:spacing w:line="300" w:lineRule="exact"/>
              <w:rPr>
                <w:rFonts w:ascii="宋体" w:cs="宋体"/>
                <w:sz w:val="22"/>
              </w:rPr>
            </w:pPr>
            <w:r>
              <w:rPr>
                <w:rFonts w:hint="eastAsia" w:ascii="宋体" w:cs="宋体"/>
                <w:sz w:val="22"/>
              </w:rPr>
              <w:t>4.成交人拒绝与采购人签订合同的，采购人可以按照评审报告推荐的中标或者成交候选人名单排序，确定下一候选人为成交人，也可以重新开展政府采购活动。</w:t>
            </w:r>
          </w:p>
          <w:p>
            <w:pPr>
              <w:spacing w:line="300" w:lineRule="exact"/>
              <w:rPr>
                <w:rFonts w:ascii="宋体" w:cs="宋体"/>
                <w:sz w:val="22"/>
              </w:rPr>
            </w:pPr>
            <w:r>
              <w:rPr>
                <w:rFonts w:hint="eastAsia" w:ascii="宋体" w:cs="宋体"/>
                <w:sz w:val="22"/>
              </w:rPr>
              <w:t>5.采购合同由采购人与成交人根据采购文件、磋商响应文件等内容通过政府采购电子交易平台在线签订，自动备案。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36</w:t>
            </w:r>
          </w:p>
        </w:tc>
        <w:tc>
          <w:tcPr>
            <w:tcW w:w="1814" w:type="dxa"/>
            <w:vAlign w:val="center"/>
          </w:tcPr>
          <w:p>
            <w:pPr>
              <w:spacing w:line="300" w:lineRule="exact"/>
              <w:jc w:val="center"/>
              <w:rPr>
                <w:rFonts w:ascii="宋体" w:cs="宋体"/>
                <w:sz w:val="22"/>
              </w:rPr>
            </w:pPr>
            <w:r>
              <w:rPr>
                <w:rFonts w:hint="eastAsia" w:ascii="宋体" w:cs="宋体"/>
                <w:sz w:val="22"/>
              </w:rPr>
              <w:t>合同履约管理</w:t>
            </w:r>
          </w:p>
        </w:tc>
        <w:tc>
          <w:tcPr>
            <w:tcW w:w="7776" w:type="dxa"/>
            <w:vAlign w:val="center"/>
          </w:tcPr>
          <w:p>
            <w:pPr>
              <w:spacing w:line="300" w:lineRule="exact"/>
              <w:rPr>
                <w:rFonts w:ascii="宋体" w:cs="宋体"/>
                <w:sz w:val="22"/>
              </w:rPr>
            </w:pPr>
            <w:r>
              <w:rPr>
                <w:rFonts w:hint="eastAsia" w:ascii="宋体" w:cs="宋体"/>
                <w:sz w:val="22"/>
              </w:rPr>
              <w:t>合同签订后，采购人依法加强对合同履约进行管理，并在中标单位服务、项目验收等重要关节，如实填写《合同验收报告》，并及时向同级财政部门报告验收过程中遇到的问题。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638"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37</w:t>
            </w:r>
          </w:p>
        </w:tc>
        <w:tc>
          <w:tcPr>
            <w:tcW w:w="1814" w:type="dxa"/>
            <w:vAlign w:val="center"/>
          </w:tcPr>
          <w:p>
            <w:pPr>
              <w:spacing w:line="300" w:lineRule="exact"/>
              <w:jc w:val="center"/>
              <w:rPr>
                <w:rFonts w:ascii="宋体" w:cs="宋体"/>
                <w:sz w:val="22"/>
              </w:rPr>
            </w:pPr>
            <w:r>
              <w:rPr>
                <w:rFonts w:hint="eastAsia" w:ascii="宋体" w:cs="宋体"/>
                <w:sz w:val="22"/>
              </w:rPr>
              <w:t>免责声明</w:t>
            </w:r>
          </w:p>
        </w:tc>
        <w:tc>
          <w:tcPr>
            <w:tcW w:w="7776" w:type="dxa"/>
            <w:vAlign w:val="center"/>
          </w:tcPr>
          <w:p>
            <w:pPr>
              <w:spacing w:line="300" w:lineRule="exact"/>
              <w:rPr>
                <w:rFonts w:ascii="宋体" w:cs="宋体"/>
                <w:sz w:val="22"/>
              </w:rPr>
            </w:pPr>
            <w:r>
              <w:rPr>
                <w:rFonts w:hint="eastAsia" w:ascii="宋体" w:cs="宋体"/>
                <w:sz w:val="22"/>
              </w:rPr>
              <w:t>1、投标供应商自行承担投标过程中产生的费用。无论何种因素导致采购项目延期开标、废标（流标）、投标供应商未中标、项目终止采购的，采购人与采购机构均不承担供应商投标费用。</w:t>
            </w:r>
          </w:p>
          <w:p>
            <w:pPr>
              <w:spacing w:line="300" w:lineRule="exact"/>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58"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38</w:t>
            </w:r>
          </w:p>
        </w:tc>
        <w:tc>
          <w:tcPr>
            <w:tcW w:w="1814" w:type="dxa"/>
            <w:vAlign w:val="center"/>
          </w:tcPr>
          <w:p>
            <w:pPr>
              <w:spacing w:line="300" w:lineRule="exact"/>
              <w:jc w:val="center"/>
              <w:rPr>
                <w:rFonts w:ascii="宋体" w:cs="宋体"/>
                <w:sz w:val="22"/>
              </w:rPr>
            </w:pPr>
            <w:r>
              <w:rPr>
                <w:rFonts w:hint="eastAsia" w:ascii="宋体" w:cs="宋体"/>
                <w:sz w:val="22"/>
              </w:rPr>
              <w:t>招标文件质疑截止时间</w:t>
            </w:r>
          </w:p>
        </w:tc>
        <w:tc>
          <w:tcPr>
            <w:tcW w:w="7776" w:type="dxa"/>
            <w:vAlign w:val="center"/>
          </w:tcPr>
          <w:p>
            <w:pPr>
              <w:spacing w:line="300" w:lineRule="exact"/>
            </w:pPr>
            <w:r>
              <w:rPr>
                <w:rFonts w:hint="eastAsia" w:ascii="宋体" w:cs="宋体"/>
                <w:sz w:val="22"/>
              </w:rPr>
              <w:t>招标公告期限届满之日七个工作日，逾期不予受理及答复。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39</w:t>
            </w:r>
          </w:p>
        </w:tc>
        <w:tc>
          <w:tcPr>
            <w:tcW w:w="1814" w:type="dxa"/>
            <w:vAlign w:val="center"/>
          </w:tcPr>
          <w:p>
            <w:pPr>
              <w:spacing w:line="300" w:lineRule="exact"/>
              <w:jc w:val="center"/>
              <w:rPr>
                <w:rFonts w:ascii="宋体" w:cs="宋体"/>
                <w:sz w:val="22"/>
              </w:rPr>
            </w:pPr>
            <w:r>
              <w:rPr>
                <w:rFonts w:hint="eastAsia" w:ascii="宋体" w:cs="宋体"/>
                <w:sz w:val="22"/>
              </w:rPr>
              <w:t>解释权</w:t>
            </w:r>
          </w:p>
        </w:tc>
        <w:tc>
          <w:tcPr>
            <w:tcW w:w="7776" w:type="dxa"/>
            <w:vAlign w:val="center"/>
          </w:tcPr>
          <w:p>
            <w:pPr>
              <w:spacing w:line="300" w:lineRule="exact"/>
              <w:rPr>
                <w:rFonts w:ascii="宋体" w:cs="宋体"/>
                <w:sz w:val="22"/>
              </w:rPr>
            </w:pPr>
            <w:r>
              <w:rPr>
                <w:rFonts w:hint="eastAsia" w:asci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40</w:t>
            </w:r>
          </w:p>
        </w:tc>
        <w:tc>
          <w:tcPr>
            <w:tcW w:w="1814" w:type="dxa"/>
            <w:vAlign w:val="center"/>
          </w:tcPr>
          <w:p>
            <w:pPr>
              <w:spacing w:line="300" w:lineRule="exact"/>
              <w:jc w:val="center"/>
              <w:rPr>
                <w:rFonts w:ascii="宋体" w:cs="Courier New"/>
                <w:sz w:val="22"/>
              </w:rPr>
            </w:pPr>
            <w:r>
              <w:rPr>
                <w:rFonts w:hint="eastAsia" w:ascii="宋体"/>
                <w:sz w:val="22"/>
              </w:rPr>
              <w:t>注意事项</w:t>
            </w:r>
          </w:p>
        </w:tc>
        <w:tc>
          <w:tcPr>
            <w:tcW w:w="7776" w:type="dxa"/>
            <w:vAlign w:val="center"/>
          </w:tcPr>
          <w:p>
            <w:pPr>
              <w:spacing w:line="300" w:lineRule="exact"/>
              <w:rPr>
                <w:rFonts w:ascii="宋体" w:cs="Courier New"/>
                <w:sz w:val="22"/>
              </w:rPr>
            </w:pPr>
            <w:r>
              <w:rPr>
                <w:rFonts w:hint="eastAsia" w:ascii="宋体" w:cs="Courier New"/>
                <w:sz w:val="22"/>
              </w:rPr>
              <w:t>1.请务必确保投标文件制作客户端为最新版本，旧版本可能导致投标文件解密失败。</w:t>
            </w:r>
          </w:p>
          <w:p>
            <w:pPr>
              <w:spacing w:line="300" w:lineRule="exact"/>
              <w:rPr>
                <w:rFonts w:ascii="宋体"/>
                <w:sz w:val="22"/>
              </w:rPr>
            </w:pPr>
            <w:r>
              <w:rPr>
                <w:rFonts w:hint="eastAsia" w:ascii="宋体" w:cs="Courier New"/>
                <w:sz w:val="22"/>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sz w:val="22"/>
              </w:rPr>
            </w:pPr>
            <w:bookmarkStart w:id="199" w:name="_Hlk112337493"/>
            <w:r>
              <w:rPr>
                <w:rFonts w:hint="eastAsia" w:ascii="宋体" w:hAnsi="宋体" w:cs="宋体"/>
                <w:sz w:val="22"/>
              </w:rPr>
              <w:t>4</w:t>
            </w:r>
            <w:r>
              <w:rPr>
                <w:rFonts w:ascii="宋体" w:hAnsi="宋体" w:cs="宋体"/>
                <w:sz w:val="22"/>
              </w:rPr>
              <w:t>1</w:t>
            </w:r>
          </w:p>
        </w:tc>
        <w:tc>
          <w:tcPr>
            <w:tcW w:w="1814" w:type="dxa"/>
            <w:vAlign w:val="center"/>
          </w:tcPr>
          <w:p>
            <w:pPr>
              <w:spacing w:line="300" w:lineRule="exact"/>
              <w:jc w:val="center"/>
              <w:rPr>
                <w:rFonts w:ascii="宋体" w:hAnsi="宋体"/>
                <w:sz w:val="22"/>
              </w:rPr>
            </w:pPr>
            <w:r>
              <w:rPr>
                <w:rFonts w:hint="eastAsia" w:hAnsi="宋体"/>
                <w:szCs w:val="21"/>
              </w:rPr>
              <w:t>质保期</w:t>
            </w:r>
          </w:p>
        </w:tc>
        <w:tc>
          <w:tcPr>
            <w:tcW w:w="7776" w:type="dxa"/>
            <w:vAlign w:val="center"/>
          </w:tcPr>
          <w:p>
            <w:pPr>
              <w:spacing w:line="300" w:lineRule="exact"/>
              <w:rPr>
                <w:rFonts w:ascii="宋体" w:hAnsi="宋体" w:cs="Courier New"/>
                <w:sz w:val="22"/>
              </w:rPr>
            </w:pPr>
            <w:r>
              <w:rPr>
                <w:rFonts w:hint="eastAsia" w:ascii="宋体" w:hAnsi="宋体"/>
                <w:color w:val="000000" w:themeColor="text1"/>
                <w:highlight w:val="none"/>
                <w14:textFill>
                  <w14:solidFill>
                    <w14:schemeClr w14:val="tx1"/>
                  </w14:solidFill>
                </w14:textFill>
              </w:rPr>
              <w:t>本项目要求</w:t>
            </w:r>
            <w:r>
              <w:rPr>
                <w:rFonts w:ascii="宋体" w:hAnsi="宋体"/>
                <w:color w:val="000000" w:themeColor="text1"/>
                <w:highlight w:val="none"/>
                <w14:textFill>
                  <w14:solidFill>
                    <w14:schemeClr w14:val="tx1"/>
                  </w14:solidFill>
                </w14:textFill>
              </w:rPr>
              <w:t>为</w:t>
            </w:r>
            <w:r>
              <w:rPr>
                <w:rFonts w:hint="eastAsia" w:ascii="宋体" w:hAnsi="宋体"/>
                <w:b/>
                <w:bCs/>
                <w:color w:val="000000" w:themeColor="text1"/>
                <w:highlight w:val="none"/>
                <w:lang w:val="en-US" w:eastAsia="zh-CN"/>
                <w14:textFill>
                  <w14:solidFill>
                    <w14:schemeClr w14:val="tx1"/>
                  </w14:solidFill>
                </w14:textFill>
              </w:rPr>
              <w:t>3</w:t>
            </w:r>
            <w:r>
              <w:rPr>
                <w:rFonts w:hint="eastAsia" w:ascii="宋体" w:hAnsi="宋体"/>
                <w:b/>
                <w:bCs/>
                <w:color w:val="000000" w:themeColor="text1"/>
                <w:highlight w:val="none"/>
                <w14:textFill>
                  <w14:solidFill>
                    <w14:schemeClr w14:val="tx1"/>
                  </w14:solidFill>
                </w14:textFill>
              </w:rPr>
              <w:t>年质保</w:t>
            </w:r>
            <w:r>
              <w:rPr>
                <w:rFonts w:hint="eastAsia" w:ascii="宋体" w:hAnsi="宋体"/>
                <w:color w:val="000000" w:themeColor="text1"/>
                <w:highlight w:val="none"/>
                <w14:textFill>
                  <w14:solidFill>
                    <w14:schemeClr w14:val="tx1"/>
                  </w14:solidFill>
                </w14:textFill>
              </w:rPr>
              <w:t>。质保期从安装调试完毕，验收合格之日开始计算。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sz w:val="22"/>
              </w:rPr>
            </w:pPr>
            <w:r>
              <w:rPr>
                <w:rFonts w:hint="eastAsia" w:ascii="宋体" w:hAnsi="宋体" w:cs="宋体"/>
                <w:sz w:val="22"/>
              </w:rPr>
              <w:t>4</w:t>
            </w:r>
            <w:r>
              <w:rPr>
                <w:rFonts w:ascii="宋体" w:hAnsi="宋体" w:cs="宋体"/>
                <w:sz w:val="22"/>
              </w:rPr>
              <w:t>2</w:t>
            </w:r>
          </w:p>
        </w:tc>
        <w:tc>
          <w:tcPr>
            <w:tcW w:w="1814" w:type="dxa"/>
            <w:vAlign w:val="center"/>
          </w:tcPr>
          <w:p>
            <w:pPr>
              <w:spacing w:line="300" w:lineRule="exact"/>
              <w:jc w:val="center"/>
              <w:rPr>
                <w:rFonts w:ascii="宋体" w:hAnsi="宋体"/>
                <w:sz w:val="22"/>
              </w:rPr>
            </w:pPr>
            <w:r>
              <w:rPr>
                <w:rFonts w:hint="eastAsia" w:hAnsi="宋体"/>
                <w:szCs w:val="21"/>
              </w:rPr>
              <w:t>售后技术服务要求</w:t>
            </w:r>
          </w:p>
        </w:tc>
        <w:tc>
          <w:tcPr>
            <w:tcW w:w="7776"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1、在质保期内，采购人有故障申报，中标人必须在半小时内响应，5小时内解决。若不能在5小时内解决，须提供同等性能、同等配置的产品替换。 免费质保期内，与保修和维修相关的所有费用由中标人负责。</w:t>
            </w:r>
          </w:p>
          <w:p>
            <w:pPr>
              <w:spacing w:line="360" w:lineRule="auto"/>
              <w:rPr>
                <w:rFonts w:ascii="宋体" w:hAnsi="宋体"/>
                <w:color w:val="000000" w:themeColor="text1"/>
                <w:szCs w:val="21"/>
                <w14:textFill>
                  <w14:solidFill>
                    <w14:schemeClr w14:val="tx1"/>
                  </w14:solidFill>
                </w14:textFill>
              </w:rPr>
            </w:pPr>
            <w:r>
              <w:rPr>
                <w:rFonts w:hint="eastAsia" w:ascii="Arial" w:hAnsi="Arial" w:cs="Arial"/>
                <w:b/>
                <w:color w:val="000000" w:themeColor="text1"/>
                <w:kern w:val="0"/>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2、</w:t>
            </w:r>
            <w:r>
              <w:rPr>
                <w:rFonts w:hint="eastAsia" w:ascii="宋体" w:hAnsi="宋体" w:eastAsia="宋体"/>
                <w:color w:val="FF0000"/>
                <w:szCs w:val="21"/>
              </w:rPr>
              <w:t>在质保期内，基础</w:t>
            </w:r>
            <w:r>
              <w:rPr>
                <w:rFonts w:ascii="宋体" w:hAnsi="宋体" w:eastAsia="宋体"/>
                <w:color w:val="FF0000"/>
                <w:szCs w:val="21"/>
              </w:rPr>
              <w:t>设施信息化项目</w:t>
            </w:r>
            <w:r>
              <w:rPr>
                <w:rFonts w:hint="eastAsia" w:ascii="宋体" w:hAnsi="宋体" w:eastAsia="宋体"/>
                <w:color w:val="FF0000"/>
                <w:szCs w:val="21"/>
              </w:rPr>
              <w:t>需派驻</w:t>
            </w:r>
            <w:r>
              <w:rPr>
                <w:rFonts w:hint="eastAsia" w:ascii="宋体" w:hAnsi="宋体"/>
                <w:color w:val="FF0000"/>
                <w:szCs w:val="21"/>
                <w:lang w:val="en-US" w:eastAsia="zh-CN"/>
              </w:rPr>
              <w:t>二</w:t>
            </w:r>
            <w:r>
              <w:rPr>
                <w:rFonts w:ascii="宋体" w:hAnsi="宋体" w:eastAsia="宋体"/>
                <w:color w:val="FF0000"/>
                <w:szCs w:val="21"/>
              </w:rPr>
              <w:t>名技术人员</w:t>
            </w:r>
            <w:r>
              <w:rPr>
                <w:rFonts w:hint="eastAsia" w:ascii="宋体" w:hAnsi="宋体" w:eastAsia="宋体"/>
                <w:color w:val="FF0000"/>
                <w:szCs w:val="21"/>
              </w:rPr>
              <w:t>（从事</w:t>
            </w:r>
            <w:r>
              <w:rPr>
                <w:rFonts w:ascii="宋体" w:hAnsi="宋体" w:eastAsia="宋体"/>
                <w:color w:val="FF0000"/>
                <w:szCs w:val="21"/>
              </w:rPr>
              <w:t>相关专业</w:t>
            </w:r>
            <w:r>
              <w:rPr>
                <w:rFonts w:hint="eastAsia" w:ascii="宋体" w:hAnsi="宋体" w:eastAsia="宋体"/>
                <w:color w:val="FF0000"/>
                <w:szCs w:val="21"/>
              </w:rPr>
              <w:t>3年</w:t>
            </w:r>
            <w:r>
              <w:rPr>
                <w:rFonts w:ascii="宋体" w:hAnsi="宋体" w:eastAsia="宋体"/>
                <w:color w:val="FF0000"/>
                <w:szCs w:val="21"/>
              </w:rPr>
              <w:t>以上，年龄</w:t>
            </w:r>
            <w:r>
              <w:rPr>
                <w:rFonts w:hint="eastAsia" w:ascii="宋体" w:hAnsi="宋体" w:eastAsia="宋体"/>
                <w:color w:val="FF0000"/>
                <w:szCs w:val="21"/>
              </w:rPr>
              <w:t>35岁</w:t>
            </w:r>
            <w:r>
              <w:rPr>
                <w:rFonts w:ascii="宋体" w:hAnsi="宋体" w:eastAsia="宋体"/>
                <w:color w:val="FF0000"/>
                <w:szCs w:val="21"/>
              </w:rPr>
              <w:t>以下</w:t>
            </w:r>
            <w:r>
              <w:rPr>
                <w:rFonts w:hint="eastAsia" w:ascii="宋体" w:hAnsi="宋体" w:eastAsia="宋体"/>
                <w:color w:val="FF0000"/>
                <w:szCs w:val="21"/>
              </w:rPr>
              <w:t>，</w:t>
            </w:r>
            <w:r>
              <w:rPr>
                <w:rFonts w:ascii="宋体" w:hAnsi="宋体" w:eastAsia="宋体"/>
                <w:color w:val="FF0000"/>
                <w:szCs w:val="21"/>
              </w:rPr>
              <w:t>提供</w:t>
            </w:r>
            <w:r>
              <w:rPr>
                <w:rFonts w:hint="eastAsia" w:ascii="宋体" w:hAnsi="宋体" w:eastAsia="宋体"/>
                <w:color w:val="FF0000"/>
                <w:szCs w:val="21"/>
              </w:rPr>
              <w:t>本单位</w:t>
            </w:r>
            <w:r>
              <w:rPr>
                <w:rFonts w:ascii="宋体" w:hAnsi="宋体" w:eastAsia="宋体"/>
                <w:color w:val="FF0000"/>
                <w:szCs w:val="21"/>
              </w:rPr>
              <w:t>三个月社保证明</w:t>
            </w:r>
            <w:r>
              <w:rPr>
                <w:rFonts w:hint="eastAsia" w:ascii="宋体" w:hAnsi="宋体" w:eastAsia="宋体"/>
                <w:color w:val="FF0000"/>
                <w:szCs w:val="21"/>
              </w:rPr>
              <w:t>）</w:t>
            </w:r>
            <w:r>
              <w:rPr>
                <w:rFonts w:ascii="宋体" w:hAnsi="宋体" w:eastAsia="宋体"/>
                <w:color w:val="FF0000"/>
                <w:szCs w:val="21"/>
              </w:rPr>
              <w:t>到**基地</w:t>
            </w:r>
            <w:r>
              <w:rPr>
                <w:rFonts w:hint="eastAsia" w:ascii="宋体" w:hAnsi="宋体" w:eastAsia="宋体"/>
                <w:color w:val="FF0000"/>
                <w:szCs w:val="21"/>
              </w:rPr>
              <w:t>驻场</w:t>
            </w:r>
            <w:r>
              <w:rPr>
                <w:rFonts w:ascii="宋体" w:hAnsi="宋体" w:eastAsia="宋体"/>
                <w:color w:val="FF0000"/>
                <w:szCs w:val="21"/>
              </w:rPr>
              <w:t>服务，</w:t>
            </w:r>
            <w:r>
              <w:rPr>
                <w:rFonts w:hint="eastAsia" w:ascii="宋体" w:hAnsi="宋体" w:eastAsia="宋体"/>
                <w:color w:val="FF0000"/>
                <w:szCs w:val="21"/>
              </w:rPr>
              <w:t>并</w:t>
            </w:r>
            <w:r>
              <w:rPr>
                <w:rFonts w:ascii="宋体" w:hAnsi="宋体" w:eastAsia="宋体"/>
                <w:color w:val="FF0000"/>
                <w:szCs w:val="21"/>
              </w:rPr>
              <w:t>提供备品备件在甲方指定</w:t>
            </w:r>
            <w:r>
              <w:rPr>
                <w:rFonts w:hint="eastAsia" w:ascii="宋体" w:hAnsi="宋体" w:eastAsia="宋体"/>
                <w:color w:val="FF0000"/>
                <w:szCs w:val="21"/>
              </w:rPr>
              <w:t>地点</w:t>
            </w:r>
            <w:r>
              <w:rPr>
                <w:rFonts w:ascii="宋体" w:hAnsi="宋体" w:eastAsia="宋体"/>
                <w:color w:val="FF0000"/>
                <w:szCs w:val="21"/>
              </w:rPr>
              <w:t>，</w:t>
            </w:r>
            <w:r>
              <w:rPr>
                <w:rFonts w:hint="eastAsia" w:ascii="宋体" w:hAnsi="宋体" w:eastAsia="宋体"/>
                <w:color w:val="FF0000"/>
                <w:szCs w:val="21"/>
                <w:lang w:val="en-US" w:eastAsia="zh-CN"/>
              </w:rPr>
              <w:t>三个项目要求</w:t>
            </w:r>
            <w:r>
              <w:rPr>
                <w:rFonts w:hint="eastAsia" w:ascii="宋体" w:hAnsi="宋体" w:eastAsia="宋体"/>
                <w:color w:val="FF0000"/>
                <w:szCs w:val="21"/>
              </w:rPr>
              <w:t>7</w:t>
            </w:r>
            <w:r>
              <w:rPr>
                <w:rFonts w:ascii="宋体" w:hAnsi="宋体" w:eastAsia="宋体"/>
                <w:color w:val="FF0000"/>
                <w:szCs w:val="21"/>
              </w:rPr>
              <w:t>*24</w:t>
            </w:r>
            <w:r>
              <w:rPr>
                <w:rFonts w:hint="eastAsia" w:ascii="宋体" w:hAnsi="宋体" w:eastAsia="宋体"/>
                <w:color w:val="FF0000"/>
                <w:szCs w:val="21"/>
              </w:rPr>
              <w:t>小时</w:t>
            </w:r>
            <w:r>
              <w:rPr>
                <w:rFonts w:ascii="宋体" w:hAnsi="宋体" w:eastAsia="宋体"/>
                <w:color w:val="FF0000"/>
                <w:szCs w:val="21"/>
              </w:rPr>
              <w:t>响应。</w:t>
            </w:r>
            <w:r>
              <w:rPr>
                <w:rFonts w:hint="eastAsia" w:ascii="宋体" w:hAnsi="宋体" w:eastAsia="宋体"/>
                <w:color w:val="FF0000"/>
                <w:szCs w:val="21"/>
              </w:rPr>
              <w:t>指派技术人员专门负责保障硬件和相关平台的稳定运行。乙方负责设备及系统的所有维护、维修、设备更换、平台软件更新和系统优化等工作，保证甲方能正常使用系统，获得高质量满意的服务。</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、中标人</w:t>
            </w:r>
            <w:r>
              <w:rPr>
                <w:rFonts w:ascii="宋体" w:hAnsi="宋体"/>
                <w:color w:val="000000" w:themeColor="text1"/>
                <w:szCs w:val="21"/>
                <w14:textFill>
                  <w14:solidFill>
                    <w14:schemeClr w14:val="tx1"/>
                  </w14:solidFill>
                </w14:textFill>
              </w:rPr>
              <w:t>须提供每季度一次的定期系统现场巡检服务，巡检服务的内容包括系统运行状况检查与评估、日常维护与优化、故障预防与解决、可用性切换与测试等。保障采购单位业务服务质量和业务连续性相关的所有问题，无</w:t>
            </w:r>
            <w:r>
              <w:rPr>
                <w:rFonts w:hint="eastAsia" w:ascii="宋体" w:hAnsi="宋体"/>
                <w:color w:val="000000" w:themeColor="text1"/>
                <w:szCs w:val="21"/>
                <w14:textFill>
                  <w14:solidFill>
                    <w14:schemeClr w14:val="tx1"/>
                  </w14:solidFill>
                </w14:textFill>
              </w:rPr>
              <w:t>论</w:t>
            </w:r>
            <w:r>
              <w:rPr>
                <w:rFonts w:ascii="宋体" w:hAnsi="宋体"/>
                <w:color w:val="000000" w:themeColor="text1"/>
                <w:szCs w:val="21"/>
                <w14:textFill>
                  <w14:solidFill>
                    <w14:schemeClr w14:val="tx1"/>
                  </w14:solidFill>
                </w14:textFill>
              </w:rPr>
              <w:t>是否与供应商有关，在接到采购单位通知后，</w:t>
            </w:r>
            <w:r>
              <w:rPr>
                <w:rFonts w:hint="eastAsia" w:ascii="宋体" w:hAnsi="宋体"/>
                <w:color w:val="000000" w:themeColor="text1"/>
                <w:szCs w:val="21"/>
                <w14:textFill>
                  <w14:solidFill>
                    <w14:schemeClr w14:val="tx1"/>
                  </w14:solidFill>
                </w14:textFill>
              </w:rPr>
              <w:t>中标人</w:t>
            </w:r>
            <w:r>
              <w:rPr>
                <w:rFonts w:ascii="宋体" w:hAnsi="宋体"/>
                <w:color w:val="000000" w:themeColor="text1"/>
                <w:szCs w:val="21"/>
                <w14:textFill>
                  <w14:solidFill>
                    <w14:schemeClr w14:val="tx1"/>
                  </w14:solidFill>
                </w14:textFill>
              </w:rPr>
              <w:t>应及时响应并根据采购单位要求免费提供远程、现场支持或协助。</w:t>
            </w:r>
          </w:p>
          <w:p>
            <w:pPr>
              <w:spacing w:line="300" w:lineRule="exact"/>
              <w:rPr>
                <w:rFonts w:ascii="宋体" w:hAnsi="宋体" w:cs="Courier New"/>
                <w:color w:val="000000" w:themeColor="text1"/>
                <w:sz w:val="22"/>
                <w14:textFill>
                  <w14:solidFill>
                    <w14:schemeClr w14:val="tx1"/>
                  </w14:solidFill>
                </w14:textFill>
              </w:rPr>
            </w:pPr>
            <w:r>
              <w:rPr>
                <w:rFonts w:hint="eastAsia" w:ascii="宋体" w:hAnsi="宋体"/>
                <w:color w:val="000000" w:themeColor="text1"/>
                <w:szCs w:val="21"/>
                <w14:textFill>
                  <w14:solidFill>
                    <w14:schemeClr w14:val="tx1"/>
                  </w14:solidFill>
                </w14:textFill>
              </w:rPr>
              <w:t>4、本项目需接受监理单位管理。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sz w:val="22"/>
              </w:rPr>
            </w:pPr>
            <w:r>
              <w:rPr>
                <w:rFonts w:hint="eastAsia" w:ascii="宋体" w:hAnsi="宋体" w:cs="宋体"/>
                <w:sz w:val="22"/>
              </w:rPr>
              <w:t>4</w:t>
            </w:r>
            <w:r>
              <w:rPr>
                <w:rFonts w:ascii="宋体" w:hAnsi="宋体" w:cs="宋体"/>
                <w:sz w:val="22"/>
              </w:rPr>
              <w:t>3</w:t>
            </w:r>
          </w:p>
        </w:tc>
        <w:tc>
          <w:tcPr>
            <w:tcW w:w="1814" w:type="dxa"/>
            <w:vAlign w:val="center"/>
          </w:tcPr>
          <w:p>
            <w:pPr>
              <w:spacing w:line="300" w:lineRule="exact"/>
              <w:jc w:val="center"/>
              <w:rPr>
                <w:rFonts w:ascii="宋体" w:hAnsi="宋体"/>
                <w:sz w:val="22"/>
              </w:rPr>
            </w:pPr>
            <w:r>
              <w:rPr>
                <w:rFonts w:hint="eastAsia" w:hAnsi="宋体"/>
                <w:szCs w:val="21"/>
              </w:rPr>
              <w:t>进度安排</w:t>
            </w:r>
          </w:p>
        </w:tc>
        <w:tc>
          <w:tcPr>
            <w:tcW w:w="7776" w:type="dxa"/>
            <w:vAlign w:val="center"/>
          </w:tcPr>
          <w:p>
            <w:pPr>
              <w:spacing w:line="300" w:lineRule="exact"/>
              <w:rPr>
                <w:rFonts w:ascii="宋体" w:hAnsi="宋体" w:cs="Courier New"/>
                <w:color w:val="000000" w:themeColor="text1"/>
                <w:sz w:val="22"/>
                <w14:textFill>
                  <w14:solidFill>
                    <w14:schemeClr w14:val="tx1"/>
                  </w14:solidFill>
                </w14:textFill>
              </w:rPr>
            </w:pPr>
            <w:r>
              <w:rPr>
                <w:rFonts w:hint="eastAsia" w:hAnsi="宋体"/>
                <w:color w:val="000000" w:themeColor="text1"/>
                <w:szCs w:val="21"/>
                <w14:textFill>
                  <w14:solidFill>
                    <w14:schemeClr w14:val="tx1"/>
                  </w14:solidFill>
                </w14:textFill>
              </w:rPr>
              <w:t>中标方应提供详细的项目实施进度安排。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sz w:val="22"/>
              </w:rPr>
            </w:pPr>
            <w:r>
              <w:rPr>
                <w:rFonts w:hint="eastAsia" w:ascii="宋体" w:hAnsi="宋体" w:cs="宋体"/>
                <w:sz w:val="22"/>
              </w:rPr>
              <w:t>4</w:t>
            </w:r>
            <w:r>
              <w:rPr>
                <w:rFonts w:ascii="宋体" w:hAnsi="宋体" w:cs="宋体"/>
                <w:sz w:val="22"/>
              </w:rPr>
              <w:t>4</w:t>
            </w:r>
          </w:p>
        </w:tc>
        <w:tc>
          <w:tcPr>
            <w:tcW w:w="1814" w:type="dxa"/>
            <w:vAlign w:val="center"/>
          </w:tcPr>
          <w:p>
            <w:pPr>
              <w:spacing w:line="300" w:lineRule="exact"/>
              <w:jc w:val="center"/>
              <w:rPr>
                <w:rFonts w:ascii="宋体" w:hAnsi="宋体"/>
                <w:sz w:val="22"/>
                <w:highlight w:val="none"/>
              </w:rPr>
            </w:pPr>
            <w:r>
              <w:rPr>
                <w:rFonts w:hint="eastAsia" w:hAnsi="宋体"/>
                <w:color w:val="000000" w:themeColor="text1"/>
                <w:szCs w:val="21"/>
                <w:highlight w:val="none"/>
                <w14:textFill>
                  <w14:solidFill>
                    <w14:schemeClr w14:val="tx1"/>
                  </w14:solidFill>
                </w14:textFill>
              </w:rPr>
              <w:t>项目完成时间及</w:t>
            </w:r>
            <w:r>
              <w:rPr>
                <w:rFonts w:hint="eastAsia" w:hAnsi="宋体"/>
                <w:szCs w:val="21"/>
                <w:highlight w:val="none"/>
              </w:rPr>
              <w:t>地点</w:t>
            </w:r>
          </w:p>
        </w:tc>
        <w:tc>
          <w:tcPr>
            <w:tcW w:w="7776" w:type="dxa"/>
            <w:vAlign w:val="center"/>
          </w:tcPr>
          <w:p>
            <w:pPr>
              <w:spacing w:line="460" w:lineRule="exac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项目完成时间：合同签订后90个工作日内根据业主方需求安装调试完毕。</w:t>
            </w:r>
          </w:p>
          <w:p>
            <w:pPr>
              <w:spacing w:line="300" w:lineRule="exact"/>
              <w:rPr>
                <w:rFonts w:ascii="宋体" w:hAnsi="宋体" w:cs="Courier New"/>
                <w:color w:val="000000" w:themeColor="text1"/>
                <w:sz w:val="22"/>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地点：金华市**训练基地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sz w:val="22"/>
              </w:rPr>
            </w:pPr>
            <w:r>
              <w:rPr>
                <w:rFonts w:ascii="宋体" w:hAnsi="宋体" w:cs="宋体"/>
                <w:sz w:val="22"/>
              </w:rPr>
              <w:t>45</w:t>
            </w:r>
          </w:p>
        </w:tc>
        <w:tc>
          <w:tcPr>
            <w:tcW w:w="1814" w:type="dxa"/>
            <w:vAlign w:val="center"/>
          </w:tcPr>
          <w:p>
            <w:pPr>
              <w:spacing w:line="300" w:lineRule="exact"/>
              <w:jc w:val="center"/>
              <w:rPr>
                <w:rFonts w:ascii="宋体" w:hAnsi="宋体"/>
                <w:sz w:val="22"/>
              </w:rPr>
            </w:pPr>
            <w:r>
              <w:rPr>
                <w:rFonts w:hint="eastAsia" w:hAnsi="宋体"/>
                <w:szCs w:val="21"/>
              </w:rPr>
              <w:t>履约保证金</w:t>
            </w:r>
          </w:p>
        </w:tc>
        <w:tc>
          <w:tcPr>
            <w:tcW w:w="7776" w:type="dxa"/>
            <w:vAlign w:val="center"/>
          </w:tcPr>
          <w:p>
            <w:pPr>
              <w:spacing w:line="460" w:lineRule="exact"/>
              <w:rPr>
                <w:rFonts w:hAnsi="宋体"/>
                <w:bCs/>
                <w:szCs w:val="21"/>
              </w:rPr>
            </w:pPr>
            <w:r>
              <w:rPr>
                <w:rFonts w:hAnsi="宋体"/>
                <w:bCs/>
                <w:szCs w:val="21"/>
              </w:rPr>
              <w:t>中标人在</w:t>
            </w:r>
            <w:r>
              <w:rPr>
                <w:rFonts w:hint="eastAsia" w:hAnsi="宋体"/>
                <w:bCs/>
                <w:szCs w:val="21"/>
              </w:rPr>
              <w:t>签订合同</w:t>
            </w:r>
            <w:r>
              <w:rPr>
                <w:rFonts w:hAnsi="宋体"/>
                <w:bCs/>
                <w:szCs w:val="21"/>
              </w:rPr>
              <w:t>后，需向采购人提供合同总价</w:t>
            </w:r>
            <w:r>
              <w:rPr>
                <w:rFonts w:hint="eastAsia" w:hAnsi="宋体"/>
                <w:bCs/>
                <w:szCs w:val="21"/>
              </w:rPr>
              <w:t>1</w:t>
            </w:r>
            <w:r>
              <w:rPr>
                <w:rFonts w:hAnsi="宋体"/>
                <w:bCs/>
                <w:szCs w:val="21"/>
              </w:rPr>
              <w:t>%的履约保证金，在中标人与采购人签订合同前递交，投标人需以支票、汇票、本票或者金融机构、保险公司、担保机构出具的保函/保险</w:t>
            </w:r>
            <w:r>
              <w:rPr>
                <w:rFonts w:hint="eastAsia" w:hAnsi="宋体"/>
                <w:bCs/>
                <w:szCs w:val="21"/>
              </w:rPr>
              <w:t>（可在政采云平台购买，咨询热线4</w:t>
            </w:r>
            <w:r>
              <w:rPr>
                <w:rFonts w:hAnsi="宋体"/>
                <w:bCs/>
                <w:szCs w:val="21"/>
              </w:rPr>
              <w:t>009039583</w:t>
            </w:r>
            <w:r>
              <w:rPr>
                <w:rFonts w:hint="eastAsia" w:hAnsi="宋体"/>
                <w:bCs/>
                <w:szCs w:val="21"/>
              </w:rPr>
              <w:t>）等</w:t>
            </w:r>
            <w:r>
              <w:rPr>
                <w:rFonts w:hAnsi="宋体"/>
                <w:bCs/>
                <w:szCs w:val="21"/>
              </w:rPr>
              <w:t>非现金形式提交。</w:t>
            </w:r>
            <w:r>
              <w:rPr>
                <w:rFonts w:hint="eastAsia" w:hAnsi="宋体"/>
                <w:bCs/>
                <w:szCs w:val="21"/>
              </w:rPr>
              <w:t>履约保证金（或履约保函）在验收合格后无息退还。</w:t>
            </w:r>
          </w:p>
          <w:p>
            <w:pPr>
              <w:spacing w:line="300" w:lineRule="exact"/>
              <w:rPr>
                <w:rFonts w:ascii="宋体" w:hAnsi="宋体" w:cs="Courier New"/>
                <w:bCs/>
                <w:sz w:val="22"/>
              </w:rPr>
            </w:pPr>
            <w:r>
              <w:rPr>
                <w:rFonts w:hAnsi="宋体"/>
                <w:bCs/>
                <w:szCs w:val="21"/>
              </w:rPr>
              <w:t>为支持和促进中小企业发展，进一步发挥政府采购政策功能，浙江省财政厅出台浙财采监〔2020〕3 号文件，企业若有</w:t>
            </w:r>
            <w:r>
              <w:rPr>
                <w:rFonts w:hint="eastAsia" w:hAnsi="宋体"/>
                <w:bCs/>
                <w:szCs w:val="21"/>
              </w:rPr>
              <w:t>购买保险/保函或者</w:t>
            </w:r>
            <w:r>
              <w:rPr>
                <w:rFonts w:hAnsi="宋体"/>
                <w:bCs/>
                <w:szCs w:val="21"/>
              </w:rPr>
              <w:t>融资意向，可登陆政采云平台融资服务（https://jinrong.zcygov.cn/），查看相应融资政策文件及各相关服务方案</w:t>
            </w:r>
            <w:r>
              <w:rPr>
                <w:rFonts w:hint="eastAsia" w:hAnsi="宋体"/>
                <w:bCs/>
                <w:szCs w:val="21"/>
              </w:rPr>
              <w:t>，咨询热线4</w:t>
            </w:r>
            <w:r>
              <w:rPr>
                <w:rFonts w:hAnsi="宋体"/>
                <w:bCs/>
                <w:szCs w:val="21"/>
              </w:rPr>
              <w:t>00-903-9583。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sz w:val="22"/>
              </w:rPr>
            </w:pPr>
            <w:r>
              <w:rPr>
                <w:rFonts w:hint="eastAsia" w:ascii="宋体" w:hAnsi="宋体" w:cs="宋体"/>
                <w:sz w:val="22"/>
              </w:rPr>
              <w:t>4</w:t>
            </w:r>
            <w:r>
              <w:rPr>
                <w:rFonts w:ascii="宋体" w:hAnsi="宋体" w:cs="宋体"/>
                <w:sz w:val="22"/>
              </w:rPr>
              <w:t>6</w:t>
            </w:r>
          </w:p>
        </w:tc>
        <w:tc>
          <w:tcPr>
            <w:tcW w:w="1814" w:type="dxa"/>
            <w:vAlign w:val="center"/>
          </w:tcPr>
          <w:p>
            <w:pPr>
              <w:spacing w:line="300" w:lineRule="exact"/>
              <w:jc w:val="center"/>
              <w:rPr>
                <w:rFonts w:ascii="宋体" w:hAnsi="宋体"/>
                <w:sz w:val="22"/>
              </w:rPr>
            </w:pPr>
            <w:r>
              <w:rPr>
                <w:rFonts w:hint="eastAsia" w:hAnsi="宋体"/>
                <w:szCs w:val="21"/>
              </w:rPr>
              <w:t>付款方式</w:t>
            </w:r>
          </w:p>
        </w:tc>
        <w:tc>
          <w:tcPr>
            <w:tcW w:w="7776" w:type="dxa"/>
            <w:vAlign w:val="center"/>
          </w:tcPr>
          <w:p>
            <w:pPr>
              <w:snapToGrid w:val="0"/>
              <w:spacing w:line="460" w:lineRule="exact"/>
              <w:rPr>
                <w:bCs/>
              </w:rPr>
            </w:pPr>
            <w:r>
              <w:rPr>
                <w:rFonts w:hint="eastAsia"/>
                <w:bCs/>
              </w:rPr>
              <w:t>1.合同签订后七日内，供应商出具履约保证金保函及预付款保函后（可在政采云平台购买），采购人向中标人支付40%合同款。</w:t>
            </w:r>
          </w:p>
          <w:p>
            <w:pPr>
              <w:snapToGrid w:val="0"/>
              <w:spacing w:line="460" w:lineRule="exact"/>
              <w:rPr>
                <w:rFonts w:hint="eastAsia"/>
                <w:bCs/>
              </w:rPr>
            </w:pPr>
            <w:r>
              <w:rPr>
                <w:rFonts w:hint="eastAsia"/>
                <w:bCs/>
              </w:rPr>
              <w:t>2.全部设备进场并确认签收，支付至合同总价的70%，项目初验合格，支付至合同总价的90%，终验合格，支付至合同总价的100%。（上限以财政拨款为准）。</w:t>
            </w:r>
          </w:p>
          <w:p>
            <w:pPr>
              <w:snapToGrid w:val="0"/>
              <w:spacing w:line="460" w:lineRule="exact"/>
              <w:rPr>
                <w:rFonts w:hint="eastAsia"/>
                <w:bCs/>
              </w:rPr>
            </w:pPr>
            <w:r>
              <w:rPr>
                <w:rFonts w:hint="eastAsia"/>
                <w:bCs/>
              </w:rPr>
              <w:t>3.中标人在结算合同价款时需提供正式的税务发票。</w:t>
            </w:r>
          </w:p>
          <w:p>
            <w:pPr>
              <w:snapToGrid w:val="0"/>
              <w:spacing w:line="460" w:lineRule="exact"/>
              <w:rPr>
                <w:bCs/>
              </w:rPr>
            </w:pPr>
            <w:r>
              <w:rPr>
                <w:rFonts w:hint="eastAsia"/>
                <w:bCs/>
              </w:rPr>
              <w:t>3.中标人在结算合同价款时需提供正式的税务发票。</w:t>
            </w:r>
          </w:p>
          <w:p>
            <w:pPr>
              <w:spacing w:line="300" w:lineRule="exact"/>
              <w:rPr>
                <w:rFonts w:ascii="宋体" w:hAnsi="宋体" w:cs="Courier New"/>
                <w:bCs/>
                <w:sz w:val="22"/>
              </w:rPr>
            </w:pPr>
            <w:r>
              <w:rPr>
                <w:rFonts w:hint="eastAsia"/>
                <w:bCs/>
              </w:rPr>
              <w:t>如在签订合同时，中标方明确表示无需预付款或者主动要求降低预付款比例的，可降低预付款比例（预付款保函同步调整）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sz w:val="22"/>
              </w:rPr>
            </w:pPr>
            <w:r>
              <w:rPr>
                <w:rFonts w:hint="eastAsia" w:ascii="宋体" w:hAnsi="宋体" w:cs="宋体"/>
                <w:sz w:val="22"/>
              </w:rPr>
              <w:t>4</w:t>
            </w:r>
            <w:r>
              <w:rPr>
                <w:rFonts w:ascii="宋体" w:hAnsi="宋体" w:cs="宋体"/>
                <w:sz w:val="22"/>
              </w:rPr>
              <w:t>7</w:t>
            </w:r>
          </w:p>
        </w:tc>
        <w:tc>
          <w:tcPr>
            <w:tcW w:w="1814" w:type="dxa"/>
            <w:vAlign w:val="center"/>
          </w:tcPr>
          <w:p>
            <w:pPr>
              <w:spacing w:line="300" w:lineRule="exact"/>
              <w:jc w:val="center"/>
              <w:rPr>
                <w:rFonts w:ascii="宋体" w:hAnsi="宋体"/>
                <w:sz w:val="22"/>
              </w:rPr>
            </w:pPr>
            <w:r>
              <w:rPr>
                <w:rFonts w:hint="eastAsia" w:hAnsi="宋体"/>
                <w:szCs w:val="21"/>
              </w:rPr>
              <w:t>验收</w:t>
            </w:r>
            <w:r>
              <w:rPr>
                <w:rFonts w:hAnsi="宋体"/>
                <w:szCs w:val="21"/>
              </w:rPr>
              <w:t>办法及标准</w:t>
            </w:r>
          </w:p>
        </w:tc>
        <w:tc>
          <w:tcPr>
            <w:tcW w:w="7776" w:type="dxa"/>
            <w:vAlign w:val="center"/>
          </w:tcPr>
          <w:p>
            <w:pPr>
              <w:snapToGrid w:val="0"/>
              <w:spacing w:line="460" w:lineRule="exact"/>
              <w:rPr>
                <w:rFonts w:hAnsi="宋体"/>
                <w:szCs w:val="21"/>
              </w:rPr>
            </w:pPr>
            <w:r>
              <w:rPr>
                <w:rFonts w:hint="eastAsia" w:hAnsi="宋体"/>
                <w:szCs w:val="21"/>
              </w:rPr>
              <w:t>1、项目设备安装调试，采购人将按规定对货物的品牌、外观、规格、参数配置、数量、配件及安装调试后的使用性能、运行状况、技术资料及其他进行验收，中标人必须在验收现场提供必要的技术支持，验收费用由中标人承担。</w:t>
            </w:r>
          </w:p>
          <w:p>
            <w:pPr>
              <w:snapToGrid w:val="0"/>
              <w:spacing w:line="460" w:lineRule="exact"/>
              <w:rPr>
                <w:rFonts w:hAnsi="宋体"/>
                <w:szCs w:val="21"/>
              </w:rPr>
            </w:pPr>
            <w:r>
              <w:rPr>
                <w:rFonts w:hint="eastAsia" w:hAnsi="宋体"/>
                <w:szCs w:val="21"/>
              </w:rPr>
              <w:t>2、如发生所供设备与投标文件或中标人的投标文件中规定（或响应）的设备不符，由此产生的一切责任和后果由中标人承担。</w:t>
            </w:r>
          </w:p>
          <w:p>
            <w:pPr>
              <w:spacing w:line="500" w:lineRule="exact"/>
              <w:rPr>
                <w:rFonts w:hAnsi="宋体"/>
                <w:szCs w:val="21"/>
              </w:rPr>
            </w:pPr>
            <w:r>
              <w:rPr>
                <w:rFonts w:hint="eastAsia" w:hAnsi="宋体"/>
                <w:szCs w:val="21"/>
              </w:rPr>
              <w:t>3、质量符合国际或国家通用标准，满足招标文件技术标准部分所规定的全部功能，如出现质量问题或系假冒伪劣产品，供方负责包退、包换，因此而涉及的全部违约责任和费用由供应方承担。</w:t>
            </w:r>
          </w:p>
          <w:p>
            <w:pPr>
              <w:spacing w:line="500" w:lineRule="exact"/>
              <w:rPr>
                <w:rFonts w:hAnsi="宋体"/>
                <w:szCs w:val="21"/>
              </w:rPr>
            </w:pPr>
            <w:r>
              <w:rPr>
                <w:rFonts w:hint="eastAsia" w:hAnsi="宋体"/>
                <w:szCs w:val="21"/>
              </w:rPr>
              <w:t>4、根据业主方需求暂列储备的门锁在需要安装或更换，中标单位应无条件上门服务安装或更换，安装期间，中标人应妥善保管货物、产品、各种材料和器材，如有被盗和其他损失的，采购人不承担任何责任。</w:t>
            </w:r>
          </w:p>
          <w:p>
            <w:pPr>
              <w:snapToGrid w:val="0"/>
              <w:spacing w:line="460" w:lineRule="exact"/>
              <w:rPr>
                <w:rFonts w:hint="eastAsia" w:hAnsi="宋体"/>
                <w:szCs w:val="21"/>
              </w:rPr>
            </w:pPr>
            <w:r>
              <w:rPr>
                <w:rFonts w:hint="eastAsia" w:hAnsi="宋体"/>
                <w:szCs w:val="21"/>
              </w:rPr>
              <w:t>5、中标人需文明安装，保证安全，如在安装过程中发生事故，一切责任由中标人承担。</w:t>
            </w:r>
          </w:p>
          <w:p>
            <w:pPr>
              <w:snapToGrid w:val="0"/>
              <w:spacing w:line="460" w:lineRule="exact"/>
              <w:rPr>
                <w:rFonts w:hint="eastAsia" w:hAnsi="宋体"/>
                <w:szCs w:val="21"/>
              </w:rPr>
            </w:pPr>
            <w:r>
              <w:rPr>
                <w:rFonts w:hint="eastAsia" w:hAnsi="宋体"/>
                <w:szCs w:val="21"/>
              </w:rPr>
              <w:t>6、中标人需提供产品说明书，并根据采购人需求制作并提供归档材料。</w:t>
            </w:r>
          </w:p>
          <w:p>
            <w:pPr>
              <w:snapToGrid w:val="0"/>
              <w:spacing w:line="460" w:lineRule="exact"/>
              <w:rPr>
                <w:rFonts w:ascii="宋体" w:hAnsi="宋体" w:cs="Courier New"/>
                <w:sz w:val="22"/>
              </w:rPr>
            </w:pPr>
            <w:r>
              <w:rPr>
                <w:rFonts w:hint="eastAsia" w:hAnsi="宋体"/>
                <w:szCs w:val="21"/>
                <w:lang w:val="en-US" w:eastAsia="zh-CN"/>
              </w:rPr>
              <w:t>7、项目终验将把集成配合工作情况纳入验收内容</w:t>
            </w:r>
            <w:r>
              <w:rPr>
                <w:rFonts w:hint="eastAsia" w:hAnsi="宋体"/>
                <w:szCs w:val="21"/>
              </w:rPr>
              <w:t>。</w:t>
            </w:r>
          </w:p>
        </w:tc>
      </w:tr>
      <w:bookmarkEnd w:id="199"/>
    </w:tbl>
    <w:p>
      <w:pPr>
        <w:pStyle w:val="29"/>
        <w:ind w:firstLine="600"/>
        <w:rPr>
          <w:rFonts w:ascii="仿宋" w:hAnsi="仿宋" w:eastAsia="仿宋_GB2312"/>
          <w:color w:val="000000"/>
          <w:sz w:val="30"/>
          <w:szCs w:val="30"/>
        </w:rPr>
        <w:sectPr>
          <w:pgSz w:w="11906" w:h="16838"/>
          <w:pgMar w:top="1440" w:right="1800" w:bottom="1440" w:left="1800" w:header="851" w:footer="992" w:gutter="0"/>
          <w:cols w:space="425" w:num="1"/>
          <w:docGrid w:type="lines" w:linePitch="312" w:charSpace="0"/>
        </w:sectPr>
      </w:pPr>
    </w:p>
    <w:p>
      <w:pPr>
        <w:snapToGrid w:val="0"/>
        <w:spacing w:line="460" w:lineRule="atLeast"/>
        <w:ind w:firstLine="441" w:firstLineChars="200"/>
        <w:rPr>
          <w:rFonts w:ascii="宋体"/>
          <w:b/>
          <w:bCs/>
          <w:sz w:val="22"/>
        </w:rPr>
      </w:pPr>
      <w:r>
        <w:rPr>
          <w:rFonts w:hint="eastAsia" w:ascii="宋体"/>
          <w:b/>
          <w:bCs/>
          <w:sz w:val="22"/>
        </w:rPr>
        <w:t>一、说明</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1、本次采购工作是按照《中华人民共和国政府采购法》及相关法律规章组织和实施。</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2、</w:t>
      </w:r>
      <w:r>
        <w:rPr>
          <w:rFonts w:hint="eastAsia" w:ascii="宋体"/>
          <w:bCs/>
          <w:sz w:val="22"/>
        </w:rPr>
        <w:t>投标供应商必须针对本项目全部内容进行投标，否则按无效投标处理。</w:t>
      </w:r>
    </w:p>
    <w:p>
      <w:pPr>
        <w:autoSpaceDE w:val="0"/>
        <w:autoSpaceDN w:val="0"/>
        <w:adjustRightInd w:val="0"/>
        <w:snapToGrid w:val="0"/>
        <w:spacing w:line="460" w:lineRule="atLeast"/>
        <w:ind w:firstLine="420" w:firstLineChars="191"/>
        <w:textAlignment w:val="bottom"/>
        <w:rPr>
          <w:rFonts w:ascii="宋体"/>
          <w:sz w:val="22"/>
          <w:u w:val="single"/>
        </w:rPr>
      </w:pPr>
      <w:r>
        <w:rPr>
          <w:rFonts w:hint="eastAsia" w:ascii="宋体"/>
          <w:sz w:val="22"/>
        </w:rPr>
        <w:t>3、无论投标过程中的作法和结果如何，投标供应商自行承担投标活动中所发生的全部费用。</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lang w:val="zh-CN"/>
        </w:rPr>
        <w:t>4、</w:t>
      </w:r>
      <w:r>
        <w:rPr>
          <w:rFonts w:hint="eastAsia" w:ascii="宋体"/>
          <w:sz w:val="22"/>
        </w:rPr>
        <w:t>本次采购如果某个（些）投标供应商投标报价超出采购预算的，则拒绝接受其投标报价，按无效标处理。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5、投标供应商须自行勘察现场，确认采购人的实际需求，取得准确的报价依据。投标供应商中标后不得以各种理由提出增价要求，否则做投标违约处理，采购人有权终止合同。</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7、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w:t>
      </w:r>
      <w:r>
        <w:rPr>
          <w:rFonts w:ascii="宋体"/>
          <w:sz w:val="22"/>
        </w:rPr>
        <w:t>中标供应商的工作人员出现意外事故导致人员伤亡的情况，均由中标供应商自负责任</w:t>
      </w:r>
      <w:r>
        <w:rPr>
          <w:rFonts w:hint="eastAsia" w:ascii="宋体"/>
          <w:sz w:val="22"/>
        </w:rPr>
        <w:t>，</w:t>
      </w:r>
      <w:r>
        <w:rPr>
          <w:rFonts w:ascii="宋体"/>
          <w:sz w:val="22"/>
        </w:rPr>
        <w:t>各投标供应商须在报价中考虑风险。</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8、本次采购所涉及的人员食、宿、交通均由投标供应商自行解决，相关费用包含在总价中。</w:t>
      </w:r>
    </w:p>
    <w:p>
      <w:pPr>
        <w:pStyle w:val="29"/>
        <w:spacing w:line="360" w:lineRule="auto"/>
        <w:ind w:left="0" w:leftChars="0" w:firstLine="0" w:firstLineChars="0"/>
        <w:rPr>
          <w:rFonts w:ascii="宋体"/>
          <w:bCs/>
          <w:sz w:val="22"/>
        </w:rPr>
      </w:pPr>
      <w:r>
        <w:rPr>
          <w:rFonts w:hint="eastAsia" w:ascii="宋体"/>
          <w:sz w:val="22"/>
        </w:rPr>
        <w:t xml:space="preserve">   9、 </w:t>
      </w:r>
      <w:r>
        <w:rPr>
          <w:rFonts w:hint="eastAsia" w:ascii="宋体"/>
          <w:bCs/>
          <w:sz w:val="22"/>
        </w:rPr>
        <w:t>《政府采购货物和服务招标投标管理办法》（财政部令第87号）：第三十一条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9"/>
        <w:spacing w:line="360" w:lineRule="auto"/>
        <w:ind w:left="0" w:leftChars="0" w:firstLine="0" w:firstLineChars="0"/>
        <w:rPr>
          <w:rFonts w:ascii="宋体"/>
          <w:bCs/>
          <w:sz w:val="22"/>
        </w:rPr>
      </w:pPr>
      <w:r>
        <w:rPr>
          <w:rFonts w:hint="eastAsia" w:ascii="宋体"/>
          <w:bCs/>
          <w:sz w:val="22"/>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9"/>
        <w:spacing w:line="360" w:lineRule="auto"/>
        <w:ind w:left="0" w:leftChars="0" w:firstLine="0" w:firstLineChars="0"/>
        <w:rPr>
          <w:bCs/>
        </w:rPr>
      </w:pPr>
      <w:r>
        <w:rPr>
          <w:rFonts w:hint="eastAsia" w:ascii="宋体"/>
          <w:bCs/>
          <w:sz w:val="22"/>
        </w:rPr>
        <w:t>非单一产品采购项目，采购人应当根据采购项目技术构成、产品价格比重等合理确定核心产品，并在招标文件中载明。多家投标人提供的核心产品品牌相同的，按前两款规定处理。（参数中打“▲”为核心产品）</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10、</w:t>
      </w:r>
      <w:r>
        <w:rPr>
          <w:rFonts w:asci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460" w:lineRule="exact"/>
        <w:ind w:firstLine="440" w:firstLineChars="200"/>
        <w:textAlignment w:val="bottom"/>
        <w:rPr>
          <w:rFonts w:ascii="宋体" w:cs="Verdana"/>
          <w:sz w:val="22"/>
        </w:rPr>
      </w:pPr>
      <w:r>
        <w:rPr>
          <w:rFonts w:hint="eastAsia" w:ascii="宋体" w:cs="Verdana"/>
          <w:sz w:val="22"/>
        </w:rPr>
        <w:t>11、本项目采用在线投标响应方式，执行《浙江省财政厅关于印发浙江省政府采购项目电子交易管理暂行办法的通知》（浙财采监〔</w:t>
      </w:r>
      <w:r>
        <w:rPr>
          <w:rFonts w:ascii="宋体" w:cs="Verdana"/>
          <w:sz w:val="22"/>
        </w:rPr>
        <w:t>2019〕10 号）等相关规定。</w:t>
      </w:r>
    </w:p>
    <w:p>
      <w:pPr>
        <w:pStyle w:val="29"/>
        <w:spacing w:line="360" w:lineRule="auto"/>
        <w:ind w:left="0" w:leftChars="0" w:firstLine="440"/>
      </w:pPr>
      <w:r>
        <w:rPr>
          <w:rFonts w:hint="eastAsia" w:ascii="宋体" w:cs="Verdana"/>
          <w:bCs/>
          <w:sz w:val="22"/>
          <w:szCs w:val="22"/>
        </w:rPr>
        <w:t>12、</w:t>
      </w:r>
      <w:r>
        <w:rPr>
          <w:rFonts w:hint="eastAsia" w:ascii="宋体" w:cs="Verdana"/>
          <w:sz w:val="22"/>
          <w:szCs w:val="22"/>
        </w:rPr>
        <w:t>本项目在线开评标进行时，供应商法定代表人或其授权代表需自行关注平台提示信息，期间如有发出“询标</w:t>
      </w:r>
      <w:r>
        <w:rPr>
          <w:rFonts w:ascii="宋体" w:cs="Verdana"/>
          <w:sz w:val="22"/>
          <w:szCs w:val="22"/>
        </w:rPr>
        <w:t>/澄清函”等相关线上函件时，因供应商自身原因逾期/错过回复时间，由此造成的后果由供应商自行承担</w:t>
      </w:r>
      <w:r>
        <w:rPr>
          <w:rFonts w:ascii="宋体" w:cs="Verdana"/>
          <w:bCs/>
          <w:sz w:val="22"/>
          <w:szCs w:val="22"/>
        </w:rPr>
        <w:t>。</w:t>
      </w:r>
    </w:p>
    <w:p>
      <w:pPr>
        <w:snapToGrid w:val="0"/>
        <w:spacing w:line="460" w:lineRule="atLeast"/>
        <w:ind w:firstLine="441" w:firstLineChars="200"/>
        <w:rPr>
          <w:rFonts w:ascii="宋体"/>
          <w:b/>
          <w:bCs/>
          <w:sz w:val="22"/>
        </w:rPr>
      </w:pPr>
      <w:r>
        <w:rPr>
          <w:rFonts w:hint="eastAsia" w:ascii="宋体"/>
          <w:b/>
          <w:bCs/>
          <w:sz w:val="22"/>
        </w:rPr>
        <w:t>二、招标文件</w:t>
      </w:r>
    </w:p>
    <w:p>
      <w:pPr>
        <w:autoSpaceDE w:val="0"/>
        <w:autoSpaceDN w:val="0"/>
        <w:adjustRightInd w:val="0"/>
        <w:snapToGrid w:val="0"/>
        <w:spacing w:line="460" w:lineRule="atLeast"/>
        <w:ind w:firstLine="426"/>
        <w:rPr>
          <w:rFonts w:ascii="宋体"/>
          <w:sz w:val="22"/>
          <w:lang w:val="zh-CN"/>
        </w:rPr>
      </w:pPr>
      <w:r>
        <w:rPr>
          <w:rFonts w:hint="eastAsia" w:ascii="宋体"/>
          <w:sz w:val="22"/>
          <w:lang w:val="zh-CN"/>
        </w:rPr>
        <w:t>1、招标文件</w:t>
      </w:r>
    </w:p>
    <w:p>
      <w:pPr>
        <w:autoSpaceDE w:val="0"/>
        <w:autoSpaceDN w:val="0"/>
        <w:adjustRightInd w:val="0"/>
        <w:snapToGrid w:val="0"/>
        <w:spacing w:line="440" w:lineRule="exact"/>
        <w:ind w:firstLine="440" w:firstLineChars="200"/>
        <w:rPr>
          <w:rFonts w:ascii="宋体"/>
          <w:sz w:val="22"/>
          <w:lang w:val="zh-CN"/>
        </w:rPr>
      </w:pPr>
      <w:r>
        <w:rPr>
          <w:rFonts w:hint="eastAsia" w:ascii="宋体"/>
          <w:sz w:val="22"/>
          <w:lang w:val="zh-CN"/>
        </w:rPr>
        <w:t>1.1、招标文件获取</w:t>
      </w:r>
    </w:p>
    <w:p>
      <w:pPr>
        <w:autoSpaceDE w:val="0"/>
        <w:autoSpaceDN w:val="0"/>
        <w:adjustRightInd w:val="0"/>
        <w:snapToGrid w:val="0"/>
        <w:spacing w:line="460" w:lineRule="atLeast"/>
        <w:ind w:firstLine="440" w:firstLineChars="200"/>
        <w:rPr>
          <w:rFonts w:ascii="宋体"/>
          <w:sz w:val="22"/>
          <w:lang w:val="zh-CN"/>
        </w:rPr>
      </w:pPr>
      <w:r>
        <w:rPr>
          <w:rFonts w:hint="eastAsia" w:ascii="宋体" w:cs="宋体"/>
          <w:bCs/>
          <w:sz w:val="22"/>
        </w:rPr>
        <w:t>本项目招标文件实行“政府采购云平台”在线获取，不提供招标文件纸质版。</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1.2、招标文件约束力</w:t>
      </w:r>
    </w:p>
    <w:p>
      <w:pPr>
        <w:autoSpaceDE w:val="0"/>
        <w:autoSpaceDN w:val="0"/>
        <w:adjustRightInd w:val="0"/>
        <w:snapToGrid w:val="0"/>
        <w:spacing w:line="460" w:lineRule="atLeast"/>
        <w:ind w:firstLine="431" w:firstLineChars="196"/>
        <w:rPr>
          <w:rFonts w:ascii="宋体"/>
          <w:sz w:val="22"/>
          <w:lang w:val="zh-CN"/>
        </w:rPr>
      </w:pPr>
      <w:r>
        <w:rPr>
          <w:rFonts w:hint="eastAsia" w:ascii="宋体"/>
          <w:sz w:val="22"/>
          <w:lang w:val="zh-CN"/>
        </w:rPr>
        <w:t>投标供应商</w:t>
      </w:r>
      <w:r>
        <w:rPr>
          <w:rFonts w:hint="eastAsia" w:ascii="宋体"/>
          <w:sz w:val="22"/>
        </w:rPr>
        <w:t>参加投标，即被认为接受了本招标文件中所有条款和规定。</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2、招标文件的澄清</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投标供应商对招标文件如有疑点要求澄清，或认为有必要与采购人进行技术交流，可用书面形式通知采购人。</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3、招标文件的修改</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3.1、在投标截止时间前，采购人或采购机构有权修改招标文件，并通知投标供应商。补充文件作为招标文件的补充和组成部分，对所有投标供应商均有约束力。</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3.2、为使投标供应商有足够的时间按招标文件要求修正投标文件，采购人可酌情推迟投标截止时间和开标时间，并将此变更通知投标供应商。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3.3、</w:t>
      </w:r>
      <w:r>
        <w:rPr>
          <w:rFonts w:hint="eastAsia" w:ascii="宋体" w:cs="仿宋_GB2312"/>
          <w:sz w:val="22"/>
          <w:lang w:val="zh-CN"/>
        </w:rPr>
        <w:t>本项目招标文件如有补充、更正、澄清均见浙江政府采购网。投标供应商须在投标截止前自行查看是否有补充、更正、澄清文件，并按补充、更正、澄清文件要求投标，否则责任自负。</w:t>
      </w:r>
    </w:p>
    <w:p>
      <w:pPr>
        <w:snapToGrid w:val="0"/>
        <w:spacing w:line="460" w:lineRule="atLeast"/>
        <w:ind w:firstLine="441" w:firstLineChars="200"/>
        <w:rPr>
          <w:rFonts w:ascii="宋体"/>
          <w:b/>
          <w:bCs/>
          <w:sz w:val="22"/>
        </w:rPr>
      </w:pPr>
      <w:r>
        <w:rPr>
          <w:rFonts w:hint="eastAsia" w:ascii="宋体"/>
          <w:b/>
          <w:bCs/>
          <w:sz w:val="22"/>
        </w:rPr>
        <w:t>三、投标文件</w:t>
      </w:r>
    </w:p>
    <w:p>
      <w:pPr>
        <w:snapToGrid w:val="0"/>
        <w:spacing w:line="460" w:lineRule="atLeast"/>
        <w:ind w:firstLine="440" w:firstLineChars="200"/>
        <w:rPr>
          <w:rFonts w:ascii="宋体"/>
          <w:sz w:val="22"/>
        </w:rPr>
      </w:pPr>
      <w:r>
        <w:rPr>
          <w:rFonts w:hint="eastAsia" w:ascii="宋体"/>
          <w:sz w:val="22"/>
        </w:rPr>
        <w:t>1、投标文件</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1.1</w:t>
      </w:r>
      <w:r>
        <w:rPr>
          <w:rFonts w:hint="eastAsia" w:ascii="宋体"/>
          <w:sz w:val="22"/>
          <w:lang w:val="zh-CN"/>
        </w:rPr>
        <w:t>、</w:t>
      </w:r>
      <w:r>
        <w:rPr>
          <w:rFonts w:ascii="宋体"/>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1.2</w:t>
      </w:r>
      <w:r>
        <w:rPr>
          <w:rFonts w:hint="eastAsia" w:ascii="宋体"/>
          <w:sz w:val="22"/>
          <w:lang w:val="zh-CN"/>
        </w:rPr>
        <w:t>、</w:t>
      </w:r>
      <w:r>
        <w:rPr>
          <w:rFonts w:ascii="宋体"/>
          <w:sz w:val="22"/>
          <w:lang w:val="zh-CN"/>
        </w:rPr>
        <w:t>投标供应商提交的投标文件报价均采用人民币报价。</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1.3</w:t>
      </w:r>
      <w:r>
        <w:rPr>
          <w:rFonts w:hint="eastAsia" w:ascii="宋体"/>
          <w:sz w:val="22"/>
          <w:lang w:val="zh-CN"/>
        </w:rPr>
        <w:t>、</w:t>
      </w:r>
      <w:r>
        <w:rPr>
          <w:rFonts w:ascii="宋体"/>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1.4</w:t>
      </w:r>
      <w:r>
        <w:rPr>
          <w:rFonts w:hint="eastAsia" w:ascii="宋体"/>
          <w:sz w:val="22"/>
          <w:lang w:val="zh-CN"/>
        </w:rPr>
        <w:t>、</w:t>
      </w:r>
      <w:r>
        <w:rPr>
          <w:rFonts w:ascii="宋体"/>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1.5</w:t>
      </w:r>
      <w:r>
        <w:rPr>
          <w:rFonts w:hint="eastAsia" w:ascii="宋体"/>
          <w:sz w:val="22"/>
          <w:lang w:val="zh-CN"/>
        </w:rPr>
        <w:t>、</w:t>
      </w:r>
      <w:r>
        <w:rPr>
          <w:rFonts w:ascii="宋体"/>
          <w:sz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atLeast"/>
        <w:rPr>
          <w:rFonts w:ascii="宋体"/>
          <w:sz w:val="22"/>
          <w:lang w:val="zh-CN"/>
        </w:rPr>
      </w:pPr>
    </w:p>
    <w:p>
      <w:pPr>
        <w:autoSpaceDE w:val="0"/>
        <w:autoSpaceDN w:val="0"/>
        <w:adjustRightInd w:val="0"/>
        <w:snapToGrid w:val="0"/>
        <w:spacing w:line="460" w:lineRule="atLeast"/>
        <w:ind w:firstLine="441" w:firstLineChars="200"/>
        <w:rPr>
          <w:rFonts w:ascii="宋体"/>
          <w:b/>
          <w:bCs/>
          <w:sz w:val="22"/>
          <w:lang w:val="zh-CN"/>
        </w:rPr>
      </w:pPr>
      <w:r>
        <w:rPr>
          <w:rFonts w:hint="eastAsia" w:ascii="宋体"/>
          <w:b/>
          <w:bCs/>
          <w:sz w:val="22"/>
          <w:lang w:val="zh-CN"/>
        </w:rPr>
        <w:t>2、投标文件的组成</w:t>
      </w:r>
    </w:p>
    <w:p>
      <w:pPr>
        <w:autoSpaceDE w:val="0"/>
        <w:autoSpaceDN w:val="0"/>
        <w:adjustRightInd w:val="0"/>
        <w:snapToGrid w:val="0"/>
        <w:spacing w:line="440" w:lineRule="exact"/>
        <w:ind w:firstLine="440" w:firstLineChars="200"/>
        <w:rPr>
          <w:rFonts w:ascii="宋体"/>
          <w:sz w:val="22"/>
          <w:u w:val="single"/>
        </w:rPr>
      </w:pPr>
      <w:r>
        <w:rPr>
          <w:rFonts w:hint="eastAsia" w:ascii="宋体"/>
          <w:sz w:val="22"/>
          <w:u w:val="single"/>
        </w:rPr>
        <w:t>投标文件由“资格文件”、“报价文件”和“商务技术文件”组成。资格文件、商务技术文件不得含报价，否则投标将被拒绝。</w:t>
      </w:r>
    </w:p>
    <w:p>
      <w:pPr>
        <w:pStyle w:val="29"/>
      </w:pPr>
    </w:p>
    <w:p>
      <w:pPr>
        <w:autoSpaceDE w:val="0"/>
        <w:autoSpaceDN w:val="0"/>
        <w:adjustRightInd w:val="0"/>
        <w:snapToGrid w:val="0"/>
        <w:spacing w:line="460" w:lineRule="atLeast"/>
        <w:ind w:firstLine="441" w:firstLineChars="200"/>
        <w:rPr>
          <w:rFonts w:ascii="宋体" w:hAnsi="宋体"/>
          <w:b/>
          <w:kern w:val="0"/>
          <w:sz w:val="22"/>
        </w:rPr>
      </w:pPr>
      <w:r>
        <w:rPr>
          <w:rFonts w:hint="eastAsia" w:ascii="宋体" w:hAnsi="宋体"/>
          <w:b/>
          <w:kern w:val="0"/>
          <w:sz w:val="22"/>
        </w:rPr>
        <w:t>2.1、资格文件组成</w:t>
      </w:r>
    </w:p>
    <w:tbl>
      <w:tblPr>
        <w:tblStyle w:val="3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序号</w:t>
            </w:r>
          </w:p>
        </w:tc>
        <w:tc>
          <w:tcPr>
            <w:tcW w:w="8747" w:type="dxa"/>
          </w:tcPr>
          <w:p>
            <w:pPr>
              <w:autoSpaceDE w:val="0"/>
              <w:autoSpaceDN w:val="0"/>
              <w:adjustRightInd w:val="0"/>
              <w:snapToGrid w:val="0"/>
              <w:spacing w:line="430" w:lineRule="atLeast"/>
              <w:rPr>
                <w:rFonts w:ascii="宋体" w:hAnsi="宋体" w:cs="Courier New"/>
                <w:kern w:val="0"/>
                <w:sz w:val="22"/>
                <w:szCs w:val="20"/>
                <w:lang w:val="zh-CN"/>
              </w:rPr>
            </w:pPr>
            <w:r>
              <w:rPr>
                <w:rFonts w:hint="eastAsia" w:ascii="宋体" w:hAnsi="宋体" w:cs="Courier New"/>
                <w:kern w:val="0"/>
                <w:sz w:val="22"/>
                <w:szCs w:val="20"/>
                <w:lang w:val="zh-CN"/>
              </w:rPr>
              <w:t>内容（</w:t>
            </w:r>
            <w:r>
              <w:rPr>
                <w:rFonts w:hint="eastAsia" w:ascii="宋体" w:hAnsi="宋体" w:cs="Courier New"/>
                <w:b/>
                <w:kern w:val="0"/>
                <w:sz w:val="22"/>
                <w:szCs w:val="20"/>
                <w:lang w:val="zh-CN"/>
              </w:rPr>
              <w:t>以下1-</w:t>
            </w:r>
            <w:r>
              <w:rPr>
                <w:rFonts w:hint="eastAsia" w:ascii="宋体" w:hAnsi="宋体" w:cs="Courier New"/>
                <w:b/>
                <w:kern w:val="0"/>
                <w:sz w:val="22"/>
                <w:szCs w:val="20"/>
              </w:rPr>
              <w:t>8</w:t>
            </w:r>
            <w:r>
              <w:rPr>
                <w:rFonts w:hint="eastAsia" w:ascii="宋体" w:hAnsi="宋体" w:cs="Courier New"/>
                <w:b/>
                <w:kern w:val="0"/>
                <w:sz w:val="22"/>
                <w:szCs w:val="20"/>
                <w:lang w:val="zh-CN"/>
              </w:rPr>
              <w:t>项内容投标供应商必须提供，否则不能通过资格审查。</w:t>
            </w:r>
            <w:r>
              <w:rPr>
                <w:rFonts w:hint="eastAsia" w:ascii="宋体" w:hAnsi="宋体" w:cs="Courier New"/>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1</w:t>
            </w:r>
          </w:p>
        </w:tc>
        <w:tc>
          <w:tcPr>
            <w:tcW w:w="8747" w:type="dxa"/>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Courier New"/>
                <w:kern w:val="0"/>
                <w:sz w:val="22"/>
                <w:szCs w:val="20"/>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宋体"/>
                <w:kern w:val="0"/>
                <w:sz w:val="22"/>
                <w:szCs w:val="20"/>
              </w:rPr>
              <w:t>2</w:t>
            </w:r>
          </w:p>
        </w:tc>
        <w:tc>
          <w:tcPr>
            <w:tcW w:w="8747" w:type="dxa"/>
            <w:vAlign w:val="center"/>
          </w:tcPr>
          <w:p>
            <w:pPr>
              <w:autoSpaceDE w:val="0"/>
              <w:autoSpaceDN w:val="0"/>
              <w:adjustRightInd w:val="0"/>
              <w:snapToGrid w:val="0"/>
              <w:spacing w:line="360" w:lineRule="exact"/>
              <w:rPr>
                <w:rFonts w:ascii="宋体" w:hAnsi="宋体" w:cs="Courier New"/>
                <w:kern w:val="0"/>
                <w:sz w:val="22"/>
                <w:szCs w:val="20"/>
              </w:rPr>
            </w:pPr>
            <w:r>
              <w:rPr>
                <w:rFonts w:hint="eastAsia" w:ascii="宋体" w:hAnsi="宋体" w:cs="宋体"/>
                <w:kern w:val="0"/>
                <w:sz w:val="22"/>
                <w:szCs w:val="20"/>
              </w:rPr>
              <w:t>供应商参加政府采购活动应当具备的一般条件的承诺函（附件一）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3</w:t>
            </w:r>
          </w:p>
        </w:tc>
        <w:tc>
          <w:tcPr>
            <w:tcW w:w="8747" w:type="dxa"/>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投标函（附件四）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宋体"/>
                <w:kern w:val="0"/>
                <w:sz w:val="22"/>
                <w:szCs w:val="20"/>
              </w:rPr>
              <w:t>4</w:t>
            </w:r>
          </w:p>
        </w:tc>
        <w:tc>
          <w:tcPr>
            <w:tcW w:w="8747" w:type="dxa"/>
            <w:vAlign w:val="center"/>
          </w:tcPr>
          <w:p>
            <w:pPr>
              <w:autoSpaceDE w:val="0"/>
              <w:autoSpaceDN w:val="0"/>
              <w:adjustRightInd w:val="0"/>
              <w:snapToGrid w:val="0"/>
              <w:spacing w:line="360" w:lineRule="exact"/>
              <w:rPr>
                <w:rFonts w:ascii="宋体" w:hAnsi="宋体" w:cs="Courier New"/>
                <w:kern w:val="0"/>
                <w:sz w:val="22"/>
                <w:szCs w:val="20"/>
              </w:rPr>
            </w:pPr>
            <w:r>
              <w:rPr>
                <w:rFonts w:hint="eastAsia" w:ascii="宋体" w:hAnsi="宋体" w:cs="宋体"/>
                <w:kern w:val="0"/>
                <w:sz w:val="22"/>
                <w:szCs w:val="20"/>
              </w:rPr>
              <w:t>法定代表人授权书（附件五），法定代表人参与投标的仅需提供法定代表人的身份证扫描件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宋体"/>
                <w:kern w:val="0"/>
                <w:sz w:val="22"/>
                <w:szCs w:val="20"/>
              </w:rPr>
              <w:t>5</w:t>
            </w:r>
          </w:p>
        </w:tc>
        <w:tc>
          <w:tcPr>
            <w:tcW w:w="8747" w:type="dxa"/>
            <w:vAlign w:val="center"/>
          </w:tcPr>
          <w:p>
            <w:pPr>
              <w:autoSpaceDE w:val="0"/>
              <w:autoSpaceDN w:val="0"/>
              <w:adjustRightInd w:val="0"/>
              <w:snapToGrid w:val="0"/>
              <w:spacing w:line="360" w:lineRule="exact"/>
              <w:rPr>
                <w:rFonts w:ascii="宋体" w:hAnsi="宋体" w:cs="Courier New"/>
                <w:kern w:val="0"/>
                <w:sz w:val="22"/>
                <w:szCs w:val="20"/>
              </w:rPr>
            </w:pPr>
            <w:r>
              <w:rPr>
                <w:rFonts w:hint="eastAsia" w:ascii="宋体" w:hAnsi="宋体" w:cs="宋体"/>
                <w:kern w:val="0"/>
                <w:sz w:val="22"/>
                <w:szCs w:val="20"/>
              </w:rPr>
              <w:t>法定代表人诚信投标承诺书（附件六）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rPr>
              <w:t>6</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投标供应商特定资格条件证明：</w:t>
            </w:r>
            <w:r>
              <w:rPr>
                <w:rFonts w:hint="eastAsia" w:ascii="宋体" w:hAnsi="宋体" w:cs="宋体"/>
                <w:kern w:val="0"/>
                <w:sz w:val="22"/>
                <w:szCs w:val="20"/>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7</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投标供应商“信用中国”(www.creditchina.gov.cn)；“中国政府采购网”（www.ccgp.gov.cn）信用记录查询网页截图（招标公告发布之日至投标截止时间前）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8</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中小企业声明函</w:t>
            </w:r>
          </w:p>
        </w:tc>
      </w:tr>
    </w:tbl>
    <w:p>
      <w:pPr>
        <w:autoSpaceDE w:val="0"/>
        <w:autoSpaceDN w:val="0"/>
        <w:adjustRightInd w:val="0"/>
        <w:snapToGrid w:val="0"/>
        <w:spacing w:line="460" w:lineRule="atLeast"/>
        <w:ind w:firstLine="440" w:firstLineChars="200"/>
        <w:rPr>
          <w:rFonts w:ascii="宋体" w:hAnsi="宋体"/>
          <w:kern w:val="0"/>
          <w:sz w:val="22"/>
          <w:lang w:val="zh-CN"/>
        </w:rPr>
      </w:pPr>
      <w:r>
        <w:rPr>
          <w:rFonts w:hint="eastAsia" w:ascii="宋体" w:hAnsi="宋体"/>
          <w:kern w:val="0"/>
          <w:sz w:val="22"/>
          <w:lang w:val="zh-CN"/>
        </w:rPr>
        <w:t>2.2、</w:t>
      </w:r>
      <w:r>
        <w:rPr>
          <w:rFonts w:hint="eastAsia" w:ascii="宋体" w:hAnsi="宋体"/>
          <w:b/>
          <w:kern w:val="0"/>
          <w:sz w:val="22"/>
        </w:rPr>
        <w:t>报价文件</w:t>
      </w:r>
      <w:r>
        <w:rPr>
          <w:rFonts w:hint="eastAsia" w:ascii="宋体" w:hAnsi="宋体"/>
          <w:b/>
          <w:kern w:val="0"/>
          <w:sz w:val="22"/>
          <w:lang w:val="zh-CN"/>
        </w:rPr>
        <w:t>组成</w:t>
      </w:r>
    </w:p>
    <w:tbl>
      <w:tblPr>
        <w:tblStyle w:val="3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序号</w:t>
            </w:r>
          </w:p>
        </w:tc>
        <w:tc>
          <w:tcPr>
            <w:tcW w:w="8811"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r>
              <w:rPr>
                <w:rFonts w:hint="eastAsia" w:ascii="宋体" w:hAnsi="宋体" w:cs="宋体"/>
                <w:b/>
                <w:kern w:val="0"/>
                <w:sz w:val="22"/>
                <w:szCs w:val="20"/>
                <w:lang w:val="zh-CN"/>
              </w:rPr>
              <w:t>序号2-3项投标供应商必须提供，否则不能通过符合性审查。</w:t>
            </w:r>
            <w:r>
              <w:rPr>
                <w:rFonts w:hint="eastAsia" w:ascii="宋体" w:hAnsi="宋体" w:cs="宋体"/>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8811"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kern w:val="0"/>
                <w:sz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2</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开标一览表（附件二）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3</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lang w:val="zh-CN"/>
              </w:rPr>
            </w:pPr>
            <w:r>
              <w:rPr>
                <w:rFonts w:hint="eastAsia" w:ascii="宋体" w:hAnsi="宋体" w:cs="宋体"/>
                <w:kern w:val="0"/>
                <w:sz w:val="22"/>
                <w:szCs w:val="20"/>
              </w:rPr>
              <w:t>投标费用明细表（附件三）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rPr>
              <w:t>4</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其他须说明的资料（如有则提供）</w:t>
            </w:r>
          </w:p>
        </w:tc>
      </w:tr>
    </w:tbl>
    <w:p>
      <w:pPr>
        <w:autoSpaceDE w:val="0"/>
        <w:autoSpaceDN w:val="0"/>
        <w:adjustRightInd w:val="0"/>
        <w:snapToGrid w:val="0"/>
        <w:spacing w:line="460" w:lineRule="atLeast"/>
        <w:ind w:firstLine="440" w:firstLineChars="200"/>
        <w:textAlignment w:val="bottom"/>
        <w:rPr>
          <w:rFonts w:ascii="宋体" w:hAnsi="宋体"/>
          <w:kern w:val="0"/>
          <w:sz w:val="22"/>
        </w:rPr>
      </w:pPr>
      <w:r>
        <w:rPr>
          <w:rFonts w:hint="eastAsia" w:ascii="宋体" w:hAnsi="宋体"/>
          <w:kern w:val="0"/>
          <w:sz w:val="22"/>
        </w:rPr>
        <w:t>2.3、</w:t>
      </w:r>
      <w:r>
        <w:rPr>
          <w:rFonts w:hint="eastAsia" w:ascii="宋体" w:hAnsi="宋体"/>
          <w:b/>
          <w:kern w:val="0"/>
          <w:sz w:val="22"/>
        </w:rPr>
        <w:t>商务技术文件组成</w:t>
      </w:r>
    </w:p>
    <w:tbl>
      <w:tblPr>
        <w:tblStyle w:val="3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序号</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kern w:val="0"/>
                <w:sz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rPr>
              <w:t>2</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偏离表（附件九）（如不填写，采购人有权视为完全响应招标文件的技术及商务要求）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3</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投标供应商业绩（附件</w:t>
            </w:r>
            <w:r>
              <w:rPr>
                <w:rFonts w:hint="eastAsia" w:cs="Arial"/>
                <w:sz w:val="22"/>
              </w:rPr>
              <w:t>七</w:t>
            </w:r>
            <w:r>
              <w:rPr>
                <w:rFonts w:hint="eastAsia" w:ascii="宋体" w:hAnsi="宋体" w:cs="宋体"/>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4</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kern w:val="0"/>
                <w:sz w:val="22"/>
                <w:szCs w:val="20"/>
              </w:rPr>
              <w:t>拟派本项目成员组成表（附件八）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rPr>
              <w:t>5</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所投货物的品牌型号[货物类]（附件十）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rPr>
              <w:t>6</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根据招标文件需要提供的其它文件和资料（如有则提供）</w:t>
            </w:r>
          </w:p>
        </w:tc>
      </w:tr>
    </w:tbl>
    <w:p>
      <w:pPr>
        <w:pStyle w:val="29"/>
        <w:ind w:left="0" w:leftChars="0" w:firstLine="0" w:firstLineChars="0"/>
        <w:rPr>
          <w:rFonts w:asciiTheme="minorEastAsia" w:hAnsiTheme="minorEastAsia" w:eastAsiaTheme="minorEastAsia" w:cstheme="minorEastAsia"/>
          <w:sz w:val="22"/>
          <w:szCs w:val="22"/>
        </w:rPr>
      </w:pPr>
    </w:p>
    <w:p>
      <w:pPr>
        <w:autoSpaceDE w:val="0"/>
        <w:autoSpaceDN w:val="0"/>
        <w:adjustRightInd w:val="0"/>
        <w:snapToGrid w:val="0"/>
        <w:ind w:firstLine="422"/>
        <w:textAlignment w:val="bottom"/>
        <w:rPr>
          <w:rFonts w:ascii="宋体"/>
          <w:sz w:val="22"/>
        </w:rPr>
      </w:pPr>
      <w:r>
        <w:rPr>
          <w:rFonts w:hint="eastAsia" w:ascii="宋体"/>
          <w:b/>
          <w:bCs/>
          <w:sz w:val="22"/>
        </w:rPr>
        <w:t>3、投标报价</w:t>
      </w:r>
    </w:p>
    <w:p>
      <w:pPr>
        <w:autoSpaceDE w:val="0"/>
        <w:autoSpaceDN w:val="0"/>
        <w:adjustRightInd w:val="0"/>
        <w:rPr>
          <w:rFonts w:ascii="宋体"/>
          <w:sz w:val="22"/>
          <w:lang w:val="zh-CN"/>
        </w:rPr>
      </w:pPr>
      <w:r>
        <w:rPr>
          <w:rFonts w:hint="eastAsia" w:ascii="宋体"/>
          <w:sz w:val="22"/>
        </w:rPr>
        <w:t xml:space="preserve">    3.1、投标供应商应按招标文件中《开标一览表》填写投标总价。</w:t>
      </w:r>
    </w:p>
    <w:p>
      <w:pPr>
        <w:autoSpaceDE w:val="0"/>
        <w:autoSpaceDN w:val="0"/>
        <w:adjustRightInd w:val="0"/>
        <w:snapToGrid w:val="0"/>
        <w:ind w:firstLine="440" w:firstLineChars="200"/>
        <w:textAlignment w:val="bottom"/>
        <w:rPr>
          <w:rFonts w:ascii="宋体"/>
          <w:sz w:val="22"/>
        </w:rPr>
      </w:pPr>
      <w:r>
        <w:rPr>
          <w:rFonts w:hint="eastAsia" w:ascii="宋体"/>
          <w:sz w:val="22"/>
        </w:rPr>
        <w:t>3.2、本次招标只允许有一个报价，有选择的报价将不予接受。</w:t>
      </w:r>
    </w:p>
    <w:p>
      <w:pPr>
        <w:autoSpaceDE w:val="0"/>
        <w:autoSpaceDN w:val="0"/>
        <w:adjustRightInd w:val="0"/>
        <w:snapToGrid w:val="0"/>
        <w:ind w:firstLine="440" w:firstLineChars="200"/>
        <w:textAlignment w:val="bottom"/>
        <w:rPr>
          <w:rFonts w:ascii="宋体"/>
          <w:sz w:val="22"/>
        </w:rPr>
      </w:pPr>
      <w:r>
        <w:rPr>
          <w:rFonts w:hint="eastAsia" w:ascii="宋体"/>
          <w:sz w:val="22"/>
        </w:rPr>
        <w:t>3.3、投标供应商应考虑企业自身实力、经验及项目实施过程中的各种因素，自主确定报价。投标供应商应在各自技术和商务占优势的基础上并充分考虑本项目的重要性，提供对采购人最优惠的报价。</w:t>
      </w:r>
    </w:p>
    <w:p>
      <w:pPr>
        <w:autoSpaceDE w:val="0"/>
        <w:autoSpaceDN w:val="0"/>
        <w:adjustRightInd w:val="0"/>
        <w:snapToGrid w:val="0"/>
        <w:ind w:firstLine="440" w:firstLineChars="200"/>
        <w:textAlignment w:val="bottom"/>
        <w:rPr>
          <w:rFonts w:ascii="宋体"/>
          <w:sz w:val="22"/>
        </w:rPr>
      </w:pPr>
      <w:r>
        <w:rPr>
          <w:rFonts w:hint="eastAsia" w:ascii="宋体"/>
          <w:sz w:val="22"/>
        </w:rPr>
        <w:t>投标供应商在投标报价中应充分考虑所有可能发生的费用，否则采购人将视投标总价中已包括所有费用。</w:t>
      </w:r>
    </w:p>
    <w:p>
      <w:pPr>
        <w:autoSpaceDE w:val="0"/>
        <w:autoSpaceDN w:val="0"/>
        <w:adjustRightInd w:val="0"/>
        <w:snapToGrid w:val="0"/>
        <w:ind w:firstLine="550" w:firstLineChars="250"/>
        <w:textAlignment w:val="bottom"/>
        <w:rPr>
          <w:rFonts w:ascii="宋体"/>
          <w:sz w:val="22"/>
        </w:rPr>
      </w:pPr>
      <w:r>
        <w:rPr>
          <w:rFonts w:hint="eastAsia" w:ascii="宋体"/>
          <w:sz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ind w:firstLine="422"/>
        <w:textAlignment w:val="bottom"/>
        <w:rPr>
          <w:rFonts w:ascii="宋体"/>
          <w:sz w:val="22"/>
        </w:rPr>
      </w:pPr>
    </w:p>
    <w:p>
      <w:pPr>
        <w:autoSpaceDE w:val="0"/>
        <w:autoSpaceDN w:val="0"/>
        <w:adjustRightInd w:val="0"/>
        <w:snapToGrid w:val="0"/>
        <w:ind w:firstLine="422"/>
        <w:textAlignment w:val="bottom"/>
        <w:rPr>
          <w:rFonts w:ascii="宋体"/>
          <w:sz w:val="22"/>
        </w:rPr>
      </w:pPr>
      <w:r>
        <w:rPr>
          <w:rFonts w:hint="eastAsia" w:ascii="宋体"/>
          <w:sz w:val="22"/>
        </w:rPr>
        <w:t>4、采购人要求分类报价是为了方便评标，但在任何情况下不限制采购人以其认为最合适的条款签订合同的权利。</w:t>
      </w:r>
    </w:p>
    <w:p>
      <w:pPr>
        <w:pStyle w:val="15"/>
        <w:adjustRightInd w:val="0"/>
        <w:snapToGrid w:val="0"/>
        <w:spacing w:before="156" w:after="156" w:line="240" w:lineRule="auto"/>
        <w:ind w:firstLine="441" w:firstLineChars="200"/>
        <w:rPr>
          <w:rFonts w:hAnsi="宋体"/>
          <w:b/>
          <w:bCs/>
          <w:sz w:val="22"/>
          <w:szCs w:val="22"/>
        </w:rPr>
      </w:pPr>
      <w:bookmarkStart w:id="200" w:name="_Toc132122117"/>
      <w:bookmarkStart w:id="201" w:name="_Toc132122414"/>
      <w:r>
        <w:rPr>
          <w:rFonts w:hint="eastAsia" w:hAnsi="宋体"/>
          <w:b/>
          <w:bCs/>
          <w:sz w:val="22"/>
          <w:szCs w:val="22"/>
        </w:rPr>
        <w:t>5、投标文件的有效期</w:t>
      </w:r>
      <w:bookmarkEnd w:id="200"/>
      <w:bookmarkEnd w:id="201"/>
    </w:p>
    <w:p>
      <w:pPr>
        <w:pStyle w:val="15"/>
        <w:adjustRightInd w:val="0"/>
        <w:snapToGrid w:val="0"/>
        <w:spacing w:before="156" w:after="156" w:line="240" w:lineRule="auto"/>
        <w:ind w:firstLine="440" w:firstLineChars="200"/>
        <w:rPr>
          <w:rFonts w:hAnsi="宋体"/>
          <w:sz w:val="22"/>
          <w:szCs w:val="22"/>
        </w:rPr>
      </w:pPr>
      <w:r>
        <w:rPr>
          <w:rFonts w:hint="eastAsia" w:hAnsi="宋体"/>
          <w:sz w:val="22"/>
          <w:szCs w:val="22"/>
        </w:rPr>
        <w:t>5.1、自</w:t>
      </w:r>
      <w:r>
        <w:rPr>
          <w:rFonts w:hint="eastAsia" w:hAnsi="宋体" w:cs="宋体"/>
          <w:sz w:val="22"/>
        </w:rPr>
        <w:t>提交投标文件截止时间起90天</w:t>
      </w:r>
      <w:r>
        <w:rPr>
          <w:rFonts w:hint="eastAsia" w:hAnsi="宋体"/>
          <w:sz w:val="22"/>
          <w:szCs w:val="22"/>
        </w:rPr>
        <w:t>，投标文件应保持有效。有效期短于这个规定期限的投标将被拒绝。</w:t>
      </w:r>
    </w:p>
    <w:p>
      <w:pPr>
        <w:pStyle w:val="15"/>
        <w:adjustRightInd w:val="0"/>
        <w:snapToGrid w:val="0"/>
        <w:spacing w:before="156" w:after="156" w:line="240" w:lineRule="auto"/>
        <w:ind w:firstLine="440" w:firstLineChars="200"/>
        <w:rPr>
          <w:rFonts w:hAnsi="宋体"/>
          <w:sz w:val="22"/>
          <w:szCs w:val="22"/>
        </w:rPr>
      </w:pPr>
      <w:r>
        <w:rPr>
          <w:rFonts w:hint="eastAsia" w:hAnsi="宋体"/>
          <w:sz w:val="22"/>
          <w:szCs w:val="22"/>
        </w:rPr>
        <w:t>5.2、在特殊情况下，采购人可与投标供应商协商延长投标文件的有效期，这种要求和答复均应以书面形式进行。</w:t>
      </w:r>
    </w:p>
    <w:p>
      <w:pPr>
        <w:pStyle w:val="15"/>
        <w:adjustRightInd w:val="0"/>
        <w:snapToGrid w:val="0"/>
        <w:spacing w:before="156" w:after="156" w:line="240" w:lineRule="auto"/>
        <w:ind w:firstLine="440" w:firstLineChars="200"/>
        <w:rPr>
          <w:rFonts w:hAnsi="宋体"/>
          <w:sz w:val="22"/>
          <w:szCs w:val="22"/>
        </w:rPr>
      </w:pPr>
      <w:r>
        <w:rPr>
          <w:rFonts w:hint="eastAsia" w:hAnsi="宋体"/>
          <w:sz w:val="22"/>
          <w:szCs w:val="22"/>
        </w:rPr>
        <w:t>5.3、投标供应商可拒绝接受延期要求，同意延长有效期的投标供应商不能修改投标文件。</w:t>
      </w:r>
    </w:p>
    <w:p>
      <w:pPr>
        <w:pStyle w:val="41"/>
        <w:spacing w:before="0" w:line="460" w:lineRule="exact"/>
        <w:ind w:firstLine="442"/>
        <w:rPr>
          <w:rFonts w:ascii="宋体" w:hAnsi="宋体" w:cs="仿宋_GB2312"/>
          <w:b/>
          <w:bCs/>
          <w:kern w:val="0"/>
          <w:sz w:val="22"/>
        </w:rPr>
      </w:pPr>
      <w:r>
        <w:rPr>
          <w:rFonts w:hint="eastAsia" w:ascii="宋体" w:hAnsi="宋体"/>
          <w:b/>
          <w:bCs/>
          <w:sz w:val="22"/>
        </w:rPr>
        <w:t>6、</w:t>
      </w:r>
      <w:r>
        <w:rPr>
          <w:rFonts w:hint="eastAsia" w:ascii="宋体" w:hAnsi="宋体" w:cs="仿宋_GB2312"/>
          <w:b/>
          <w:bCs/>
          <w:kern w:val="0"/>
          <w:sz w:val="22"/>
          <w:lang w:val="zh-CN"/>
        </w:rPr>
        <w:t>投标文件编制</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6.1、</w:t>
      </w:r>
      <w:r>
        <w:rPr>
          <w:rFonts w:hint="eastAsia" w:ascii="宋体" w:hAnsi="宋体" w:cs="仿宋_GB2312"/>
          <w:kern w:val="0"/>
          <w:sz w:val="22"/>
          <w:lang w:val="zh-CN"/>
        </w:rPr>
        <w:t>本项目通过</w:t>
      </w:r>
      <w:r>
        <w:rPr>
          <w:rFonts w:hint="eastAsia" w:ascii="宋体" w:hAnsi="宋体" w:cs="仿宋_GB2312"/>
          <w:kern w:val="0"/>
          <w:sz w:val="22"/>
        </w:rPr>
        <w:t>“</w:t>
      </w:r>
      <w:r>
        <w:rPr>
          <w:rFonts w:hint="eastAsia" w:ascii="宋体" w:hAnsi="宋体" w:cs="仿宋_GB2312"/>
          <w:kern w:val="0"/>
          <w:sz w:val="22"/>
          <w:lang w:val="zh-CN"/>
        </w:rPr>
        <w:t>政府采购云平台</w:t>
      </w:r>
      <w:r>
        <w:rPr>
          <w:rFonts w:hint="eastAsia" w:ascii="宋体" w:hAnsi="宋体" w:cs="仿宋_GB2312"/>
          <w:kern w:val="0"/>
          <w:sz w:val="22"/>
        </w:rPr>
        <w:t>（www.zcygov.cn）”</w:t>
      </w:r>
      <w:r>
        <w:rPr>
          <w:rFonts w:hint="eastAsia" w:ascii="宋体" w:hAnsi="宋体" w:cs="仿宋_GB2312"/>
          <w:kern w:val="0"/>
          <w:sz w:val="22"/>
          <w:lang w:val="zh-CN"/>
        </w:rPr>
        <w:t>实行在线投标响应</w:t>
      </w:r>
      <w:r>
        <w:rPr>
          <w:rFonts w:hint="eastAsia" w:ascii="宋体" w:hAnsi="宋体" w:cs="仿宋_GB2312"/>
          <w:kern w:val="0"/>
          <w:sz w:val="22"/>
        </w:rPr>
        <w:t>（</w:t>
      </w:r>
      <w:r>
        <w:rPr>
          <w:rFonts w:hint="eastAsia" w:ascii="宋体" w:hAnsi="宋体" w:cs="仿宋_GB2312"/>
          <w:kern w:val="0"/>
          <w:sz w:val="22"/>
          <w:lang w:val="zh-CN"/>
        </w:rPr>
        <w:t>电子投标</w:t>
      </w:r>
      <w:r>
        <w:rPr>
          <w:rFonts w:hint="eastAsia" w:ascii="宋体" w:hAnsi="宋体" w:cs="仿宋_GB2312"/>
          <w:kern w:val="0"/>
          <w:sz w:val="22"/>
        </w:rPr>
        <w:t>）</w:t>
      </w:r>
      <w:r>
        <w:rPr>
          <w:rFonts w:hint="eastAsia" w:ascii="宋体" w:hAnsi="宋体" w:cs="仿宋_GB2312"/>
          <w:kern w:val="0"/>
          <w:sz w:val="22"/>
          <w:lang w:val="zh-CN"/>
        </w:rPr>
        <w:t>。供应商应通过“政采云电子交易客户端”，并按照本招标文件和“政府采购云平台”的要求编制并加密投标文件。</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.2、</w:t>
      </w:r>
      <w:r>
        <w:rPr>
          <w:rFonts w:hint="eastAsia" w:ascii="宋体" w:hAnsi="宋体" w:cs="仿宋_GB2312"/>
          <w:b/>
          <w:bCs/>
          <w:kern w:val="0"/>
          <w:sz w:val="22"/>
          <w:lang w:val="zh-CN"/>
        </w:rPr>
        <w:t>投标人应根据“政采云供应商项目采购-电子招投标操作指南”及本招标文件规定的</w:t>
      </w:r>
      <w:r>
        <w:rPr>
          <w:rFonts w:hint="eastAsia" w:ascii="宋体" w:hAnsi="宋体" w:cs="仿宋_GB2312"/>
          <w:b/>
          <w:bCs/>
          <w:kern w:val="0"/>
          <w:sz w:val="22"/>
        </w:rPr>
        <w:t>内容</w:t>
      </w:r>
      <w:r>
        <w:rPr>
          <w:rFonts w:hint="eastAsia" w:ascii="宋体" w:hAnsi="宋体" w:cs="仿宋_GB2312"/>
          <w:b/>
          <w:bCs/>
          <w:kern w:val="0"/>
          <w:sz w:val="22"/>
          <w:lang w:val="zh-CN"/>
        </w:rPr>
        <w:t>和顺序编制电子投标文件并进行关联定位。</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.3、投标供应商没有按照本章节 “投标文件的组成”要求提供全部资料，或者没有仔细阅读招标文件，或者没有对招标文件在各方面的要求作出实质性响应是投标供应商的风险，由此造成的一切后果由投标供应商自行承担。</w:t>
      </w:r>
      <w:bookmarkStart w:id="202" w:name="_Hlt68403820"/>
      <w:bookmarkEnd w:id="202"/>
      <w:bookmarkStart w:id="203" w:name="_Hlt68073093"/>
      <w:bookmarkEnd w:id="203"/>
      <w:bookmarkStart w:id="204" w:name="_Hlt68072998"/>
      <w:bookmarkEnd w:id="204"/>
    </w:p>
    <w:p>
      <w:pPr>
        <w:pStyle w:val="41"/>
        <w:spacing w:before="0" w:line="460" w:lineRule="exact"/>
        <w:ind w:firstLine="440"/>
        <w:rPr>
          <w:rFonts w:ascii="宋体" w:hAnsi="宋体" w:cs="仿宋_GB2312"/>
          <w:kern w:val="0"/>
          <w:sz w:val="22"/>
          <w:lang w:val="zh-CN"/>
        </w:rPr>
      </w:pPr>
    </w:p>
    <w:p>
      <w:pPr>
        <w:pStyle w:val="41"/>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7</w:t>
      </w:r>
      <w:r>
        <w:rPr>
          <w:rFonts w:hint="eastAsia" w:ascii="宋体" w:hAnsi="宋体" w:cs="仿宋_GB2312"/>
          <w:b/>
          <w:bCs/>
          <w:kern w:val="0"/>
          <w:sz w:val="22"/>
          <w:lang w:val="zh-CN"/>
        </w:rPr>
        <w:t>、</w:t>
      </w:r>
      <w:r>
        <w:rPr>
          <w:rFonts w:hint="eastAsia"/>
          <w:b/>
          <w:bCs/>
          <w:sz w:val="22"/>
        </w:rPr>
        <w:t xml:space="preserve"> </w:t>
      </w:r>
      <w:r>
        <w:rPr>
          <w:rFonts w:hint="eastAsia" w:ascii="宋体" w:hAnsi="宋体" w:cs="仿宋_GB2312"/>
          <w:b/>
          <w:bCs/>
          <w:kern w:val="0"/>
          <w:sz w:val="22"/>
          <w:lang w:val="zh-CN"/>
        </w:rPr>
        <w:t>投标文件的签章</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7</w:t>
      </w:r>
      <w:r>
        <w:rPr>
          <w:rFonts w:hint="eastAsia" w:ascii="宋体" w:hAnsi="宋体" w:cs="仿宋_GB2312"/>
          <w:kern w:val="0"/>
          <w:sz w:val="22"/>
          <w:lang w:val="zh-CN"/>
        </w:rPr>
        <w:t>.1、投标文件的签章：见《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41"/>
        <w:spacing w:before="0" w:line="460" w:lineRule="exact"/>
        <w:ind w:firstLine="440"/>
        <w:rPr>
          <w:rFonts w:ascii="宋体" w:hAnsi="宋体"/>
          <w:sz w:val="22"/>
        </w:rPr>
      </w:pPr>
      <w:r>
        <w:rPr>
          <w:rFonts w:hint="eastAsia" w:ascii="宋体" w:hAnsi="宋体" w:cs="仿宋_GB2312"/>
          <w:kern w:val="0"/>
          <w:sz w:val="22"/>
        </w:rPr>
        <w:t>7</w:t>
      </w:r>
      <w:r>
        <w:rPr>
          <w:rFonts w:hint="eastAsia" w:ascii="宋体" w:hAnsi="宋体" w:cs="仿宋_GB2312"/>
          <w:kern w:val="0"/>
          <w:sz w:val="22"/>
          <w:lang w:val="zh-CN"/>
        </w:rPr>
        <w:t>.2、</w:t>
      </w:r>
      <w:r>
        <w:rPr>
          <w:rFonts w:hint="eastAsia" w:ascii="宋体" w:hAnsi="宋体"/>
          <w:sz w:val="22"/>
        </w:rPr>
        <w:t>CA</w:t>
      </w:r>
      <w:r>
        <w:rPr>
          <w:rFonts w:ascii="宋体" w:hAnsi="宋体"/>
          <w:sz w:val="22"/>
        </w:rPr>
        <w:t>电子签章操作指南详见《</w:t>
      </w:r>
      <w:r>
        <w:rPr>
          <w:rFonts w:hint="eastAsia" w:ascii="宋体" w:hAnsi="宋体"/>
          <w:sz w:val="22"/>
        </w:rPr>
        <w:t>供应商</w:t>
      </w:r>
      <w:r>
        <w:rPr>
          <w:rFonts w:ascii="宋体" w:hAnsi="宋体"/>
          <w:sz w:val="22"/>
        </w:rPr>
        <w:t>-政府采购项目电子交易操作指南》（</w:t>
      </w:r>
      <w:r>
        <w:fldChar w:fldCharType="begin"/>
      </w:r>
      <w:r>
        <w:instrText xml:space="preserve"> HYPERLINK "https://help.zcygov.cn/web/site_2/2018/12-28/2573.html" </w:instrText>
      </w:r>
      <w:r>
        <w:fldChar w:fldCharType="separate"/>
      </w:r>
      <w:r>
        <w:rPr>
          <w:rStyle w:val="35"/>
          <w:color w:val="auto"/>
          <w:sz w:val="22"/>
          <w:u w:val="none"/>
        </w:rPr>
        <w:t>https://help.zcygov.cn/web/site_2/2018/12-28/2573.html</w:t>
      </w:r>
      <w:r>
        <w:rPr>
          <w:rStyle w:val="35"/>
          <w:color w:val="auto"/>
          <w:sz w:val="22"/>
          <w:u w:val="none"/>
        </w:rPr>
        <w:fldChar w:fldCharType="end"/>
      </w:r>
      <w:r>
        <w:rPr>
          <w:rFonts w:ascii="宋体" w:hAnsi="宋体"/>
          <w:sz w:val="22"/>
        </w:rPr>
        <w:t>）</w:t>
      </w:r>
      <w:r>
        <w:rPr>
          <w:rFonts w:hint="eastAsia" w:ascii="宋体" w:hAnsi="宋体"/>
          <w:sz w:val="22"/>
        </w:rPr>
        <w:t>。</w:t>
      </w:r>
    </w:p>
    <w:p>
      <w:pPr>
        <w:pStyle w:val="41"/>
        <w:spacing w:before="0" w:line="460" w:lineRule="exact"/>
        <w:ind w:firstLine="440"/>
        <w:rPr>
          <w:rFonts w:ascii="宋体" w:hAnsi="宋体"/>
          <w:sz w:val="22"/>
          <w:lang w:val="zh-CN"/>
        </w:rPr>
      </w:pPr>
    </w:p>
    <w:p>
      <w:pPr>
        <w:pStyle w:val="41"/>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8</w:t>
      </w:r>
      <w:r>
        <w:rPr>
          <w:rFonts w:hint="eastAsia" w:ascii="宋体" w:hAnsi="宋体" w:cs="仿宋_GB2312"/>
          <w:b/>
          <w:bCs/>
          <w:kern w:val="0"/>
          <w:sz w:val="22"/>
          <w:lang w:val="zh-CN"/>
        </w:rPr>
        <w:t>、投标文件的形式</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.1、投标文件的形式：见《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.2、“电子加密投标文件”：“电子加密投标文件”是指通过“政采云电子交易客户端”完成投标文件编制后生成并加密的数据电文形式的投标文件。</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.3、</w:t>
      </w:r>
      <w:r>
        <w:rPr>
          <w:rFonts w:ascii="宋体" w:hAnsi="宋体" w:cs="仿宋_GB2312"/>
          <w:kern w:val="0"/>
          <w:sz w:val="22"/>
          <w:lang w:val="zh-CN"/>
        </w:rPr>
        <w:t>投标文件的份数</w:t>
      </w:r>
    </w:p>
    <w:p>
      <w:pPr>
        <w:pStyle w:val="41"/>
        <w:spacing w:before="0" w:line="460" w:lineRule="exact"/>
        <w:ind w:firstLine="440"/>
        <w:rPr>
          <w:rFonts w:ascii="宋体" w:hAnsi="宋体"/>
          <w:sz w:val="22"/>
        </w:rPr>
      </w:pPr>
      <w:r>
        <w:rPr>
          <w:rFonts w:ascii="宋体" w:hAnsi="宋体"/>
          <w:sz w:val="22"/>
        </w:rPr>
        <w:t>投标文件的份数：见《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ascii="宋体" w:hAnsi="宋体"/>
          <w:sz w:val="22"/>
        </w:rPr>
        <w:t>》。</w:t>
      </w:r>
    </w:p>
    <w:p>
      <w:pPr>
        <w:pStyle w:val="41"/>
        <w:spacing w:before="0" w:line="460" w:lineRule="exact"/>
        <w:ind w:firstLine="440"/>
        <w:rPr>
          <w:rFonts w:ascii="宋体" w:hAnsi="宋体"/>
          <w:sz w:val="22"/>
        </w:rPr>
      </w:pPr>
    </w:p>
    <w:p>
      <w:pPr>
        <w:pStyle w:val="41"/>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四、投标</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1、投标文件的上传和递交</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“投标文件”的上传、递交：见《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2、“电子加密投标文件”解密</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“电子加密投标文件”解密：见《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3、投标文件的补充、修改或撤回</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3.2、投标截止时间后，投标供应商不得撤回、修改投标文件。</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4、投标文件的备选方案</w:t>
      </w:r>
    </w:p>
    <w:p>
      <w:pPr>
        <w:pStyle w:val="41"/>
        <w:spacing w:before="0" w:line="460" w:lineRule="exact"/>
        <w:ind w:firstLine="440"/>
        <w:rPr>
          <w:rFonts w:ascii="宋体" w:hAnsi="宋体" w:cs="仿宋_GB2312"/>
          <w:kern w:val="0"/>
          <w:sz w:val="22"/>
          <w:lang w:val="zh-CN"/>
        </w:rPr>
      </w:pPr>
      <w:r>
        <w:rPr>
          <w:rFonts w:ascii="宋体" w:hAnsi="宋体" w:cs="仿宋_GB2312"/>
          <w:kern w:val="0"/>
          <w:sz w:val="22"/>
          <w:lang w:val="zh-CN"/>
        </w:rPr>
        <w:t>投标供应商不得递交任何的投标备选（替代）方案，否则其投标文件将作无效标处理。</w:t>
      </w:r>
    </w:p>
    <w:p>
      <w:pPr>
        <w:snapToGrid w:val="0"/>
        <w:spacing w:line="460" w:lineRule="atLeast"/>
        <w:ind w:firstLine="441" w:firstLineChars="200"/>
        <w:rPr>
          <w:rFonts w:ascii="宋体"/>
          <w:b/>
          <w:bCs/>
          <w:sz w:val="22"/>
        </w:rPr>
      </w:pPr>
      <w:bookmarkStart w:id="205" w:name="_Toc132655777"/>
      <w:bookmarkStart w:id="206" w:name="_Toc132123635"/>
      <w:bookmarkStart w:id="207" w:name="_Toc132125984"/>
      <w:bookmarkStart w:id="208" w:name="_Toc132126155"/>
      <w:bookmarkStart w:id="209" w:name="_Toc132125575"/>
      <w:bookmarkStart w:id="210" w:name="_Toc132125152"/>
      <w:bookmarkStart w:id="211" w:name="_Toc132123839"/>
      <w:bookmarkStart w:id="212" w:name="_Toc132122417"/>
      <w:bookmarkStart w:id="213" w:name="_Toc132125096"/>
      <w:bookmarkStart w:id="214" w:name="_Toc132123882"/>
      <w:bookmarkStart w:id="215" w:name="_Toc132123548"/>
      <w:bookmarkStart w:id="216" w:name="_Toc132122120"/>
      <w:bookmarkStart w:id="217" w:name="_Toc132125038"/>
      <w:bookmarkStart w:id="218" w:name="_Toc132124595"/>
      <w:bookmarkStart w:id="219" w:name="_Toc132123440"/>
      <w:r>
        <w:rPr>
          <w:rFonts w:hint="eastAsia" w:ascii="宋体"/>
          <w:b/>
          <w:bCs/>
          <w:sz w:val="22"/>
        </w:rPr>
        <w:t>五、开标和评标</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pStyle w:val="41"/>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1、开标</w:t>
      </w:r>
    </w:p>
    <w:p>
      <w:pPr>
        <w:shd w:val="clear" w:color="auto" w:fill="FFFFFF"/>
        <w:spacing w:line="460" w:lineRule="exact"/>
        <w:ind w:firstLine="440" w:firstLineChars="200"/>
        <w:rPr>
          <w:rFonts w:ascii="宋体"/>
          <w:sz w:val="22"/>
        </w:rPr>
      </w:pPr>
      <w:r>
        <w:rPr>
          <w:rFonts w:hint="eastAsia" w:ascii="宋体"/>
          <w:sz w:val="22"/>
        </w:rPr>
        <w:t>1.1、采购代理机构按招标文件规定的时间、地点通过“政府采购云平台”组织开标、开启投标文件，所有供应商均应当准时在线参加。投</w:t>
      </w:r>
      <w:r>
        <w:rPr>
          <w:rFonts w:ascii="宋体"/>
          <w:sz w:val="22"/>
        </w:rPr>
        <w:t>标供应商因未在线参加开标而导致投标文件无法按时解密等一切后果由供应商自</w:t>
      </w:r>
      <w:r>
        <w:rPr>
          <w:rFonts w:hint="eastAsia" w:ascii="宋体"/>
          <w:sz w:val="22"/>
        </w:rPr>
        <w:t>行</w:t>
      </w:r>
      <w:r>
        <w:rPr>
          <w:rFonts w:ascii="宋体"/>
          <w:sz w:val="22"/>
        </w:rPr>
        <w:t>承担。</w:t>
      </w:r>
    </w:p>
    <w:p>
      <w:pPr>
        <w:shd w:val="clear" w:color="auto" w:fill="FFFFFF"/>
        <w:spacing w:line="460" w:lineRule="exact"/>
        <w:ind w:firstLine="440" w:firstLineChars="200"/>
        <w:rPr>
          <w:rFonts w:ascii="宋体"/>
          <w:sz w:val="22"/>
        </w:rPr>
      </w:pPr>
      <w:r>
        <w:rPr>
          <w:rFonts w:hint="eastAsia" w:ascii="宋体"/>
          <w:sz w:val="22"/>
        </w:rPr>
        <w:t>1.2、开标流程</w:t>
      </w:r>
    </w:p>
    <w:p>
      <w:pPr>
        <w:shd w:val="clear" w:color="auto" w:fill="FFFFFF"/>
        <w:ind w:firstLine="440" w:firstLineChars="200"/>
        <w:rPr>
          <w:rFonts w:ascii="宋体"/>
          <w:sz w:val="22"/>
        </w:rPr>
      </w:pPr>
      <w:r>
        <w:rPr>
          <w:rFonts w:hint="eastAsia" w:ascii="宋体"/>
          <w:sz w:val="22"/>
        </w:rPr>
        <w:t>（1）向各投标供应商发出电子加密投标文件【开始解密】通知，</w:t>
      </w:r>
      <w:r>
        <w:rPr>
          <w:rFonts w:hint="eastAsia" w:ascii="宋体"/>
          <w:sz w:val="22"/>
          <w:u w:val="single"/>
        </w:rPr>
        <w:t>由供应商按招标文件规定的时间内自行进行投标文件解密</w:t>
      </w:r>
      <w:r>
        <w:rPr>
          <w:rFonts w:hint="eastAsia" w:ascii="宋体"/>
          <w:sz w:val="22"/>
        </w:rPr>
        <w:t>。</w:t>
      </w:r>
      <w:r>
        <w:rPr>
          <w:rFonts w:hint="eastAsia" w:ascii="宋体"/>
          <w:b/>
          <w:bCs/>
          <w:sz w:val="22"/>
        </w:rPr>
        <w:t>投标供应商在规定的时间内无法完成已递交的“电子加密投标文件”解密的，</w:t>
      </w:r>
      <w:r>
        <w:rPr>
          <w:rFonts w:ascii="宋体"/>
          <w:b/>
          <w:bCs/>
          <w:sz w:val="22"/>
        </w:rPr>
        <w:t>其投标文件按拒收处理。</w:t>
      </w:r>
    </w:p>
    <w:p>
      <w:pPr>
        <w:pStyle w:val="15"/>
        <w:adjustRightInd w:val="0"/>
        <w:snapToGrid w:val="0"/>
        <w:spacing w:before="156" w:after="156" w:line="240" w:lineRule="auto"/>
        <w:ind w:firstLine="440" w:firstLineChars="200"/>
        <w:rPr>
          <w:rFonts w:hAnsi="宋体"/>
          <w:sz w:val="22"/>
          <w:szCs w:val="22"/>
        </w:rPr>
      </w:pPr>
      <w:r>
        <w:rPr>
          <w:rFonts w:hAnsi="宋体"/>
          <w:sz w:val="22"/>
          <w:szCs w:val="22"/>
        </w:rPr>
        <w:t>（2）投标文件解密结束，开启资格文件，进入资格审查环节，采购代理机构</w:t>
      </w:r>
      <w:r>
        <w:rPr>
          <w:rFonts w:hint="eastAsia" w:hAnsi="宋体"/>
          <w:sz w:val="22"/>
          <w:szCs w:val="22"/>
        </w:rPr>
        <w:t>或者招标采购单位委托的公证机构</w:t>
      </w:r>
      <w:r>
        <w:rPr>
          <w:rFonts w:hAnsi="宋体"/>
          <w:sz w:val="22"/>
          <w:szCs w:val="22"/>
        </w:rPr>
        <w:t>将依法对投标供应商的资格进行审查，具体见本章节“投标供应商资格审查”相关规定。</w:t>
      </w:r>
    </w:p>
    <w:p>
      <w:pPr>
        <w:pStyle w:val="15"/>
        <w:adjustRightInd w:val="0"/>
        <w:snapToGrid w:val="0"/>
        <w:spacing w:before="156" w:after="156" w:line="240" w:lineRule="auto"/>
        <w:ind w:firstLine="440" w:firstLineChars="200"/>
        <w:rPr>
          <w:rFonts w:hAnsi="宋体"/>
          <w:sz w:val="22"/>
          <w:szCs w:val="22"/>
        </w:rPr>
      </w:pPr>
      <w:r>
        <w:rPr>
          <w:rFonts w:hAnsi="宋体"/>
          <w:sz w:val="22"/>
          <w:szCs w:val="22"/>
        </w:rPr>
        <w:t>（3）开启资格审查通过的投标供应商的商务技术文件进入符合性审查及商务技术评审；</w:t>
      </w:r>
    </w:p>
    <w:p>
      <w:pPr>
        <w:pStyle w:val="15"/>
        <w:adjustRightInd w:val="0"/>
        <w:snapToGrid w:val="0"/>
        <w:spacing w:before="156" w:after="156" w:line="240" w:lineRule="auto"/>
        <w:ind w:firstLine="440" w:firstLineChars="200"/>
        <w:rPr>
          <w:rFonts w:hAnsi="宋体"/>
          <w:sz w:val="22"/>
          <w:szCs w:val="22"/>
        </w:rPr>
      </w:pPr>
      <w:r>
        <w:rPr>
          <w:rFonts w:hAnsi="宋体"/>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15"/>
        <w:adjustRightInd w:val="0"/>
        <w:snapToGrid w:val="0"/>
        <w:spacing w:before="156" w:after="156" w:line="240" w:lineRule="auto"/>
        <w:ind w:firstLine="330" w:firstLineChars="150"/>
        <w:rPr>
          <w:rFonts w:hAnsi="宋体"/>
          <w:sz w:val="22"/>
          <w:szCs w:val="22"/>
        </w:rPr>
      </w:pPr>
      <w:r>
        <w:rPr>
          <w:rFonts w:hAnsi="宋体"/>
          <w:sz w:val="22"/>
          <w:szCs w:val="22"/>
        </w:rPr>
        <w:t>开标时，报价文件中投标报价出现前后不一致的，按照下列规定修正：</w:t>
      </w:r>
    </w:p>
    <w:p>
      <w:pPr>
        <w:pStyle w:val="15"/>
        <w:adjustRightInd w:val="0"/>
        <w:snapToGrid w:val="0"/>
        <w:spacing w:before="156" w:after="156" w:line="240" w:lineRule="auto"/>
        <w:ind w:firstLine="330" w:firstLineChars="150"/>
        <w:rPr>
          <w:rFonts w:hAnsi="宋体"/>
          <w:sz w:val="22"/>
          <w:szCs w:val="22"/>
        </w:rPr>
      </w:pPr>
      <w:r>
        <w:rPr>
          <w:rFonts w:hAnsi="宋体"/>
          <w:sz w:val="22"/>
          <w:szCs w:val="22"/>
        </w:rPr>
        <w:t>（一）投标文件中开标一览表内容与投标文件中相应内容不一致的，以开标一览表为准；</w:t>
      </w:r>
    </w:p>
    <w:p>
      <w:pPr>
        <w:pStyle w:val="15"/>
        <w:adjustRightInd w:val="0"/>
        <w:snapToGrid w:val="0"/>
        <w:spacing w:before="156" w:after="156" w:line="240" w:lineRule="auto"/>
        <w:ind w:firstLine="330" w:firstLineChars="150"/>
        <w:rPr>
          <w:rFonts w:hAnsi="宋体"/>
          <w:sz w:val="22"/>
          <w:szCs w:val="22"/>
        </w:rPr>
      </w:pPr>
      <w:r>
        <w:rPr>
          <w:rFonts w:hAnsi="宋体"/>
          <w:sz w:val="22"/>
          <w:szCs w:val="22"/>
        </w:rPr>
        <w:t>（二）大写金额和小写金额不一致的，以大写金额为准；</w:t>
      </w:r>
    </w:p>
    <w:p>
      <w:pPr>
        <w:pStyle w:val="15"/>
        <w:adjustRightInd w:val="0"/>
        <w:snapToGrid w:val="0"/>
        <w:spacing w:before="156" w:after="156" w:line="240" w:lineRule="auto"/>
        <w:ind w:firstLine="330" w:firstLineChars="150"/>
        <w:rPr>
          <w:rFonts w:hAnsi="宋体"/>
          <w:sz w:val="22"/>
          <w:szCs w:val="22"/>
        </w:rPr>
      </w:pPr>
      <w:r>
        <w:rPr>
          <w:rFonts w:hAnsi="宋体"/>
          <w:sz w:val="22"/>
          <w:szCs w:val="22"/>
        </w:rPr>
        <w:t>（三）单价金额小数点或者百分比有明显错位的，以开标一览表的总价为准，并修改单价；</w:t>
      </w:r>
    </w:p>
    <w:p>
      <w:pPr>
        <w:pStyle w:val="15"/>
        <w:adjustRightInd w:val="0"/>
        <w:snapToGrid w:val="0"/>
        <w:spacing w:before="156" w:after="156" w:line="240" w:lineRule="auto"/>
        <w:ind w:firstLine="330" w:firstLineChars="150"/>
        <w:rPr>
          <w:rFonts w:hAnsi="宋体"/>
          <w:sz w:val="22"/>
          <w:szCs w:val="22"/>
        </w:rPr>
      </w:pPr>
      <w:r>
        <w:rPr>
          <w:rFonts w:hAnsi="宋体"/>
          <w:sz w:val="22"/>
          <w:szCs w:val="22"/>
        </w:rPr>
        <w:t>（四）总价金额与按单价汇总金额不一致的，以单价金额计算结果为准。</w:t>
      </w:r>
    </w:p>
    <w:p>
      <w:pPr>
        <w:pStyle w:val="15"/>
        <w:adjustRightInd w:val="0"/>
        <w:snapToGrid w:val="0"/>
        <w:spacing w:before="156" w:after="156" w:line="240" w:lineRule="auto"/>
        <w:ind w:firstLine="440" w:firstLineChars="200"/>
        <w:rPr>
          <w:rFonts w:hAnsi="宋体"/>
          <w:sz w:val="22"/>
          <w:szCs w:val="22"/>
        </w:rPr>
      </w:pPr>
      <w:r>
        <w:rPr>
          <w:rFonts w:hAnsi="宋体"/>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15"/>
        <w:adjustRightInd w:val="0"/>
        <w:snapToGrid w:val="0"/>
        <w:spacing w:before="156" w:after="156" w:line="240" w:lineRule="auto"/>
        <w:ind w:firstLine="440" w:firstLineChars="200"/>
        <w:rPr>
          <w:rFonts w:hAnsi="宋体"/>
          <w:sz w:val="22"/>
          <w:szCs w:val="22"/>
        </w:rPr>
      </w:pPr>
      <w:r>
        <w:rPr>
          <w:rFonts w:hAnsi="宋体"/>
          <w:sz w:val="22"/>
          <w:szCs w:val="22"/>
        </w:rPr>
        <w:t>（5）评审结束后，公布采购结果。</w:t>
      </w:r>
    </w:p>
    <w:p>
      <w:pPr>
        <w:pStyle w:val="15"/>
        <w:adjustRightInd w:val="0"/>
        <w:snapToGrid w:val="0"/>
        <w:spacing w:before="156" w:after="156" w:line="240" w:lineRule="auto"/>
        <w:ind w:firstLine="441" w:firstLineChars="200"/>
        <w:rPr>
          <w:rFonts w:hAnsi="宋体"/>
          <w:sz w:val="22"/>
          <w:szCs w:val="22"/>
        </w:rPr>
      </w:pPr>
      <w:r>
        <w:rPr>
          <w:rFonts w:hAnsi="宋体"/>
          <w:b/>
          <w:bCs/>
          <w:sz w:val="22"/>
          <w:szCs w:val="22"/>
        </w:rPr>
        <w:t>特别说明：如遇“政府采购云平台”电子化开标或评审程序调整的，按调整后程序执行。</w:t>
      </w:r>
    </w:p>
    <w:p>
      <w:pPr>
        <w:pStyle w:val="15"/>
        <w:adjustRightInd w:val="0"/>
        <w:snapToGrid w:val="0"/>
        <w:spacing w:before="156" w:after="156" w:line="460" w:lineRule="atLeast"/>
        <w:ind w:firstLine="440" w:firstLineChars="200"/>
        <w:rPr>
          <w:rFonts w:hAnsi="宋体"/>
          <w:sz w:val="22"/>
          <w:szCs w:val="22"/>
        </w:rPr>
      </w:pPr>
      <w:r>
        <w:rPr>
          <w:rFonts w:hAnsi="宋体"/>
          <w:sz w:val="22"/>
          <w:szCs w:val="22"/>
        </w:rPr>
        <w:t>2、投标供应商资格审查</w:t>
      </w:r>
    </w:p>
    <w:p>
      <w:pPr>
        <w:pStyle w:val="15"/>
        <w:adjustRightInd w:val="0"/>
        <w:snapToGrid w:val="0"/>
        <w:spacing w:before="156" w:after="156" w:line="360" w:lineRule="exact"/>
        <w:ind w:firstLine="440" w:firstLineChars="200"/>
        <w:rPr>
          <w:rFonts w:hAnsi="宋体"/>
          <w:sz w:val="22"/>
          <w:szCs w:val="22"/>
        </w:rPr>
      </w:pPr>
      <w:r>
        <w:rPr>
          <w:rFonts w:hAnsi="宋体"/>
          <w:sz w:val="22"/>
          <w:szCs w:val="22"/>
        </w:rPr>
        <w:t>2.1、</w:t>
      </w:r>
      <w:r>
        <w:rPr>
          <w:rFonts w:hAnsi="宋体"/>
          <w:b/>
          <w:bCs/>
          <w:sz w:val="22"/>
          <w:szCs w:val="22"/>
        </w:rPr>
        <w:t>开标后，采购人或者采购代理机构</w:t>
      </w:r>
      <w:r>
        <w:rPr>
          <w:rFonts w:hint="eastAsia" w:hAnsi="宋体"/>
          <w:b/>
          <w:bCs/>
          <w:sz w:val="22"/>
          <w:szCs w:val="22"/>
        </w:rPr>
        <w:t>或评标委员会</w:t>
      </w:r>
      <w:r>
        <w:rPr>
          <w:rFonts w:hAnsi="宋体"/>
          <w:b/>
          <w:bCs/>
          <w:sz w:val="22"/>
          <w:szCs w:val="22"/>
        </w:rPr>
        <w:t>应当依法对投标供应商的资格进行审查，审查各投标供应商的资格是否满足招标文件的要求。采购人或采购代理机构</w:t>
      </w:r>
      <w:r>
        <w:rPr>
          <w:rFonts w:hint="eastAsia" w:hAnsi="宋体"/>
          <w:b/>
          <w:bCs/>
          <w:sz w:val="22"/>
          <w:szCs w:val="22"/>
        </w:rPr>
        <w:t>或评标委员会</w:t>
      </w:r>
      <w:r>
        <w:rPr>
          <w:rFonts w:hAnsi="宋体"/>
          <w:b/>
          <w:bCs/>
          <w:sz w:val="22"/>
          <w:szCs w:val="22"/>
        </w:rPr>
        <w:t>对投标供应商所提交的资格证明材料仅负审核的责任。如发现投标供应商所提交的资格证明材料不合法或与事实不符，采购人可取消其中标资格并追究投标供应商的法律责任。</w:t>
      </w:r>
    </w:p>
    <w:p>
      <w:pPr>
        <w:pStyle w:val="15"/>
        <w:adjustRightInd w:val="0"/>
        <w:snapToGrid w:val="0"/>
        <w:spacing w:before="156" w:after="156" w:line="460" w:lineRule="atLeast"/>
        <w:ind w:firstLine="440" w:firstLineChars="200"/>
        <w:rPr>
          <w:rFonts w:hAnsi="宋体"/>
          <w:sz w:val="22"/>
          <w:szCs w:val="22"/>
        </w:rPr>
      </w:pPr>
      <w:r>
        <w:rPr>
          <w:rFonts w:hAnsi="宋体"/>
          <w:sz w:val="22"/>
          <w:szCs w:val="22"/>
        </w:rPr>
        <w:t>2.2、</w:t>
      </w:r>
      <w:r>
        <w:rPr>
          <w:rFonts w:hAnsi="宋体"/>
          <w:b/>
          <w:bCs/>
          <w:sz w:val="22"/>
          <w:szCs w:val="22"/>
        </w:rPr>
        <w:t>投标供应商提交的资格证明材料无法证明其符合招标文件规定的“投标供应商资格要求”的，采购人或采购代理机构</w:t>
      </w:r>
      <w:r>
        <w:rPr>
          <w:rFonts w:hint="eastAsia" w:hAnsi="宋体"/>
          <w:b/>
          <w:bCs/>
          <w:sz w:val="22"/>
          <w:szCs w:val="22"/>
        </w:rPr>
        <w:t>或</w:t>
      </w:r>
      <w:r>
        <w:rPr>
          <w:rFonts w:hAnsi="宋体"/>
          <w:b/>
          <w:bCs/>
          <w:sz w:val="22"/>
          <w:szCs w:val="22"/>
        </w:rPr>
        <w:t>评标委员会将对其作资格审查不通过处理（无效投标），并不再将其投标进行后续评审。</w:t>
      </w:r>
    </w:p>
    <w:p>
      <w:pPr>
        <w:pStyle w:val="15"/>
        <w:adjustRightInd w:val="0"/>
        <w:snapToGrid w:val="0"/>
        <w:spacing w:before="156" w:after="156" w:line="460" w:lineRule="atLeast"/>
        <w:ind w:firstLine="440" w:firstLineChars="200"/>
        <w:rPr>
          <w:rFonts w:hAnsi="宋体"/>
          <w:b/>
          <w:bCs/>
          <w:sz w:val="22"/>
          <w:szCs w:val="22"/>
        </w:rPr>
      </w:pPr>
      <w:r>
        <w:rPr>
          <w:rFonts w:hAnsi="宋体"/>
          <w:sz w:val="22"/>
          <w:szCs w:val="22"/>
        </w:rPr>
        <w:t>2.3、</w:t>
      </w:r>
      <w:r>
        <w:rPr>
          <w:rFonts w:hAnsi="宋体"/>
          <w:b/>
          <w:bCs/>
          <w:sz w:val="22"/>
          <w:szCs w:val="22"/>
        </w:rPr>
        <w:t>单位负责人为同一人或者存在直接控股、管理关系的不同供应商参加同一合同项下的政府采购活动的，相关投标供应商均作资格无效处理。</w:t>
      </w:r>
    </w:p>
    <w:p>
      <w:pPr>
        <w:pStyle w:val="15"/>
        <w:adjustRightInd w:val="0"/>
        <w:snapToGrid w:val="0"/>
        <w:spacing w:before="156" w:after="156" w:line="440" w:lineRule="atLeast"/>
        <w:ind w:firstLine="440" w:firstLineChars="200"/>
        <w:rPr>
          <w:rFonts w:hAnsi="宋体"/>
          <w:sz w:val="22"/>
          <w:szCs w:val="22"/>
        </w:rPr>
      </w:pPr>
      <w:r>
        <w:rPr>
          <w:rFonts w:hint="eastAsia" w:hAnsi="宋体"/>
          <w:sz w:val="22"/>
          <w:szCs w:val="22"/>
        </w:rPr>
        <w:t>3、评标</w:t>
      </w:r>
    </w:p>
    <w:p>
      <w:pPr>
        <w:pStyle w:val="15"/>
        <w:adjustRightInd w:val="0"/>
        <w:snapToGrid w:val="0"/>
        <w:spacing w:before="156" w:after="156" w:line="380" w:lineRule="exact"/>
        <w:ind w:firstLine="440" w:firstLineChars="200"/>
        <w:rPr>
          <w:rFonts w:hAnsi="宋体"/>
          <w:sz w:val="22"/>
          <w:szCs w:val="22"/>
        </w:rPr>
      </w:pPr>
      <w:r>
        <w:rPr>
          <w:rFonts w:hint="eastAsia" w:hAnsi="宋体"/>
          <w:sz w:val="22"/>
          <w:szCs w:val="22"/>
        </w:rPr>
        <w:t>3.1、评标由依法组建的评标委员会负责，并独立履行下列职责：</w:t>
      </w:r>
    </w:p>
    <w:p>
      <w:pPr>
        <w:pStyle w:val="15"/>
        <w:adjustRightInd w:val="0"/>
        <w:snapToGrid w:val="0"/>
        <w:spacing w:before="156" w:after="156" w:line="380" w:lineRule="exact"/>
        <w:ind w:firstLine="440" w:firstLineChars="200"/>
        <w:rPr>
          <w:rFonts w:hAnsi="宋体"/>
          <w:sz w:val="22"/>
          <w:szCs w:val="22"/>
        </w:rPr>
      </w:pPr>
      <w:r>
        <w:rPr>
          <w:rFonts w:hint="eastAsia" w:hAnsi="宋体"/>
          <w:sz w:val="22"/>
          <w:szCs w:val="22"/>
        </w:rPr>
        <w:t>1）审查投标文件是否符合招标文件要求，并作出评价；</w:t>
      </w:r>
    </w:p>
    <w:p>
      <w:pPr>
        <w:pStyle w:val="15"/>
        <w:adjustRightInd w:val="0"/>
        <w:snapToGrid w:val="0"/>
        <w:spacing w:before="156" w:after="156" w:line="380" w:lineRule="exact"/>
        <w:ind w:firstLine="110" w:firstLineChars="50"/>
        <w:rPr>
          <w:rFonts w:hAnsi="宋体"/>
          <w:sz w:val="22"/>
          <w:szCs w:val="22"/>
        </w:rPr>
      </w:pPr>
      <w:r>
        <w:rPr>
          <w:rFonts w:hint="eastAsia" w:hAnsi="宋体"/>
          <w:sz w:val="22"/>
          <w:szCs w:val="22"/>
        </w:rPr>
        <w:t xml:space="preserve">   2）要求投标供应商对投标文件有关事项作出解释或者澄清；</w:t>
      </w:r>
    </w:p>
    <w:p>
      <w:pPr>
        <w:pStyle w:val="15"/>
        <w:adjustRightInd w:val="0"/>
        <w:snapToGrid w:val="0"/>
        <w:spacing w:before="156" w:after="156" w:line="380" w:lineRule="exact"/>
        <w:ind w:firstLine="440"/>
        <w:rPr>
          <w:rFonts w:hAnsi="宋体"/>
          <w:sz w:val="22"/>
          <w:szCs w:val="22"/>
        </w:rPr>
      </w:pPr>
      <w:r>
        <w:rPr>
          <w:rFonts w:hAnsi="宋体"/>
          <w:sz w:val="22"/>
          <w:szCs w:val="22"/>
        </w:rPr>
        <w:t>3）按照招标文件确定的评标办法对各投标供应商进行排序，推荐中标候选供应商（不超过3个）；综合得分最高的供应商推荐为中标供应商；</w:t>
      </w:r>
    </w:p>
    <w:p>
      <w:pPr>
        <w:pStyle w:val="15"/>
        <w:adjustRightInd w:val="0"/>
        <w:snapToGrid w:val="0"/>
        <w:spacing w:before="156" w:after="156" w:line="380" w:lineRule="exact"/>
        <w:ind w:firstLine="440"/>
        <w:rPr>
          <w:rFonts w:hAnsi="宋体"/>
          <w:sz w:val="22"/>
          <w:szCs w:val="22"/>
        </w:rPr>
      </w:pPr>
      <w:r>
        <w:rPr>
          <w:rFonts w:hAnsi="宋体"/>
          <w:sz w:val="22"/>
          <w:szCs w:val="22"/>
        </w:rPr>
        <w:t>4）向采购人推荐综合得分第一名的供应商为中标供应商，并提交评审报告。如果第一名得分相同，以投标报价低的优先；投标报价也相同，</w:t>
      </w:r>
      <w:r>
        <w:rPr>
          <w:rFonts w:hint="eastAsia"/>
          <w:sz w:val="22"/>
          <w:szCs w:val="22"/>
        </w:rPr>
        <w:t>则以政采云系统记录的投标文件解密时间排序在前面的优先</w:t>
      </w:r>
      <w:r>
        <w:rPr>
          <w:rFonts w:hAnsi="宋体"/>
          <w:sz w:val="22"/>
          <w:szCs w:val="22"/>
        </w:rPr>
        <w:t>。</w:t>
      </w:r>
    </w:p>
    <w:p>
      <w:pPr>
        <w:pStyle w:val="15"/>
        <w:adjustRightInd w:val="0"/>
        <w:snapToGrid w:val="0"/>
        <w:spacing w:before="156" w:after="156" w:line="380" w:lineRule="exact"/>
        <w:ind w:firstLine="440" w:firstLineChars="200"/>
        <w:rPr>
          <w:rFonts w:hAnsi="宋体"/>
          <w:sz w:val="22"/>
          <w:szCs w:val="22"/>
        </w:rPr>
      </w:pPr>
      <w:r>
        <w:rPr>
          <w:rFonts w:hAnsi="宋体"/>
          <w:sz w:val="22"/>
          <w:szCs w:val="22"/>
        </w:rPr>
        <w:t>5）向采购代理机构或者有关部门报告非法干预评标工作的行为。</w:t>
      </w:r>
    </w:p>
    <w:p>
      <w:pPr>
        <w:pStyle w:val="15"/>
        <w:adjustRightInd w:val="0"/>
        <w:snapToGrid w:val="0"/>
        <w:spacing w:before="156" w:after="156" w:line="440" w:lineRule="atLeast"/>
        <w:ind w:firstLine="440" w:firstLineChars="200"/>
        <w:rPr>
          <w:rFonts w:hAnsi="宋体"/>
          <w:sz w:val="22"/>
          <w:szCs w:val="22"/>
        </w:rPr>
      </w:pPr>
      <w:r>
        <w:rPr>
          <w:rFonts w:hint="eastAsia" w:hAnsi="宋体"/>
          <w:sz w:val="22"/>
          <w:szCs w:val="22"/>
        </w:rPr>
        <w:t>3.2、评标应当遵循下列工作程序：</w:t>
      </w:r>
    </w:p>
    <w:p>
      <w:pPr>
        <w:pStyle w:val="15"/>
        <w:adjustRightInd w:val="0"/>
        <w:snapToGrid w:val="0"/>
        <w:spacing w:before="156" w:after="156" w:line="440" w:lineRule="atLeast"/>
        <w:rPr>
          <w:rFonts w:hAnsi="宋体"/>
          <w:sz w:val="22"/>
          <w:szCs w:val="22"/>
        </w:rPr>
      </w:pPr>
      <w:r>
        <w:rPr>
          <w:rFonts w:hint="eastAsia" w:hAnsi="宋体"/>
          <w:sz w:val="22"/>
          <w:szCs w:val="22"/>
        </w:rPr>
        <w:t xml:space="preserve">    1）投标文件符合性审查。依据招标文件的规定，从投标文件的有效性、完整性和对招标文件的响应程度进行审查，以确定是否对招标文件的实质性要求作出响应。</w:t>
      </w:r>
    </w:p>
    <w:p>
      <w:pPr>
        <w:pStyle w:val="15"/>
        <w:adjustRightInd w:val="0"/>
        <w:snapToGrid w:val="0"/>
        <w:spacing w:before="156" w:after="156" w:line="440" w:lineRule="atLeast"/>
        <w:rPr>
          <w:rFonts w:hAnsi="宋体"/>
          <w:sz w:val="22"/>
          <w:szCs w:val="22"/>
        </w:rPr>
      </w:pPr>
      <w:r>
        <w:rPr>
          <w:rFonts w:hint="eastAsia" w:hAnsi="宋体"/>
          <w:sz w:val="22"/>
          <w:szCs w:val="22"/>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pStyle w:val="15"/>
        <w:adjustRightInd w:val="0"/>
        <w:snapToGrid w:val="0"/>
        <w:spacing w:before="156" w:after="156" w:line="440" w:lineRule="atLeast"/>
        <w:ind w:firstLine="440" w:firstLineChars="200"/>
        <w:rPr>
          <w:rFonts w:hAnsi="宋体"/>
          <w:sz w:val="22"/>
          <w:szCs w:val="22"/>
        </w:rPr>
      </w:pPr>
      <w:r>
        <w:rPr>
          <w:rFonts w:hint="eastAsia" w:hAnsi="宋体"/>
          <w:sz w:val="22"/>
          <w:szCs w:val="22"/>
        </w:rPr>
        <w:t>3）比较与评价。按招标文件中规定的评标方法和标准，对资格审查和符合性审查合格的投标文件进行商务和技术评估，综合比较与评价。</w:t>
      </w:r>
    </w:p>
    <w:p>
      <w:pPr>
        <w:pStyle w:val="15"/>
        <w:adjustRightInd w:val="0"/>
        <w:snapToGrid w:val="0"/>
        <w:spacing w:before="156" w:after="156" w:line="440" w:lineRule="atLeast"/>
        <w:ind w:firstLine="440" w:firstLineChars="200"/>
        <w:rPr>
          <w:rFonts w:hAnsi="宋体"/>
          <w:b/>
          <w:bCs/>
          <w:sz w:val="22"/>
          <w:szCs w:val="22"/>
        </w:rPr>
      </w:pPr>
      <w:r>
        <w:rPr>
          <w:rFonts w:hint="eastAsia" w:hAnsi="宋体"/>
          <w:sz w:val="22"/>
          <w:szCs w:val="22"/>
        </w:rPr>
        <w:t>3.3、</w:t>
      </w:r>
      <w:r>
        <w:rPr>
          <w:rFonts w:hint="eastAsia" w:hAnsi="宋体"/>
          <w:b/>
          <w:bCs/>
          <w:sz w:val="22"/>
          <w:szCs w:val="22"/>
        </w:rPr>
        <w:t>投标供应商存在下列情况之一的，投标无效：</w:t>
      </w:r>
    </w:p>
    <w:p>
      <w:pPr>
        <w:pStyle w:val="15"/>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1</w:t>
      </w:r>
      <w:r>
        <w:rPr>
          <w:rFonts w:hAnsi="宋体"/>
          <w:b/>
          <w:bCs/>
          <w:sz w:val="22"/>
          <w:szCs w:val="22"/>
        </w:rPr>
        <w:t>）投标文件未按招标文件要求签署</w:t>
      </w:r>
      <w:r>
        <w:rPr>
          <w:rFonts w:hint="eastAsia" w:hAnsi="宋体"/>
          <w:b/>
          <w:bCs/>
          <w:sz w:val="22"/>
          <w:szCs w:val="22"/>
        </w:rPr>
        <w:t>或</w:t>
      </w:r>
      <w:r>
        <w:rPr>
          <w:rFonts w:hAnsi="宋体"/>
          <w:b/>
          <w:bCs/>
          <w:sz w:val="22"/>
          <w:szCs w:val="22"/>
        </w:rPr>
        <w:t>CA电子签章的；</w:t>
      </w:r>
    </w:p>
    <w:p>
      <w:pPr>
        <w:pStyle w:val="15"/>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2</w:t>
      </w:r>
      <w:r>
        <w:rPr>
          <w:rFonts w:hAnsi="宋体"/>
          <w:b/>
          <w:bCs/>
          <w:sz w:val="22"/>
          <w:szCs w:val="22"/>
        </w:rPr>
        <w:t>）不具备招标文件中规定的资格要求的；</w:t>
      </w:r>
    </w:p>
    <w:p>
      <w:pPr>
        <w:pStyle w:val="15"/>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3</w:t>
      </w:r>
      <w:r>
        <w:rPr>
          <w:rFonts w:hAnsi="宋体"/>
          <w:b/>
          <w:bCs/>
          <w:sz w:val="22"/>
          <w:szCs w:val="22"/>
        </w:rPr>
        <w:t>）报价超过招标文件中规定的预算金额或者最高限价的；</w:t>
      </w:r>
    </w:p>
    <w:p>
      <w:pPr>
        <w:pStyle w:val="15"/>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4）</w:t>
      </w:r>
      <w:r>
        <w:rPr>
          <w:rFonts w:hint="eastAsia"/>
          <w:b/>
          <w:bCs/>
          <w:sz w:val="22"/>
          <w:szCs w:val="22"/>
        </w:rPr>
        <w:t>未按招标文件要求提供投入人员数量的；</w:t>
      </w:r>
    </w:p>
    <w:p>
      <w:pPr>
        <w:pStyle w:val="15"/>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5</w:t>
      </w:r>
      <w:r>
        <w:rPr>
          <w:rFonts w:hAnsi="宋体"/>
          <w:b/>
          <w:bCs/>
          <w:sz w:val="22"/>
          <w:szCs w:val="22"/>
        </w:rPr>
        <w:t>）供应商递交两份或两份以上内容不同的投标文件，未声明哪一份有效的；</w:t>
      </w:r>
    </w:p>
    <w:p>
      <w:pPr>
        <w:pStyle w:val="15"/>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6）</w:t>
      </w:r>
      <w:r>
        <w:rPr>
          <w:rFonts w:hAnsi="宋体"/>
          <w:b/>
          <w:bCs/>
          <w:sz w:val="22"/>
          <w:szCs w:val="22"/>
        </w:rPr>
        <w:t>对关键条文的偏离、保留或反对，例如关于付款方式、</w:t>
      </w:r>
      <w:r>
        <w:rPr>
          <w:rFonts w:hint="eastAsia" w:hAnsi="宋体"/>
          <w:b/>
          <w:bCs/>
          <w:sz w:val="22"/>
          <w:szCs w:val="22"/>
        </w:rPr>
        <w:t>服务期、</w:t>
      </w:r>
      <w:r>
        <w:rPr>
          <w:rFonts w:hAnsi="宋体"/>
          <w:b/>
          <w:bCs/>
          <w:sz w:val="22"/>
          <w:szCs w:val="22"/>
        </w:rPr>
        <w:t>适用法律法规、标准、税费等其他内容；</w:t>
      </w:r>
    </w:p>
    <w:p>
      <w:pPr>
        <w:pStyle w:val="15"/>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7</w:t>
      </w:r>
      <w:r>
        <w:rPr>
          <w:rFonts w:hAnsi="宋体"/>
          <w:b/>
          <w:bCs/>
          <w:sz w:val="22"/>
          <w:szCs w:val="22"/>
        </w:rPr>
        <w:t>）存在串标、抬标或弄虚作假情况的</w:t>
      </w:r>
      <w:r>
        <w:rPr>
          <w:rFonts w:hint="eastAsia" w:hAnsi="宋体"/>
          <w:b/>
          <w:bCs/>
          <w:sz w:val="22"/>
          <w:szCs w:val="22"/>
        </w:rPr>
        <w:t>；</w:t>
      </w:r>
    </w:p>
    <w:p>
      <w:pPr>
        <w:pStyle w:val="15"/>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8</w:t>
      </w:r>
      <w:r>
        <w:rPr>
          <w:rFonts w:hAnsi="宋体"/>
          <w:b/>
          <w:bCs/>
          <w:sz w:val="22"/>
          <w:szCs w:val="22"/>
        </w:rPr>
        <w:t>）参与本项目的不同供应商单位负责人为同一人或者存在直接控股、管理关系的；</w:t>
      </w:r>
    </w:p>
    <w:p>
      <w:pPr>
        <w:pStyle w:val="15"/>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9</w:t>
      </w:r>
      <w:r>
        <w:rPr>
          <w:rFonts w:hAnsi="宋体"/>
          <w:b/>
          <w:bCs/>
          <w:sz w:val="22"/>
          <w:szCs w:val="22"/>
        </w:rPr>
        <w:t>）供应商的资格文件或者商务技术文件中出现投标报价的；</w:t>
      </w:r>
    </w:p>
    <w:p>
      <w:pPr>
        <w:pStyle w:val="15"/>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10</w:t>
      </w:r>
      <w:r>
        <w:rPr>
          <w:rFonts w:hAnsi="宋体"/>
          <w:b/>
          <w:bCs/>
          <w:sz w:val="22"/>
          <w:szCs w:val="22"/>
        </w:rPr>
        <w:t>）投标供应商在线制作投标文件时《开标一览表》中填写的金额与解密后“电子加密投标文件”中《开标一览表》填写的金额不一致并拒绝按招标文件要求接受此调整的；</w:t>
      </w:r>
    </w:p>
    <w:p>
      <w:pPr>
        <w:pStyle w:val="15"/>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11</w:t>
      </w:r>
      <w:r>
        <w:rPr>
          <w:rFonts w:hAnsi="宋体"/>
          <w:b/>
          <w:bCs/>
          <w:sz w:val="22"/>
          <w:szCs w:val="22"/>
        </w:rPr>
        <w:t>）法律、法规和招标文件规定的其他无效情形（或出现重大偏差）。</w:t>
      </w:r>
    </w:p>
    <w:p>
      <w:pPr>
        <w:pStyle w:val="15"/>
        <w:adjustRightInd w:val="0"/>
        <w:snapToGrid w:val="0"/>
        <w:spacing w:before="156" w:after="156" w:line="440" w:lineRule="exact"/>
        <w:ind w:firstLine="440" w:firstLineChars="200"/>
        <w:rPr>
          <w:rFonts w:hAnsi="宋体"/>
          <w:sz w:val="22"/>
          <w:szCs w:val="22"/>
        </w:rPr>
      </w:pPr>
      <w:r>
        <w:rPr>
          <w:rFonts w:hint="eastAsia" w:hAnsi="宋体"/>
          <w:sz w:val="22"/>
          <w:szCs w:val="22"/>
        </w:rPr>
        <w:t>3</w:t>
      </w:r>
      <w:r>
        <w:rPr>
          <w:rFonts w:hAnsi="宋体"/>
          <w:sz w:val="22"/>
          <w:szCs w:val="22"/>
        </w:rPr>
        <w:t xml:space="preserve">.4 </w:t>
      </w:r>
      <w:r>
        <w:rPr>
          <w:rFonts w:hAnsi="宋体"/>
          <w:b/>
          <w:bCs/>
          <w:sz w:val="22"/>
          <w:szCs w:val="22"/>
        </w:rPr>
        <w:t>评标委员会发现投标文件有下列情形之一的属于重大偏差(评标委员会按少数服从多数原则认定),按照无效投标处理：</w:t>
      </w:r>
    </w:p>
    <w:p>
      <w:pPr>
        <w:pStyle w:val="15"/>
        <w:adjustRightInd w:val="0"/>
        <w:snapToGrid w:val="0"/>
        <w:spacing w:before="156" w:after="156" w:line="240" w:lineRule="auto"/>
        <w:ind w:firstLine="440" w:firstLineChars="200"/>
        <w:rPr>
          <w:rFonts w:hAnsi="宋体"/>
          <w:sz w:val="22"/>
          <w:szCs w:val="22"/>
        </w:rPr>
      </w:pPr>
      <w:r>
        <w:rPr>
          <w:rFonts w:hAnsi="宋体"/>
          <w:sz w:val="22"/>
          <w:szCs w:val="22"/>
        </w:rPr>
        <w:t>1）未按招标文件要求编制或字迹模糊、辨认不清的投标文件；</w:t>
      </w:r>
    </w:p>
    <w:p>
      <w:pPr>
        <w:pStyle w:val="15"/>
        <w:adjustRightInd w:val="0"/>
        <w:snapToGrid w:val="0"/>
        <w:spacing w:before="156" w:after="156" w:line="240" w:lineRule="auto"/>
        <w:ind w:firstLine="440" w:firstLineChars="200"/>
        <w:rPr>
          <w:rFonts w:hAnsi="宋体"/>
          <w:sz w:val="22"/>
          <w:szCs w:val="22"/>
        </w:rPr>
      </w:pPr>
      <w:r>
        <w:rPr>
          <w:rFonts w:hAnsi="宋体"/>
          <w:sz w:val="22"/>
          <w:szCs w:val="22"/>
        </w:rPr>
        <w:t>2）除3.3条款以外，明显不符合招标文件</w:t>
      </w:r>
      <w:r>
        <w:rPr>
          <w:rFonts w:hint="eastAsia" w:hAnsi="宋体"/>
          <w:sz w:val="22"/>
          <w:szCs w:val="22"/>
        </w:rPr>
        <w:t>要求</w:t>
      </w:r>
      <w:r>
        <w:rPr>
          <w:rFonts w:hAnsi="宋体"/>
          <w:sz w:val="22"/>
          <w:szCs w:val="22"/>
        </w:rPr>
        <w:t>的规格型号、质量标准，或者</w:t>
      </w:r>
      <w:r>
        <w:rPr>
          <w:rFonts w:hint="eastAsia" w:hAnsi="宋体"/>
          <w:sz w:val="22"/>
          <w:szCs w:val="22"/>
        </w:rPr>
        <w:t>与</w:t>
      </w:r>
      <w:r>
        <w:rPr>
          <w:rFonts w:hAnsi="宋体"/>
          <w:sz w:val="22"/>
          <w:szCs w:val="22"/>
        </w:rPr>
        <w:t>招标文件中标“</w:t>
      </w:r>
      <w:r>
        <w:rPr>
          <w:rFonts w:hint="eastAsia" w:hAnsi="宋体"/>
          <w:sz w:val="22"/>
          <w:szCs w:val="22"/>
        </w:rPr>
        <w:t>★</w:t>
      </w:r>
      <w:r>
        <w:rPr>
          <w:rFonts w:hAnsi="宋体"/>
          <w:sz w:val="22"/>
          <w:szCs w:val="22"/>
        </w:rPr>
        <w:t xml:space="preserve">”的技术指标、主要功能项目发生实质性偏离的； </w:t>
      </w:r>
    </w:p>
    <w:p>
      <w:pPr>
        <w:pStyle w:val="15"/>
        <w:adjustRightInd w:val="0"/>
        <w:snapToGrid w:val="0"/>
        <w:spacing w:before="156" w:after="156" w:line="240" w:lineRule="auto"/>
        <w:ind w:firstLine="440" w:firstLineChars="200"/>
        <w:rPr>
          <w:rFonts w:hAnsi="宋体"/>
          <w:sz w:val="22"/>
          <w:szCs w:val="22"/>
        </w:rPr>
      </w:pPr>
      <w:r>
        <w:rPr>
          <w:rFonts w:hint="eastAsia" w:hAnsi="宋体"/>
          <w:sz w:val="22"/>
          <w:szCs w:val="22"/>
        </w:rPr>
        <w:t>3</w:t>
      </w:r>
      <w:r>
        <w:rPr>
          <w:rFonts w:hAnsi="宋体"/>
          <w:sz w:val="22"/>
          <w:szCs w:val="22"/>
        </w:rPr>
        <w:t>）除3.3条款以外，未提供或未如实提供投标货物的技术参数，或者投标文件标明的响应或偏离与事实不符或虚假投标的；</w:t>
      </w:r>
    </w:p>
    <w:p>
      <w:pPr>
        <w:pStyle w:val="15"/>
        <w:adjustRightInd w:val="0"/>
        <w:snapToGrid w:val="0"/>
        <w:spacing w:before="156" w:after="156" w:line="240" w:lineRule="auto"/>
        <w:ind w:firstLine="440" w:firstLineChars="200"/>
        <w:rPr>
          <w:rFonts w:hAnsi="宋体"/>
          <w:sz w:val="22"/>
          <w:szCs w:val="22"/>
        </w:rPr>
      </w:pPr>
      <w:r>
        <w:rPr>
          <w:rFonts w:hint="eastAsia" w:hAnsi="宋体"/>
          <w:sz w:val="22"/>
          <w:szCs w:val="22"/>
        </w:rPr>
        <w:t>4</w:t>
      </w:r>
      <w:r>
        <w:rPr>
          <w:rFonts w:hAnsi="宋体"/>
          <w:sz w:val="22"/>
          <w:szCs w:val="22"/>
        </w:rPr>
        <w:t>）</w:t>
      </w:r>
      <w:r>
        <w:rPr>
          <w:rFonts w:hint="eastAsia" w:hAnsi="宋体"/>
          <w:sz w:val="22"/>
          <w:szCs w:val="22"/>
        </w:rPr>
        <w:t>与其他参加本次投标供应商的投标文件（技术文件）的文字表述内容相同连续20行以上或者差错相同2处以上的（招标文件中复制粘贴而来的除外）。</w:t>
      </w:r>
    </w:p>
    <w:p>
      <w:pPr>
        <w:pStyle w:val="15"/>
        <w:adjustRightInd w:val="0"/>
        <w:snapToGrid w:val="0"/>
        <w:spacing w:before="156" w:after="156" w:line="460" w:lineRule="exact"/>
        <w:ind w:firstLine="440" w:firstLineChars="200"/>
        <w:rPr>
          <w:rFonts w:hAnsi="宋体"/>
          <w:b/>
          <w:bCs/>
          <w:sz w:val="22"/>
          <w:szCs w:val="22"/>
        </w:rPr>
      </w:pPr>
      <w:r>
        <w:rPr>
          <w:rFonts w:hint="eastAsia" w:hAnsi="宋体"/>
          <w:sz w:val="22"/>
          <w:szCs w:val="22"/>
        </w:rPr>
        <w:t>3.5、</w:t>
      </w:r>
      <w:r>
        <w:rPr>
          <w:rFonts w:hint="eastAsia" w:hAnsi="宋体"/>
          <w:b/>
          <w:bCs/>
          <w:sz w:val="22"/>
          <w:szCs w:val="22"/>
        </w:rPr>
        <w:t>本次采购，如果投标供应商的投标报价均超出采购预算，本次招标做流标处理。</w:t>
      </w:r>
    </w:p>
    <w:p>
      <w:pPr>
        <w:pStyle w:val="15"/>
        <w:adjustRightInd w:val="0"/>
        <w:snapToGrid w:val="0"/>
        <w:spacing w:before="156" w:after="156" w:line="460" w:lineRule="exact"/>
        <w:ind w:firstLine="440" w:firstLineChars="200"/>
        <w:rPr>
          <w:rFonts w:hAnsi="宋体"/>
          <w:sz w:val="22"/>
          <w:szCs w:val="22"/>
        </w:rPr>
      </w:pPr>
      <w:r>
        <w:rPr>
          <w:rFonts w:hint="eastAsia" w:hAnsi="宋体"/>
          <w:sz w:val="22"/>
          <w:szCs w:val="22"/>
        </w:rPr>
        <w:t>3.6、开启投标供应商报价文件后发现价格、数量有误，其投标价将按下述原则处理：</w:t>
      </w:r>
    </w:p>
    <w:p>
      <w:pPr>
        <w:adjustRightInd w:val="0"/>
        <w:snapToGrid w:val="0"/>
        <w:ind w:firstLine="440" w:firstLineChars="200"/>
        <w:rPr>
          <w:rFonts w:ascii="宋体"/>
          <w:sz w:val="22"/>
        </w:rPr>
      </w:pPr>
      <w:r>
        <w:rPr>
          <w:rFonts w:ascii="宋体"/>
          <w:sz w:val="22"/>
        </w:rPr>
        <w:t>1) 任何有漏去一些小项货物或服务的投标将被视为其费用已包含在投标总价中，投标价格不予调整。</w:t>
      </w:r>
    </w:p>
    <w:p>
      <w:pPr>
        <w:adjustRightInd w:val="0"/>
        <w:snapToGrid w:val="0"/>
        <w:ind w:firstLine="440" w:firstLineChars="200"/>
        <w:rPr>
          <w:rFonts w:ascii="宋体"/>
          <w:sz w:val="22"/>
        </w:rPr>
      </w:pPr>
      <w:r>
        <w:rPr>
          <w:rFonts w:ascii="宋体"/>
          <w:sz w:val="22"/>
        </w:rPr>
        <w:t>2) 任何有多报一些小项工程或货物的投标其投标价不予调整，如果该投标供应商中标，则合同价格必须为核减掉多报的一些小项工程或货物后的价格。</w:t>
      </w:r>
    </w:p>
    <w:p>
      <w:pPr>
        <w:adjustRightInd w:val="0"/>
        <w:snapToGrid w:val="0"/>
        <w:ind w:firstLine="440" w:firstLineChars="200"/>
        <w:rPr>
          <w:rFonts w:ascii="宋体"/>
          <w:sz w:val="22"/>
        </w:rPr>
      </w:pPr>
      <w:r>
        <w:rPr>
          <w:rFonts w:ascii="宋体"/>
          <w:sz w:val="22"/>
        </w:rPr>
        <w:t>3）</w:t>
      </w:r>
      <w:r>
        <w:rPr>
          <w:rFonts w:hint="eastAsia" w:ascii="宋体"/>
          <w:sz w:val="22"/>
        </w:rPr>
        <w:t>对于计算错误的其投标价不予调整，如果该投标供应商中标，如其投标价格计算错误导致多报者合同价格予以据实核减，少报者合同价格不予调整。</w:t>
      </w:r>
    </w:p>
    <w:p>
      <w:pPr>
        <w:pStyle w:val="15"/>
        <w:adjustRightInd w:val="0"/>
        <w:snapToGrid w:val="0"/>
        <w:spacing w:before="156" w:after="156" w:line="240" w:lineRule="auto"/>
        <w:ind w:firstLine="431" w:firstLineChars="196"/>
        <w:rPr>
          <w:rFonts w:hAnsi="宋体"/>
          <w:sz w:val="22"/>
        </w:rPr>
      </w:pPr>
      <w:r>
        <w:rPr>
          <w:rFonts w:hAnsi="宋体"/>
          <w:sz w:val="22"/>
        </w:rPr>
        <w:t>4）对于计算错误，多报或漏报的一些小项工程或货物、服务的仅仅为非实质性重大偏差范围内的偏离，并经过评标委员会按少数服从多数原则认定为细微偏差，评审时其投标价不予调整。</w:t>
      </w:r>
    </w:p>
    <w:p>
      <w:pPr>
        <w:pStyle w:val="15"/>
        <w:adjustRightInd w:val="0"/>
        <w:snapToGrid w:val="0"/>
        <w:spacing w:before="156" w:after="156" w:line="240" w:lineRule="auto"/>
        <w:ind w:firstLine="431" w:firstLineChars="196"/>
        <w:rPr>
          <w:rFonts w:hAnsi="宋体"/>
          <w:sz w:val="22"/>
          <w:szCs w:val="22"/>
        </w:rPr>
      </w:pPr>
      <w:r>
        <w:rPr>
          <w:rFonts w:hint="eastAsia" w:hAnsi="宋体"/>
          <w:sz w:val="22"/>
        </w:rPr>
        <w:t>5）</w:t>
      </w:r>
      <w:r>
        <w:rPr>
          <w:rFonts w:hint="eastAsia" w:hAnsi="宋体"/>
          <w:b/>
          <w:bCs/>
          <w:sz w:val="22"/>
        </w:rPr>
        <w:t>供应商不接受上述处理方式，将按无效投标处理</w:t>
      </w:r>
      <w:r>
        <w:rPr>
          <w:rFonts w:hAnsi="宋体"/>
          <w:b/>
          <w:bCs/>
          <w:sz w:val="22"/>
        </w:rPr>
        <w:t>。</w:t>
      </w:r>
    </w:p>
    <w:p>
      <w:pPr>
        <w:adjustRightInd w:val="0"/>
        <w:snapToGrid w:val="0"/>
        <w:spacing w:line="460" w:lineRule="exact"/>
        <w:ind w:firstLine="440" w:firstLineChars="200"/>
        <w:rPr>
          <w:rFonts w:ascii="宋体"/>
          <w:b/>
          <w:bCs/>
          <w:sz w:val="22"/>
        </w:rPr>
      </w:pPr>
      <w:r>
        <w:rPr>
          <w:rFonts w:hint="eastAsia" w:ascii="宋体"/>
          <w:sz w:val="22"/>
        </w:rPr>
        <w:t>3</w:t>
      </w:r>
      <w:r>
        <w:rPr>
          <w:rFonts w:ascii="宋体"/>
          <w:sz w:val="22"/>
        </w:rPr>
        <w:t>.</w:t>
      </w:r>
      <w:r>
        <w:rPr>
          <w:rFonts w:hint="eastAsia" w:ascii="宋体"/>
          <w:sz w:val="22"/>
        </w:rPr>
        <w:t>7、</w:t>
      </w:r>
      <w:r>
        <w:rPr>
          <w:rFonts w:ascii="宋体"/>
          <w:b/>
          <w:bCs/>
          <w:sz w:val="22"/>
        </w:rPr>
        <w:t>评标委员会认为投标</w:t>
      </w:r>
      <w:r>
        <w:rPr>
          <w:rFonts w:hint="eastAsia" w:ascii="宋体"/>
          <w:b/>
          <w:bCs/>
          <w:sz w:val="22"/>
        </w:rPr>
        <w:t>供应商</w:t>
      </w:r>
      <w:r>
        <w:rPr>
          <w:rFonts w:ascii="宋体"/>
          <w:b/>
          <w:bCs/>
          <w:sz w:val="22"/>
        </w:rPr>
        <w:t>的报价明显低于其他通过符合性审查投标</w:t>
      </w:r>
      <w:r>
        <w:rPr>
          <w:rFonts w:hint="eastAsia" w:ascii="宋体"/>
          <w:b/>
          <w:bCs/>
          <w:sz w:val="22"/>
        </w:rPr>
        <w:t>供应商</w:t>
      </w:r>
      <w:r>
        <w:rPr>
          <w:rFonts w:ascii="宋体"/>
          <w:b/>
          <w:bCs/>
          <w:sz w:val="22"/>
        </w:rPr>
        <w:t>的报价，有可能影响产品质量或者不能诚信履约的，应当要求其在合理的时间内提供说明，必要时提交相关证明材料；投标</w:t>
      </w:r>
      <w:r>
        <w:rPr>
          <w:rFonts w:hint="eastAsia" w:ascii="宋体"/>
          <w:b/>
          <w:bCs/>
          <w:sz w:val="22"/>
        </w:rPr>
        <w:t>供应商</w:t>
      </w:r>
      <w:r>
        <w:rPr>
          <w:rFonts w:ascii="宋体"/>
          <w:b/>
          <w:bCs/>
          <w:sz w:val="22"/>
        </w:rPr>
        <w:t>不能证明其报价合理性的，评标委员会应当将其作为无效投标处理。</w:t>
      </w:r>
    </w:p>
    <w:p>
      <w:pPr>
        <w:adjustRightInd w:val="0"/>
        <w:snapToGrid w:val="0"/>
        <w:spacing w:line="460" w:lineRule="exact"/>
        <w:ind w:firstLine="440" w:firstLineChars="200"/>
        <w:rPr>
          <w:rFonts w:ascii="宋体" w:cs="Arial"/>
          <w:sz w:val="22"/>
        </w:rPr>
      </w:pPr>
      <w:r>
        <w:rPr>
          <w:rFonts w:hint="eastAsia" w:ascii="宋体"/>
          <w:sz w:val="22"/>
        </w:rPr>
        <w:t>3.8、</w:t>
      </w:r>
      <w:r>
        <w:rPr>
          <w:rFonts w:hint="eastAsia" w:ascii="宋体" w:cs="Arial"/>
          <w:b/>
          <w:bCs/>
          <w:sz w:val="22"/>
        </w:rPr>
        <w:t>评标过程中遇到特殊情况，由评标委员会遵循公开、公正原则，采取投票方式按照少数服从多数原则决定。</w:t>
      </w:r>
    </w:p>
    <w:p>
      <w:pPr>
        <w:adjustRightInd w:val="0"/>
        <w:snapToGrid w:val="0"/>
        <w:spacing w:line="440" w:lineRule="exact"/>
        <w:ind w:firstLine="440" w:firstLineChars="200"/>
        <w:rPr>
          <w:rFonts w:ascii="宋体"/>
          <w:sz w:val="22"/>
        </w:rPr>
      </w:pPr>
      <w:r>
        <w:rPr>
          <w:rFonts w:hint="eastAsia" w:ascii="宋体"/>
          <w:sz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40" w:lineRule="exact"/>
        <w:ind w:firstLine="440" w:firstLineChars="200"/>
        <w:rPr>
          <w:rFonts w:ascii="宋体"/>
          <w:sz w:val="22"/>
        </w:rPr>
      </w:pPr>
      <w:r>
        <w:rPr>
          <w:rFonts w:hint="eastAsia" w:ascii="宋体"/>
          <w:sz w:val="22"/>
        </w:rPr>
        <w:t>3.10、评标委员会对投标文件的判定，只依据投标内容本身，不依靠开标后的任何外来证明。</w:t>
      </w:r>
    </w:p>
    <w:p>
      <w:pPr>
        <w:adjustRightInd w:val="0"/>
        <w:snapToGrid w:val="0"/>
        <w:spacing w:line="440" w:lineRule="exact"/>
        <w:ind w:firstLine="440" w:firstLineChars="200"/>
        <w:rPr>
          <w:rFonts w:ascii="宋体"/>
          <w:sz w:val="22"/>
        </w:rPr>
      </w:pPr>
      <w:r>
        <w:rPr>
          <w:rFonts w:hint="eastAsia" w:ascii="宋体"/>
          <w:sz w:val="22"/>
        </w:rPr>
        <w:t>3.11、评标委员会在评标中，不得改变招标文件中规定的评标标准、方法和中标条件。</w:t>
      </w:r>
    </w:p>
    <w:p>
      <w:pPr>
        <w:adjustRightInd w:val="0"/>
        <w:snapToGrid w:val="0"/>
        <w:spacing w:line="440" w:lineRule="exact"/>
        <w:ind w:firstLine="440" w:firstLineChars="200"/>
        <w:rPr>
          <w:rFonts w:ascii="宋体"/>
          <w:sz w:val="22"/>
        </w:rPr>
      </w:pPr>
      <w:r>
        <w:rPr>
          <w:rFonts w:hint="eastAsia" w:ascii="宋体"/>
          <w:sz w:val="22"/>
        </w:rPr>
        <w:t>3</w:t>
      </w:r>
      <w:r>
        <w:rPr>
          <w:rFonts w:ascii="宋体"/>
          <w:sz w:val="22"/>
        </w:rPr>
        <w:t>.</w:t>
      </w:r>
      <w:r>
        <w:rPr>
          <w:rFonts w:hint="eastAsia" w:ascii="宋体"/>
          <w:sz w:val="22"/>
        </w:rPr>
        <w:t>12、</w:t>
      </w:r>
      <w:r>
        <w:rPr>
          <w:rFonts w:ascii="宋体"/>
          <w:sz w:val="22"/>
        </w:rPr>
        <w:t>评标委员会对未中标的供应商不作解释。</w:t>
      </w:r>
    </w:p>
    <w:p>
      <w:pPr>
        <w:pStyle w:val="15"/>
        <w:adjustRightInd w:val="0"/>
        <w:snapToGrid w:val="0"/>
        <w:spacing w:before="156" w:after="156" w:line="460" w:lineRule="atLeast"/>
        <w:rPr>
          <w:rFonts w:hAnsi="宋体"/>
          <w:sz w:val="22"/>
          <w:szCs w:val="22"/>
        </w:rPr>
      </w:pPr>
      <w:r>
        <w:rPr>
          <w:rFonts w:hint="eastAsia" w:hAnsi="宋体"/>
          <w:sz w:val="22"/>
          <w:szCs w:val="22"/>
        </w:rPr>
        <w:t xml:space="preserve">  </w:t>
      </w:r>
      <w:r>
        <w:rPr>
          <w:rFonts w:hAnsi="宋体"/>
          <w:sz w:val="22"/>
          <w:szCs w:val="22"/>
        </w:rPr>
        <w:t>4、投标文件的澄清</w:t>
      </w:r>
    </w:p>
    <w:p>
      <w:pPr>
        <w:adjustRightInd w:val="0"/>
        <w:snapToGrid w:val="0"/>
        <w:spacing w:line="460" w:lineRule="atLeast"/>
        <w:ind w:firstLine="440" w:firstLineChars="200"/>
        <w:rPr>
          <w:rFonts w:ascii="宋体"/>
          <w:sz w:val="22"/>
        </w:rPr>
      </w:pPr>
      <w:r>
        <w:rPr>
          <w:rFonts w:hint="eastAsia" w:ascii="宋体"/>
          <w:sz w:val="22"/>
        </w:rPr>
        <w:t>4.1、为有利于对投标文件的评审，必要时评标委员会可要求投标供应商对投标文件相关事宜进行澄清。评标委员会将通过“政府采购云平台”在线询标的形式要求</w:t>
      </w:r>
      <w:r>
        <w:rPr>
          <w:rFonts w:ascii="宋体"/>
          <w:sz w:val="22"/>
        </w:rPr>
        <w:t>投标供应商</w:t>
      </w:r>
      <w:r>
        <w:rPr>
          <w:rFonts w:hint="eastAsia" w:ascii="宋体"/>
          <w:sz w:val="22"/>
        </w:rPr>
        <w:t>在规定的时间内作出必要的澄清、说明，供投标供应商澄清、说明时间不多于30分钟，投标供应商未在规定的时间内作出必要的澄清、说明可能导致对其不利的评定。</w:t>
      </w:r>
    </w:p>
    <w:p>
      <w:pPr>
        <w:adjustRightInd w:val="0"/>
        <w:snapToGrid w:val="0"/>
        <w:spacing w:line="460" w:lineRule="atLeast"/>
        <w:ind w:firstLine="440" w:firstLineChars="200"/>
        <w:rPr>
          <w:rFonts w:ascii="宋体"/>
          <w:sz w:val="22"/>
        </w:rPr>
      </w:pPr>
      <w:r>
        <w:rPr>
          <w:rFonts w:hint="eastAsia" w:ascii="宋体"/>
          <w:sz w:val="22"/>
        </w:rPr>
        <w:t>4.2、</w:t>
      </w:r>
      <w:r>
        <w:rPr>
          <w:rFonts w:ascii="宋体"/>
          <w:sz w:val="22"/>
        </w:rPr>
        <w:t>投标供应商</w:t>
      </w:r>
      <w:r>
        <w:rPr>
          <w:rFonts w:hint="eastAsia" w:ascii="宋体"/>
          <w:sz w:val="22"/>
        </w:rPr>
        <w:t>的澄清、说明应当通过“政府采购云平台”在线答复形式提交。</w:t>
      </w:r>
      <w:r>
        <w:rPr>
          <w:rFonts w:ascii="宋体"/>
          <w:sz w:val="22"/>
        </w:rPr>
        <w:t>投标供应商</w:t>
      </w:r>
      <w:r>
        <w:rPr>
          <w:rFonts w:hint="eastAsia" w:ascii="宋体"/>
          <w:sz w:val="22"/>
        </w:rPr>
        <w:t xml:space="preserve">的澄清、说明不得超出投标文件的范围或者改变投标文件的实质性内容。 </w:t>
      </w:r>
    </w:p>
    <w:p>
      <w:pPr>
        <w:snapToGrid w:val="0"/>
        <w:spacing w:line="440" w:lineRule="exact"/>
        <w:ind w:firstLine="431" w:firstLineChars="196"/>
        <w:rPr>
          <w:rFonts w:ascii="宋体"/>
          <w:sz w:val="22"/>
        </w:rPr>
      </w:pPr>
      <w:r>
        <w:rPr>
          <w:rFonts w:hint="eastAsia" w:ascii="宋体"/>
          <w:sz w:val="22"/>
        </w:rPr>
        <w:t>5</w:t>
      </w:r>
      <w:r>
        <w:rPr>
          <w:rFonts w:ascii="宋体"/>
          <w:sz w:val="22"/>
        </w:rPr>
        <w:t>、有下列情形之一的，视为投标供应商相互串通投标：</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.1</w:t>
      </w:r>
      <w:r>
        <w:rPr>
          <w:rFonts w:hint="eastAsia" w:ascii="宋体"/>
          <w:sz w:val="22"/>
        </w:rPr>
        <w:t>、</w:t>
      </w:r>
      <w:r>
        <w:rPr>
          <w:rFonts w:ascii="宋体"/>
          <w:sz w:val="22"/>
        </w:rPr>
        <w:t>不同投标供应商的投标文件由同一单位或者个人编制；</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.2</w:t>
      </w:r>
      <w:r>
        <w:rPr>
          <w:rFonts w:hint="eastAsia" w:ascii="宋体"/>
          <w:sz w:val="22"/>
        </w:rPr>
        <w:t>、</w:t>
      </w:r>
      <w:r>
        <w:rPr>
          <w:rFonts w:ascii="宋体"/>
          <w:sz w:val="22"/>
        </w:rPr>
        <w:t>不同投标供应商委托同一单位或者个人办理投标事宜；</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.3</w:t>
      </w:r>
      <w:r>
        <w:rPr>
          <w:rFonts w:hint="eastAsia" w:ascii="宋体"/>
          <w:sz w:val="22"/>
        </w:rPr>
        <w:t>、</w:t>
      </w:r>
      <w:r>
        <w:rPr>
          <w:rFonts w:ascii="宋体"/>
          <w:sz w:val="22"/>
        </w:rPr>
        <w:t>不同投标供应商的投标文件载明的项目管理成员为同一人；</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.4</w:t>
      </w:r>
      <w:r>
        <w:rPr>
          <w:rFonts w:hint="eastAsia" w:ascii="宋体"/>
          <w:sz w:val="22"/>
        </w:rPr>
        <w:t>、</w:t>
      </w:r>
      <w:r>
        <w:rPr>
          <w:rFonts w:ascii="宋体"/>
          <w:sz w:val="22"/>
        </w:rPr>
        <w:t>不同投标供应商的投标文件异常一致或者投标报价呈规律性差异。</w:t>
      </w:r>
    </w:p>
    <w:p>
      <w:pPr>
        <w:snapToGrid w:val="0"/>
        <w:spacing w:line="440" w:lineRule="exact"/>
        <w:ind w:firstLine="431" w:firstLineChars="196"/>
        <w:rPr>
          <w:rFonts w:ascii="宋体"/>
          <w:sz w:val="22"/>
        </w:rPr>
      </w:pPr>
      <w:r>
        <w:rPr>
          <w:rFonts w:hint="eastAsia" w:ascii="宋体"/>
          <w:sz w:val="22"/>
        </w:rPr>
        <w:t>6、</w:t>
      </w:r>
      <w:r>
        <w:rPr>
          <w:rFonts w:ascii="宋体"/>
          <w:sz w:val="22"/>
        </w:rPr>
        <w:t>经评标委员会认定投标供应商进行串通投标的，评标委员会可以对相关投标供应商做出无效投标处理，并上报政府采购管理部门进行进一步处理。</w:t>
      </w:r>
    </w:p>
    <w:p>
      <w:pPr>
        <w:pStyle w:val="15"/>
        <w:adjustRightInd w:val="0"/>
        <w:snapToGrid w:val="0"/>
        <w:spacing w:before="156" w:after="156" w:line="440" w:lineRule="exact"/>
        <w:ind w:firstLine="440" w:firstLineChars="200"/>
        <w:rPr>
          <w:rFonts w:hAnsi="宋体"/>
          <w:sz w:val="22"/>
          <w:szCs w:val="22"/>
        </w:rPr>
      </w:pPr>
      <w:r>
        <w:rPr>
          <w:rFonts w:hint="eastAsia" w:hAnsi="宋体"/>
          <w:sz w:val="22"/>
          <w:szCs w:val="22"/>
        </w:rPr>
        <w:t>7、评标原则</w:t>
      </w:r>
    </w:p>
    <w:p>
      <w:pPr>
        <w:pStyle w:val="15"/>
        <w:adjustRightInd w:val="0"/>
        <w:snapToGrid w:val="0"/>
        <w:spacing w:before="156" w:after="156" w:line="440" w:lineRule="exact"/>
        <w:ind w:left="218" w:leftChars="104" w:firstLine="220" w:firstLineChars="100"/>
        <w:rPr>
          <w:rFonts w:hAnsi="宋体"/>
          <w:b/>
          <w:bCs/>
          <w:sz w:val="22"/>
          <w:szCs w:val="22"/>
        </w:rPr>
      </w:pPr>
      <w:r>
        <w:rPr>
          <w:rFonts w:hint="eastAsia" w:hAnsi="宋体"/>
          <w:b/>
          <w:bCs/>
          <w:sz w:val="22"/>
          <w:szCs w:val="22"/>
        </w:rPr>
        <w:t>投标截止时或评审过程中有效投标供应商不足三家的，不予开标或评标。</w:t>
      </w:r>
    </w:p>
    <w:p>
      <w:pPr>
        <w:pStyle w:val="15"/>
        <w:adjustRightInd w:val="0"/>
        <w:snapToGrid w:val="0"/>
        <w:spacing w:before="156" w:after="156" w:line="440" w:lineRule="exact"/>
        <w:ind w:left="218" w:leftChars="104" w:firstLine="220" w:firstLineChars="100"/>
        <w:rPr>
          <w:rFonts w:hAnsi="宋体" w:cs="Arial"/>
          <w:sz w:val="22"/>
        </w:rPr>
      </w:pPr>
      <w:r>
        <w:rPr>
          <w:rFonts w:hint="eastAsia" w:hAnsi="宋体"/>
          <w:sz w:val="22"/>
          <w:szCs w:val="22"/>
        </w:rPr>
        <w:t>评标委员会按照招标文件的要求和条件对投标文件进行商务和技术评估，综合比较与评价。</w:t>
      </w:r>
      <w:r>
        <w:rPr>
          <w:rFonts w:hint="eastAsia" w:hAnsi="宋体" w:cs="Arial"/>
          <w:sz w:val="22"/>
        </w:rPr>
        <w:t>评标办法具体见本招标文件第五部分。</w:t>
      </w:r>
    </w:p>
    <w:p>
      <w:pPr>
        <w:adjustRightInd w:val="0"/>
        <w:snapToGrid w:val="0"/>
        <w:spacing w:line="440" w:lineRule="exact"/>
        <w:ind w:firstLine="424" w:firstLineChars="193"/>
        <w:rPr>
          <w:rFonts w:ascii="宋体"/>
          <w:snapToGrid w:val="0"/>
          <w:sz w:val="22"/>
        </w:rPr>
      </w:pPr>
      <w:r>
        <w:rPr>
          <w:rFonts w:hint="eastAsia" w:ascii="宋体"/>
          <w:snapToGrid w:val="0"/>
          <w:sz w:val="22"/>
        </w:rPr>
        <w:t xml:space="preserve"> 8、可中止电子交易活动的情形</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采购过程中出现以下情形，导致电子交易平台无法正常运行，或者无法保证电子交易的公平、公正和安全时，采购组织机构可中止电子交易活动：</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8.1、电子交易平台发生故障而无法登录访问的；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8.2、电子交易平台应用或数据库出现错误，不能进行正常操作的；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8.3、电子交易平台发现严重安全漏洞，有潜在泄密危险的；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8.4、病毒发作导致不能进行正常操作的；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8.5、其他无法保证电子交易的公平、公正和安全的情况。</w:t>
      </w:r>
    </w:p>
    <w:p>
      <w:pPr>
        <w:pStyle w:val="13"/>
        <w:spacing w:after="0" w:line="440" w:lineRule="exact"/>
        <w:ind w:firstLine="440" w:firstLineChars="200"/>
      </w:pPr>
      <w:r>
        <w:rPr>
          <w:rFonts w:hint="eastAsia" w:ascii="宋体" w:hAnsi="宋体"/>
          <w:snapToGrid w:val="0"/>
          <w:kern w:val="0"/>
          <w:sz w:val="22"/>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440" w:firstLineChars="200"/>
        <w:rPr>
          <w:rFonts w:ascii="宋体"/>
          <w:sz w:val="22"/>
        </w:rPr>
      </w:pPr>
      <w:bookmarkStart w:id="220" w:name="_Toc132125153"/>
      <w:bookmarkStart w:id="221" w:name="_Toc132126156"/>
      <w:bookmarkStart w:id="222" w:name="_Toc132125985"/>
      <w:bookmarkStart w:id="223" w:name="_Toc132123549"/>
      <w:bookmarkStart w:id="224" w:name="_Toc132125576"/>
      <w:bookmarkStart w:id="225" w:name="_Toc132123636"/>
      <w:bookmarkStart w:id="226" w:name="_Toc132123840"/>
      <w:bookmarkStart w:id="227" w:name="_Toc132123441"/>
      <w:bookmarkStart w:id="228" w:name="_Toc132122121"/>
      <w:bookmarkStart w:id="229" w:name="_Toc132655778"/>
      <w:bookmarkStart w:id="230" w:name="_Toc132125039"/>
      <w:bookmarkStart w:id="231" w:name="_Toc132124596"/>
      <w:bookmarkStart w:id="232" w:name="_Toc132125097"/>
      <w:bookmarkStart w:id="233" w:name="_Toc132122418"/>
      <w:bookmarkStart w:id="234" w:name="_Toc132123883"/>
      <w:r>
        <w:rPr>
          <w:rFonts w:hint="eastAsia" w:ascii="宋体"/>
          <w:sz w:val="22"/>
        </w:rPr>
        <w:t>六、授予合同</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15"/>
        <w:adjustRightInd w:val="0"/>
        <w:snapToGrid w:val="0"/>
        <w:spacing w:before="156" w:after="156" w:line="440" w:lineRule="exact"/>
        <w:ind w:firstLine="440" w:firstLineChars="200"/>
        <w:rPr>
          <w:rFonts w:hAnsi="宋体"/>
          <w:sz w:val="22"/>
          <w:szCs w:val="22"/>
        </w:rPr>
      </w:pPr>
      <w:r>
        <w:rPr>
          <w:rFonts w:hint="eastAsia" w:hAnsi="宋体"/>
          <w:sz w:val="22"/>
          <w:szCs w:val="22"/>
        </w:rPr>
        <w:t>1、中标条件</w:t>
      </w:r>
    </w:p>
    <w:p>
      <w:pPr>
        <w:adjustRightInd w:val="0"/>
        <w:snapToGrid w:val="0"/>
        <w:ind w:hanging="1"/>
        <w:rPr>
          <w:rFonts w:ascii="宋体"/>
          <w:sz w:val="22"/>
        </w:rPr>
      </w:pPr>
      <w:r>
        <w:rPr>
          <w:rFonts w:hint="eastAsia" w:ascii="宋体"/>
          <w:sz w:val="22"/>
        </w:rPr>
        <w:t xml:space="preserve">    1) 投标文件基本符合招标文件要求，能够最大限度满足招标文件中规定的各项综合评价标准；</w:t>
      </w:r>
    </w:p>
    <w:p>
      <w:pPr>
        <w:pStyle w:val="15"/>
        <w:adjustRightInd w:val="0"/>
        <w:snapToGrid w:val="0"/>
        <w:spacing w:before="156" w:after="156" w:line="240" w:lineRule="auto"/>
        <w:ind w:firstLine="440" w:firstLineChars="200"/>
        <w:rPr>
          <w:rFonts w:hAnsi="宋体"/>
          <w:sz w:val="22"/>
          <w:szCs w:val="22"/>
        </w:rPr>
      </w:pPr>
      <w:r>
        <w:rPr>
          <w:rFonts w:hint="eastAsia" w:hAnsi="宋体"/>
          <w:sz w:val="22"/>
          <w:szCs w:val="22"/>
        </w:rPr>
        <w:t>2) 投标供应商有很好的执行合同的能力；</w:t>
      </w:r>
    </w:p>
    <w:p>
      <w:pPr>
        <w:pStyle w:val="15"/>
        <w:adjustRightInd w:val="0"/>
        <w:snapToGrid w:val="0"/>
        <w:spacing w:before="156" w:after="156" w:line="240" w:lineRule="auto"/>
        <w:ind w:firstLine="440"/>
        <w:rPr>
          <w:rFonts w:hAnsi="宋体"/>
          <w:sz w:val="22"/>
          <w:szCs w:val="22"/>
        </w:rPr>
      </w:pPr>
      <w:bookmarkStart w:id="235" w:name="_Toc132122419"/>
      <w:bookmarkStart w:id="236" w:name="_Toc132122122"/>
      <w:r>
        <w:rPr>
          <w:rFonts w:hint="eastAsia" w:hAnsi="宋体"/>
          <w:sz w:val="22"/>
          <w:szCs w:val="22"/>
        </w:rPr>
        <w:t>3) 投标供应商能够提供质量技术、商务经济占综合优势的产品及服务；</w:t>
      </w:r>
      <w:bookmarkEnd w:id="235"/>
      <w:bookmarkEnd w:id="236"/>
    </w:p>
    <w:p>
      <w:pPr>
        <w:pStyle w:val="15"/>
        <w:adjustRightInd w:val="0"/>
        <w:snapToGrid w:val="0"/>
        <w:spacing w:before="156" w:after="156" w:line="240" w:lineRule="auto"/>
        <w:ind w:firstLine="440"/>
        <w:rPr>
          <w:rFonts w:hAnsi="宋体"/>
          <w:sz w:val="22"/>
          <w:szCs w:val="22"/>
        </w:rPr>
      </w:pPr>
      <w:r>
        <w:rPr>
          <w:rFonts w:hAnsi="宋体"/>
          <w:sz w:val="22"/>
          <w:szCs w:val="22"/>
        </w:rPr>
        <w:t>4）中标供应商</w:t>
      </w:r>
      <w:r>
        <w:rPr>
          <w:rFonts w:hint="eastAsia" w:hAnsi="宋体"/>
          <w:sz w:val="22"/>
          <w:szCs w:val="22"/>
        </w:rPr>
        <w:t>投标</w:t>
      </w:r>
      <w:r>
        <w:rPr>
          <w:rFonts w:hAnsi="宋体"/>
          <w:sz w:val="22"/>
          <w:szCs w:val="22"/>
        </w:rPr>
        <w:t>报价为中标价，作为中标供应商与</w:t>
      </w:r>
      <w:r>
        <w:rPr>
          <w:rFonts w:hint="eastAsia" w:hAnsi="宋体"/>
          <w:sz w:val="22"/>
          <w:szCs w:val="22"/>
        </w:rPr>
        <w:t>采购人</w:t>
      </w:r>
      <w:r>
        <w:rPr>
          <w:rFonts w:hAnsi="宋体"/>
          <w:sz w:val="22"/>
          <w:szCs w:val="22"/>
        </w:rPr>
        <w:t>签订合同的合同价。</w:t>
      </w:r>
    </w:p>
    <w:p>
      <w:pPr>
        <w:pStyle w:val="15"/>
        <w:adjustRightInd w:val="0"/>
        <w:snapToGrid w:val="0"/>
        <w:spacing w:before="156" w:after="156" w:line="440" w:lineRule="exact"/>
        <w:ind w:firstLine="450"/>
        <w:rPr>
          <w:rFonts w:hAnsi="宋体"/>
          <w:sz w:val="22"/>
          <w:szCs w:val="22"/>
          <w:u w:val="single"/>
        </w:rPr>
      </w:pPr>
      <w:bookmarkStart w:id="237" w:name="_Toc132122123"/>
      <w:bookmarkStart w:id="238" w:name="_Toc132122420"/>
      <w:r>
        <w:rPr>
          <w:rFonts w:hint="eastAsia" w:hAnsi="宋体"/>
          <w:sz w:val="22"/>
          <w:szCs w:val="22"/>
        </w:rPr>
        <w:t>2、中标通知</w:t>
      </w:r>
      <w:bookmarkEnd w:id="237"/>
      <w:bookmarkEnd w:id="238"/>
    </w:p>
    <w:p>
      <w:pPr>
        <w:adjustRightInd w:val="0"/>
        <w:snapToGrid w:val="0"/>
        <w:spacing w:line="440" w:lineRule="exact"/>
        <w:ind w:firstLine="480"/>
        <w:rPr>
          <w:rFonts w:ascii="宋体"/>
          <w:sz w:val="22"/>
        </w:rPr>
      </w:pPr>
      <w:r>
        <w:rPr>
          <w:rFonts w:hint="eastAsia" w:ascii="宋体"/>
          <w:sz w:val="22"/>
        </w:rPr>
        <w:t>2.1、采购人依法确认中标供应商后</w:t>
      </w:r>
      <w:r>
        <w:rPr>
          <w:rFonts w:ascii="宋体"/>
          <w:sz w:val="22"/>
        </w:rPr>
        <w:t>，采购代理机构在浙江政府采购网公告中标结果，同时发出中标通知书，中标公告期限为1个工作日</w:t>
      </w:r>
      <w:r>
        <w:rPr>
          <w:rFonts w:hint="eastAsia" w:ascii="宋体"/>
          <w:sz w:val="22"/>
        </w:rPr>
        <w:t>。</w:t>
      </w:r>
    </w:p>
    <w:p>
      <w:pPr>
        <w:adjustRightInd w:val="0"/>
        <w:snapToGrid w:val="0"/>
        <w:spacing w:line="440" w:lineRule="exact"/>
        <w:ind w:firstLine="480"/>
        <w:rPr>
          <w:rFonts w:ascii="宋体"/>
          <w:sz w:val="22"/>
        </w:rPr>
      </w:pPr>
      <w:r>
        <w:rPr>
          <w:rFonts w:hint="eastAsia" w:ascii="宋体"/>
          <w:sz w:val="22"/>
        </w:rPr>
        <w:t>2.2、中标通知书对采购单位和中标供应商具有法律约束力。中标通知书发出后，采购人改变中标结果或者中标供应商放弃中标的，应当承担法律责任。</w:t>
      </w:r>
    </w:p>
    <w:p>
      <w:pPr>
        <w:adjustRightInd w:val="0"/>
        <w:snapToGrid w:val="0"/>
        <w:spacing w:line="440" w:lineRule="exact"/>
        <w:ind w:firstLine="480"/>
        <w:rPr>
          <w:rFonts w:ascii="宋体"/>
          <w:sz w:val="22"/>
        </w:rPr>
      </w:pPr>
      <w:r>
        <w:rPr>
          <w:rFonts w:ascii="宋体"/>
          <w:sz w:val="22"/>
        </w:rPr>
        <w:t>2.3、中标无效</w:t>
      </w:r>
    </w:p>
    <w:p>
      <w:pPr>
        <w:adjustRightInd w:val="0"/>
        <w:snapToGrid w:val="0"/>
        <w:spacing w:line="440" w:lineRule="exact"/>
        <w:ind w:firstLine="480"/>
        <w:rPr>
          <w:rFonts w:ascii="宋体"/>
          <w:sz w:val="22"/>
        </w:rPr>
      </w:pPr>
      <w:r>
        <w:rPr>
          <w:rFonts w:ascii="宋体"/>
          <w:sz w:val="22"/>
        </w:rPr>
        <w:t>1）</w:t>
      </w:r>
      <w:r>
        <w:rPr>
          <w:rFonts w:hint="eastAsia" w:ascii="宋体"/>
          <w:sz w:val="22"/>
        </w:rPr>
        <w:t>发现中标供应商资格无效或中标供应商放弃中标或拒绝与采购人签订合同的,按相关规定执行</w:t>
      </w:r>
      <w:r>
        <w:rPr>
          <w:rFonts w:ascii="宋体"/>
          <w:sz w:val="22"/>
        </w:rPr>
        <w:t>。</w:t>
      </w:r>
    </w:p>
    <w:p>
      <w:pPr>
        <w:adjustRightInd w:val="0"/>
        <w:snapToGrid w:val="0"/>
        <w:spacing w:line="440" w:lineRule="exact"/>
        <w:ind w:firstLine="480"/>
        <w:rPr>
          <w:rFonts w:ascii="宋体"/>
          <w:sz w:val="22"/>
        </w:rPr>
      </w:pPr>
      <w:r>
        <w:rPr>
          <w:rFonts w:ascii="宋体"/>
          <w:sz w:val="22"/>
        </w:rPr>
        <w:t>2）</w:t>
      </w:r>
      <w:r>
        <w:rPr>
          <w:rFonts w:hint="eastAsia" w:ascii="宋体"/>
          <w:sz w:val="22"/>
        </w:rPr>
        <w:t>有《中华人民共和国政府采购法实施条例》第七十一条、第七十二条、第七十三条、第七十四条规定的违法行为之一</w:t>
      </w:r>
      <w:r>
        <w:rPr>
          <w:rFonts w:ascii="宋体"/>
          <w:sz w:val="22"/>
        </w:rPr>
        <w:t>，由政府采购监管部门依法处理。</w:t>
      </w:r>
    </w:p>
    <w:p>
      <w:pPr>
        <w:pStyle w:val="15"/>
        <w:adjustRightInd w:val="0"/>
        <w:snapToGrid w:val="0"/>
        <w:spacing w:before="156" w:after="156" w:line="360" w:lineRule="auto"/>
        <w:rPr>
          <w:rFonts w:hAnsi="宋体"/>
          <w:sz w:val="22"/>
          <w:szCs w:val="22"/>
        </w:rPr>
      </w:pPr>
      <w:r>
        <w:rPr>
          <w:rFonts w:hint="eastAsia" w:hAnsi="宋体"/>
          <w:sz w:val="22"/>
          <w:szCs w:val="22"/>
        </w:rPr>
        <w:t xml:space="preserve">    </w:t>
      </w:r>
      <w:bookmarkStart w:id="239" w:name="_Toc132122421"/>
      <w:bookmarkStart w:id="240" w:name="_Toc132122124"/>
      <w:r>
        <w:rPr>
          <w:rFonts w:hint="eastAsia" w:hAnsi="宋体"/>
          <w:sz w:val="22"/>
          <w:szCs w:val="22"/>
        </w:rPr>
        <w:t>3、签订合同</w:t>
      </w:r>
      <w:bookmarkEnd w:id="239"/>
      <w:bookmarkEnd w:id="240"/>
    </w:p>
    <w:p>
      <w:pPr>
        <w:pStyle w:val="15"/>
        <w:adjustRightInd w:val="0"/>
        <w:snapToGrid w:val="0"/>
        <w:spacing w:before="156" w:after="156" w:line="360" w:lineRule="auto"/>
        <w:rPr>
          <w:rFonts w:hAnsi="宋体"/>
          <w:sz w:val="22"/>
          <w:szCs w:val="22"/>
        </w:rPr>
      </w:pPr>
      <w:r>
        <w:rPr>
          <w:rFonts w:hint="eastAsia" w:hAnsi="宋体"/>
          <w:sz w:val="22"/>
          <w:szCs w:val="22"/>
        </w:rPr>
        <w:t xml:space="preserve">    3.1、中标供应商须主动联系采购人或采购代理机构领取中标通知书。中标供应商应当在中标通知书发出之日起</w:t>
      </w:r>
      <w:r>
        <w:rPr>
          <w:rFonts w:hint="eastAsia" w:cs="宋体"/>
          <w:sz w:val="22"/>
          <w:szCs w:val="22"/>
        </w:rPr>
        <w:t>20日历天内</w:t>
      </w:r>
      <w:r>
        <w:rPr>
          <w:rFonts w:hint="eastAsia" w:hAnsi="宋体"/>
          <w:sz w:val="22"/>
          <w:szCs w:val="22"/>
        </w:rPr>
        <w:t>与采购人签订合同。中标供应商未经采购人许可，在规定时间内未与采购人签订合同，则视为拒签合同。</w:t>
      </w:r>
    </w:p>
    <w:p>
      <w:pPr>
        <w:pStyle w:val="15"/>
        <w:adjustRightInd w:val="0"/>
        <w:snapToGrid w:val="0"/>
        <w:spacing w:before="156" w:after="156" w:line="360" w:lineRule="auto"/>
        <w:rPr>
          <w:rFonts w:hAnsi="宋体"/>
          <w:sz w:val="22"/>
          <w:szCs w:val="22"/>
        </w:rPr>
      </w:pPr>
      <w:r>
        <w:rPr>
          <w:rFonts w:hint="eastAsia" w:hAnsi="宋体"/>
          <w:sz w:val="22"/>
          <w:szCs w:val="22"/>
        </w:rPr>
        <w:t xml:space="preserve">    3.2、招标文件、中标供应商的投标文件及投标修改文件、评标过程中有关澄清文件及询标纪要和中标通知书均作为合同附件。</w:t>
      </w:r>
    </w:p>
    <w:p>
      <w:pPr>
        <w:pStyle w:val="15"/>
        <w:adjustRightInd w:val="0"/>
        <w:snapToGrid w:val="0"/>
        <w:spacing w:before="156" w:after="156" w:line="360" w:lineRule="auto"/>
        <w:ind w:firstLine="442"/>
        <w:rPr>
          <w:rFonts w:hAnsi="宋体"/>
          <w:sz w:val="22"/>
          <w:szCs w:val="22"/>
        </w:rPr>
      </w:pPr>
      <w:r>
        <w:rPr>
          <w:rFonts w:hint="eastAsia" w:hAnsi="宋体"/>
          <w:sz w:val="22"/>
          <w:szCs w:val="22"/>
        </w:rPr>
        <w:t>3.3、拒签合同的责任</w:t>
      </w:r>
    </w:p>
    <w:p>
      <w:pPr>
        <w:pStyle w:val="15"/>
        <w:adjustRightInd w:val="0"/>
        <w:snapToGrid w:val="0"/>
        <w:spacing w:before="156" w:after="156" w:line="360" w:lineRule="auto"/>
        <w:ind w:firstLine="440" w:firstLineChars="200"/>
        <w:rPr>
          <w:sz w:val="22"/>
          <w:szCs w:val="22"/>
        </w:rPr>
      </w:pPr>
      <w:r>
        <w:rPr>
          <w:rFonts w:hint="eastAsia"/>
          <w:sz w:val="22"/>
          <w:szCs w:val="22"/>
        </w:rPr>
        <w:t xml:space="preserve">    中标供应商在规定时间内借故否认已经承诺的条件、拒签合同者，以投标违约处理，并赔偿采购人由此造成的直接经济损失；采购人重新组织招标的，所需费用由原中标供应商承担。</w:t>
      </w:r>
    </w:p>
    <w:p>
      <w:pPr>
        <w:pStyle w:val="15"/>
        <w:numPr>
          <w:ilvl w:val="0"/>
          <w:numId w:val="13"/>
        </w:numPr>
        <w:adjustRightInd w:val="0"/>
        <w:snapToGrid w:val="0"/>
        <w:spacing w:before="156" w:after="156" w:line="360" w:lineRule="auto"/>
        <w:ind w:firstLine="440" w:firstLineChars="200"/>
        <w:rPr>
          <w:sz w:val="22"/>
          <w:szCs w:val="22"/>
        </w:rPr>
      </w:pPr>
      <w:r>
        <w:rPr>
          <w:rFonts w:hint="eastAsia"/>
          <w:sz w:val="22"/>
          <w:szCs w:val="22"/>
        </w:rPr>
        <w:t>验收</w:t>
      </w:r>
    </w:p>
    <w:p>
      <w:pPr>
        <w:pStyle w:val="15"/>
        <w:adjustRightInd w:val="0"/>
        <w:snapToGrid w:val="0"/>
        <w:spacing w:before="156" w:after="156" w:line="360" w:lineRule="auto"/>
        <w:ind w:firstLine="240" w:firstLineChars="100"/>
        <w:rPr>
          <w:bCs/>
          <w:lang w:val="zh-CN"/>
        </w:rPr>
      </w:pPr>
      <w:r>
        <w:rPr>
          <w:rFonts w:hint="eastAsia"/>
          <w:bCs/>
        </w:rPr>
        <w:t>4.</w:t>
      </w:r>
      <w:r>
        <w:rPr>
          <w:rFonts w:hint="eastAsia"/>
          <w:bCs/>
          <w:lang w:val="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15"/>
        <w:adjustRightInd w:val="0"/>
        <w:snapToGrid w:val="0"/>
        <w:spacing w:before="156" w:after="156" w:line="360" w:lineRule="auto"/>
        <w:ind w:firstLine="240" w:firstLineChars="100"/>
        <w:rPr>
          <w:bCs/>
          <w:lang w:val="zh-CN"/>
        </w:rPr>
      </w:pPr>
      <w:r>
        <w:rPr>
          <w:rFonts w:hint="eastAsia"/>
          <w:bCs/>
        </w:rPr>
        <w:t>4.2、</w:t>
      </w:r>
      <w:r>
        <w:rPr>
          <w:rFonts w:hint="eastAsia"/>
          <w:bCs/>
          <w:lang w:val="zh-CN"/>
        </w:rPr>
        <w:t>采购人可以邀请参加本项目的其他供应商或者第三方机构参与验收。参与验收的供应商或者第三方机构的意见作为验收书的参考资料一并存档。</w:t>
      </w:r>
    </w:p>
    <w:p>
      <w:pPr>
        <w:pStyle w:val="15"/>
        <w:adjustRightInd w:val="0"/>
        <w:snapToGrid w:val="0"/>
        <w:spacing w:before="156" w:after="156" w:line="360" w:lineRule="auto"/>
        <w:ind w:firstLine="240" w:firstLineChars="100"/>
        <w:rPr>
          <w:bCs/>
          <w:lang w:val="zh-CN"/>
        </w:rPr>
      </w:pPr>
      <w:r>
        <w:rPr>
          <w:rFonts w:hint="eastAsia"/>
          <w:bCs/>
        </w:rPr>
        <w:t>4.3、</w:t>
      </w:r>
      <w:r>
        <w:rPr>
          <w:rFonts w:hint="eastAsia"/>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15"/>
        <w:adjustRightInd w:val="0"/>
        <w:snapToGrid w:val="0"/>
        <w:spacing w:before="156" w:after="156" w:line="360" w:lineRule="auto"/>
        <w:ind w:firstLine="240" w:firstLineChars="100"/>
        <w:rPr>
          <w:bCs/>
          <w:lang w:val="zh-CN"/>
        </w:rPr>
      </w:pPr>
      <w:r>
        <w:rPr>
          <w:rFonts w:hint="eastAsia"/>
          <w:bCs/>
        </w:rPr>
        <w:t>4.4、</w:t>
      </w:r>
      <w:r>
        <w:rPr>
          <w:rFonts w:hint="eastAsia"/>
          <w:bCs/>
          <w:lang w:val="zh-CN"/>
        </w:rPr>
        <w:t>采购人原则上应当在履约验收之日起2个工作日内，将履约验收结果在浙江政府采购网上公告。</w:t>
      </w:r>
    </w:p>
    <w:p>
      <w:pPr>
        <w:pStyle w:val="15"/>
        <w:adjustRightInd w:val="0"/>
        <w:snapToGrid w:val="0"/>
        <w:spacing w:before="156" w:after="156" w:line="360" w:lineRule="auto"/>
        <w:ind w:firstLine="240" w:firstLineChars="100"/>
        <w:rPr>
          <w:bCs/>
          <w:lang w:val="zh-CN"/>
        </w:rPr>
      </w:pPr>
      <w:r>
        <w:rPr>
          <w:rFonts w:hint="eastAsia"/>
          <w:bCs/>
        </w:rPr>
        <w:t>4.5、</w:t>
      </w:r>
      <w:r>
        <w:rPr>
          <w:rFonts w:hint="eastAsia"/>
          <w:bCs/>
          <w:lang w:val="zh-CN"/>
        </w:rPr>
        <w:t>验收合格的项目，采购人将根据采购合同的约定及时向供应商支付采购资金、退还履约保证金。</w:t>
      </w:r>
    </w:p>
    <w:p>
      <w:pPr>
        <w:pStyle w:val="15"/>
        <w:adjustRightInd w:val="0"/>
        <w:snapToGrid w:val="0"/>
        <w:spacing w:before="156" w:after="156" w:line="360" w:lineRule="auto"/>
        <w:ind w:firstLine="240" w:firstLineChars="100"/>
        <w:rPr>
          <w:rFonts w:hAnsi="宋体"/>
          <w:sz w:val="22"/>
          <w:szCs w:val="22"/>
        </w:rPr>
      </w:pPr>
      <w:r>
        <w:rPr>
          <w:rFonts w:hint="eastAsia"/>
          <w:bCs/>
        </w:rPr>
        <w:t>4.6、</w:t>
      </w:r>
      <w:r>
        <w:rPr>
          <w:rFonts w:hint="eastAsia"/>
          <w:bCs/>
          <w:lang w:val="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bCs/>
          <w:lang w:val="zh-CN"/>
        </w:rPr>
        <w:br w:type="page"/>
      </w:r>
    </w:p>
    <w:p>
      <w:pPr>
        <w:pStyle w:val="15"/>
        <w:spacing w:before="156" w:after="156" w:line="360" w:lineRule="auto"/>
        <w:jc w:val="center"/>
        <w:outlineLvl w:val="0"/>
        <w:rPr>
          <w:sz w:val="36"/>
        </w:rPr>
      </w:pPr>
      <w:r>
        <w:rPr>
          <w:rFonts w:hint="eastAsia" w:hAnsi="宋体"/>
          <w:b/>
          <w:color w:val="000000"/>
          <w:sz w:val="36"/>
          <w:szCs w:val="36"/>
        </w:rPr>
        <w:t>第四章   政府采购政策功能相关说明</w:t>
      </w:r>
    </w:p>
    <w:p>
      <w:pPr>
        <w:snapToGrid w:val="0"/>
        <w:spacing w:line="460" w:lineRule="atLeast"/>
        <w:ind w:firstLine="440" w:firstLineChars="200"/>
        <w:rPr>
          <w:rFonts w:ascii="宋体"/>
          <w:sz w:val="22"/>
        </w:rPr>
      </w:pPr>
      <w:r>
        <w:rPr>
          <w:rFonts w:hint="eastAsia" w:ascii="宋体"/>
          <w:sz w:val="22"/>
        </w:rPr>
        <w:t>一、小、微企业（含监狱企业、残疾人福利性单位）扶持政策说明</w:t>
      </w:r>
    </w:p>
    <w:p>
      <w:pPr>
        <w:snapToGrid w:val="0"/>
        <w:spacing w:line="460" w:lineRule="atLeast"/>
        <w:ind w:firstLine="440" w:firstLineChars="200"/>
        <w:rPr>
          <w:rFonts w:ascii="宋体"/>
          <w:sz w:val="22"/>
        </w:rPr>
      </w:pPr>
      <w:r>
        <w:rPr>
          <w:rFonts w:ascii="宋体"/>
          <w:sz w:val="22"/>
        </w:rPr>
        <w:t>1、文件依据</w:t>
      </w:r>
    </w:p>
    <w:p>
      <w:pPr>
        <w:snapToGrid w:val="0"/>
        <w:spacing w:line="460" w:lineRule="atLeast"/>
        <w:ind w:left="437" w:leftChars="208"/>
        <w:rPr>
          <w:rFonts w:ascii="宋体"/>
          <w:sz w:val="22"/>
        </w:rPr>
      </w:pPr>
      <w:r>
        <w:rPr>
          <w:rFonts w:hint="eastAsia" w:ascii="宋体"/>
          <w:sz w:val="22"/>
        </w:rPr>
        <w:t>（</w:t>
      </w:r>
      <w:r>
        <w:rPr>
          <w:rFonts w:ascii="宋体"/>
          <w:sz w:val="22"/>
        </w:rPr>
        <w:t>1）</w:t>
      </w:r>
      <w:r>
        <w:rPr>
          <w:rFonts w:hint="eastAsia" w:ascii="宋体"/>
          <w:sz w:val="22"/>
        </w:rPr>
        <w:t>关于印发《浙江省财政厅关于进一步加大政府采购支持中小企业力度 助力扎实稳住经济的通知》（浙财采监〔2022〕8号）</w:t>
      </w:r>
    </w:p>
    <w:p>
      <w:pPr>
        <w:snapToGrid w:val="0"/>
        <w:spacing w:line="460" w:lineRule="atLeast"/>
        <w:ind w:left="437" w:leftChars="208"/>
        <w:rPr>
          <w:rFonts w:ascii="宋体"/>
          <w:color w:val="FF0000"/>
          <w:sz w:val="22"/>
        </w:rPr>
      </w:pPr>
      <w:r>
        <w:rPr>
          <w:rFonts w:hint="eastAsia" w:ascii="宋体"/>
          <w:sz w:val="22"/>
        </w:rPr>
        <w:t>（</w:t>
      </w:r>
      <w:r>
        <w:rPr>
          <w:rFonts w:ascii="宋体"/>
          <w:sz w:val="22"/>
        </w:rPr>
        <w:t>2）</w:t>
      </w:r>
      <w:r>
        <w:rPr>
          <w:rFonts w:hint="eastAsia" w:ascii="宋体"/>
          <w:sz w:val="22"/>
        </w:rPr>
        <w:t>财政部《政府采购促进中小企业发展政策问答》</w:t>
      </w:r>
    </w:p>
    <w:p>
      <w:pPr>
        <w:snapToGrid w:val="0"/>
        <w:spacing w:line="460" w:lineRule="atLeast"/>
        <w:ind w:firstLine="440" w:firstLineChars="200"/>
        <w:rPr>
          <w:rFonts w:ascii="宋体"/>
          <w:sz w:val="22"/>
        </w:rPr>
      </w:pPr>
      <w:r>
        <w:rPr>
          <w:rFonts w:hint="eastAsia" w:ascii="宋体"/>
          <w:sz w:val="22"/>
        </w:rPr>
        <w:t>（</w:t>
      </w:r>
      <w:r>
        <w:rPr>
          <w:rFonts w:ascii="宋体"/>
          <w:sz w:val="22"/>
        </w:rPr>
        <w:t>3）浙江省省财政厅《关于开展政府采购供应商网上注册登记和诚信管理工作的通知》（浙财采监〔2010〕8号)</w:t>
      </w:r>
    </w:p>
    <w:p>
      <w:pPr>
        <w:snapToGrid w:val="0"/>
        <w:spacing w:line="460" w:lineRule="atLeast"/>
        <w:ind w:firstLine="440" w:firstLineChars="200"/>
        <w:rPr>
          <w:rFonts w:ascii="宋体"/>
          <w:sz w:val="22"/>
        </w:rPr>
      </w:pPr>
      <w:r>
        <w:rPr>
          <w:rFonts w:hint="eastAsia" w:ascii="宋体"/>
          <w:sz w:val="22"/>
        </w:rPr>
        <w:t>（</w:t>
      </w:r>
      <w:r>
        <w:rPr>
          <w:rFonts w:ascii="宋体"/>
          <w:sz w:val="22"/>
        </w:rPr>
        <w:t>4）《工业和信息化部、国家统计局、国家发展和改革委员会、财政部关于印发中小企业划型标准规定的通知》（工信部联企业[2011]300号）</w:t>
      </w:r>
    </w:p>
    <w:p>
      <w:pPr>
        <w:snapToGrid w:val="0"/>
        <w:spacing w:line="460" w:lineRule="atLeast"/>
        <w:ind w:firstLine="440" w:firstLineChars="200"/>
        <w:rPr>
          <w:rFonts w:ascii="宋体"/>
          <w:sz w:val="22"/>
        </w:rPr>
      </w:pPr>
      <w:r>
        <w:rPr>
          <w:rFonts w:hint="eastAsia" w:ascii="宋体"/>
          <w:sz w:val="22"/>
        </w:rPr>
        <w:t>（</w:t>
      </w:r>
      <w:r>
        <w:rPr>
          <w:rFonts w:ascii="宋体"/>
          <w:sz w:val="22"/>
        </w:rPr>
        <w:t>5）财政部、司法部《关于政府采购支持监狱企业发展有关问题的通知》（财库〔2014〕68号）</w:t>
      </w:r>
    </w:p>
    <w:p>
      <w:pPr>
        <w:snapToGrid w:val="0"/>
        <w:spacing w:line="460" w:lineRule="atLeast"/>
        <w:ind w:firstLine="440" w:firstLineChars="200"/>
        <w:rPr>
          <w:rFonts w:ascii="宋体"/>
          <w:sz w:val="22"/>
        </w:rPr>
      </w:pPr>
      <w:r>
        <w:rPr>
          <w:rFonts w:hint="eastAsia" w:ascii="宋体"/>
          <w:sz w:val="22"/>
        </w:rPr>
        <w:t>（</w:t>
      </w:r>
      <w:r>
        <w:rPr>
          <w:rFonts w:ascii="宋体"/>
          <w:sz w:val="22"/>
        </w:rPr>
        <w:t>6）《财政部 民政部 中国残疾人联合会关于促进残疾人就业政府采购政策的通知》（财库〔2017〕 141号）</w:t>
      </w:r>
    </w:p>
    <w:p>
      <w:pPr>
        <w:snapToGrid w:val="0"/>
        <w:spacing w:line="500" w:lineRule="exact"/>
        <w:ind w:firstLine="440" w:firstLineChars="200"/>
        <w:rPr>
          <w:rFonts w:ascii="宋体"/>
          <w:sz w:val="22"/>
        </w:rPr>
      </w:pPr>
      <w:r>
        <w:rPr>
          <w:rFonts w:hint="eastAsia" w:ascii="宋体"/>
          <w:sz w:val="22"/>
        </w:rPr>
        <w:t>（</w:t>
      </w:r>
      <w:r>
        <w:rPr>
          <w:rFonts w:ascii="宋体"/>
          <w:sz w:val="22"/>
        </w:rPr>
        <w:t>7）《浙江省财政厅  浙江省经济和信息化委员会关于简化中小企业类别确认流程有关事项的通知》（浙财采监〔2018〕2号</w:t>
      </w:r>
      <w:r>
        <w:rPr>
          <w:rFonts w:hint="eastAsia" w:ascii="宋体"/>
          <w:sz w:val="22"/>
        </w:rPr>
        <w:t>）</w:t>
      </w:r>
    </w:p>
    <w:p>
      <w:pPr>
        <w:snapToGrid w:val="0"/>
        <w:spacing w:line="500" w:lineRule="exact"/>
        <w:ind w:firstLine="440" w:firstLineChars="200"/>
        <w:rPr>
          <w:rFonts w:ascii="宋体"/>
          <w:sz w:val="22"/>
        </w:rPr>
      </w:pPr>
      <w:r>
        <w:rPr>
          <w:rFonts w:hint="eastAsia" w:ascii="宋体"/>
          <w:sz w:val="22"/>
        </w:rPr>
        <w:t>2、享受小微企业价格折扣应具备的条件</w:t>
      </w:r>
    </w:p>
    <w:p>
      <w:pPr>
        <w:snapToGrid w:val="0"/>
        <w:spacing w:line="500" w:lineRule="exact"/>
        <w:ind w:firstLine="440" w:firstLineChars="200"/>
        <w:rPr>
          <w:rFonts w:ascii="宋体"/>
          <w:sz w:val="22"/>
        </w:rPr>
      </w:pPr>
      <w:r>
        <w:rPr>
          <w:rFonts w:hint="eastAsia" w:ascii="宋体"/>
          <w:sz w:val="22"/>
        </w:rPr>
        <w:t>《政府采购促进中小企业发展管理办法》第四条　在政府采购活动中，供应商提供的货物、工程或者服务符合下列情形的，享受本办法规定的中小企业扶持政策：</w:t>
      </w:r>
    </w:p>
    <w:p>
      <w:pPr>
        <w:pStyle w:val="26"/>
        <w:spacing w:before="0" w:beforeAutospacing="0" w:after="0" w:afterAutospacing="0"/>
        <w:ind w:firstLine="375"/>
        <w:rPr>
          <w:rFonts w:hAnsi="Times New Roman" w:cs="Times New Roman"/>
          <w:color w:val="auto"/>
          <w:kern w:val="2"/>
          <w:sz w:val="22"/>
          <w:szCs w:val="22"/>
        </w:rPr>
      </w:pPr>
    </w:p>
    <w:p>
      <w:pPr>
        <w:pStyle w:val="26"/>
        <w:spacing w:before="0" w:beforeAutospacing="0" w:after="0" w:afterAutospacing="0"/>
        <w:ind w:firstLine="375"/>
        <w:rPr>
          <w:rFonts w:hAnsi="Times New Roman" w:cs="Times New Roman"/>
          <w:color w:val="auto"/>
          <w:kern w:val="2"/>
          <w:sz w:val="22"/>
          <w:szCs w:val="22"/>
        </w:rPr>
      </w:pPr>
      <w:r>
        <w:rPr>
          <w:rFonts w:hint="eastAsia" w:hAnsi="Times New Roman" w:cs="Times New Roman"/>
          <w:color w:val="auto"/>
          <w:kern w:val="2"/>
          <w:sz w:val="22"/>
          <w:szCs w:val="22"/>
        </w:rPr>
        <w:t>（一）在货物采购项目中，货物由中小企业制造，即货物由中小企业生产且使用该中小企业商号或者注册商标；</w:t>
      </w:r>
    </w:p>
    <w:p>
      <w:pPr>
        <w:pStyle w:val="26"/>
        <w:spacing w:before="0" w:beforeAutospacing="0" w:after="0" w:afterAutospacing="0"/>
        <w:ind w:firstLine="375"/>
        <w:rPr>
          <w:rFonts w:hAnsi="Times New Roman" w:cs="Times New Roman"/>
          <w:color w:val="auto"/>
          <w:kern w:val="2"/>
          <w:sz w:val="22"/>
          <w:szCs w:val="22"/>
        </w:rPr>
      </w:pPr>
    </w:p>
    <w:p>
      <w:pPr>
        <w:pStyle w:val="26"/>
        <w:spacing w:before="0" w:beforeAutospacing="0" w:after="0" w:afterAutospacing="0"/>
        <w:ind w:firstLine="375"/>
        <w:rPr>
          <w:rFonts w:hAnsi="Times New Roman" w:cs="Times New Roman"/>
          <w:color w:val="auto"/>
          <w:kern w:val="2"/>
          <w:sz w:val="22"/>
          <w:szCs w:val="22"/>
        </w:rPr>
      </w:pPr>
      <w:r>
        <w:rPr>
          <w:rFonts w:hint="eastAsia" w:hAnsi="Times New Roman" w:cs="Times New Roman"/>
          <w:color w:val="auto"/>
          <w:kern w:val="2"/>
          <w:sz w:val="22"/>
          <w:szCs w:val="22"/>
        </w:rPr>
        <w:t>（二）在工程采购项目中，工程由中小企业承建，即工程施工单位为中小企业；</w:t>
      </w:r>
    </w:p>
    <w:p>
      <w:pPr>
        <w:pStyle w:val="26"/>
        <w:spacing w:before="0" w:beforeAutospacing="0" w:after="0" w:afterAutospacing="0"/>
        <w:ind w:firstLine="375"/>
        <w:rPr>
          <w:rFonts w:hAnsi="Times New Roman" w:cs="Times New Roman"/>
          <w:color w:val="auto"/>
          <w:kern w:val="2"/>
          <w:sz w:val="22"/>
          <w:szCs w:val="22"/>
        </w:rPr>
      </w:pPr>
    </w:p>
    <w:p>
      <w:pPr>
        <w:pStyle w:val="26"/>
        <w:spacing w:before="0" w:beforeAutospacing="0" w:after="0" w:afterAutospacing="0"/>
        <w:ind w:firstLine="375"/>
        <w:rPr>
          <w:rFonts w:hAnsi="Times New Roman" w:cs="Times New Roman"/>
          <w:color w:val="auto"/>
          <w:kern w:val="2"/>
          <w:sz w:val="22"/>
          <w:szCs w:val="22"/>
        </w:rPr>
      </w:pPr>
      <w:r>
        <w:rPr>
          <w:rFonts w:hint="eastAsia" w:hAnsi="Times New Roman" w:cs="Times New Roman"/>
          <w:color w:val="auto"/>
          <w:kern w:val="2"/>
          <w:sz w:val="22"/>
          <w:szCs w:val="22"/>
        </w:rPr>
        <w:t>（三）在服务采购项目中，服务由中小企业承接，即提供服务的人员为中小企业依照《中华人民共和国劳动合同法》订立劳动合同的从业人员。</w:t>
      </w:r>
    </w:p>
    <w:p>
      <w:pPr>
        <w:pStyle w:val="26"/>
        <w:spacing w:before="0" w:beforeAutospacing="0" w:after="0" w:afterAutospacing="0"/>
        <w:ind w:firstLine="375"/>
        <w:rPr>
          <w:rFonts w:hAnsi="Times New Roman" w:cs="Times New Roman"/>
          <w:color w:val="FF0000"/>
          <w:kern w:val="2"/>
          <w:sz w:val="22"/>
          <w:szCs w:val="22"/>
        </w:rPr>
      </w:pPr>
    </w:p>
    <w:p>
      <w:pPr>
        <w:pStyle w:val="26"/>
        <w:spacing w:before="0" w:beforeAutospacing="0" w:after="0" w:afterAutospacing="0" w:line="400" w:lineRule="exact"/>
        <w:ind w:firstLine="375"/>
        <w:jc w:val="both"/>
        <w:rPr>
          <w:rFonts w:hAnsi="Times New Roman" w:cs="Times New Roman"/>
          <w:color w:val="auto"/>
          <w:kern w:val="2"/>
          <w:sz w:val="22"/>
          <w:szCs w:val="22"/>
        </w:rPr>
      </w:pPr>
      <w:r>
        <w:rPr>
          <w:rFonts w:hint="eastAsia" w:hAnsi="Times New Roman" w:cs="Times New Roman"/>
          <w:b/>
          <w:bCs/>
          <w:color w:val="auto"/>
          <w:kern w:val="2"/>
          <w:sz w:val="22"/>
          <w:szCs w:val="22"/>
        </w:rPr>
        <w:t>在货物采购项目中，供应商提供的货物既有中小企业制造货物，也有大型企业制造货物的，不享受本办法规定的中小企业扶持政策。</w:t>
      </w:r>
    </w:p>
    <w:p>
      <w:pPr>
        <w:pStyle w:val="26"/>
        <w:spacing w:before="0" w:beforeAutospacing="0" w:after="0" w:afterAutospacing="0" w:line="400" w:lineRule="exact"/>
        <w:ind w:firstLine="375"/>
        <w:jc w:val="both"/>
        <w:rPr>
          <w:rFonts w:hAnsi="Times New Roman" w:cs="Times New Roman"/>
          <w:color w:val="auto"/>
          <w:kern w:val="2"/>
          <w:sz w:val="22"/>
          <w:szCs w:val="22"/>
        </w:rPr>
      </w:pPr>
    </w:p>
    <w:p>
      <w:pPr>
        <w:pStyle w:val="26"/>
        <w:spacing w:before="0" w:beforeAutospacing="0" w:after="0" w:afterAutospacing="0" w:line="400" w:lineRule="exact"/>
        <w:ind w:firstLine="375"/>
        <w:jc w:val="both"/>
        <w:rPr>
          <w:rFonts w:hAnsi="Times New Roman" w:cs="Times New Roman"/>
          <w:color w:val="auto"/>
          <w:kern w:val="2"/>
          <w:sz w:val="22"/>
          <w:szCs w:val="22"/>
        </w:rPr>
      </w:pPr>
      <w:r>
        <w:rPr>
          <w:rFonts w:hint="eastAsia" w:hAnsi="Times New Roman" w:cs="Times New Roman"/>
          <w:color w:val="auto"/>
          <w:kern w:val="2"/>
          <w:sz w:val="22"/>
          <w:szCs w:val="22"/>
        </w:rPr>
        <w:t>以联合体形式参加政府采购活动，联合体各方均为中小企业的，联合体视同中小企业。其中，联合体各方均为小微企业的，联合体视同小微企业。</w:t>
      </w:r>
    </w:p>
    <w:p>
      <w:pPr>
        <w:pStyle w:val="29"/>
        <w:spacing w:line="400" w:lineRule="exact"/>
        <w:ind w:firstLine="440"/>
        <w:rPr>
          <w:rFonts w:ascii="宋体"/>
          <w:sz w:val="22"/>
          <w:szCs w:val="22"/>
        </w:rPr>
      </w:pPr>
    </w:p>
    <w:p>
      <w:pPr>
        <w:pStyle w:val="29"/>
        <w:spacing w:line="360" w:lineRule="auto"/>
        <w:ind w:left="0" w:leftChars="0" w:firstLine="440"/>
        <w:rPr>
          <w:rFonts w:ascii="宋体"/>
          <w:sz w:val="22"/>
          <w:szCs w:val="22"/>
        </w:rPr>
      </w:pPr>
      <w:r>
        <w:rPr>
          <w:rFonts w:hint="eastAsia" w:ascii="宋体"/>
          <w:sz w:val="22"/>
        </w:rPr>
        <w:t>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p>
    <w:p>
      <w:pPr>
        <w:pStyle w:val="29"/>
        <w:spacing w:line="400" w:lineRule="exact"/>
        <w:ind w:left="0" w:leftChars="0" w:firstLine="220" w:firstLineChars="100"/>
        <w:rPr>
          <w:rFonts w:ascii="宋体"/>
          <w:sz w:val="22"/>
        </w:rPr>
      </w:pPr>
      <w:r>
        <w:rPr>
          <w:rFonts w:hint="eastAsia" w:ascii="宋体"/>
          <w:sz w:val="22"/>
        </w:rPr>
        <w:t>3.采购项目涉及中小企业采购的部分内容</w:t>
      </w:r>
    </w:p>
    <w:p>
      <w:pPr>
        <w:pStyle w:val="29"/>
        <w:spacing w:line="400" w:lineRule="exact"/>
        <w:ind w:left="0" w:leftChars="0" w:firstLine="220" w:firstLineChars="100"/>
        <w:rPr>
          <w:rFonts w:ascii="宋体"/>
          <w:sz w:val="22"/>
        </w:rPr>
      </w:pPr>
      <w:r>
        <w:rPr>
          <w:rFonts w:hint="eastAsia" w:ascii="宋体"/>
          <w:sz w:val="22"/>
        </w:rPr>
        <w:t>《政府采购促进中小企业发展管理办法》</w:t>
      </w:r>
      <w:r>
        <w:rPr>
          <w:rFonts w:hint="eastAsia" w:ascii="宋体"/>
          <w:sz w:val="22"/>
          <w:szCs w:val="22"/>
        </w:rPr>
        <w:t xml:space="preserve">第十二条  </w:t>
      </w:r>
      <w:r>
        <w:rPr>
          <w:rFonts w:hint="eastAsia" w:ascii="宋体"/>
          <w:sz w:val="22"/>
        </w:rPr>
        <w:t>采购项目涉及中小企业采购的，采购文件应当明确以下内容：</w:t>
      </w:r>
    </w:p>
    <w:p>
      <w:pPr>
        <w:pStyle w:val="29"/>
        <w:numPr>
          <w:ilvl w:val="0"/>
          <w:numId w:val="14"/>
        </w:numPr>
        <w:spacing w:line="400" w:lineRule="exact"/>
        <w:ind w:left="0" w:leftChars="0" w:firstLine="220" w:firstLineChars="100"/>
        <w:rPr>
          <w:rFonts w:ascii="宋体"/>
          <w:sz w:val="22"/>
          <w:szCs w:val="22"/>
        </w:rPr>
      </w:pPr>
      <w:r>
        <w:rPr>
          <w:rFonts w:ascii="宋体"/>
          <w:sz w:val="22"/>
          <w:szCs w:val="22"/>
        </w:rPr>
        <w:t>预留份额的采购项目或者采购包，明确该项目或相关采购包专门面向中小企业采购，以及相关标的及预算金额；</w:t>
      </w:r>
    </w:p>
    <w:p>
      <w:pPr>
        <w:pStyle w:val="29"/>
        <w:numPr>
          <w:ilvl w:val="0"/>
          <w:numId w:val="14"/>
        </w:numPr>
        <w:spacing w:line="400" w:lineRule="exact"/>
        <w:ind w:left="0" w:leftChars="0" w:firstLine="220" w:firstLineChars="100"/>
        <w:rPr>
          <w:rFonts w:ascii="宋体"/>
          <w:sz w:val="22"/>
          <w:szCs w:val="22"/>
        </w:rPr>
      </w:pPr>
      <w:r>
        <w:rPr>
          <w:rFonts w:ascii="宋体"/>
          <w:sz w:val="22"/>
          <w:szCs w:val="22"/>
        </w:rPr>
        <w:t>要求以联合体形式参加或者合同分包的，明确联合协议或者分包意向协议中中小企业合同金额应当达到的比例，并作为供应商资格条件；</w:t>
      </w:r>
    </w:p>
    <w:p>
      <w:pPr>
        <w:pStyle w:val="29"/>
        <w:numPr>
          <w:ilvl w:val="0"/>
          <w:numId w:val="14"/>
        </w:numPr>
        <w:spacing w:line="400" w:lineRule="exact"/>
        <w:ind w:left="0" w:leftChars="0" w:firstLine="220" w:firstLineChars="100"/>
        <w:rPr>
          <w:rFonts w:ascii="宋体"/>
          <w:sz w:val="22"/>
          <w:szCs w:val="22"/>
        </w:rPr>
      </w:pPr>
      <w:r>
        <w:rPr>
          <w:rFonts w:ascii="宋体"/>
          <w:sz w:val="22"/>
          <w:szCs w:val="22"/>
        </w:rPr>
        <w:t>非预留份额的采购项目或者采购包，明确有关价格扣除比例或者价格分加分比例；</w:t>
      </w:r>
      <w:r>
        <w:rPr>
          <w:rFonts w:hint="eastAsia" w:ascii="宋体"/>
          <w:sz w:val="22"/>
          <w:szCs w:val="22"/>
        </w:rPr>
        <w:t xml:space="preserve"> </w:t>
      </w:r>
    </w:p>
    <w:p>
      <w:pPr>
        <w:pStyle w:val="29"/>
        <w:numPr>
          <w:ilvl w:val="0"/>
          <w:numId w:val="14"/>
        </w:numPr>
        <w:spacing w:line="400" w:lineRule="exact"/>
        <w:ind w:left="0" w:leftChars="0" w:firstLine="220" w:firstLineChars="100"/>
        <w:rPr>
          <w:rFonts w:ascii="宋体"/>
          <w:sz w:val="22"/>
          <w:szCs w:val="22"/>
        </w:rPr>
      </w:pPr>
      <w:r>
        <w:rPr>
          <w:rFonts w:ascii="宋体"/>
          <w:sz w:val="22"/>
          <w:szCs w:val="22"/>
        </w:rPr>
        <w:t>规定依据本办法规定享受扶持政策获得政府采购合同的，小微企业不得将合同分包给大中型企业，中型企业不得将合同分包给大型企业；</w:t>
      </w:r>
    </w:p>
    <w:p>
      <w:pPr>
        <w:pStyle w:val="29"/>
        <w:numPr>
          <w:ilvl w:val="0"/>
          <w:numId w:val="14"/>
        </w:numPr>
        <w:spacing w:line="400" w:lineRule="exact"/>
        <w:ind w:left="0" w:leftChars="0" w:firstLine="220" w:firstLineChars="100"/>
        <w:rPr>
          <w:rFonts w:ascii="宋体"/>
          <w:sz w:val="22"/>
          <w:szCs w:val="22"/>
        </w:rPr>
      </w:pPr>
      <w:r>
        <w:rPr>
          <w:rFonts w:ascii="宋体"/>
          <w:sz w:val="22"/>
          <w:szCs w:val="22"/>
        </w:rPr>
        <w:t>采购人认为具备相关条件的，明确对中小企业在资金支付期限、预付款比例等方面的优惠措施；</w:t>
      </w:r>
    </w:p>
    <w:p>
      <w:pPr>
        <w:pStyle w:val="29"/>
        <w:numPr>
          <w:ilvl w:val="0"/>
          <w:numId w:val="14"/>
        </w:numPr>
        <w:spacing w:line="400" w:lineRule="exact"/>
        <w:ind w:left="0" w:leftChars="0" w:firstLine="220" w:firstLineChars="100"/>
        <w:rPr>
          <w:rFonts w:ascii="宋体"/>
          <w:sz w:val="22"/>
          <w:szCs w:val="22"/>
        </w:rPr>
      </w:pPr>
      <w:r>
        <w:rPr>
          <w:rFonts w:ascii="宋体"/>
          <w:sz w:val="22"/>
          <w:szCs w:val="22"/>
        </w:rPr>
        <w:t>明确采购标的对应的中小企业划分标准所属行业；</w:t>
      </w:r>
    </w:p>
    <w:p>
      <w:pPr>
        <w:pStyle w:val="29"/>
        <w:numPr>
          <w:ilvl w:val="0"/>
          <w:numId w:val="14"/>
        </w:numPr>
        <w:spacing w:line="400" w:lineRule="exact"/>
        <w:ind w:left="0" w:leftChars="0" w:firstLine="220" w:firstLineChars="100"/>
        <w:rPr>
          <w:rFonts w:ascii="宋体"/>
          <w:sz w:val="22"/>
          <w:szCs w:val="22"/>
        </w:rPr>
      </w:pPr>
      <w:r>
        <w:rPr>
          <w:rFonts w:ascii="宋体"/>
          <w:sz w:val="22"/>
          <w:szCs w:val="22"/>
        </w:rPr>
        <w:t>法律法规和省级以上人民政府财政部门规定的其他事项。</w:t>
      </w:r>
    </w:p>
    <w:p>
      <w:pPr>
        <w:snapToGrid w:val="0"/>
        <w:spacing w:line="460" w:lineRule="atLeast"/>
        <w:ind w:firstLine="440" w:firstLineChars="200"/>
        <w:rPr>
          <w:rFonts w:ascii="宋体"/>
          <w:sz w:val="22"/>
        </w:rPr>
      </w:pPr>
      <w:r>
        <w:rPr>
          <w:rFonts w:hint="eastAsia" w:ascii="宋体"/>
          <w:sz w:val="22"/>
        </w:rPr>
        <w:t>4.投标供应商享受小微企业价格折扣应提供以下证明材料（放在报价文件中，不提供的不享受价格折扣）：</w:t>
      </w:r>
    </w:p>
    <w:p>
      <w:pPr>
        <w:snapToGrid w:val="0"/>
        <w:spacing w:line="460" w:lineRule="atLeast"/>
        <w:ind w:firstLine="440" w:firstLineChars="200"/>
        <w:rPr>
          <w:rFonts w:ascii="宋体"/>
          <w:sz w:val="22"/>
        </w:rPr>
      </w:pPr>
      <w:r>
        <w:rPr>
          <w:rFonts w:hint="eastAsia" w:ascii="宋体"/>
          <w:sz w:val="22"/>
        </w:rPr>
        <w:t>（1</w:t>
      </w:r>
      <w:r>
        <w:rPr>
          <w:rFonts w:ascii="宋体"/>
          <w:sz w:val="22"/>
        </w:rPr>
        <w:t>）《中小企业声明函》（加盖投标供应商公章，格式见附件）</w:t>
      </w:r>
    </w:p>
    <w:p>
      <w:pPr>
        <w:snapToGrid w:val="0"/>
        <w:spacing w:line="460" w:lineRule="atLeast"/>
        <w:ind w:firstLine="440" w:firstLineChars="200"/>
        <w:rPr>
          <w:rFonts w:ascii="宋体"/>
          <w:sz w:val="22"/>
        </w:rPr>
      </w:pPr>
      <w:r>
        <w:rPr>
          <w:rFonts w:hint="eastAsia" w:ascii="宋体"/>
          <w:sz w:val="22"/>
        </w:rPr>
        <w:t>5.</w:t>
      </w:r>
      <w:r>
        <w:rPr>
          <w:rFonts w:ascii="宋体"/>
          <w:sz w:val="22"/>
        </w:rPr>
        <w:t>享受监狱企业价格折扣应提供以下证明材料（</w:t>
      </w:r>
      <w:r>
        <w:rPr>
          <w:rFonts w:hint="eastAsia" w:ascii="宋体"/>
          <w:sz w:val="22"/>
        </w:rPr>
        <w:t>放在报价文件中，</w:t>
      </w:r>
      <w:r>
        <w:rPr>
          <w:rFonts w:ascii="宋体"/>
          <w:sz w:val="22"/>
        </w:rPr>
        <w:t>不提供的不享受价格折扣）：</w:t>
      </w:r>
    </w:p>
    <w:p>
      <w:pPr>
        <w:snapToGrid w:val="0"/>
        <w:spacing w:line="460" w:lineRule="atLeast"/>
        <w:ind w:firstLine="440" w:firstLineChars="200"/>
        <w:rPr>
          <w:rFonts w:ascii="宋体"/>
          <w:sz w:val="22"/>
        </w:rPr>
      </w:pPr>
      <w:r>
        <w:rPr>
          <w:rFonts w:hint="eastAsia" w:ascii="宋体"/>
          <w:sz w:val="22"/>
        </w:rPr>
        <w:t>（</w:t>
      </w:r>
      <w:r>
        <w:rPr>
          <w:rFonts w:ascii="宋体"/>
          <w:sz w:val="22"/>
        </w:rPr>
        <w:t>1）监狱企业参加政府采购活动时，应当提供由省级及以上监狱管理局、戒毒管理局(含新疆生产建设兵团)出具的属于监狱企业的证明文件（</w:t>
      </w:r>
      <w:r>
        <w:rPr>
          <w:rFonts w:hint="eastAsia" w:ascii="宋体"/>
          <w:sz w:val="22"/>
        </w:rPr>
        <w:t>扫描件</w:t>
      </w:r>
      <w:r>
        <w:rPr>
          <w:rFonts w:ascii="宋体"/>
          <w:sz w:val="22"/>
        </w:rPr>
        <w:t>加盖投标供应商公章）。在政府采购活动中，监狱企业视同小型、微型企业，享受评审中价格扣除政策。</w:t>
      </w:r>
    </w:p>
    <w:p>
      <w:pPr>
        <w:snapToGrid w:val="0"/>
        <w:spacing w:line="460" w:lineRule="atLeast"/>
        <w:ind w:firstLine="440" w:firstLineChars="200"/>
        <w:rPr>
          <w:rFonts w:ascii="宋体"/>
          <w:sz w:val="22"/>
        </w:rPr>
      </w:pPr>
      <w:r>
        <w:rPr>
          <w:rFonts w:hint="eastAsia" w:ascii="宋体"/>
          <w:sz w:val="22"/>
        </w:rPr>
        <w:t>6.</w:t>
      </w:r>
      <w:r>
        <w:rPr>
          <w:rFonts w:ascii="宋体"/>
          <w:sz w:val="22"/>
        </w:rPr>
        <w:t>享受残疾人福利性单位价格折扣应提供以下证明材料（</w:t>
      </w:r>
      <w:r>
        <w:rPr>
          <w:rFonts w:hint="eastAsia" w:ascii="宋体"/>
          <w:sz w:val="22"/>
        </w:rPr>
        <w:t>放在报价文件中</w:t>
      </w:r>
      <w:r>
        <w:rPr>
          <w:rFonts w:ascii="宋体"/>
          <w:sz w:val="22"/>
        </w:rPr>
        <w:t>，不提供的不享受价格折扣）：</w:t>
      </w:r>
    </w:p>
    <w:p>
      <w:pPr>
        <w:snapToGrid w:val="0"/>
        <w:spacing w:line="460" w:lineRule="atLeast"/>
        <w:ind w:firstLine="440" w:firstLineChars="200"/>
        <w:rPr>
          <w:rFonts w:ascii="宋体"/>
          <w:sz w:val="22"/>
        </w:rPr>
      </w:pPr>
      <w:r>
        <w:rPr>
          <w:rFonts w:hint="eastAsia" w:ascii="宋体"/>
          <w:sz w:val="22"/>
        </w:rPr>
        <w:t>（</w:t>
      </w:r>
      <w:r>
        <w:rPr>
          <w:rFonts w:ascii="宋体"/>
          <w:sz w:val="22"/>
        </w:rPr>
        <w:t>1）残疾人福利性单位声明函（加盖投标供应商公章，格式见附件）</w:t>
      </w:r>
      <w:r>
        <w:rPr>
          <w:rFonts w:hint="eastAsia" w:ascii="宋体"/>
          <w:sz w:val="22"/>
        </w:rPr>
        <w:t>。在政府采购活动中，残疾人福利性单位视同小型、微型企业，享受评审中价格扣除政策。</w:t>
      </w:r>
    </w:p>
    <w:p>
      <w:pPr>
        <w:pStyle w:val="56"/>
      </w:pPr>
    </w:p>
    <w:p>
      <w:pPr>
        <w:snapToGrid w:val="0"/>
        <w:spacing w:line="480" w:lineRule="auto"/>
        <w:ind w:firstLine="440" w:firstLineChars="200"/>
        <w:rPr>
          <w:rFonts w:ascii="宋体"/>
          <w:sz w:val="22"/>
        </w:rPr>
      </w:pPr>
      <w:r>
        <w:rPr>
          <w:rFonts w:hint="eastAsia" w:ascii="宋体"/>
          <w:sz w:val="22"/>
        </w:rPr>
        <w:t>二、 支持绿色发展</w:t>
      </w:r>
    </w:p>
    <w:p>
      <w:pPr>
        <w:snapToGrid w:val="0"/>
        <w:spacing w:line="480" w:lineRule="auto"/>
        <w:ind w:firstLine="440" w:firstLineChars="200"/>
        <w:rPr>
          <w:rFonts w:ascii="宋体"/>
          <w:sz w:val="22"/>
        </w:rPr>
      </w:pPr>
      <w:r>
        <w:rPr>
          <w:rFonts w:hint="eastAsia" w:ascii="宋体"/>
          <w:sz w:val="22"/>
        </w:rPr>
        <w:t>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snapToGrid w:val="0"/>
        <w:spacing w:line="480" w:lineRule="auto"/>
        <w:ind w:firstLine="440" w:firstLineChars="200"/>
        <w:rPr>
          <w:rFonts w:ascii="宋体"/>
          <w:sz w:val="22"/>
        </w:rPr>
      </w:pPr>
      <w:r>
        <w:rPr>
          <w:rFonts w:hint="eastAsia" w:ascii="宋体"/>
          <w:sz w:val="22"/>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80" w:lineRule="auto"/>
        <w:ind w:firstLine="220" w:firstLineChars="100"/>
        <w:rPr>
          <w:rFonts w:ascii="宋体" w:hAnsi="宋体" w:cs="宋体"/>
          <w:sz w:val="22"/>
          <w:szCs w:val="24"/>
        </w:rPr>
      </w:pPr>
      <w:r>
        <w:rPr>
          <w:rFonts w:hint="eastAsia" w:ascii="宋体" w:hAnsi="宋体" w:cs="宋体"/>
          <w:sz w:val="22"/>
          <w:szCs w:val="24"/>
        </w:rPr>
        <w:t>三、支持创新发展</w:t>
      </w:r>
    </w:p>
    <w:p>
      <w:pPr>
        <w:spacing w:line="480" w:lineRule="auto"/>
        <w:ind w:firstLine="440" w:firstLineChars="200"/>
        <w:rPr>
          <w:rFonts w:ascii="宋体" w:hAnsi="宋体" w:cs="宋体"/>
          <w:sz w:val="22"/>
          <w:szCs w:val="24"/>
        </w:rPr>
      </w:pPr>
      <w:r>
        <w:rPr>
          <w:rFonts w:hint="eastAsia" w:ascii="宋体" w:hAnsi="宋体" w:cs="宋体"/>
          <w:sz w:val="22"/>
          <w:szCs w:val="24"/>
        </w:rPr>
        <w:t>1.采购人优先采购被认定为首台套产品和“制造精品”的自主创新产品。</w:t>
      </w:r>
    </w:p>
    <w:p>
      <w:pPr>
        <w:spacing w:line="480" w:lineRule="auto"/>
        <w:ind w:firstLine="440" w:firstLineChars="200"/>
        <w:rPr>
          <w:rFonts w:ascii="宋体" w:hAnsi="宋体" w:cs="宋体"/>
          <w:sz w:val="22"/>
          <w:szCs w:val="24"/>
        </w:rPr>
        <w:sectPr>
          <w:footerReference r:id="rId11" w:type="default"/>
          <w:pgSz w:w="11906" w:h="16838"/>
          <w:pgMar w:top="1440" w:right="1800" w:bottom="1440" w:left="1800" w:header="851" w:footer="992" w:gutter="0"/>
          <w:cols w:space="425" w:num="1"/>
          <w:docGrid w:type="lines" w:linePitch="312" w:charSpace="0"/>
        </w:sectPr>
      </w:pPr>
      <w:r>
        <w:rPr>
          <w:rFonts w:hint="eastAsia" w:ascii="宋体" w:hAnsi="宋体" w:cs="宋体"/>
          <w:sz w:val="22"/>
          <w:szCs w:val="24"/>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15"/>
        <w:spacing w:before="156" w:after="156" w:line="360" w:lineRule="auto"/>
        <w:jc w:val="center"/>
        <w:outlineLvl w:val="0"/>
        <w:rPr>
          <w:sz w:val="32"/>
          <w:szCs w:val="32"/>
        </w:rPr>
      </w:pPr>
      <w:r>
        <w:rPr>
          <w:rFonts w:hint="eastAsia" w:hAnsi="宋体"/>
          <w:b/>
          <w:color w:val="000000"/>
          <w:sz w:val="36"/>
          <w:szCs w:val="36"/>
        </w:rPr>
        <w:t>第五章 评标定标办法</w:t>
      </w:r>
    </w:p>
    <w:p>
      <w:pPr>
        <w:pStyle w:val="29"/>
      </w:pPr>
    </w:p>
    <w:p>
      <w:pPr>
        <w:tabs>
          <w:tab w:val="left" w:pos="8820"/>
        </w:tabs>
        <w:adjustRightInd w:val="0"/>
        <w:snapToGrid w:val="0"/>
        <w:spacing w:before="156" w:beforeLines="50" w:line="460" w:lineRule="exact"/>
        <w:ind w:firstLine="440" w:firstLineChars="200"/>
      </w:pPr>
      <w:r>
        <w:rPr>
          <w:rFonts w:hint="eastAsia" w:ascii="宋体" w:hAnsi="宋体"/>
          <w:kern w:val="0"/>
          <w:sz w:val="22"/>
        </w:rPr>
        <w:t>根据《中华人民共和国政府采购法》等有关政府采购法规，结合本次采购实际，按照公平、公正、科学、择优的原则选择中标单位，特制定本评审办法。</w:t>
      </w:r>
    </w:p>
    <w:p>
      <w:pPr>
        <w:adjustRightInd w:val="0"/>
        <w:snapToGrid w:val="0"/>
        <w:spacing w:line="460" w:lineRule="exact"/>
        <w:rPr>
          <w:rFonts w:ascii="宋体" w:hAnsi="宋体"/>
          <w:b/>
          <w:bCs/>
          <w:kern w:val="0"/>
          <w:sz w:val="22"/>
        </w:rPr>
      </w:pPr>
      <w:r>
        <w:rPr>
          <w:rFonts w:hint="eastAsia" w:ascii="宋体" w:hAnsi="宋体"/>
          <w:b/>
          <w:bCs/>
          <w:kern w:val="0"/>
          <w:sz w:val="22"/>
        </w:rPr>
        <w:t>一、总则</w:t>
      </w:r>
    </w:p>
    <w:p>
      <w:pPr>
        <w:pStyle w:val="17"/>
        <w:adjustRightInd w:val="0"/>
        <w:snapToGrid w:val="0"/>
        <w:spacing w:line="460" w:lineRule="exact"/>
        <w:rPr>
          <w:rFonts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评标委员会必须严格遵守保密规定，不得泄漏评审的有关情况，不得索贿受贿，不得参加影响公正评审的有关活动。对落标单位，评标委员会不作任何落标解释。投标供应商不得以任何方式干扰招投标工作的进行，一经发现其投标文件将被拒绝。</w:t>
      </w:r>
    </w:p>
    <w:p>
      <w:pPr>
        <w:pStyle w:val="17"/>
        <w:adjustRightInd w:val="0"/>
        <w:snapToGrid w:val="0"/>
        <w:spacing w:line="460" w:lineRule="exact"/>
        <w:ind w:firstLine="0"/>
        <w:rPr>
          <w:rFonts w:eastAsia="宋体"/>
          <w:b w:val="0"/>
          <w:color w:val="auto"/>
          <w:sz w:val="22"/>
          <w:szCs w:val="22"/>
        </w:rPr>
      </w:pP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jc w:val="both"/>
        <w:textAlignment w:val="auto"/>
        <w:rPr>
          <w:rFonts w:ascii="宋体" w:hAnsi="宋体"/>
          <w:bCs/>
          <w:kern w:val="2"/>
          <w:sz w:val="22"/>
          <w:szCs w:val="22"/>
        </w:rPr>
      </w:pPr>
      <w:r>
        <w:rPr>
          <w:rFonts w:hint="eastAsia" w:ascii="宋体" w:hAnsi="宋体"/>
          <w:bCs/>
          <w:kern w:val="2"/>
          <w:sz w:val="22"/>
          <w:szCs w:val="22"/>
        </w:rPr>
        <w:t>二、评审纪律和要求</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1.评审专家必须公平、公正评审，遵纪守法，客观、廉洁地履行职责。</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2.评审专家在评审开始前，应关闭并上交随身携带的各种通信工具。</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3.评审专家在评审过程中，未经许可不得中途离开评审现场，不得迟到早退。</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4.评审专家和工作人员不得透露评审过程中的讨论情况和评审结果。</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6.采购人、采购代理机构不得向评审委员会的评审专家作倾向性、误导性的解释或者说明。</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8.评审专家在评审过程中不得将自己的观点强加给其他评审专家，评审专家应自主发表见解，对评审意见承担个人责任。</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10.评审专家应当独立、客观、公正地提出评审意见，不得带有倾向性，不得影响其他评审专家评审，并在评审报告上签字；如对评审报告有异议的，可在报告上签署不同意见，并说明理由，否则将视为同意。</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11.评审专家应当遵守评审工作纪律，不得泄露评审文件、评审情况和评审中获悉的商业秘密。</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jc w:val="both"/>
        <w:textAlignment w:val="auto"/>
        <w:rPr>
          <w:rFonts w:ascii="宋体" w:hAnsi="宋体"/>
          <w:b w:val="0"/>
          <w:kern w:val="2"/>
          <w:sz w:val="22"/>
          <w:szCs w:val="22"/>
        </w:rPr>
      </w:pPr>
      <w:r>
        <w:rPr>
          <w:rFonts w:hint="eastAsia" w:ascii="宋体" w:hAnsi="宋体"/>
          <w:b w:val="0"/>
          <w:kern w:val="2"/>
          <w:sz w:val="22"/>
          <w:szCs w:val="22"/>
        </w:rPr>
        <w:t>评审委员会在评审过程中发现投标人有行贿、提供虚假材料或者串通等违法行为的，应当及时向财政部门报告。</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12.招标文件内容违反国家有关强制性规定的，评审委员会应当停止评审并向采购代理机构说明情况。</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13.评审专家应当配合采购代理机构答复投标人提出的质疑。</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14.评审专家应当配合财政部门的投诉处理工作。</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15.评审专家有如下行为之一的，责令改正，给予警告，可以并处一千元以下的罚款：</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①明知应当回避而未主动回避的；</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②在得知自己为评审专家身份后至评审结束前时段内私下接触投标人的；</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③在评审过程中擅离职守，影响评审程序正常进行的；</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④在评审过程有明显不合理或者不正当倾向性的；</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⑤未按招标文件规定的评审方法和标准进行评审的。</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⑥上述①至⑤行为影响中标结果的，中标结果无效。</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政府采购评审专家与投标人存在利害关系未回避的，处2万元以上5万元以下的罚款，禁止其参加政府采购评审活动。</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政府采购评审专家收受采购人、采购代理机构、投标人贿赂或者获取其他不正当利益，构成犯罪的，依法追究刑事责任；尚不构成犯罪的，处2万元以上5万元以下的罚款，禁止其参加政府采购评审活动。</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政府采购评审专家有上述违法行为的，其评审意见无效，不得获取评审费；有违法所得的，没收违法所得；给他人造成损失的，依法承担民事责任。</w:t>
      </w: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textAlignment w:val="auto"/>
        <w:rPr>
          <w:rFonts w:ascii="宋体" w:hAnsi="宋体"/>
          <w:b w:val="0"/>
          <w:kern w:val="2"/>
          <w:sz w:val="22"/>
          <w:szCs w:val="22"/>
        </w:rPr>
      </w:pPr>
    </w:p>
    <w:p>
      <w:pPr>
        <w:pStyle w:val="42"/>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jc w:val="both"/>
        <w:textAlignment w:val="auto"/>
        <w:rPr>
          <w:rFonts w:ascii="宋体" w:hAnsi="宋体"/>
          <w:bCs/>
          <w:kern w:val="2"/>
          <w:sz w:val="22"/>
          <w:szCs w:val="22"/>
        </w:rPr>
      </w:pPr>
      <w:r>
        <w:rPr>
          <w:rFonts w:hint="eastAsia" w:ascii="宋体" w:hAnsi="宋体"/>
          <w:bCs/>
          <w:kern w:val="2"/>
          <w:sz w:val="22"/>
          <w:szCs w:val="22"/>
        </w:rPr>
        <w:t>三、评标程序及评审办法</w:t>
      </w:r>
    </w:p>
    <w:p>
      <w:pPr>
        <w:adjustRightInd w:val="0"/>
        <w:snapToGrid w:val="0"/>
        <w:spacing w:line="460" w:lineRule="exact"/>
        <w:ind w:firstLine="440" w:firstLineChars="200"/>
        <w:jc w:val="left"/>
        <w:rPr>
          <w:rFonts w:ascii="宋体" w:hAnsi="宋体"/>
          <w:sz w:val="22"/>
        </w:rPr>
      </w:pPr>
      <w:r>
        <w:rPr>
          <w:rFonts w:hint="eastAsia" w:ascii="宋体" w:hAnsi="宋体"/>
          <w:sz w:val="22"/>
        </w:rPr>
        <w:t>本次开标程序如下：</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1、向各投标供应商发出电子加密投标文件【开始解密】通知，由供应商按招标文件规定的时间内自行进行投标文件解密。</w:t>
      </w:r>
      <w:r>
        <w:rPr>
          <w:rFonts w:hint="eastAsia" w:ascii="宋体" w:hAnsi="宋体"/>
          <w:b/>
          <w:kern w:val="0"/>
          <w:sz w:val="22"/>
        </w:rPr>
        <w:t>投标供应商在规定的时间内无法完成已递交的“电子加密投标文件”解密的，</w:t>
      </w:r>
      <w:r>
        <w:rPr>
          <w:rFonts w:ascii="宋体" w:hAnsi="宋体"/>
          <w:b/>
          <w:kern w:val="0"/>
          <w:sz w:val="22"/>
        </w:rPr>
        <w:t>其投标文件按拒收处理。</w:t>
      </w:r>
    </w:p>
    <w:p>
      <w:pPr>
        <w:adjustRightInd w:val="0"/>
        <w:snapToGrid w:val="0"/>
        <w:spacing w:line="460" w:lineRule="exact"/>
        <w:ind w:firstLine="440" w:firstLineChars="200"/>
        <w:rPr>
          <w:rFonts w:ascii="宋体" w:hAnsi="宋体"/>
          <w:sz w:val="22"/>
        </w:rPr>
      </w:pPr>
      <w:r>
        <w:rPr>
          <w:rFonts w:ascii="宋体" w:hAnsi="宋体"/>
          <w:sz w:val="22"/>
        </w:rPr>
        <w:t>2</w:t>
      </w:r>
      <w:r>
        <w:rPr>
          <w:rFonts w:hint="eastAsia" w:ascii="宋体" w:hAnsi="宋体"/>
          <w:sz w:val="22"/>
        </w:rPr>
        <w:t>、</w:t>
      </w:r>
      <w:r>
        <w:rPr>
          <w:rFonts w:ascii="宋体" w:hAnsi="宋体"/>
          <w:sz w:val="22"/>
        </w:rPr>
        <w:t>投标文件解密结束，开启资格文件，进入资格审查环节，采购人或采购代理机构将依法对投标供应商的资格进行审查。</w:t>
      </w:r>
    </w:p>
    <w:p>
      <w:pPr>
        <w:adjustRightInd w:val="0"/>
        <w:snapToGrid w:val="0"/>
        <w:spacing w:line="460" w:lineRule="exact"/>
        <w:ind w:firstLine="440" w:firstLineChars="200"/>
        <w:rPr>
          <w:rFonts w:ascii="宋体" w:hAnsi="宋体"/>
          <w:sz w:val="22"/>
        </w:rPr>
      </w:pPr>
      <w:r>
        <w:rPr>
          <w:rFonts w:ascii="宋体" w:hAnsi="宋体"/>
          <w:sz w:val="22"/>
        </w:rPr>
        <w:t>3</w:t>
      </w:r>
      <w:r>
        <w:rPr>
          <w:rFonts w:hint="eastAsia" w:ascii="宋体" w:hAnsi="宋体"/>
          <w:sz w:val="22"/>
        </w:rPr>
        <w:t>、</w:t>
      </w:r>
      <w:r>
        <w:rPr>
          <w:rFonts w:ascii="宋体" w:hAnsi="宋体"/>
          <w:sz w:val="22"/>
        </w:rPr>
        <w:t>开启资格审查通过的投标供应商的商务技术文件进入符合性审查及商务技术评审</w:t>
      </w:r>
      <w:r>
        <w:rPr>
          <w:rFonts w:hint="eastAsia" w:ascii="宋体" w:hAnsi="宋体"/>
          <w:sz w:val="22"/>
        </w:rPr>
        <w:t>。</w:t>
      </w:r>
    </w:p>
    <w:p>
      <w:pPr>
        <w:shd w:val="clear" w:color="auto" w:fill="FFFFFF"/>
        <w:spacing w:line="460" w:lineRule="exact"/>
        <w:ind w:firstLine="440" w:firstLineChars="200"/>
        <w:rPr>
          <w:rFonts w:ascii="宋体" w:hAnsi="宋体"/>
          <w:kern w:val="0"/>
          <w:sz w:val="22"/>
        </w:rPr>
      </w:pPr>
      <w:r>
        <w:rPr>
          <w:rFonts w:ascii="宋体" w:hAnsi="宋体"/>
          <w:kern w:val="0"/>
          <w:sz w:val="22"/>
        </w:rPr>
        <w:t>4</w:t>
      </w:r>
      <w:r>
        <w:rPr>
          <w:rFonts w:hint="eastAsia" w:ascii="宋体" w:hAnsi="宋体"/>
          <w:kern w:val="0"/>
          <w:sz w:val="22"/>
        </w:rPr>
        <w:t>、</w:t>
      </w:r>
      <w:r>
        <w:rPr>
          <w:rFonts w:ascii="宋体" w:hAnsi="宋体"/>
          <w:kern w:val="0"/>
          <w:sz w:val="22"/>
        </w:rPr>
        <w:t>符合性审查、商务技术评审结束后，开启符合性审查、商务技术评审有效投标供应商的报价文件。由评标委员会对报价文件的符合性等进行审查核实</w:t>
      </w:r>
      <w:r>
        <w:rPr>
          <w:rFonts w:hint="eastAsia" w:ascii="宋体" w:hAnsi="宋体"/>
          <w:kern w:val="0"/>
          <w:sz w:val="22"/>
        </w:rPr>
        <w:t>，对报价进行得分计算。</w:t>
      </w:r>
    </w:p>
    <w:p>
      <w:pPr>
        <w:adjustRightInd w:val="0"/>
        <w:snapToGrid w:val="0"/>
        <w:spacing w:line="460" w:lineRule="exact"/>
        <w:ind w:firstLine="420"/>
        <w:rPr>
          <w:rFonts w:ascii="宋体" w:hAnsi="宋体"/>
          <w:kern w:val="0"/>
          <w:sz w:val="22"/>
        </w:rPr>
      </w:pPr>
      <w:r>
        <w:rPr>
          <w:rFonts w:hint="eastAsia" w:ascii="宋体" w:hAnsi="宋体"/>
          <w:kern w:val="0"/>
          <w:sz w:val="22"/>
        </w:rPr>
        <w:t>5、根据</w:t>
      </w:r>
      <w:r>
        <w:rPr>
          <w:rFonts w:ascii="宋体" w:hAnsi="宋体"/>
          <w:kern w:val="0"/>
          <w:sz w:val="22"/>
        </w:rPr>
        <w:t>各投标供应商</w:t>
      </w:r>
      <w:r>
        <w:rPr>
          <w:rFonts w:hint="eastAsia" w:ascii="宋体" w:hAnsi="宋体"/>
          <w:kern w:val="0"/>
          <w:sz w:val="22"/>
        </w:rPr>
        <w:t>综合得分从高到低</w:t>
      </w:r>
      <w:r>
        <w:rPr>
          <w:rFonts w:ascii="宋体" w:hAnsi="宋体"/>
          <w:kern w:val="0"/>
          <w:sz w:val="22"/>
        </w:rPr>
        <w:t>进行排序，推荐中标候选供应商；综合得分最高的供应商推荐为中标供应商</w:t>
      </w:r>
      <w:r>
        <w:rPr>
          <w:rFonts w:hint="eastAsia" w:ascii="宋体" w:hAnsi="宋体"/>
          <w:kern w:val="0"/>
          <w:sz w:val="22"/>
        </w:rPr>
        <w:t>。</w:t>
      </w:r>
    </w:p>
    <w:p>
      <w:pPr>
        <w:adjustRightInd w:val="0"/>
        <w:snapToGrid w:val="0"/>
        <w:spacing w:line="460" w:lineRule="exact"/>
        <w:ind w:firstLine="420"/>
        <w:rPr>
          <w:rFonts w:ascii="宋体" w:hAnsi="宋体"/>
          <w:kern w:val="0"/>
          <w:sz w:val="22"/>
        </w:rPr>
      </w:pPr>
      <w:r>
        <w:rPr>
          <w:rFonts w:hint="eastAsia" w:ascii="宋体" w:hAnsi="宋体"/>
          <w:kern w:val="0"/>
          <w:sz w:val="22"/>
        </w:rPr>
        <w:t>6、由评标委员会向采购人推荐综合得分第一名的供应商为中标供应商，并提交评审报告。如果得分相同，以投标报价低的优先；如投标报价也相同，则以政采云系统记录的投标文件解密时间排序在前面的优先。</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7、</w:t>
      </w:r>
      <w:r>
        <w:rPr>
          <w:rFonts w:ascii="宋体" w:hAnsi="宋体"/>
          <w:kern w:val="0"/>
          <w:sz w:val="22"/>
        </w:rPr>
        <w:t>评审结束后，公布采购结果。</w:t>
      </w:r>
    </w:p>
    <w:p>
      <w:pPr>
        <w:spacing w:before="156" w:beforeLines="50" w:after="156" w:afterLines="50" w:line="460" w:lineRule="exact"/>
        <w:ind w:firstLine="590" w:firstLineChars="196"/>
        <w:rPr>
          <w:rFonts w:ascii="楷体" w:hAnsi="楷体" w:eastAsia="楷体" w:cs="楷体"/>
          <w:b/>
          <w:bCs/>
          <w:color w:val="000000"/>
          <w:sz w:val="30"/>
          <w:szCs w:val="30"/>
        </w:rPr>
      </w:pPr>
    </w:p>
    <w:p>
      <w:pPr>
        <w:spacing w:before="156" w:beforeLines="50" w:after="156" w:afterLines="50" w:line="460" w:lineRule="exact"/>
        <w:ind w:firstLine="472" w:firstLineChars="196"/>
        <w:rPr>
          <w:rFonts w:ascii="宋体" w:hAnsi="宋体" w:cs="宋体"/>
          <w:b/>
          <w:color w:val="000000"/>
          <w:sz w:val="24"/>
          <w:szCs w:val="24"/>
        </w:rPr>
      </w:pPr>
      <w:r>
        <w:rPr>
          <w:rFonts w:hint="eastAsia" w:ascii="宋体" w:hAnsi="宋体" w:cs="宋体"/>
          <w:b/>
          <w:bCs/>
          <w:color w:val="000000"/>
          <w:sz w:val="24"/>
          <w:szCs w:val="24"/>
        </w:rPr>
        <w:t>四、评标内容及标准</w:t>
      </w:r>
    </w:p>
    <w:p>
      <w:pPr>
        <w:spacing w:before="156" w:beforeLines="50" w:after="156" w:afterLines="50" w:line="400" w:lineRule="exact"/>
        <w:ind w:firstLine="440" w:firstLineChars="200"/>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本次评标采用综合评分法，总分为100分。合格投标人的评标得分为各项目汇总得分，评分过程中采用四舍五入法，并保留小数2位。</w:t>
      </w:r>
    </w:p>
    <w:p>
      <w:pPr>
        <w:spacing w:before="156" w:beforeLines="50" w:after="156" w:afterLines="50" w:line="400" w:lineRule="exact"/>
        <w:ind w:firstLine="440" w:firstLineChars="200"/>
        <w:rPr>
          <w:rFonts w:ascii="楷体" w:hAnsi="楷体" w:eastAsia="楷体" w:cs="楷体"/>
          <w:bCs/>
          <w:color w:val="000000"/>
          <w:sz w:val="30"/>
          <w:szCs w:val="30"/>
        </w:rPr>
      </w:pPr>
      <w:r>
        <w:rPr>
          <w:rFonts w:hint="eastAsia" w:asciiTheme="minorEastAsia" w:hAnsiTheme="minorEastAsia" w:eastAsiaTheme="minorEastAsia" w:cstheme="minorEastAsia"/>
          <w:color w:val="000000"/>
          <w:sz w:val="22"/>
        </w:rPr>
        <w:t>投标人评标综合得分=价格分+(技术分+商务资信及其他分)</w:t>
      </w:r>
    </w:p>
    <w:p>
      <w:pPr>
        <w:spacing w:before="156" w:beforeLines="50" w:after="156" w:afterLines="50" w:line="400" w:lineRule="exact"/>
        <w:ind w:firstLine="440" w:firstLineChars="200"/>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价格分（30分）</w:t>
      </w:r>
    </w:p>
    <w:p>
      <w:pPr>
        <w:spacing w:before="156" w:beforeLines="50" w:after="156" w:afterLines="50" w:line="400" w:lineRule="exact"/>
        <w:ind w:firstLine="440" w:firstLineChars="200"/>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价格分采用低价优先法计算，即满足招标文件要求且投标价格最低的投标报价为评标基准价，其他投标人的价格分按照下列公式计算：投标报价得分=（评标基准价/投标报价）×30%×100</w:t>
      </w:r>
    </w:p>
    <w:p>
      <w:pPr>
        <w:pStyle w:val="25"/>
        <w:shd w:val="clear" w:color="auto" w:fill="FFFFFF"/>
        <w:spacing w:before="50" w:after="50" w:line="400" w:lineRule="exact"/>
        <w:rPr>
          <w:rFonts w:ascii="Courier New" w:hAnsi="Courier New" w:cs="Courier New"/>
          <w:color w:val="000000" w:themeColor="text1"/>
          <w14:textFill>
            <w14:solidFill>
              <w14:schemeClr w14:val="tx1"/>
            </w14:solidFill>
          </w14:textFill>
        </w:rPr>
      </w:pPr>
      <w:r>
        <w:rPr>
          <w:rFonts w:hint="eastAsia" w:ascii="Courier New" w:hAnsi="Courier New" w:cs="Courier New"/>
          <w:color w:val="000000" w:themeColor="text1"/>
          <w14:textFill>
            <w14:solidFill>
              <w14:schemeClr w14:val="tx1"/>
            </w14:solidFill>
          </w14:textFill>
        </w:rPr>
        <w:t>技术</w:t>
      </w:r>
      <w:r>
        <w:rPr>
          <w:rFonts w:ascii="Courier New" w:hAnsi="Courier New" w:cs="Courier New"/>
          <w:color w:val="000000" w:themeColor="text1"/>
          <w14:textFill>
            <w14:solidFill>
              <w14:schemeClr w14:val="tx1"/>
            </w14:solidFill>
          </w14:textFill>
        </w:rPr>
        <w:t>、资信及商务分（</w:t>
      </w:r>
      <w:r>
        <w:rPr>
          <w:rFonts w:hint="eastAsia"/>
          <w:color w:val="000000" w:themeColor="text1"/>
          <w14:textFill>
            <w14:solidFill>
              <w14:schemeClr w14:val="tx1"/>
            </w14:solidFill>
          </w14:textFill>
        </w:rPr>
        <w:t>70</w:t>
      </w:r>
      <w:r>
        <w:rPr>
          <w:rFonts w:hint="eastAsia" w:ascii="Courier New" w:hAnsi="Courier New" w:cs="Courier New"/>
          <w:color w:val="000000" w:themeColor="text1"/>
          <w14:textFill>
            <w14:solidFill>
              <w14:schemeClr w14:val="tx1"/>
            </w14:solidFill>
          </w14:textFill>
        </w:rPr>
        <w:t>分</w:t>
      </w:r>
      <w:r>
        <w:rPr>
          <w:rFonts w:ascii="Courier New" w:hAnsi="Courier New" w:cs="Courier New"/>
          <w:color w:val="000000" w:themeColor="text1"/>
          <w14:textFill>
            <w14:solidFill>
              <w14:schemeClr w14:val="tx1"/>
            </w14:solidFill>
          </w14:textFill>
        </w:rPr>
        <w:t>）</w:t>
      </w:r>
    </w:p>
    <w:tbl>
      <w:tblPr>
        <w:tblStyle w:val="30"/>
        <w:tblW w:w="864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9"/>
        <w:gridCol w:w="564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7" w:type="dxa"/>
          </w:tcPr>
          <w:p>
            <w:pPr>
              <w:tabs>
                <w:tab w:val="left" w:pos="1418"/>
              </w:tabs>
              <w:snapToGrid w:val="0"/>
              <w:jc w:val="left"/>
              <w:rPr>
                <w:rFonts w:ascii="宋体" w:hAnsi="宋体"/>
                <w:szCs w:val="21"/>
              </w:rPr>
            </w:pPr>
            <w:r>
              <w:rPr>
                <w:rFonts w:hint="eastAsia" w:ascii="宋体" w:hAnsi="宋体"/>
                <w:szCs w:val="21"/>
              </w:rPr>
              <w:t>序号</w:t>
            </w:r>
          </w:p>
        </w:tc>
        <w:tc>
          <w:tcPr>
            <w:tcW w:w="1269" w:type="dxa"/>
          </w:tcPr>
          <w:p>
            <w:pPr>
              <w:tabs>
                <w:tab w:val="left" w:pos="1418"/>
              </w:tabs>
              <w:snapToGrid w:val="0"/>
              <w:jc w:val="left"/>
              <w:rPr>
                <w:rFonts w:hint="eastAsia" w:ascii="宋体" w:hAnsi="宋体"/>
                <w:szCs w:val="21"/>
              </w:rPr>
            </w:pPr>
            <w:r>
              <w:rPr>
                <w:rFonts w:hint="eastAsia" w:ascii="宋体" w:hAnsi="宋体"/>
                <w:szCs w:val="21"/>
              </w:rPr>
              <w:t>项目名称</w:t>
            </w:r>
          </w:p>
        </w:tc>
        <w:tc>
          <w:tcPr>
            <w:tcW w:w="5648" w:type="dxa"/>
          </w:tcPr>
          <w:p>
            <w:pPr>
              <w:tabs>
                <w:tab w:val="left" w:pos="1418"/>
              </w:tabs>
              <w:snapToGrid w:val="0"/>
              <w:jc w:val="left"/>
              <w:rPr>
                <w:rFonts w:hint="eastAsia" w:ascii="宋体" w:hAnsi="宋体"/>
                <w:szCs w:val="21"/>
              </w:rPr>
            </w:pPr>
            <w:r>
              <w:rPr>
                <w:rFonts w:hint="eastAsia" w:ascii="宋体" w:hAnsi="宋体"/>
                <w:szCs w:val="21"/>
              </w:rPr>
              <w:t>评分细则</w:t>
            </w:r>
          </w:p>
        </w:tc>
        <w:tc>
          <w:tcPr>
            <w:tcW w:w="996" w:type="dxa"/>
          </w:tcPr>
          <w:p>
            <w:pPr>
              <w:tabs>
                <w:tab w:val="left" w:pos="1418"/>
              </w:tabs>
              <w:snapToGrid w:val="0"/>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727" w:type="dxa"/>
            <w:vAlign w:val="center"/>
          </w:tcPr>
          <w:p>
            <w:pPr>
              <w:tabs>
                <w:tab w:val="left" w:pos="1418"/>
              </w:tabs>
              <w:snapToGrid w:val="0"/>
              <w:jc w:val="left"/>
              <w:rPr>
                <w:rFonts w:ascii="宋体" w:hAnsi="宋体"/>
                <w:szCs w:val="21"/>
              </w:rPr>
            </w:pPr>
            <w:r>
              <w:rPr>
                <w:rFonts w:hint="eastAsia" w:ascii="宋体" w:hAnsi="宋体"/>
                <w:szCs w:val="21"/>
              </w:rPr>
              <w:t>1</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指标参数</w:t>
            </w:r>
          </w:p>
        </w:tc>
        <w:tc>
          <w:tcPr>
            <w:tcW w:w="5648" w:type="dxa"/>
          </w:tcPr>
          <w:p>
            <w:pPr>
              <w:tabs>
                <w:tab w:val="left" w:pos="1418"/>
              </w:tabs>
              <w:snapToGrid w:val="0"/>
              <w:jc w:val="left"/>
              <w:rPr>
                <w:rFonts w:hint="eastAsia" w:ascii="宋体" w:hAnsi="宋体"/>
                <w:szCs w:val="21"/>
              </w:rPr>
            </w:pPr>
            <w:r>
              <w:rPr>
                <w:rFonts w:hint="eastAsia" w:ascii="宋体" w:hAnsi="宋体"/>
                <w:szCs w:val="21"/>
              </w:rPr>
              <w:t>响应所有明确指标参数得20分。对标记“●”的关键技术参数的偏离，每低于技术规格中任何一条性能要求的扣2分，扣完该项得分为止（对于参数中要求提供检测报告、相关证书、官网链接、截图等证明文件的，不提供视为无法响应）。非量化类的，若功能一样，表述方式不一样则为符合，量化类的由评标委员会视情况讨论决定。</w:t>
            </w:r>
          </w:p>
        </w:tc>
        <w:tc>
          <w:tcPr>
            <w:tcW w:w="996" w:type="dxa"/>
            <w:vAlign w:val="center"/>
          </w:tcPr>
          <w:p>
            <w:pPr>
              <w:tabs>
                <w:tab w:val="left" w:pos="1418"/>
              </w:tabs>
              <w:snapToGrid w:val="0"/>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7" w:type="dxa"/>
            <w:vAlign w:val="center"/>
          </w:tcPr>
          <w:p>
            <w:pPr>
              <w:tabs>
                <w:tab w:val="left" w:pos="1418"/>
              </w:tabs>
              <w:snapToGrid w:val="0"/>
              <w:jc w:val="left"/>
              <w:rPr>
                <w:rFonts w:ascii="宋体" w:hAnsi="宋体"/>
                <w:szCs w:val="21"/>
              </w:rPr>
            </w:pPr>
            <w:r>
              <w:rPr>
                <w:rFonts w:hint="eastAsia" w:ascii="宋体" w:hAnsi="宋体"/>
                <w:szCs w:val="21"/>
              </w:rPr>
              <w:t>2</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偏离程度</w:t>
            </w:r>
          </w:p>
        </w:tc>
        <w:tc>
          <w:tcPr>
            <w:tcW w:w="5648" w:type="dxa"/>
          </w:tcPr>
          <w:p>
            <w:pPr>
              <w:tabs>
                <w:tab w:val="left" w:pos="1418"/>
              </w:tabs>
              <w:snapToGrid w:val="0"/>
              <w:jc w:val="left"/>
              <w:rPr>
                <w:rFonts w:hint="eastAsia" w:ascii="宋体" w:hAnsi="宋体"/>
                <w:szCs w:val="21"/>
              </w:rPr>
            </w:pPr>
            <w:r>
              <w:rPr>
                <w:rFonts w:hint="eastAsia" w:ascii="宋体" w:hAnsi="宋体"/>
                <w:szCs w:val="21"/>
              </w:rPr>
              <w:t>对性能指标、技术参数有实质性意义的正偏离或有先进程度的每项加1分（需提供检测报告、相关证书、官网链接、截图等证明文件，不提供不得分）；是否属正偏离或有先进程度由评审专家认定（最高得3分）。</w:t>
            </w:r>
          </w:p>
        </w:tc>
        <w:tc>
          <w:tcPr>
            <w:tcW w:w="996" w:type="dxa"/>
            <w:vAlign w:val="center"/>
          </w:tcPr>
          <w:p>
            <w:pPr>
              <w:tabs>
                <w:tab w:val="left" w:pos="1418"/>
              </w:tabs>
              <w:snapToGrid w:val="0"/>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727" w:type="dxa"/>
            <w:vAlign w:val="center"/>
          </w:tcPr>
          <w:p>
            <w:pPr>
              <w:tabs>
                <w:tab w:val="left" w:pos="1418"/>
              </w:tabs>
              <w:snapToGrid w:val="0"/>
              <w:jc w:val="left"/>
              <w:rPr>
                <w:rFonts w:ascii="宋体" w:hAnsi="宋体"/>
                <w:szCs w:val="21"/>
              </w:rPr>
            </w:pPr>
            <w:r>
              <w:rPr>
                <w:rFonts w:hint="eastAsia" w:ascii="宋体" w:hAnsi="宋体"/>
                <w:szCs w:val="21"/>
              </w:rPr>
              <w:t>3</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项目理解</w:t>
            </w:r>
          </w:p>
        </w:tc>
        <w:tc>
          <w:tcPr>
            <w:tcW w:w="5648" w:type="dxa"/>
          </w:tcPr>
          <w:p>
            <w:pPr>
              <w:tabs>
                <w:tab w:val="left" w:pos="1418"/>
              </w:tabs>
              <w:snapToGrid w:val="0"/>
              <w:jc w:val="left"/>
              <w:rPr>
                <w:rFonts w:hint="eastAsia" w:ascii="宋体" w:hAnsi="宋体"/>
                <w:szCs w:val="21"/>
              </w:rPr>
            </w:pPr>
            <w:r>
              <w:rPr>
                <w:rFonts w:hint="eastAsia" w:ascii="宋体" w:hAnsi="宋体"/>
                <w:szCs w:val="21"/>
              </w:rPr>
              <w:t>根据投标人提供对项目整体解决方案，对需求的理解程度以及总体设计全面性、整体技术和架构的先进性、开放性，是否充分考虑业主单位实际使用需求及个性化的优势。整体方案是否可行并具备可落地性、可扩展性，根据提供的内容进行综合评分：本项最高得5分。有欠缺或不合理的，每处扣1分，扣完为止。</w:t>
            </w:r>
          </w:p>
        </w:tc>
        <w:tc>
          <w:tcPr>
            <w:tcW w:w="996" w:type="dxa"/>
            <w:vAlign w:val="center"/>
          </w:tcPr>
          <w:p>
            <w:pPr>
              <w:tabs>
                <w:tab w:val="left" w:pos="1418"/>
              </w:tabs>
              <w:snapToGrid w:val="0"/>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27" w:type="dxa"/>
            <w:vAlign w:val="center"/>
          </w:tcPr>
          <w:p>
            <w:pPr>
              <w:tabs>
                <w:tab w:val="left" w:pos="1418"/>
              </w:tabs>
              <w:snapToGrid w:val="0"/>
              <w:jc w:val="left"/>
              <w:rPr>
                <w:rFonts w:ascii="宋体" w:hAnsi="宋体"/>
                <w:szCs w:val="21"/>
              </w:rPr>
            </w:pPr>
            <w:r>
              <w:rPr>
                <w:rFonts w:hint="eastAsia" w:ascii="宋体" w:hAnsi="宋体"/>
                <w:szCs w:val="21"/>
              </w:rPr>
              <w:t>4</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技术方案</w:t>
            </w:r>
          </w:p>
        </w:tc>
        <w:tc>
          <w:tcPr>
            <w:tcW w:w="5648" w:type="dxa"/>
          </w:tcPr>
          <w:p>
            <w:pPr>
              <w:tabs>
                <w:tab w:val="left" w:pos="1418"/>
              </w:tabs>
              <w:snapToGrid w:val="0"/>
              <w:jc w:val="left"/>
              <w:rPr>
                <w:rFonts w:hint="eastAsia" w:ascii="宋体" w:hAnsi="宋体"/>
                <w:szCs w:val="21"/>
              </w:rPr>
            </w:pPr>
            <w:r>
              <w:rPr>
                <w:rFonts w:hint="eastAsia" w:ascii="宋体" w:hAnsi="宋体"/>
                <w:szCs w:val="21"/>
              </w:rPr>
              <w:t>根据投标方案总体设计、各系统功能设计、实现思路和关键技术等方面完全符合业主单位业务需求并与上级要求相匹配等进行综合评分：本项最高得5分。有欠缺或不合理的，每处扣1分，扣完为止。</w:t>
            </w:r>
          </w:p>
        </w:tc>
        <w:tc>
          <w:tcPr>
            <w:tcW w:w="996" w:type="dxa"/>
            <w:vAlign w:val="center"/>
          </w:tcPr>
          <w:p>
            <w:pPr>
              <w:tabs>
                <w:tab w:val="left" w:pos="1418"/>
              </w:tabs>
              <w:snapToGrid w:val="0"/>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ascii="宋体" w:hAnsi="宋体"/>
                <w:szCs w:val="21"/>
              </w:rPr>
            </w:pPr>
            <w:r>
              <w:rPr>
                <w:rFonts w:hint="eastAsia" w:ascii="宋体" w:hAnsi="宋体"/>
                <w:szCs w:val="21"/>
              </w:rPr>
              <w:t>5</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深化设计</w:t>
            </w:r>
          </w:p>
        </w:tc>
        <w:tc>
          <w:tcPr>
            <w:tcW w:w="5648" w:type="dxa"/>
          </w:tcPr>
          <w:p>
            <w:pPr>
              <w:tabs>
                <w:tab w:val="left" w:pos="1418"/>
              </w:tabs>
              <w:snapToGrid w:val="0"/>
              <w:jc w:val="left"/>
              <w:rPr>
                <w:rFonts w:hint="eastAsia" w:ascii="宋体" w:hAnsi="宋体"/>
                <w:szCs w:val="21"/>
              </w:rPr>
            </w:pPr>
            <w:r>
              <w:rPr>
                <w:rFonts w:hint="eastAsia" w:ascii="宋体" w:hAnsi="宋体"/>
                <w:szCs w:val="21"/>
              </w:rPr>
              <w:t>根据投标人对项目的理解和深化设计，递交的投标深化设计方案、图纸的质量、数量、准确性、完整性且与业主单位实际需求相符合，进行综合评分：本项最高得5分。有欠缺或不合理的，每处扣1分，扣完为止。</w:t>
            </w:r>
          </w:p>
        </w:tc>
        <w:tc>
          <w:tcPr>
            <w:tcW w:w="996" w:type="dxa"/>
            <w:vAlign w:val="center"/>
          </w:tcPr>
          <w:p>
            <w:pPr>
              <w:tabs>
                <w:tab w:val="left" w:pos="1418"/>
              </w:tabs>
              <w:snapToGrid w:val="0"/>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szCs w:val="21"/>
                <w:lang w:eastAsia="zh-CN"/>
              </w:rPr>
            </w:pPr>
            <w:r>
              <w:rPr>
                <w:rFonts w:hint="eastAsia" w:ascii="宋体" w:hAnsi="宋体"/>
                <w:szCs w:val="21"/>
                <w:lang w:val="en-US" w:eastAsia="zh-CN"/>
              </w:rPr>
              <w:t>6</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质量保证措施和建设工期情况</w:t>
            </w:r>
          </w:p>
        </w:tc>
        <w:tc>
          <w:tcPr>
            <w:tcW w:w="5648" w:type="dxa"/>
          </w:tcPr>
          <w:p>
            <w:pPr>
              <w:tabs>
                <w:tab w:val="left" w:pos="1418"/>
              </w:tabs>
              <w:snapToGrid w:val="0"/>
              <w:jc w:val="left"/>
              <w:rPr>
                <w:rFonts w:hint="eastAsia" w:ascii="宋体" w:hAnsi="宋体"/>
                <w:szCs w:val="21"/>
              </w:rPr>
            </w:pPr>
            <w:r>
              <w:rPr>
                <w:rFonts w:hint="eastAsia" w:ascii="宋体" w:hAnsi="宋体"/>
                <w:szCs w:val="21"/>
              </w:rPr>
              <w:t>投标人按采购人要求①是否明确的建设质量目标，②是否有质量保证措施，③是否具有详细可行的实施内容，④实施过程遇到重点、难点问题保证工期措施等。根据提供的内容进行综合评分：本项最高得5分。有欠缺或不合理的，每处扣1分，扣完为止。</w:t>
            </w:r>
          </w:p>
        </w:tc>
        <w:tc>
          <w:tcPr>
            <w:tcW w:w="996" w:type="dxa"/>
            <w:vAlign w:val="center"/>
          </w:tcPr>
          <w:p>
            <w:pPr>
              <w:tabs>
                <w:tab w:val="left" w:pos="1418"/>
              </w:tabs>
              <w:snapToGri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szCs w:val="21"/>
                <w:lang w:eastAsia="zh-CN"/>
              </w:rPr>
            </w:pPr>
            <w:r>
              <w:rPr>
                <w:rFonts w:hint="eastAsia" w:ascii="宋体" w:hAnsi="宋体"/>
                <w:szCs w:val="21"/>
                <w:lang w:val="en-US" w:eastAsia="zh-CN"/>
              </w:rPr>
              <w:t>7</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人力安排</w:t>
            </w:r>
          </w:p>
        </w:tc>
        <w:tc>
          <w:tcPr>
            <w:tcW w:w="5648" w:type="dxa"/>
          </w:tcPr>
          <w:p>
            <w:pPr>
              <w:tabs>
                <w:tab w:val="left" w:pos="1418"/>
              </w:tabs>
              <w:snapToGrid w:val="0"/>
              <w:jc w:val="left"/>
              <w:rPr>
                <w:rFonts w:hint="eastAsia" w:ascii="宋体" w:hAnsi="宋体"/>
                <w:szCs w:val="21"/>
              </w:rPr>
            </w:pPr>
            <w:r>
              <w:rPr>
                <w:rFonts w:hint="eastAsia" w:ascii="宋体" w:hAnsi="宋体"/>
                <w:szCs w:val="21"/>
              </w:rPr>
              <w:t>投标人拟派项目负责人具备建筑电气或者电子与智能化相关专业高级工程师职称或一级建造师（机电工程或通广）的，得2分；拟派项目团队成员具有建筑电气、电子与智能化、工程技术、信息技术、或通信工程等相关专业之一高级职称、高级信息系统项目管理师证书的，每个得1分，最高2分。（以上拟派人员需是投标单位员工，提供近三个月社保证明）</w:t>
            </w:r>
          </w:p>
        </w:tc>
        <w:tc>
          <w:tcPr>
            <w:tcW w:w="996" w:type="dxa"/>
            <w:vAlign w:val="center"/>
          </w:tcPr>
          <w:p>
            <w:pPr>
              <w:tabs>
                <w:tab w:val="left" w:pos="1418"/>
              </w:tabs>
              <w:snapToGrid w:val="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szCs w:val="21"/>
                <w:lang w:eastAsia="zh-CN"/>
              </w:rPr>
            </w:pPr>
            <w:r>
              <w:rPr>
                <w:rFonts w:hint="eastAsia" w:ascii="宋体" w:hAnsi="宋体"/>
                <w:szCs w:val="21"/>
                <w:lang w:val="en-US" w:eastAsia="zh-CN"/>
              </w:rPr>
              <w:t>8</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业绩</w:t>
            </w:r>
          </w:p>
        </w:tc>
        <w:tc>
          <w:tcPr>
            <w:tcW w:w="5648" w:type="dxa"/>
          </w:tcPr>
          <w:p>
            <w:pPr>
              <w:tabs>
                <w:tab w:val="left" w:pos="1418"/>
              </w:tabs>
              <w:snapToGrid w:val="0"/>
              <w:jc w:val="left"/>
              <w:rPr>
                <w:rFonts w:hint="eastAsia" w:ascii="宋体" w:hAnsi="宋体"/>
                <w:szCs w:val="21"/>
              </w:rPr>
            </w:pPr>
            <w:r>
              <w:rPr>
                <w:rFonts w:hint="eastAsia" w:ascii="宋体" w:hAnsi="宋体"/>
                <w:szCs w:val="21"/>
              </w:rPr>
              <w:t>投标人提供从2019年以来获得的同类项目合同：单个合同每个得1分，最高得3分。单个合同不重复计分，以内容清楚、盖章齐全的合同为依据。是否属于同类项目由评标委员会认定。</w:t>
            </w:r>
          </w:p>
        </w:tc>
        <w:tc>
          <w:tcPr>
            <w:tcW w:w="996" w:type="dxa"/>
            <w:vAlign w:val="center"/>
          </w:tcPr>
          <w:p>
            <w:pPr>
              <w:tabs>
                <w:tab w:val="left" w:pos="1418"/>
              </w:tabs>
              <w:snapToGrid w:val="0"/>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szCs w:val="21"/>
                <w:lang w:eastAsia="zh-CN"/>
              </w:rPr>
            </w:pPr>
            <w:r>
              <w:rPr>
                <w:rFonts w:hint="eastAsia" w:ascii="宋体" w:hAnsi="宋体"/>
                <w:szCs w:val="21"/>
                <w:lang w:val="en-US" w:eastAsia="zh-CN"/>
              </w:rPr>
              <w:t>9</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培训方案</w:t>
            </w:r>
          </w:p>
        </w:tc>
        <w:tc>
          <w:tcPr>
            <w:tcW w:w="5648" w:type="dxa"/>
          </w:tcPr>
          <w:p>
            <w:pPr>
              <w:tabs>
                <w:tab w:val="left" w:pos="1418"/>
              </w:tabs>
              <w:snapToGrid w:val="0"/>
              <w:jc w:val="left"/>
              <w:rPr>
                <w:rFonts w:hint="eastAsia" w:ascii="宋体" w:hAnsi="宋体"/>
                <w:szCs w:val="21"/>
              </w:rPr>
            </w:pPr>
            <w:r>
              <w:rPr>
                <w:rFonts w:hint="eastAsia" w:ascii="宋体" w:hAnsi="宋体"/>
                <w:szCs w:val="21"/>
              </w:rPr>
              <w:t>根据投标人培训计划的科学性、合理性和可操作性，包括对采购人的管理人员、操作人员及维护人员进行培训等承诺情况进行综合评分：本项最高得4分。有欠缺或不合理的，每处扣1分，扣完为止。</w:t>
            </w:r>
          </w:p>
        </w:tc>
        <w:tc>
          <w:tcPr>
            <w:tcW w:w="996" w:type="dxa"/>
            <w:vAlign w:val="center"/>
          </w:tcPr>
          <w:p>
            <w:pPr>
              <w:tabs>
                <w:tab w:val="left" w:pos="1418"/>
              </w:tabs>
              <w:snapToGrid w:val="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27" w:type="dxa"/>
            <w:vAlign w:val="center"/>
          </w:tcPr>
          <w:p>
            <w:pPr>
              <w:tabs>
                <w:tab w:val="left" w:pos="1418"/>
              </w:tabs>
              <w:snapToGrid w:val="0"/>
              <w:jc w:val="left"/>
              <w:rPr>
                <w:rFonts w:hint="default" w:ascii="宋体" w:hAnsi="宋体" w:eastAsia="宋体"/>
                <w:szCs w:val="21"/>
                <w:lang w:val="en-US" w:eastAsia="zh-CN"/>
              </w:rPr>
            </w:pPr>
            <w:r>
              <w:rPr>
                <w:rFonts w:hint="eastAsia" w:ascii="宋体" w:hAnsi="宋体"/>
                <w:szCs w:val="21"/>
                <w:lang w:val="en-US" w:eastAsia="zh-CN"/>
              </w:rPr>
              <w:t>10</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售后服务</w:t>
            </w:r>
          </w:p>
        </w:tc>
        <w:tc>
          <w:tcPr>
            <w:tcW w:w="5648" w:type="dxa"/>
          </w:tcPr>
          <w:p>
            <w:pPr>
              <w:tabs>
                <w:tab w:val="left" w:pos="1418"/>
              </w:tabs>
              <w:snapToGrid w:val="0"/>
              <w:jc w:val="left"/>
              <w:rPr>
                <w:rFonts w:hint="eastAsia" w:ascii="宋体" w:hAnsi="宋体"/>
                <w:szCs w:val="21"/>
              </w:rPr>
            </w:pPr>
            <w:r>
              <w:rPr>
                <w:rFonts w:hint="eastAsia" w:ascii="宋体" w:hAnsi="宋体"/>
                <w:szCs w:val="21"/>
              </w:rPr>
              <w:t>1.投标人针对本项目提供的服务承诺和保障措施，严密、针对性强、具有可行性等综合打分。严密、针对性强、具有可行性得2分，严密、针对性一般，可行性一般的得1分，严密、针对性较差，可行性差的不得分。</w:t>
            </w:r>
          </w:p>
          <w:p>
            <w:pPr>
              <w:tabs>
                <w:tab w:val="left" w:pos="1418"/>
              </w:tabs>
              <w:snapToGrid w:val="0"/>
              <w:jc w:val="left"/>
              <w:rPr>
                <w:rFonts w:hint="eastAsia" w:ascii="宋体" w:hAnsi="宋体"/>
                <w:szCs w:val="21"/>
              </w:rPr>
            </w:pPr>
            <w:r>
              <w:rPr>
                <w:rFonts w:hint="eastAsia" w:ascii="宋体" w:hAnsi="宋体"/>
                <w:szCs w:val="21"/>
              </w:rPr>
              <w:t>2.驻点人员在满足招标要求基础上每增加一人得</w:t>
            </w:r>
            <w:r>
              <w:rPr>
                <w:rFonts w:hint="eastAsia" w:ascii="宋体" w:hAnsi="宋体"/>
                <w:szCs w:val="21"/>
                <w:lang w:val="en-US" w:eastAsia="zh-CN"/>
              </w:rPr>
              <w:t>一</w:t>
            </w:r>
            <w:r>
              <w:rPr>
                <w:rFonts w:hint="eastAsia" w:ascii="宋体" w:hAnsi="宋体"/>
                <w:szCs w:val="21"/>
              </w:rPr>
              <w:t>分，最高得</w:t>
            </w:r>
            <w:r>
              <w:rPr>
                <w:rFonts w:hint="eastAsia" w:ascii="宋体" w:hAnsi="宋体"/>
                <w:szCs w:val="21"/>
                <w:lang w:val="en-US" w:eastAsia="zh-CN"/>
              </w:rPr>
              <w:t>四</w:t>
            </w:r>
            <w:r>
              <w:rPr>
                <w:rFonts w:hint="eastAsia" w:ascii="宋体" w:hAnsi="宋体"/>
                <w:szCs w:val="21"/>
              </w:rPr>
              <w:t>分。（不重复计分）</w:t>
            </w:r>
          </w:p>
        </w:tc>
        <w:tc>
          <w:tcPr>
            <w:tcW w:w="996" w:type="dxa"/>
            <w:vAlign w:val="center"/>
          </w:tcPr>
          <w:p>
            <w:pPr>
              <w:tabs>
                <w:tab w:val="left" w:pos="1418"/>
              </w:tabs>
              <w:snapToGrid w:val="0"/>
              <w:jc w:val="center"/>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27" w:type="dxa"/>
            <w:vAlign w:val="center"/>
          </w:tcPr>
          <w:p>
            <w:pPr>
              <w:tabs>
                <w:tab w:val="left" w:pos="1418"/>
              </w:tabs>
              <w:snapToGrid w:val="0"/>
              <w:jc w:val="left"/>
              <w:rPr>
                <w:rFonts w:hint="default" w:ascii="宋体" w:hAnsi="宋体" w:eastAsia="宋体"/>
                <w:szCs w:val="21"/>
                <w:lang w:val="en-US" w:eastAsia="zh-CN"/>
              </w:rPr>
            </w:pPr>
            <w:r>
              <w:rPr>
                <w:rFonts w:hint="eastAsia" w:ascii="宋体" w:hAnsi="宋体"/>
                <w:szCs w:val="21"/>
                <w:lang w:val="en-US" w:eastAsia="zh-CN"/>
              </w:rPr>
              <w:t>11</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应急预案</w:t>
            </w:r>
          </w:p>
        </w:tc>
        <w:tc>
          <w:tcPr>
            <w:tcW w:w="5648" w:type="dxa"/>
          </w:tcPr>
          <w:p>
            <w:pPr>
              <w:tabs>
                <w:tab w:val="left" w:pos="1418"/>
              </w:tabs>
              <w:snapToGrid w:val="0"/>
              <w:jc w:val="left"/>
              <w:rPr>
                <w:rFonts w:hint="eastAsia" w:ascii="宋体" w:hAnsi="宋体"/>
                <w:szCs w:val="21"/>
              </w:rPr>
            </w:pPr>
            <w:r>
              <w:rPr>
                <w:rFonts w:hint="eastAsia" w:ascii="宋体" w:hAnsi="宋体"/>
                <w:szCs w:val="21"/>
              </w:rPr>
              <w:t>投标人针对本项目的突发应急事件（突然停电情况处理、设备故障应急处理、恶劣天气影响、自然灾害、疫情防控措施等）的处理预案是案否合理、及时有效，本项最高得4分。有欠缺或不合理的，每处扣1分，扣完为止。</w:t>
            </w:r>
          </w:p>
        </w:tc>
        <w:tc>
          <w:tcPr>
            <w:tcW w:w="996" w:type="dxa"/>
            <w:vAlign w:val="center"/>
          </w:tcPr>
          <w:p>
            <w:pPr>
              <w:tabs>
                <w:tab w:val="left" w:pos="1418"/>
              </w:tabs>
              <w:snapToGrid w:val="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default" w:ascii="宋体" w:hAnsi="宋体" w:eastAsia="宋体"/>
                <w:szCs w:val="21"/>
                <w:lang w:val="en-US" w:eastAsia="zh-CN"/>
              </w:rPr>
            </w:pPr>
            <w:r>
              <w:rPr>
                <w:rFonts w:hint="eastAsia" w:ascii="宋体" w:hAnsi="宋体"/>
                <w:szCs w:val="21"/>
                <w:lang w:val="en-US" w:eastAsia="zh-CN"/>
              </w:rPr>
              <w:t>12</w:t>
            </w:r>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投标人资质</w:t>
            </w:r>
          </w:p>
        </w:tc>
        <w:tc>
          <w:tcPr>
            <w:tcW w:w="5648" w:type="dxa"/>
          </w:tcPr>
          <w:p>
            <w:pPr>
              <w:tabs>
                <w:tab w:val="left" w:pos="1418"/>
              </w:tabs>
              <w:snapToGrid w:val="0"/>
              <w:jc w:val="left"/>
              <w:rPr>
                <w:rFonts w:hint="eastAsia" w:ascii="宋体" w:hAnsi="宋体"/>
                <w:szCs w:val="21"/>
              </w:rPr>
            </w:pPr>
          </w:p>
          <w:p>
            <w:pPr>
              <w:tabs>
                <w:tab w:val="left" w:pos="1418"/>
              </w:tabs>
              <w:snapToGrid w:val="0"/>
              <w:jc w:val="left"/>
              <w:rPr>
                <w:rFonts w:hint="eastAsia" w:ascii="宋体" w:hAnsi="宋体"/>
                <w:szCs w:val="21"/>
              </w:rPr>
            </w:pPr>
            <w:r>
              <w:rPr>
                <w:rFonts w:hint="eastAsia" w:ascii="宋体" w:hAnsi="宋体"/>
                <w:szCs w:val="21"/>
                <w:lang w:val="en-US" w:eastAsia="zh-CN"/>
              </w:rPr>
              <w:t>1</w:t>
            </w:r>
            <w:r>
              <w:rPr>
                <w:rFonts w:hint="eastAsia" w:ascii="宋体" w:hAnsi="宋体"/>
                <w:szCs w:val="21"/>
              </w:rPr>
              <w:t>、投标人具有电子与智能化工程专业承包壹级证书的，得1分，贰级得0.5分；投标人具有ISO9001质量管理体系（含系统集成设备的销售及技术服务或计算机系统集成软件开发及销售或移动通信产品和服务的开发、设计、运营与管理或信息业务相关的系统集成）认证证书的得1分；</w:t>
            </w:r>
          </w:p>
          <w:p>
            <w:pPr>
              <w:tabs>
                <w:tab w:val="left" w:pos="1418"/>
              </w:tabs>
              <w:snapToGrid w:val="0"/>
              <w:jc w:val="left"/>
              <w:rPr>
                <w:rFonts w:hint="eastAsia" w:ascii="宋体" w:hAnsi="宋体"/>
                <w:szCs w:val="21"/>
              </w:rPr>
            </w:pPr>
            <w:r>
              <w:rPr>
                <w:rFonts w:hint="eastAsia" w:ascii="宋体" w:hAnsi="宋体"/>
                <w:szCs w:val="21"/>
                <w:lang w:val="en-US" w:eastAsia="zh-CN"/>
              </w:rPr>
              <w:t>2</w:t>
            </w:r>
            <w:r>
              <w:rPr>
                <w:rFonts w:hint="eastAsia" w:ascii="宋体" w:hAnsi="宋体"/>
                <w:szCs w:val="21"/>
              </w:rPr>
              <w:t>、投标人具有安全防范工程施工与维护壹级证书的，得1分，贰级得0.5分；投标人具有ISO27001信息安全管理体系（含系统集成设备的销售和服务相关的信息安全管理活动或与计算机应用软件开发及信息系统集成、ICT设备销售相关的信息安全管理活动或主机托管或云计算服务）认证证书的得1分。</w:t>
            </w:r>
          </w:p>
        </w:tc>
        <w:tc>
          <w:tcPr>
            <w:tcW w:w="996" w:type="dxa"/>
            <w:vAlign w:val="center"/>
          </w:tcPr>
          <w:p>
            <w:pPr>
              <w:tabs>
                <w:tab w:val="left" w:pos="1418"/>
              </w:tabs>
              <w:snapToGrid w:val="0"/>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default" w:ascii="宋体" w:hAnsi="宋体" w:eastAsia="宋体"/>
                <w:szCs w:val="21"/>
                <w:lang w:val="en-US" w:eastAsia="zh-CN"/>
              </w:rPr>
            </w:pPr>
            <w:r>
              <w:rPr>
                <w:rFonts w:hint="eastAsia" w:ascii="宋体" w:hAnsi="宋体"/>
                <w:szCs w:val="21"/>
                <w:lang w:val="en-US" w:eastAsia="zh-CN"/>
              </w:rPr>
              <w:t>13</w:t>
            </w:r>
            <w:bookmarkStart w:id="245" w:name="_GoBack"/>
            <w:bookmarkEnd w:id="245"/>
          </w:p>
        </w:tc>
        <w:tc>
          <w:tcPr>
            <w:tcW w:w="1269" w:type="dxa"/>
            <w:vAlign w:val="center"/>
          </w:tcPr>
          <w:p>
            <w:pPr>
              <w:tabs>
                <w:tab w:val="left" w:pos="1418"/>
              </w:tabs>
              <w:snapToGrid w:val="0"/>
              <w:jc w:val="left"/>
              <w:rPr>
                <w:rFonts w:hint="eastAsia" w:ascii="宋体" w:hAnsi="宋体"/>
                <w:szCs w:val="21"/>
              </w:rPr>
            </w:pPr>
            <w:r>
              <w:rPr>
                <w:rFonts w:hint="eastAsia" w:ascii="宋体" w:hAnsi="宋体"/>
                <w:szCs w:val="21"/>
              </w:rPr>
              <w:t>政策分</w:t>
            </w:r>
          </w:p>
        </w:tc>
        <w:tc>
          <w:tcPr>
            <w:tcW w:w="5648" w:type="dxa"/>
          </w:tcPr>
          <w:p>
            <w:pPr>
              <w:tabs>
                <w:tab w:val="left" w:pos="1418"/>
              </w:tabs>
              <w:snapToGrid w:val="0"/>
              <w:jc w:val="left"/>
              <w:rPr>
                <w:rFonts w:hint="eastAsia" w:ascii="宋体" w:hAnsi="宋体"/>
                <w:szCs w:val="21"/>
              </w:rPr>
            </w:pPr>
            <w:r>
              <w:rPr>
                <w:rFonts w:hint="eastAsia" w:ascii="宋体" w:hAnsi="宋体"/>
                <w:szCs w:val="21"/>
              </w:rPr>
              <w:t>1.投标人或所投产品按规定享受国家政策支持（扶持）的，每项得0.5分，最高得1分；</w:t>
            </w:r>
          </w:p>
          <w:p>
            <w:pPr>
              <w:tabs>
                <w:tab w:val="left" w:pos="1418"/>
              </w:tabs>
              <w:snapToGrid w:val="0"/>
              <w:jc w:val="left"/>
              <w:rPr>
                <w:rFonts w:hint="eastAsia" w:ascii="宋体" w:hAnsi="宋体"/>
                <w:szCs w:val="21"/>
              </w:rPr>
            </w:pPr>
            <w:r>
              <w:rPr>
                <w:rFonts w:hint="eastAsia" w:ascii="宋体" w:hAnsi="宋体"/>
                <w:szCs w:val="21"/>
              </w:rPr>
              <w:t>2.所投产品或其主要（核心）设备列入国家节能或环保产品目录的，每项得0.5分，最高得1分。</w:t>
            </w:r>
          </w:p>
        </w:tc>
        <w:tc>
          <w:tcPr>
            <w:tcW w:w="996" w:type="dxa"/>
            <w:vAlign w:val="center"/>
          </w:tcPr>
          <w:p>
            <w:pPr>
              <w:tabs>
                <w:tab w:val="left" w:pos="1418"/>
              </w:tabs>
              <w:snapToGrid w:val="0"/>
              <w:jc w:val="center"/>
              <w:rPr>
                <w:rFonts w:ascii="宋体" w:hAnsi="宋体"/>
                <w:szCs w:val="21"/>
              </w:rPr>
            </w:pPr>
            <w:r>
              <w:rPr>
                <w:rFonts w:hint="eastAsia" w:ascii="宋体" w:hAnsi="宋体"/>
                <w:szCs w:val="21"/>
              </w:rPr>
              <w:t>2</w:t>
            </w:r>
          </w:p>
        </w:tc>
      </w:tr>
    </w:tbl>
    <w:p>
      <w:pPr>
        <w:pStyle w:val="25"/>
        <w:shd w:val="clear" w:color="auto" w:fill="FFFFFF"/>
        <w:spacing w:before="50" w:after="50" w:line="400" w:lineRule="exact"/>
        <w:rPr>
          <w:rFonts w:ascii="Courier New" w:hAnsi="Courier New" w:cs="Courier New"/>
          <w:color w:val="000000" w:themeColor="text1"/>
          <w14:textFill>
            <w14:solidFill>
              <w14:schemeClr w14:val="tx1"/>
            </w14:solidFill>
          </w14:textFill>
        </w:rPr>
      </w:pPr>
    </w:p>
    <w:p>
      <w:pPr>
        <w:pStyle w:val="26"/>
        <w:widowControl w:val="0"/>
        <w:adjustRightInd w:val="0"/>
        <w:snapToGrid w:val="0"/>
        <w:spacing w:before="0" w:beforeAutospacing="0" w:after="0" w:afterAutospacing="0"/>
        <w:rPr>
          <w:rFonts w:ascii="Times New Roman" w:hAnsi="Times New Roman" w:eastAsia="黑体"/>
          <w:b/>
          <w:sz w:val="36"/>
          <w:szCs w:val="36"/>
        </w:rPr>
      </w:pPr>
    </w:p>
    <w:p>
      <w:pPr>
        <w:pStyle w:val="48"/>
        <w:numPr>
          <w:ilvl w:val="0"/>
          <w:numId w:val="15"/>
        </w:numPr>
        <w:tabs>
          <w:tab w:val="left" w:pos="430"/>
        </w:tabs>
        <w:spacing w:before="156" w:beforeLines="50" w:after="156" w:afterLines="50" w:line="240" w:lineRule="exact"/>
        <w:ind w:firstLineChars="0"/>
        <w:rPr>
          <w:rFonts w:ascii="宋体" w:hAnsi="宋体"/>
          <w:b/>
          <w:sz w:val="28"/>
          <w:szCs w:val="28"/>
        </w:rPr>
      </w:pPr>
      <w:r>
        <w:rPr>
          <w:rFonts w:hint="eastAsia" w:ascii="宋体" w:hAnsi="宋体"/>
          <w:b/>
          <w:sz w:val="28"/>
          <w:szCs w:val="28"/>
        </w:rPr>
        <w:tab/>
      </w:r>
      <w:r>
        <w:rPr>
          <w:rFonts w:hint="eastAsia" w:ascii="宋体" w:hAnsi="宋体"/>
          <w:b/>
          <w:sz w:val="28"/>
          <w:szCs w:val="28"/>
        </w:rPr>
        <w:t>技术、资信及商务分的计算</w:t>
      </w:r>
    </w:p>
    <w:p>
      <w:pPr>
        <w:spacing w:before="156" w:beforeLines="50" w:after="156" w:afterLines="50" w:line="400" w:lineRule="exact"/>
        <w:ind w:firstLine="480" w:firstLineChars="200"/>
        <w:rPr>
          <w:rFonts w:ascii="宋体" w:hAnsi="宋体"/>
          <w:sz w:val="24"/>
        </w:rPr>
      </w:pPr>
      <w:r>
        <w:rPr>
          <w:rFonts w:hint="eastAsia" w:ascii="宋体" w:hAnsi="宋体"/>
          <w:sz w:val="24"/>
        </w:rPr>
        <w:t>技术、资信及商务分按照评标委员会成员的独立评分结果汇总数、算术平均分计算，</w:t>
      </w:r>
    </w:p>
    <w:p>
      <w:pPr>
        <w:pStyle w:val="29"/>
        <w:ind w:firstLine="480"/>
        <w:rPr>
          <w:rFonts w:ascii="楷体" w:hAnsi="楷体" w:eastAsia="楷体" w:cs="楷体"/>
          <w:smallCaps/>
          <w:color w:val="000000"/>
          <w:sz w:val="24"/>
          <w:szCs w:val="24"/>
        </w:rPr>
      </w:pPr>
      <w:r>
        <w:rPr>
          <w:rFonts w:hint="eastAsia" w:ascii="宋体" w:hAnsi="宋体"/>
          <w:sz w:val="24"/>
        </w:rPr>
        <w:t>计算公式为：技术、资信及商务得分=（评标委员会所有成员评分合计数）/（评标委员会组成人员数）</w:t>
      </w:r>
    </w:p>
    <w:p>
      <w:pPr>
        <w:pStyle w:val="29"/>
        <w:sectPr>
          <w:pgSz w:w="11906" w:h="16838"/>
          <w:pgMar w:top="1440" w:right="1800" w:bottom="1440" w:left="1800" w:header="851" w:footer="992" w:gutter="0"/>
          <w:cols w:space="425" w:num="1"/>
          <w:docGrid w:type="lines" w:linePitch="312" w:charSpace="0"/>
        </w:sectPr>
      </w:pPr>
    </w:p>
    <w:p>
      <w:pPr>
        <w:pStyle w:val="15"/>
        <w:spacing w:before="156" w:after="156" w:line="360" w:lineRule="auto"/>
        <w:jc w:val="center"/>
        <w:outlineLvl w:val="0"/>
        <w:rPr>
          <w:rFonts w:hAnsi="宋体" w:eastAsia="仿宋_GB2312"/>
          <w:color w:val="000000"/>
          <w:sz w:val="32"/>
          <w:szCs w:val="32"/>
        </w:rPr>
      </w:pPr>
      <w:r>
        <w:rPr>
          <w:rFonts w:hint="eastAsia" w:hAnsi="宋体"/>
          <w:b/>
          <w:color w:val="000000"/>
          <w:sz w:val="36"/>
          <w:szCs w:val="36"/>
        </w:rPr>
        <w:t>第六章 政府</w:t>
      </w:r>
      <w:r>
        <w:rPr>
          <w:rFonts w:hAnsi="宋体"/>
          <w:b/>
          <w:color w:val="000000"/>
          <w:sz w:val="36"/>
          <w:szCs w:val="36"/>
        </w:rPr>
        <w:t>采购合同主要条款</w:t>
      </w:r>
    </w:p>
    <w:p>
      <w:pPr>
        <w:snapToGrid w:val="0"/>
        <w:spacing w:line="360" w:lineRule="auto"/>
        <w:ind w:firstLine="600" w:firstLineChars="200"/>
        <w:rPr>
          <w:rFonts w:ascii="仿宋" w:hAnsi="仿宋" w:eastAsia="仿宋" w:cs="Arial"/>
          <w:color w:val="000000"/>
          <w:szCs w:val="21"/>
        </w:rPr>
      </w:pPr>
      <w:r>
        <w:rPr>
          <w:rFonts w:hint="eastAsia" w:ascii="仿宋_GB2312" w:eastAsia="仿宋_GB2312"/>
          <w:color w:val="000000"/>
          <w:sz w:val="30"/>
          <w:szCs w:val="30"/>
        </w:rPr>
        <w:t xml:space="preserve">  </w:t>
      </w:r>
    </w:p>
    <w:p>
      <w:pPr>
        <w:snapToGrid w:val="0"/>
        <w:spacing w:line="360" w:lineRule="auto"/>
        <w:ind w:firstLine="421" w:firstLineChars="200"/>
        <w:jc w:val="center"/>
        <w:rPr>
          <w:rFonts w:ascii="仿宋" w:hAnsi="仿宋" w:eastAsia="仿宋" w:cs="Arial"/>
          <w:b/>
          <w:color w:val="000000"/>
          <w:szCs w:val="21"/>
        </w:rPr>
      </w:pPr>
      <w:r>
        <w:rPr>
          <w:rFonts w:hint="eastAsia" w:ascii="仿宋" w:hAnsi="仿宋" w:eastAsia="仿宋" w:cs="Arial"/>
          <w:b/>
          <w:color w:val="000000"/>
          <w:szCs w:val="21"/>
        </w:rPr>
        <w:t>浙江省政府采购合同指引</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项目名称：                 项目编号：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甲方：（买方）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乙方：（卖方）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甲、乙双方根据 </w:t>
      </w:r>
      <w:r>
        <w:rPr>
          <w:rFonts w:ascii="仿宋" w:hAnsi="仿宋" w:eastAsia="仿宋" w:cs="Arial"/>
          <w:color w:val="000000"/>
          <w:szCs w:val="21"/>
          <w:u w:val="single"/>
        </w:rPr>
        <w:t>金华市政府采购中心关于</w:t>
      </w:r>
      <w:r>
        <w:rPr>
          <w:rFonts w:hint="eastAsia" w:ascii="仿宋" w:hAnsi="仿宋" w:eastAsia="仿宋" w:cs="Arial"/>
          <w:color w:val="000000"/>
          <w:szCs w:val="21"/>
          <w:u w:val="single"/>
        </w:rPr>
        <w:t xml:space="preserve"> </w:t>
      </w:r>
      <w:r>
        <w:rPr>
          <w:rFonts w:ascii="仿宋" w:hAnsi="仿宋" w:eastAsia="仿宋" w:cs="Arial"/>
          <w:color w:val="000000"/>
          <w:szCs w:val="21"/>
          <w:u w:val="single"/>
        </w:rPr>
        <w:t xml:space="preserve">  单位    项目公开招标</w:t>
      </w:r>
      <w:r>
        <w:rPr>
          <w:rFonts w:ascii="仿宋" w:hAnsi="仿宋" w:eastAsia="仿宋" w:cs="Arial"/>
          <w:color w:val="000000"/>
          <w:szCs w:val="21"/>
        </w:rPr>
        <w:t>的结果，签署本合同。</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一、服务内容</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二、合同金额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本合同金额为（大写）：_________元（￥______元）人民币。</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三、技术资料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乙方应按招标文件规定的时间向甲方提供有关技术资料。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四、知识产权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乙方应保证提供服务过程中不会侵犯任何第三方的知识产权。</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五</w:t>
      </w:r>
      <w:r>
        <w:rPr>
          <w:rFonts w:ascii="仿宋" w:hAnsi="仿宋" w:eastAsia="仿宋" w:cs="Arial"/>
          <w:b/>
          <w:color w:val="000000"/>
          <w:szCs w:val="21"/>
        </w:rPr>
        <w:t>、履约保证金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乙方交纳人民币△元作为本合同的履约保证金。</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六、转包或分包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.本合同范围的服务，应由</w:t>
      </w:r>
      <w:r>
        <w:rPr>
          <w:rFonts w:ascii="仿宋" w:hAnsi="仿宋" w:eastAsia="仿宋" w:cs="Arial"/>
          <w:color w:val="000000"/>
          <w:szCs w:val="21"/>
        </w:rPr>
        <w:t>乙</w:t>
      </w:r>
      <w:r>
        <w:rPr>
          <w:rFonts w:hint="eastAsia" w:ascii="仿宋" w:hAnsi="仿宋" w:eastAsia="仿宋" w:cs="Arial"/>
          <w:color w:val="000000"/>
          <w:szCs w:val="21"/>
        </w:rPr>
        <w:t>方直接供应，不得转让他人供应；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w:t>
      </w:r>
      <w:r>
        <w:rPr>
          <w:rFonts w:hint="eastAsia" w:ascii="仿宋" w:hAnsi="仿宋" w:eastAsia="仿宋" w:cs="Arial"/>
          <w:color w:val="000000"/>
          <w:szCs w:val="21"/>
        </w:rPr>
        <w:t>除非得到甲方的书面同意，</w:t>
      </w:r>
      <w:r>
        <w:rPr>
          <w:rFonts w:ascii="仿宋" w:hAnsi="仿宋" w:eastAsia="仿宋" w:cs="Arial"/>
          <w:color w:val="000000"/>
          <w:szCs w:val="21"/>
        </w:rPr>
        <w:t>乙</w:t>
      </w:r>
      <w:r>
        <w:rPr>
          <w:rFonts w:hint="eastAsia" w:ascii="仿宋" w:hAnsi="仿宋" w:eastAsia="仿宋" w:cs="Arial"/>
          <w:color w:val="000000"/>
          <w:szCs w:val="21"/>
        </w:rPr>
        <w:t>方不得将本合同范围的服务全部或部分分包给他人供应；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.如有转让和未经甲方同意的分包行为，甲方有权解除合同，没收履约保证金并追究乙方的违约责任。</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七</w:t>
      </w:r>
      <w:r>
        <w:rPr>
          <w:rFonts w:ascii="仿宋" w:hAnsi="仿宋" w:eastAsia="仿宋" w:cs="Arial"/>
          <w:b/>
          <w:color w:val="000000"/>
          <w:szCs w:val="21"/>
        </w:rPr>
        <w:t>、服务质量保证期和服务质量保证金(选用)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服务质量保证期</w:t>
      </w:r>
      <w:r>
        <w:rPr>
          <w:rFonts w:ascii="仿宋" w:hAnsi="仿宋" w:eastAsia="仿宋" w:cs="Arial"/>
          <w:color w:val="000000"/>
          <w:szCs w:val="21"/>
          <w:u w:val="single"/>
        </w:rPr>
        <w:t xml:space="preserve">      </w:t>
      </w:r>
      <w:r>
        <w:rPr>
          <w:rFonts w:ascii="仿宋" w:hAnsi="仿宋" w:eastAsia="仿宋" w:cs="Arial"/>
          <w:color w:val="000000"/>
          <w:szCs w:val="21"/>
        </w:rPr>
        <w:t>年。（自验收合格之日起计）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服务质量保证金</w:t>
      </w:r>
      <w:r>
        <w:rPr>
          <w:rFonts w:ascii="仿宋" w:hAnsi="仿宋" w:eastAsia="仿宋" w:cs="Arial"/>
          <w:color w:val="000000"/>
          <w:szCs w:val="21"/>
          <w:u w:val="single"/>
        </w:rPr>
        <w:t xml:space="preserve">            </w:t>
      </w:r>
      <w:r>
        <w:rPr>
          <w:rFonts w:ascii="仿宋" w:hAnsi="仿宋" w:eastAsia="仿宋" w:cs="Arial"/>
          <w:color w:val="000000"/>
          <w:szCs w:val="21"/>
        </w:rPr>
        <w:t>元。（履约保证金在中标投标人按合同约定验收合格后自行转为质保金）</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八</w:t>
      </w:r>
      <w:r>
        <w:rPr>
          <w:rFonts w:ascii="仿宋" w:hAnsi="仿宋" w:eastAsia="仿宋" w:cs="Arial"/>
          <w:b/>
          <w:color w:val="000000"/>
          <w:szCs w:val="21"/>
        </w:rPr>
        <w:t>、合同履行时间、履行方式及履行地点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履行时间：</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履行方式：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履行地点：</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九</w:t>
      </w:r>
      <w:r>
        <w:rPr>
          <w:rFonts w:ascii="仿宋" w:hAnsi="仿宋" w:eastAsia="仿宋" w:cs="Arial"/>
          <w:b/>
          <w:color w:val="000000"/>
          <w:szCs w:val="21"/>
        </w:rPr>
        <w:t>、款项支付</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付款方式：</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十、税费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本合同执行中相关的一切税费均由</w:t>
      </w:r>
      <w:r>
        <w:rPr>
          <w:rFonts w:ascii="仿宋" w:hAnsi="仿宋" w:eastAsia="仿宋" w:cs="Arial"/>
          <w:color w:val="000000"/>
          <w:szCs w:val="21"/>
        </w:rPr>
        <w:t>乙</w:t>
      </w:r>
      <w:r>
        <w:rPr>
          <w:rFonts w:hint="eastAsia" w:ascii="仿宋" w:hAnsi="仿宋" w:eastAsia="仿宋" w:cs="Arial"/>
          <w:color w:val="000000"/>
          <w:szCs w:val="21"/>
        </w:rPr>
        <w:t>方负担。</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一</w:t>
      </w:r>
      <w:r>
        <w:rPr>
          <w:rFonts w:ascii="仿宋" w:hAnsi="仿宋" w:eastAsia="仿宋" w:cs="Arial"/>
          <w:b/>
          <w:color w:val="000000"/>
          <w:szCs w:val="21"/>
        </w:rPr>
        <w:t>、质量保证及后续服务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乙方应按招标文件规定向甲方提供服务。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乙方提供的服务成果在服务质量保证期内发生故障，乙方应负责免费提供后续服务。对达不到要求者，根据实际情况，经双方协商，可按以下办法处理：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⑴重做：由乙方承担所发生的全部费用。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⑵贬值处理：由甲乙双方合议定价。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⑶解除合同。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如在使用过程中发生问题，乙方在接到甲方通知后在△小时内到达甲方现场。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在服务质量保证期内，乙方应对出现的质量及安全问题负责处理解决并承担一切费用。</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二</w:t>
      </w:r>
      <w:r>
        <w:rPr>
          <w:rFonts w:ascii="仿宋" w:hAnsi="仿宋" w:eastAsia="仿宋" w:cs="Arial"/>
          <w:b/>
          <w:color w:val="000000"/>
          <w:szCs w:val="21"/>
        </w:rPr>
        <w:t>、违约责任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甲方无正当理由拒收接受服务的，甲方向乙方偿付合同款项百分之五作为违约金。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甲方无故逾期验收和办理款项支付手续的,甲方应按逾期付款总额每日万分之五向乙方支付违约金。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w:t>
      </w:r>
      <w:r>
        <w:rPr>
          <w:rFonts w:hint="eastAsia" w:ascii="仿宋" w:hAnsi="仿宋" w:eastAsia="仿宋" w:cs="Arial"/>
          <w:color w:val="000000"/>
          <w:szCs w:val="21"/>
        </w:rPr>
        <w:t>未能如</w:t>
      </w:r>
      <w:r>
        <w:rPr>
          <w:rFonts w:ascii="仿宋" w:hAnsi="仿宋" w:eastAsia="仿宋" w:cs="Arial"/>
          <w:color w:val="000000"/>
          <w:szCs w:val="21"/>
        </w:rPr>
        <w:t>期提供服务的，每日向甲方支付</w:t>
      </w:r>
      <w:r>
        <w:rPr>
          <w:rFonts w:hint="eastAsia" w:ascii="仿宋" w:hAnsi="仿宋" w:eastAsia="仿宋" w:cs="Arial"/>
          <w:color w:val="000000"/>
          <w:szCs w:val="21"/>
        </w:rPr>
        <w:t>合同款项的</w:t>
      </w:r>
      <w:r>
        <w:rPr>
          <w:rFonts w:ascii="仿宋" w:hAnsi="仿宋" w:eastAsia="仿宋" w:cs="Arial"/>
          <w:color w:val="000000"/>
          <w:szCs w:val="21"/>
        </w:rPr>
        <w:t>千分之六</w:t>
      </w:r>
      <w:r>
        <w:rPr>
          <w:rFonts w:hint="eastAsia" w:ascii="仿宋" w:hAnsi="仿宋" w:eastAsia="仿宋" w:cs="Arial"/>
          <w:color w:val="000000"/>
          <w:szCs w:val="21"/>
        </w:rPr>
        <w:t>作为</w:t>
      </w:r>
      <w:r>
        <w:rPr>
          <w:rFonts w:ascii="仿宋" w:hAnsi="仿宋" w:eastAsia="仿宋" w:cs="Arial"/>
          <w:color w:val="000000"/>
          <w:szCs w:val="21"/>
        </w:rPr>
        <w:t>违约金。乙方超过约定日期10个工作日</w:t>
      </w:r>
      <w:r>
        <w:rPr>
          <w:rFonts w:hint="eastAsia" w:ascii="仿宋" w:hAnsi="仿宋" w:eastAsia="仿宋" w:cs="Arial"/>
          <w:color w:val="000000"/>
          <w:szCs w:val="21"/>
        </w:rPr>
        <w:t>仍</w:t>
      </w:r>
      <w:r>
        <w:rPr>
          <w:rFonts w:ascii="仿宋" w:hAnsi="仿宋" w:eastAsia="仿宋" w:cs="Arial"/>
          <w:color w:val="000000"/>
          <w:szCs w:val="21"/>
        </w:rPr>
        <w:t>不能</w:t>
      </w:r>
      <w:r>
        <w:rPr>
          <w:rFonts w:hint="eastAsia" w:ascii="仿宋" w:hAnsi="仿宋" w:eastAsia="仿宋" w:cs="Arial"/>
          <w:color w:val="000000"/>
          <w:szCs w:val="21"/>
        </w:rPr>
        <w:t>提供服务</w:t>
      </w:r>
      <w:r>
        <w:rPr>
          <w:rFonts w:ascii="仿宋" w:hAnsi="仿宋" w:eastAsia="仿宋" w:cs="Arial"/>
          <w:color w:val="000000"/>
          <w:szCs w:val="21"/>
        </w:rPr>
        <w:t>的，甲方可解除本合同。乙方因</w:t>
      </w:r>
      <w:r>
        <w:rPr>
          <w:rFonts w:hint="eastAsia" w:ascii="仿宋" w:hAnsi="仿宋" w:eastAsia="仿宋" w:cs="Arial"/>
          <w:color w:val="000000"/>
          <w:szCs w:val="21"/>
        </w:rPr>
        <w:t>未能如</w:t>
      </w:r>
      <w:r>
        <w:rPr>
          <w:rFonts w:ascii="仿宋" w:hAnsi="仿宋" w:eastAsia="仿宋" w:cs="Arial"/>
          <w:color w:val="000000"/>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三</w:t>
      </w:r>
      <w:r>
        <w:rPr>
          <w:rFonts w:ascii="仿宋" w:hAnsi="仿宋" w:eastAsia="仿宋" w:cs="Arial"/>
          <w:b/>
          <w:color w:val="000000"/>
          <w:szCs w:val="21"/>
        </w:rPr>
        <w:t>、不可抗力事件处理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不可抗力事件发生后，应立即通知对方，并寄送有关权威机构出具的证明。</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不可抗力事件延续120天以上，双方应通过友好协商，确定是否继续履行合同。</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四</w:t>
      </w:r>
      <w:r>
        <w:rPr>
          <w:rFonts w:ascii="仿宋" w:hAnsi="仿宋" w:eastAsia="仿宋" w:cs="Arial"/>
          <w:b/>
          <w:color w:val="000000"/>
          <w:szCs w:val="21"/>
        </w:rPr>
        <w:t>、诉讼</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双方在执行合同中所发生的一切争议，应通过协商解决。如协商不成，可向</w:t>
      </w:r>
      <w:r>
        <w:rPr>
          <w:rFonts w:hint="eastAsia" w:ascii="仿宋" w:hAnsi="仿宋" w:eastAsia="仿宋" w:cs="Arial"/>
          <w:color w:val="000000"/>
          <w:szCs w:val="21"/>
        </w:rPr>
        <w:t>甲方所在</w:t>
      </w:r>
      <w:r>
        <w:rPr>
          <w:rFonts w:ascii="仿宋" w:hAnsi="仿宋" w:eastAsia="仿宋" w:cs="Arial"/>
          <w:color w:val="000000"/>
          <w:szCs w:val="21"/>
        </w:rPr>
        <w:t>地法院起诉。</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五</w:t>
      </w:r>
      <w:r>
        <w:rPr>
          <w:rFonts w:ascii="仿宋" w:hAnsi="仿宋" w:eastAsia="仿宋" w:cs="Arial"/>
          <w:b/>
          <w:color w:val="000000"/>
          <w:szCs w:val="21"/>
        </w:rPr>
        <w:t>、合同生效及其它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合同经双方法定代表人或授权代表签字并加盖单位公章后生效。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本合同未尽事宜，遵照《</w:t>
      </w:r>
      <w:r>
        <w:rPr>
          <w:rFonts w:hint="eastAsia" w:ascii="仿宋" w:hAnsi="仿宋" w:eastAsia="仿宋" w:cs="Arial"/>
          <w:color w:val="000000"/>
          <w:szCs w:val="21"/>
        </w:rPr>
        <w:t>民法典</w:t>
      </w:r>
      <w:r>
        <w:rPr>
          <w:rFonts w:ascii="仿宋" w:hAnsi="仿宋" w:eastAsia="仿宋" w:cs="Arial"/>
          <w:color w:val="000000"/>
          <w:szCs w:val="21"/>
        </w:rPr>
        <w:t>》有关条文执行。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甲方：                       乙方：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地址：                       地址：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法定</w:t>
      </w:r>
      <w:r>
        <w:rPr>
          <w:rFonts w:hint="eastAsia" w:ascii="仿宋" w:hAnsi="仿宋" w:eastAsia="仿宋" w:cs="Arial"/>
          <w:color w:val="000000"/>
          <w:szCs w:val="21"/>
        </w:rPr>
        <w:t>（授权）</w:t>
      </w:r>
      <w:r>
        <w:rPr>
          <w:rFonts w:ascii="仿宋" w:hAnsi="仿宋" w:eastAsia="仿宋" w:cs="Arial"/>
          <w:color w:val="000000"/>
          <w:szCs w:val="21"/>
        </w:rPr>
        <w:t>代表人：         法定</w:t>
      </w:r>
      <w:r>
        <w:rPr>
          <w:rFonts w:hint="eastAsia" w:ascii="仿宋" w:hAnsi="仿宋" w:eastAsia="仿宋" w:cs="Arial"/>
          <w:color w:val="000000"/>
          <w:szCs w:val="21"/>
        </w:rPr>
        <w:t>（授权）</w:t>
      </w:r>
      <w:r>
        <w:rPr>
          <w:rFonts w:ascii="仿宋" w:hAnsi="仿宋" w:eastAsia="仿宋" w:cs="Arial"/>
          <w:color w:val="000000"/>
          <w:szCs w:val="21"/>
        </w:rPr>
        <w:t>代表人：</w:t>
      </w:r>
    </w:p>
    <w:p>
      <w:pPr>
        <w:snapToGrid w:val="0"/>
        <w:spacing w:line="360" w:lineRule="auto"/>
        <w:ind w:firstLine="315" w:firstLineChars="150"/>
        <w:rPr>
          <w:rFonts w:ascii="仿宋" w:hAnsi="仿宋" w:eastAsia="仿宋" w:cs="Arial"/>
          <w:color w:val="000000"/>
          <w:szCs w:val="21"/>
        </w:rPr>
      </w:pPr>
      <w:r>
        <w:rPr>
          <w:rFonts w:ascii="仿宋" w:hAnsi="仿宋" w:eastAsia="仿宋" w:cs="Arial"/>
          <w:color w:val="000000"/>
          <w:szCs w:val="21"/>
        </w:rPr>
        <w:t xml:space="preserve"> 签</w:t>
      </w:r>
      <w:r>
        <w:rPr>
          <w:rFonts w:hint="eastAsia" w:ascii="仿宋" w:hAnsi="仿宋" w:eastAsia="仿宋" w:cs="Arial"/>
          <w:color w:val="000000"/>
          <w:szCs w:val="21"/>
        </w:rPr>
        <w:t>字日期</w:t>
      </w:r>
      <w:r>
        <w:rPr>
          <w:rFonts w:ascii="仿宋" w:hAnsi="仿宋" w:eastAsia="仿宋" w:cs="Arial"/>
          <w:color w:val="000000"/>
          <w:szCs w:val="21"/>
        </w:rPr>
        <w:t xml:space="preserve">：    年  月  日  </w:t>
      </w:r>
      <w:r>
        <w:rPr>
          <w:rFonts w:hint="eastAsia" w:ascii="仿宋" w:hAnsi="仿宋" w:eastAsia="仿宋" w:cs="Arial"/>
          <w:color w:val="000000"/>
          <w:szCs w:val="21"/>
        </w:rPr>
        <w:t xml:space="preserve"> </w:t>
      </w:r>
      <w:r>
        <w:rPr>
          <w:rFonts w:ascii="仿宋" w:hAnsi="仿宋" w:eastAsia="仿宋" w:cs="Arial"/>
          <w:color w:val="000000"/>
          <w:szCs w:val="21"/>
        </w:rPr>
        <w:t xml:space="preserve">    签</w:t>
      </w:r>
      <w:r>
        <w:rPr>
          <w:rFonts w:hint="eastAsia" w:ascii="仿宋" w:hAnsi="仿宋" w:eastAsia="仿宋" w:cs="Arial"/>
          <w:color w:val="000000"/>
          <w:szCs w:val="21"/>
        </w:rPr>
        <w:t>字</w:t>
      </w:r>
      <w:r>
        <w:rPr>
          <w:rFonts w:ascii="仿宋" w:hAnsi="仿宋" w:eastAsia="仿宋" w:cs="Arial"/>
          <w:color w:val="000000"/>
          <w:szCs w:val="21"/>
        </w:rPr>
        <w:t>日期：   年  月  日</w:t>
      </w:r>
    </w:p>
    <w:p>
      <w:pPr>
        <w:snapToGrid w:val="0"/>
        <w:spacing w:line="360" w:lineRule="auto"/>
        <w:ind w:firstLine="420" w:firstLineChars="200"/>
        <w:rPr>
          <w:rFonts w:ascii="仿宋" w:hAnsi="仿宋" w:eastAsia="仿宋" w:cs="Arial"/>
          <w:color w:val="000000"/>
          <w:szCs w:val="21"/>
        </w:rPr>
      </w:pPr>
    </w:p>
    <w:p>
      <w:pPr>
        <w:snapToGrid w:val="0"/>
        <w:spacing w:line="360" w:lineRule="auto"/>
        <w:ind w:firstLine="525" w:firstLineChars="250"/>
        <w:rPr>
          <w:rFonts w:ascii="仿宋" w:hAnsi="仿宋" w:eastAsia="仿宋" w:cs="Arial"/>
          <w:color w:val="000000"/>
          <w:szCs w:val="21"/>
        </w:rPr>
      </w:pPr>
      <w:r>
        <w:rPr>
          <w:rFonts w:hint="eastAsia" w:ascii="仿宋" w:hAnsi="仿宋" w:eastAsia="仿宋" w:cs="Arial"/>
          <w:color w:val="000000"/>
          <w:szCs w:val="21"/>
        </w:rPr>
        <w:t xml:space="preserve"> 合同鉴证方:</w:t>
      </w:r>
    </w:p>
    <w:p>
      <w:pPr>
        <w:snapToGrid w:val="0"/>
        <w:spacing w:line="360" w:lineRule="auto"/>
        <w:ind w:firstLine="630" w:firstLineChars="300"/>
        <w:rPr>
          <w:rFonts w:ascii="仿宋" w:hAnsi="仿宋" w:eastAsia="仿宋" w:cs="Arial"/>
          <w:color w:val="000000"/>
          <w:szCs w:val="21"/>
        </w:rPr>
      </w:pPr>
      <w:r>
        <w:rPr>
          <w:rFonts w:hint="eastAsia" w:ascii="仿宋" w:hAnsi="仿宋" w:eastAsia="仿宋" w:cs="Arial"/>
          <w:color w:val="000000"/>
          <w:szCs w:val="21"/>
        </w:rPr>
        <w:t>鉴证人:</w:t>
      </w:r>
    </w:p>
    <w:p>
      <w:pPr>
        <w:snapToGrid w:val="0"/>
        <w:spacing w:line="360" w:lineRule="auto"/>
        <w:ind w:firstLine="630" w:firstLineChars="300"/>
        <w:rPr>
          <w:rFonts w:ascii="仿宋" w:hAnsi="仿宋" w:eastAsia="仿宋" w:cs="Arial"/>
          <w:color w:val="000000"/>
          <w:szCs w:val="21"/>
        </w:rPr>
      </w:pPr>
      <w:r>
        <w:rPr>
          <w:rFonts w:hint="eastAsia" w:ascii="仿宋" w:hAnsi="仿宋" w:eastAsia="仿宋" w:cs="Arial"/>
          <w:color w:val="000000"/>
          <w:szCs w:val="21"/>
        </w:rPr>
        <w:t>鉴证日期:</w:t>
      </w:r>
    </w:p>
    <w:p>
      <w:pPr>
        <w:pStyle w:val="29"/>
        <w:rPr>
          <w:rFonts w:ascii="仿宋" w:hAnsi="仿宋" w:eastAsia="仿宋" w:cs="Arial"/>
          <w:color w:val="000000"/>
          <w:szCs w:val="21"/>
        </w:rPr>
      </w:pPr>
    </w:p>
    <w:p>
      <w:pPr>
        <w:pStyle w:val="29"/>
        <w:rPr>
          <w:rFonts w:ascii="仿宋" w:hAnsi="仿宋" w:eastAsia="仿宋" w:cs="Arial"/>
          <w:color w:val="000000"/>
          <w:szCs w:val="21"/>
        </w:rPr>
      </w:pPr>
    </w:p>
    <w:p>
      <w:pPr>
        <w:autoSpaceDE w:val="0"/>
        <w:autoSpaceDN w:val="0"/>
        <w:adjustRightInd w:val="0"/>
        <w:spacing w:line="400" w:lineRule="atLeast"/>
        <w:jc w:val="center"/>
        <w:rPr>
          <w:rFonts w:ascii="宋体"/>
          <w:sz w:val="22"/>
        </w:rPr>
        <w:sectPr>
          <w:pgSz w:w="11906" w:h="16838"/>
          <w:pgMar w:top="1440" w:right="1800" w:bottom="1440" w:left="1800" w:header="851" w:footer="992" w:gutter="0"/>
          <w:cols w:space="425" w:num="1"/>
          <w:docGrid w:type="lines" w:linePitch="312" w:charSpace="0"/>
        </w:sectPr>
      </w:pPr>
      <w:r>
        <w:rPr>
          <w:rFonts w:hint="eastAsia" w:ascii="宋体"/>
          <w:sz w:val="22"/>
        </w:rPr>
        <w:t>（合同签订后采购人或供应商须将合同副本送达金华市公共资源交易中心采购科（地址：金华市双龙南街858号财富大厦4楼405室）鉴证）</w:t>
      </w:r>
    </w:p>
    <w:p>
      <w:pPr>
        <w:pStyle w:val="15"/>
        <w:spacing w:before="156" w:after="156" w:line="360" w:lineRule="auto"/>
        <w:jc w:val="center"/>
        <w:outlineLvl w:val="0"/>
        <w:rPr>
          <w:sz w:val="36"/>
          <w:lang w:val="zh-CN"/>
        </w:rPr>
      </w:pPr>
      <w:r>
        <w:rPr>
          <w:rFonts w:hint="eastAsia" w:hAnsi="宋体"/>
          <w:b/>
          <w:color w:val="000000"/>
          <w:sz w:val="36"/>
          <w:szCs w:val="36"/>
        </w:rPr>
        <w:t>第七章</w:t>
      </w:r>
      <w:r>
        <w:rPr>
          <w:rFonts w:hAnsi="宋体"/>
          <w:b/>
          <w:color w:val="000000"/>
          <w:sz w:val="36"/>
          <w:szCs w:val="36"/>
        </w:rPr>
        <w:t xml:space="preserve"> </w:t>
      </w:r>
      <w:r>
        <w:rPr>
          <w:rFonts w:hint="eastAsia" w:hAnsi="宋体"/>
          <w:b/>
          <w:color w:val="000000"/>
          <w:sz w:val="36"/>
          <w:szCs w:val="36"/>
        </w:rPr>
        <w:t>投标文件格式</w:t>
      </w:r>
    </w:p>
    <w:p>
      <w:pPr>
        <w:autoSpaceDE w:val="0"/>
        <w:autoSpaceDN w:val="0"/>
        <w:adjustRightInd w:val="0"/>
        <w:spacing w:after="312" w:afterLines="100" w:line="460" w:lineRule="atLeast"/>
        <w:rPr>
          <w:rFonts w:ascii="宋体" w:hAnsi="Courier New" w:cs="Arial"/>
          <w:sz w:val="22"/>
        </w:rPr>
      </w:pPr>
      <w:r>
        <w:rPr>
          <w:rFonts w:hint="eastAsia" w:ascii="宋体" w:hAnsi="Courier New" w:cs="Arial"/>
          <w:sz w:val="22"/>
        </w:rPr>
        <w:t>附件一</w:t>
      </w:r>
    </w:p>
    <w:p>
      <w:pPr>
        <w:pStyle w:val="2"/>
        <w:jc w:val="center"/>
        <w:rPr>
          <w:rFonts w:hint="default"/>
          <w:sz w:val="24"/>
          <w:szCs w:val="24"/>
        </w:rPr>
      </w:pPr>
      <w:r>
        <w:rPr>
          <w:sz w:val="24"/>
          <w:szCs w:val="24"/>
        </w:rPr>
        <w:t>供应商参加政府采购活动应当具备的一般条件的承诺函</w:t>
      </w:r>
    </w:p>
    <w:p>
      <w:pPr>
        <w:tabs>
          <w:tab w:val="left" w:pos="0"/>
        </w:tabs>
        <w:snapToGrid w:val="0"/>
        <w:spacing w:line="360" w:lineRule="auto"/>
        <w:rPr>
          <w:rFonts w:ascii="仿宋" w:hAnsi="仿宋" w:eastAsia="仿宋" w:cs="Helvetica"/>
          <w:kern w:val="0"/>
          <w:sz w:val="24"/>
          <w:szCs w:val="24"/>
        </w:rPr>
      </w:pPr>
      <w:r>
        <w:rPr>
          <w:rFonts w:hint="eastAsia" w:ascii="仿宋" w:hAnsi="仿宋" w:eastAsia="仿宋" w:cs="Helvetica"/>
          <w:kern w:val="0"/>
          <w:sz w:val="24"/>
          <w:szCs w:val="24"/>
        </w:rPr>
        <w:t>（采购人）、（采购代理机构）：</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我方参与XXX项目【项目编号：XXX】政府采购活动，郑重承诺：</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（一）具备《中华人民共和国政府采购法》第二十二条第一款规定的条件：</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1、具有独立承担民事责任的能力；</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 xml:space="preserve">2、具有良好的商业信誉和健全的财务会计制度； </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3、具有履行合同所必需的设备和专业技术能力；</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4、有依法缴纳税收和社会保障资金的良好记录；</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5、参加政府采购活动前三年内，在经营活动中没有重大违法记录；</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6、具有法律、行政法规规定的其他条件。</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（二）未被信用中国（www.creditchina.gov.cn)、中国政府采购网（www.ccgp.gov.cn）列入失信被执行人、重大税收违法案件当事人名单、政府采购严重违法失信行为记录名单。</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（三）不存在以下情况：</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1、单位负责人为同一人或者存在直接控股、管理关系的不同供应商参加同一合同项下的政府采购活动的；</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2、为采购项目提供整体设计、规范编制或者项目管理、监理、检测等服务后再参加该采购项目的其他采购活动的。</w:t>
      </w:r>
    </w:p>
    <w:p>
      <w:pPr>
        <w:tabs>
          <w:tab w:val="left" w:pos="0"/>
        </w:tabs>
        <w:snapToGrid w:val="0"/>
        <w:spacing w:line="360" w:lineRule="auto"/>
        <w:ind w:firstLine="480"/>
        <w:rPr>
          <w:rFonts w:ascii="仿宋" w:hAnsi="仿宋" w:eastAsia="仿宋" w:cs="Helvetica"/>
          <w:kern w:val="0"/>
          <w:sz w:val="24"/>
          <w:szCs w:val="24"/>
        </w:rPr>
      </w:pPr>
    </w:p>
    <w:p>
      <w:pPr>
        <w:tabs>
          <w:tab w:val="left" w:pos="0"/>
        </w:tabs>
        <w:snapToGrid w:val="0"/>
        <w:spacing w:line="360" w:lineRule="auto"/>
        <w:ind w:firstLine="480"/>
        <w:rPr>
          <w:rFonts w:ascii="仿宋" w:hAnsi="仿宋" w:eastAsia="仿宋" w:cs="Helvetica"/>
          <w:kern w:val="0"/>
          <w:sz w:val="24"/>
          <w:szCs w:val="24"/>
        </w:rPr>
      </w:pPr>
    </w:p>
    <w:p>
      <w:pPr>
        <w:tabs>
          <w:tab w:val="left" w:pos="0"/>
        </w:tabs>
        <w:snapToGrid w:val="0"/>
        <w:spacing w:line="360" w:lineRule="auto"/>
        <w:ind w:firstLine="480"/>
        <w:rPr>
          <w:rFonts w:ascii="仿宋" w:hAnsi="仿宋" w:eastAsia="仿宋" w:cs="Helvetica"/>
          <w:kern w:val="0"/>
          <w:sz w:val="24"/>
          <w:szCs w:val="24"/>
        </w:rPr>
      </w:pPr>
    </w:p>
    <w:p>
      <w:pPr>
        <w:tabs>
          <w:tab w:val="left" w:pos="0"/>
        </w:tabs>
        <w:snapToGrid w:val="0"/>
        <w:spacing w:line="360" w:lineRule="auto"/>
        <w:ind w:firstLine="5040" w:firstLineChars="2100"/>
        <w:rPr>
          <w:rFonts w:ascii="仿宋" w:hAnsi="仿宋" w:eastAsia="仿宋" w:cs="Helvetica"/>
          <w:kern w:val="0"/>
          <w:sz w:val="24"/>
          <w:szCs w:val="24"/>
        </w:rPr>
      </w:pPr>
      <w:r>
        <w:rPr>
          <w:rFonts w:hint="eastAsia" w:ascii="仿宋" w:hAnsi="仿宋" w:eastAsia="仿宋" w:cs="Helvetica"/>
          <w:kern w:val="0"/>
          <w:sz w:val="24"/>
          <w:szCs w:val="24"/>
        </w:rPr>
        <w:t>投标人名称(电子签名)：</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 xml:space="preserve">                                       日期：  年  月   日</w:t>
      </w:r>
    </w:p>
    <w:p>
      <w:pPr>
        <w:pStyle w:val="2"/>
        <w:rPr>
          <w:rFonts w:hint="default"/>
        </w:rPr>
        <w:sectPr>
          <w:pgSz w:w="11906" w:h="16838"/>
          <w:pgMar w:top="1440" w:right="1800" w:bottom="1440" w:left="1800" w:header="851" w:footer="992" w:gutter="0"/>
          <w:cols w:space="425" w:num="1"/>
          <w:docGrid w:type="lines" w:linePitch="312" w:charSpace="0"/>
        </w:sectPr>
      </w:pPr>
    </w:p>
    <w:p/>
    <w:p>
      <w:pPr>
        <w:pStyle w:val="2"/>
        <w:rPr>
          <w:rFonts w:hint="default"/>
        </w:rPr>
      </w:pPr>
    </w:p>
    <w:p>
      <w:pPr>
        <w:snapToGrid w:val="0"/>
        <w:spacing w:line="360" w:lineRule="auto"/>
        <w:ind w:firstLine="600" w:firstLineChars="200"/>
        <w:jc w:val="center"/>
        <w:rPr>
          <w:rFonts w:ascii="仿宋" w:hAnsi="仿宋" w:eastAsia="仿宋" w:cs="Arial"/>
          <w:b/>
          <w:color w:val="000000"/>
          <w:sz w:val="30"/>
          <w:szCs w:val="30"/>
        </w:rPr>
      </w:pPr>
      <w:bookmarkStart w:id="241" w:name="_Toc25524"/>
      <w:r>
        <w:rPr>
          <w:sz w:val="30"/>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-139065</wp:posOffset>
                </wp:positionV>
                <wp:extent cx="762000" cy="317500"/>
                <wp:effectExtent l="0" t="0" r="0" b="6350"/>
                <wp:wrapNone/>
                <wp:docPr id="1" name="文本框 1"/>
                <wp:cNvGraphicFramePr/>
                <a:graphic xmlns:a="http://schemas.openxmlformats.org/drawingml/2006/main">
                  <a:graphicData uri="http://schemas.microsoft.com/office/word/2010/wordprocessingShape">
                    <wps:wsp>
                      <wps:cNvSpPr txBox="true"/>
                      <wps:spPr>
                        <a:xfrm>
                          <a:off x="1039495" y="1002030"/>
                          <a:ext cx="762000" cy="317500"/>
                        </a:xfrm>
                        <a:prstGeom prst="rect">
                          <a:avLst/>
                        </a:prstGeom>
                        <a:solidFill>
                          <a:srgbClr val="FFFFFF"/>
                        </a:solidFill>
                        <a:ln w="6350">
                          <a:noFill/>
                        </a:ln>
                        <a:effectLst/>
                      </wps:spPr>
                      <wps:txbx>
                        <w:txbxContent>
                          <w:p>
                            <w:r>
                              <w:rPr>
                                <w:rFonts w:hint="eastAsia"/>
                              </w:rPr>
                              <w:t>附件二</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5pt;margin-top:-10.95pt;height:25pt;width:60pt;z-index:251659264;mso-width-relative:page;mso-height-relative:page;" fillcolor="#FFFFFF" filled="t" stroked="f" coordsize="21600,21600" o:gfxdata="UEsFBgAAAAAAAAAAAAAAAAAAAAAAAFBLAwQKAAAAAACHTuJAAAAAAAAAAAAAAAAABAAAAGRycy9Q SwMEFAAAAAgAh07iQATzAhfUAAAACQEAAA8AAABkcnMvZG93bnJldi54bWxNj0tPwzAQhO9I/Adr kbi1jsNDbcimBySuSPR1duMljrDXUew+fz3OCY6zM5r9pl5dvBMnGmMfGEHNCxDEbTA9dwjbzcds ASImzUa7wIRwpQir5v6u1pUJZ/6i0zp1IpdwrDSCTWmopIytJa/jPAzE2fsOo9cpy7GTZtTnXO6d LIviVXrdc/5g9UDvltqf9dEj7Dt/2+/UMFrj3TN/3q6bbegRHx9U8QYi0SX9hWHCz+jQZKZDOLKJ wiE8LfOUhDAr1RLEFHiZLgeEcqFANrX8v6D5BVBLAwQUAAAACACHTuJAz7uiRkYCAABsBAAADgAA AGRycy9lMm9Eb2MueG1srVRLjhoxEN1Hyh0s70N38w2IZkQYEUVCmZFIlLVx29CS2+XYhm5ygOQG WWWTfc7FOVI2DUM+qygsTJXrUeV6r4rpXVMpchDWlaBzmnVSSoTmUJR6m9P375YvXlLiPNMFU6BF To/C0bvZ82fT2kxEF3agCmEJJtFuUpuc7rw3kyRxfCcq5jpghMagBFsxj67dJoVlNWavVNJN02FS gy2MBS6cw9v7c5DOYn4pBfcPUjrhicopvs3H08ZzE85kNmWTrWVmV/L2GewfXlGxUmPRa6p75hnZ 2/KPVFXJLTiQvsOhSkDKkovYA3aTpb91s94xI2IvSI4zV5rc/0vL3x4eLSkL1I4SzSqU6PT1y+nb j9P3zyQL9NTGTRC1NojzzStocurtXlxCDu9D4420VfjGlghCsrQ37o8HlByDnXbTXsu1aDzhCBgN UT5UhCOgl40GaGOx5CmRsc6/FlCRYOTUopSRYXZYOX+GXiChrgNVFstSqejY7WahLDkwlH0ZP232 X2BKkzqnw94gjZk1hN+fUysd8og4QW29QMS522D5ZtO07GygOCI5Fs7T5QxflvjmFXP+kVkcJ2wT V8Q/4CEVYEloLUp2YD/97T7gUWWMUlLjeObUfdwzKyhRbzTqP876/TDP0ekPRl107G1kcxvR+2oB SAVqjK+LZsB7dTGlheoDbtI8VJVMOSzENMf6qPbFXHj02iBuJBfz+dXHaTbMr/Ta8HY+An8a5nsP sox6BdbOVKHOwcGRjoq36xd25taPqKc/idlP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yQQAAFtDb250ZW50X1R5cGVzXS54bWxQSwECFAAKAAAA AACHTuJAAAAAAAAAAAAAAAAABgAAAAAAAAAAABAAAACrAwAAX3JlbHMvUEsBAhQAFAAAAAgAh07i QIoUZjzRAAAAlAEAAAsAAAAAAAAAAQAgAAAAzwMAAF9yZWxzLy5yZWxzUEsBAhQACgAAAAAAh07i QAAAAAAAAAAAAAAAAAQAAAAAAAAAAAAQAAAAFgAAAGRycy9QSwECFAAUAAAACACHTuJABPMCF9QA AAAJAQAADwAAAAAAAAABACAAAAA4AAAAZHJzL2Rvd25yZXYueG1sUEsBAhQAFAAAAAgAh07iQM+7 okZGAgAAbAQAAA4AAAAAAAAAAQAgAAAAOQEAAGRycy9lMm9Eb2MueG1sUEsFBgAAAAAGAAYAWQEA APEFAAAAAA== ">
                <v:fill on="t" focussize="0,0"/>
                <v:stroke on="f" weight="0.5pt"/>
                <v:imagedata o:title=""/>
                <o:lock v:ext="edit" aspectratio="f"/>
                <v:textbox>
                  <w:txbxContent>
                    <w:p>
                      <w:r>
                        <w:rPr>
                          <w:rFonts w:hint="eastAsia"/>
                        </w:rPr>
                        <w:t>附件二</w:t>
                      </w:r>
                    </w:p>
                  </w:txbxContent>
                </v:textbox>
              </v:shape>
            </w:pict>
          </mc:Fallback>
        </mc:AlternateContent>
      </w:r>
      <w:r>
        <w:rPr>
          <w:rFonts w:hint="eastAsia" w:ascii="仿宋" w:hAnsi="仿宋" w:eastAsia="仿宋" w:cs="Arial"/>
          <w:b/>
          <w:color w:val="000000"/>
          <w:sz w:val="30"/>
          <w:szCs w:val="30"/>
        </w:rPr>
        <w:t>开标一览表（货物类）</w:t>
      </w:r>
    </w:p>
    <w:p>
      <w:pPr>
        <w:snapToGrid w:val="0"/>
        <w:spacing w:line="360" w:lineRule="auto"/>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招标编号：</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标项：</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投标人名称：</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单位：元</w:t>
      </w:r>
    </w:p>
    <w:tbl>
      <w:tblPr>
        <w:tblStyle w:val="3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420" w:firstLineChars="200"/>
        <w:rPr>
          <w:rFonts w:ascii="仿宋" w:hAnsi="仿宋" w:eastAsia="仿宋" w:cs="Arial"/>
          <w:color w:val="000000"/>
          <w:szCs w:val="21"/>
        </w:rPr>
      </w:pP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注</w:t>
      </w:r>
      <w:r>
        <w:rPr>
          <w:rFonts w:ascii="仿宋" w:hAnsi="仿宋" w:eastAsia="仿宋" w:cs="Arial"/>
          <w:color w:val="000000"/>
          <w:szCs w:val="21"/>
        </w:rPr>
        <w:t>: 1</w:t>
      </w:r>
      <w:r>
        <w:rPr>
          <w:rFonts w:hint="eastAsia" w:ascii="仿宋" w:hAnsi="仿宋" w:eastAsia="仿宋" w:cs="Arial"/>
          <w:color w:val="000000"/>
          <w:szCs w:val="21"/>
        </w:rPr>
        <w:t>、不提供此表格的将视为没有实质性响应招标文件。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、以上报价应与“投标设备报价明细表”中的“投标总价”相一致。</w:t>
      </w:r>
    </w:p>
    <w:p>
      <w:pPr>
        <w:pStyle w:val="29"/>
        <w:ind w:left="0" w:leftChars="0"/>
        <w:rPr>
          <w:rFonts w:eastAsia="仿宋"/>
        </w:rPr>
      </w:pPr>
      <w:r>
        <w:rPr>
          <w:rFonts w:hint="eastAsia" w:ascii="仿宋" w:hAnsi="仿宋" w:eastAsia="仿宋" w:cs="Arial"/>
          <w:color w:val="000000"/>
          <w:szCs w:val="21"/>
        </w:rPr>
        <w:t>5、可根据项目特点自行制定表格，但不可缺合计金额大小写。</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法定代表人或授权代表（签字或盖章）：</w:t>
      </w:r>
      <w:r>
        <w:rPr>
          <w:rFonts w:ascii="仿宋" w:hAnsi="仿宋" w:eastAsia="仿宋" w:cs="Arial"/>
          <w:color w:val="000000"/>
          <w:szCs w:val="21"/>
        </w:rPr>
        <w:t xml:space="preserve">                    </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投标人名称（盖章）：</w:t>
      </w:r>
      <w:r>
        <w:rPr>
          <w:rFonts w:ascii="仿宋" w:hAnsi="仿宋" w:eastAsia="仿宋" w:cs="Arial"/>
          <w:color w:val="000000"/>
          <w:szCs w:val="21"/>
        </w:rPr>
        <w:t xml:space="preserve">                         </w:t>
      </w:r>
      <w:r>
        <w:rPr>
          <w:rFonts w:hint="eastAsia" w:ascii="仿宋" w:hAnsi="仿宋" w:eastAsia="仿宋" w:cs="Arial"/>
          <w:color w:val="000000"/>
          <w:szCs w:val="21"/>
        </w:rPr>
        <w:t xml:space="preserve">              </w:t>
      </w:r>
      <w:r>
        <w:rPr>
          <w:rFonts w:ascii="仿宋" w:hAnsi="仿宋" w:eastAsia="仿宋" w:cs="Arial"/>
          <w:color w:val="000000"/>
          <w:szCs w:val="21"/>
        </w:rPr>
        <w:t xml:space="preserve">        </w:t>
      </w:r>
      <w:r>
        <w:rPr>
          <w:rFonts w:hint="eastAsia" w:ascii="仿宋" w:hAnsi="仿宋" w:eastAsia="仿宋" w:cs="Arial"/>
          <w:color w:val="000000"/>
          <w:szCs w:val="21"/>
        </w:rPr>
        <w:t>日期：</w:t>
      </w:r>
      <w:r>
        <w:rPr>
          <w:rFonts w:ascii="仿宋" w:hAnsi="仿宋" w:eastAsia="仿宋" w:cs="Arial"/>
          <w:color w:val="000000"/>
          <w:szCs w:val="21"/>
        </w:rPr>
        <w:t xml:space="preserve">    </w:t>
      </w:r>
      <w:r>
        <w:rPr>
          <w:rFonts w:hint="eastAsia" w:ascii="仿宋" w:hAnsi="仿宋" w:eastAsia="仿宋" w:cs="Arial"/>
          <w:color w:val="000000"/>
          <w:szCs w:val="21"/>
        </w:rPr>
        <w:t>年</w:t>
      </w:r>
      <w:r>
        <w:rPr>
          <w:rFonts w:ascii="仿宋" w:hAnsi="仿宋" w:eastAsia="仿宋" w:cs="Arial"/>
          <w:color w:val="000000"/>
          <w:szCs w:val="21"/>
        </w:rPr>
        <w:t xml:space="preserve">   </w:t>
      </w:r>
      <w:r>
        <w:rPr>
          <w:rFonts w:hint="eastAsia" w:ascii="仿宋" w:hAnsi="仿宋" w:eastAsia="仿宋" w:cs="Arial"/>
          <w:color w:val="000000"/>
          <w:szCs w:val="21"/>
        </w:rPr>
        <w:t>月</w:t>
      </w:r>
      <w:r>
        <w:rPr>
          <w:rFonts w:ascii="仿宋" w:hAnsi="仿宋" w:eastAsia="仿宋" w:cs="Arial"/>
          <w:color w:val="000000"/>
          <w:szCs w:val="21"/>
        </w:rPr>
        <w:t xml:space="preserve">   </w:t>
      </w:r>
      <w:r>
        <w:rPr>
          <w:rFonts w:hint="eastAsia" w:ascii="仿宋" w:hAnsi="仿宋" w:eastAsia="仿宋" w:cs="Arial"/>
          <w:color w:val="000000"/>
          <w:szCs w:val="21"/>
        </w:rPr>
        <w:t>日</w:t>
      </w:r>
    </w:p>
    <w:p>
      <w:pPr>
        <w:snapToGrid w:val="0"/>
        <w:spacing w:line="360" w:lineRule="auto"/>
        <w:ind w:firstLine="420" w:firstLineChars="200"/>
        <w:rPr>
          <w:rFonts w:ascii="仿宋" w:hAnsi="仿宋" w:eastAsia="仿宋" w:cs="Arial"/>
          <w:color w:val="000000"/>
          <w:szCs w:val="21"/>
        </w:rPr>
        <w:sectPr>
          <w:pgSz w:w="16838" w:h="11906" w:orient="landscape"/>
          <w:pgMar w:top="1797" w:right="1474" w:bottom="1797" w:left="1247" w:header="851" w:footer="851" w:gutter="0"/>
          <w:cols w:space="720" w:num="1"/>
          <w:titlePg/>
          <w:docGrid w:linePitch="312" w:charSpace="0"/>
        </w:sectPr>
      </w:pPr>
    </w:p>
    <w:p>
      <w:pPr>
        <w:snapToGrid w:val="0"/>
        <w:spacing w:line="360" w:lineRule="auto"/>
        <w:ind w:firstLine="602" w:firstLineChars="200"/>
        <w:jc w:val="center"/>
        <w:rPr>
          <w:rFonts w:ascii="仿宋" w:hAnsi="仿宋" w:eastAsia="仿宋" w:cs="Arial"/>
          <w:b/>
          <w:color w:val="000000"/>
          <w:sz w:val="30"/>
          <w:szCs w:val="30"/>
        </w:rPr>
      </w:pPr>
      <w:r>
        <w:rPr>
          <w:rFonts w:hint="eastAsia" w:ascii="仿宋" w:hAnsi="仿宋" w:eastAsia="仿宋" w:cs="Arial"/>
          <w:b/>
          <w:color w:val="000000"/>
          <w:sz w:val="30"/>
          <w:szCs w:val="30"/>
        </w:rPr>
        <w:t>开标一览表（服务类）</w:t>
      </w:r>
    </w:p>
    <w:p>
      <w:pPr>
        <w:snapToGrid w:val="0"/>
        <w:spacing w:line="360" w:lineRule="auto"/>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招标编号：</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标</w:t>
      </w:r>
      <w:r>
        <w:rPr>
          <w:rFonts w:ascii="仿宋" w:hAnsi="仿宋" w:eastAsia="仿宋" w:cs="Arial"/>
          <w:color w:val="000000"/>
          <w:sz w:val="24"/>
          <w:szCs w:val="24"/>
        </w:rPr>
        <w:t xml:space="preserve"> </w:t>
      </w:r>
      <w:r>
        <w:rPr>
          <w:rFonts w:hint="eastAsia" w:ascii="仿宋" w:hAnsi="仿宋" w:eastAsia="仿宋" w:cs="Arial"/>
          <w:color w:val="000000"/>
          <w:sz w:val="24"/>
          <w:szCs w:val="24"/>
        </w:rPr>
        <w:t>项：</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投标人名称：</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单位：元</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1"/>
        <w:gridCol w:w="2130"/>
        <w:gridCol w:w="1071"/>
        <w:gridCol w:w="901"/>
        <w:gridCol w:w="2519"/>
        <w:gridCol w:w="2048"/>
        <w:gridCol w:w="1013"/>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项目</w:t>
            </w: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货物名称</w:t>
            </w: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数量</w:t>
            </w: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产地</w:t>
            </w: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品牌及厂家</w:t>
            </w: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单价</w:t>
            </w: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设备费</w:t>
            </w: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材料费</w:t>
            </w: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项目费用及利润</w:t>
            </w: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工程费</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工时费</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投标费用及利润</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2722" w:type="dxa"/>
            <w:gridSpan w:val="8"/>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合计金额大写：</w:t>
            </w:r>
            <w:r>
              <w:rPr>
                <w:sz w:val="24"/>
                <w:szCs w:val="24"/>
              </w:rPr>
              <w:t xml:space="preserve">                                        </w:t>
            </w:r>
            <w:r>
              <w:rPr>
                <w:rFonts w:hint="eastAsia"/>
                <w:sz w:val="24"/>
                <w:szCs w:val="24"/>
              </w:rPr>
              <w:t>￥</w:t>
            </w:r>
            <w:r>
              <w:rPr>
                <w:sz w:val="24"/>
                <w:szCs w:val="24"/>
              </w:rPr>
              <w:t xml:space="preserve">            </w:t>
            </w:r>
          </w:p>
        </w:tc>
      </w:tr>
    </w:tbl>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注</w:t>
      </w:r>
      <w:r>
        <w:rPr>
          <w:rFonts w:ascii="仿宋" w:hAnsi="仿宋" w:eastAsia="仿宋" w:cs="Arial"/>
          <w:color w:val="000000"/>
          <w:szCs w:val="21"/>
        </w:rPr>
        <w:t>: 1</w:t>
      </w:r>
      <w:r>
        <w:rPr>
          <w:rFonts w:hint="eastAsia" w:ascii="仿宋" w:hAnsi="仿宋" w:eastAsia="仿宋" w:cs="Arial"/>
          <w:color w:val="000000"/>
          <w:szCs w:val="21"/>
        </w:rPr>
        <w:t>、不提供此表格的将视为没有实质性响应招标文件。</w:t>
      </w:r>
    </w:p>
    <w:p>
      <w:pPr>
        <w:snapToGrid w:val="0"/>
        <w:spacing w:line="360" w:lineRule="auto"/>
        <w:ind w:firstLine="840" w:firstLineChars="4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、以上报价应与“投标费用明细表”中的“合计”数相一致。</w:t>
      </w:r>
    </w:p>
    <w:p>
      <w:pPr>
        <w:snapToGrid w:val="0"/>
        <w:spacing w:line="360" w:lineRule="auto"/>
        <w:ind w:firstLine="840" w:firstLineChars="4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840" w:firstLineChars="400"/>
        <w:rPr>
          <w:rFonts w:eastAsia="仿宋"/>
        </w:rPr>
      </w:pPr>
      <w:r>
        <w:rPr>
          <w:rFonts w:hint="eastAsia" w:ascii="仿宋" w:hAnsi="仿宋" w:eastAsia="仿宋" w:cs="Arial"/>
          <w:color w:val="000000"/>
          <w:szCs w:val="21"/>
        </w:rPr>
        <w:t>4、可根据项目特点自行制定表格，但不可缺合计金额大小写。</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法定代表人或授权代表（签字或盖章）：</w:t>
      </w:r>
      <w:r>
        <w:rPr>
          <w:rFonts w:ascii="仿宋" w:hAnsi="仿宋" w:eastAsia="仿宋" w:cs="Arial"/>
          <w:color w:val="000000"/>
          <w:szCs w:val="21"/>
        </w:rPr>
        <w:t xml:space="preserve"> </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投标人名称（盖章）：</w:t>
      </w:r>
      <w:r>
        <w:rPr>
          <w:rFonts w:ascii="仿宋" w:hAnsi="仿宋" w:eastAsia="仿宋" w:cs="Arial"/>
          <w:color w:val="000000"/>
          <w:szCs w:val="21"/>
        </w:rPr>
        <w:t xml:space="preserve">                                          </w:t>
      </w:r>
      <w:r>
        <w:rPr>
          <w:rFonts w:hint="eastAsia" w:ascii="仿宋" w:hAnsi="仿宋" w:eastAsia="仿宋" w:cs="Arial"/>
          <w:color w:val="000000"/>
          <w:szCs w:val="21"/>
        </w:rPr>
        <w:t>日期：</w:t>
      </w:r>
      <w:r>
        <w:rPr>
          <w:rFonts w:ascii="仿宋" w:hAnsi="仿宋" w:eastAsia="仿宋" w:cs="Arial"/>
          <w:color w:val="000000"/>
          <w:szCs w:val="21"/>
        </w:rPr>
        <w:t xml:space="preserve">    </w:t>
      </w:r>
      <w:r>
        <w:rPr>
          <w:rFonts w:hint="eastAsia" w:ascii="仿宋" w:hAnsi="仿宋" w:eastAsia="仿宋" w:cs="Arial"/>
          <w:color w:val="000000"/>
          <w:szCs w:val="21"/>
        </w:rPr>
        <w:t>年</w:t>
      </w:r>
      <w:r>
        <w:rPr>
          <w:rFonts w:ascii="仿宋" w:hAnsi="仿宋" w:eastAsia="仿宋" w:cs="Arial"/>
          <w:color w:val="000000"/>
          <w:szCs w:val="21"/>
        </w:rPr>
        <w:t xml:space="preserve">   </w:t>
      </w:r>
      <w:r>
        <w:rPr>
          <w:rFonts w:hint="eastAsia" w:ascii="仿宋" w:hAnsi="仿宋" w:eastAsia="仿宋" w:cs="Arial"/>
          <w:color w:val="000000"/>
          <w:szCs w:val="21"/>
        </w:rPr>
        <w:t>月</w:t>
      </w:r>
      <w:r>
        <w:rPr>
          <w:rFonts w:ascii="仿宋" w:hAnsi="仿宋" w:eastAsia="仿宋" w:cs="Arial"/>
          <w:color w:val="000000"/>
          <w:szCs w:val="21"/>
        </w:rPr>
        <w:t xml:space="preserve">   </w:t>
      </w:r>
      <w:r>
        <w:rPr>
          <w:rFonts w:hint="eastAsia" w:ascii="仿宋" w:hAnsi="仿宋" w:eastAsia="仿宋" w:cs="Arial"/>
          <w:color w:val="000000"/>
          <w:szCs w:val="21"/>
        </w:rPr>
        <w:t>日</w:t>
      </w:r>
    </w:p>
    <w:p>
      <w:pPr>
        <w:snapToGrid w:val="0"/>
        <w:spacing w:line="360" w:lineRule="auto"/>
        <w:ind w:firstLine="420" w:firstLineChars="200"/>
        <w:rPr>
          <w:rFonts w:ascii="仿宋" w:hAnsi="仿宋" w:eastAsia="仿宋" w:cs="Arial"/>
          <w:color w:val="000000"/>
          <w:szCs w:val="21"/>
        </w:rPr>
        <w:sectPr>
          <w:pgSz w:w="16838" w:h="11906" w:orient="landscape"/>
          <w:pgMar w:top="1797" w:right="1474" w:bottom="1797" w:left="1247" w:header="851" w:footer="851" w:gutter="0"/>
          <w:cols w:space="720" w:num="1"/>
          <w:titlePg/>
          <w:docGrid w:linePitch="312" w:charSpace="0"/>
        </w:sectPr>
      </w:pPr>
    </w:p>
    <w:bookmarkEnd w:id="241"/>
    <w:p>
      <w:pPr>
        <w:autoSpaceDE w:val="0"/>
        <w:autoSpaceDN w:val="0"/>
        <w:adjustRightInd w:val="0"/>
        <w:spacing w:line="460" w:lineRule="atLeast"/>
        <w:jc w:val="left"/>
        <w:rPr>
          <w:rFonts w:ascii="宋体" w:hAnsi="Courier New" w:cs="Arial"/>
          <w:sz w:val="22"/>
        </w:rPr>
      </w:pPr>
      <w:bookmarkStart w:id="242" w:name="_Toc157410896"/>
      <w:r>
        <w:rPr>
          <w:rFonts w:hint="eastAsia" w:ascii="宋体" w:hAnsi="Courier New" w:cs="Arial"/>
          <w:sz w:val="22"/>
        </w:rPr>
        <w:t>附件三</w:t>
      </w:r>
    </w:p>
    <w:bookmarkEnd w:id="242"/>
    <w:p>
      <w:pPr>
        <w:snapToGrid w:val="0"/>
        <w:spacing w:line="360" w:lineRule="auto"/>
        <w:ind w:firstLine="720" w:firstLineChars="200"/>
        <w:jc w:val="center"/>
        <w:rPr>
          <w:rFonts w:ascii="宋体"/>
          <w:sz w:val="36"/>
          <w:szCs w:val="36"/>
          <w:lang w:val="zh-CN"/>
        </w:rPr>
      </w:pPr>
      <w:r>
        <w:rPr>
          <w:rFonts w:hint="eastAsia" w:ascii="宋体"/>
          <w:sz w:val="36"/>
          <w:szCs w:val="36"/>
          <w:lang w:val="zh-CN"/>
        </w:rPr>
        <w:t>投标费用明细表</w:t>
      </w:r>
    </w:p>
    <w:p>
      <w:pPr>
        <w:snapToGrid w:val="0"/>
        <w:spacing w:line="360" w:lineRule="auto"/>
        <w:ind w:firstLine="560" w:firstLineChars="200"/>
        <w:rPr>
          <w:rFonts w:ascii="仿宋" w:hAnsi="仿宋" w:eastAsia="仿宋" w:cs="Arial"/>
          <w:color w:val="000000"/>
          <w:sz w:val="28"/>
          <w:szCs w:val="28"/>
        </w:rPr>
      </w:pPr>
      <w:r>
        <w:rPr>
          <w:rFonts w:ascii="仿宋" w:hAnsi="仿宋" w:eastAsia="仿宋" w:cs="Arial"/>
          <w:color w:val="000000"/>
          <w:sz w:val="28"/>
          <w:szCs w:val="28"/>
        </w:rPr>
        <w:t>标项：                       金额单位：人民币（元）</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74"/>
        <w:gridCol w:w="1080"/>
        <w:gridCol w:w="1440"/>
        <w:gridCol w:w="8"/>
        <w:gridCol w:w="161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序号</w:t>
            </w: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专用耗材</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投标费用及利润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投 标 总</w:t>
            </w:r>
            <w:r>
              <w:rPr>
                <w:sz w:val="24"/>
                <w:szCs w:val="24"/>
              </w:rPr>
              <w:t xml:space="preserve">  </w:t>
            </w:r>
            <w:r>
              <w:rPr>
                <w:rFonts w:hint="eastAsia"/>
                <w:sz w:val="24"/>
                <w:szCs w:val="24"/>
              </w:rPr>
              <w:t>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bl>
    <w:p>
      <w:pPr>
        <w:snapToGrid w:val="0"/>
        <w:spacing w:line="360" w:lineRule="auto"/>
        <w:ind w:firstLine="280" w:firstLineChars="100"/>
        <w:rPr>
          <w:rFonts w:ascii="仿宋" w:hAnsi="仿宋" w:eastAsia="仿宋" w:cs="Arial"/>
          <w:color w:val="000000"/>
          <w:sz w:val="28"/>
          <w:szCs w:val="28"/>
        </w:rPr>
      </w:pPr>
      <w:r>
        <w:rPr>
          <w:rFonts w:hint="eastAsia" w:ascii="仿宋" w:hAnsi="仿宋" w:eastAsia="仿宋" w:cs="Arial"/>
          <w:color w:val="000000"/>
          <w:sz w:val="28"/>
          <w:szCs w:val="28"/>
        </w:rPr>
        <w:t>法定代表人或授权代表（签字或盖章）：</w:t>
      </w:r>
      <w:r>
        <w:rPr>
          <w:rFonts w:ascii="仿宋" w:hAnsi="仿宋" w:eastAsia="仿宋" w:cs="Arial"/>
          <w:color w:val="000000"/>
          <w:sz w:val="28"/>
          <w:szCs w:val="28"/>
        </w:rPr>
        <w:t xml:space="preserve">          </w:t>
      </w:r>
    </w:p>
    <w:p>
      <w:pPr>
        <w:snapToGrid w:val="0"/>
        <w:spacing w:line="500" w:lineRule="atLeast"/>
        <w:ind w:firstLine="280" w:firstLineChars="100"/>
        <w:rPr>
          <w:rFonts w:ascii="宋体"/>
          <w:sz w:val="22"/>
        </w:rPr>
      </w:pPr>
      <w:r>
        <w:rPr>
          <w:rFonts w:hint="eastAsia" w:ascii="仿宋" w:hAnsi="仿宋" w:eastAsia="仿宋" w:cs="Arial"/>
          <w:color w:val="000000"/>
          <w:sz w:val="28"/>
          <w:szCs w:val="28"/>
        </w:rPr>
        <w:t>投标人盖章：</w:t>
      </w:r>
      <w:r>
        <w:rPr>
          <w:rFonts w:ascii="仿宋" w:hAnsi="仿宋" w:eastAsia="仿宋" w:cs="Arial"/>
          <w:color w:val="000000"/>
          <w:sz w:val="28"/>
          <w:szCs w:val="28"/>
        </w:rPr>
        <w:t xml:space="preserve">                          </w:t>
      </w:r>
      <w:r>
        <w:rPr>
          <w:rFonts w:hint="eastAsia" w:ascii="仿宋" w:hAnsi="仿宋" w:eastAsia="仿宋" w:cs="Arial"/>
          <w:color w:val="000000"/>
          <w:sz w:val="28"/>
          <w:szCs w:val="28"/>
        </w:rPr>
        <w:t>日</w:t>
      </w:r>
      <w:r>
        <w:rPr>
          <w:rFonts w:ascii="仿宋" w:hAnsi="仿宋" w:eastAsia="仿宋" w:cs="Arial"/>
          <w:color w:val="000000"/>
          <w:sz w:val="28"/>
          <w:szCs w:val="28"/>
        </w:rPr>
        <w:t xml:space="preserve">  </w:t>
      </w:r>
      <w:r>
        <w:rPr>
          <w:rFonts w:hint="eastAsia" w:ascii="仿宋" w:hAnsi="仿宋" w:eastAsia="仿宋" w:cs="Arial"/>
          <w:color w:val="000000"/>
          <w:sz w:val="28"/>
          <w:szCs w:val="28"/>
        </w:rPr>
        <w:t>期：</w:t>
      </w:r>
    </w:p>
    <w:p>
      <w:pPr>
        <w:snapToGrid w:val="0"/>
        <w:spacing w:line="500" w:lineRule="atLeast"/>
        <w:ind w:firstLine="220" w:firstLineChars="100"/>
        <w:rPr>
          <w:rFonts w:ascii="宋体"/>
          <w:sz w:val="22"/>
        </w:rPr>
      </w:pPr>
      <w:r>
        <w:rPr>
          <w:rFonts w:hint="eastAsia" w:ascii="宋体"/>
          <w:sz w:val="22"/>
        </w:rPr>
        <w:t>注：</w:t>
      </w:r>
      <w:r>
        <w:rPr>
          <w:rFonts w:ascii="宋体"/>
          <w:sz w:val="22"/>
        </w:rPr>
        <w:t>1、</w:t>
      </w:r>
      <w:r>
        <w:rPr>
          <w:rFonts w:hint="eastAsia" w:ascii="宋体"/>
          <w:sz w:val="22"/>
        </w:rPr>
        <w:t>上表中的总计</w:t>
      </w:r>
      <w:r>
        <w:rPr>
          <w:rFonts w:ascii="宋体"/>
          <w:sz w:val="22"/>
        </w:rPr>
        <w:t>报价应与开标一览表中投标</w:t>
      </w:r>
      <w:r>
        <w:rPr>
          <w:rFonts w:hint="eastAsia" w:ascii="宋体"/>
          <w:sz w:val="22"/>
        </w:rPr>
        <w:t>报</w:t>
      </w:r>
      <w:r>
        <w:rPr>
          <w:rFonts w:ascii="宋体"/>
          <w:sz w:val="22"/>
        </w:rPr>
        <w:t>价相一致。</w:t>
      </w:r>
    </w:p>
    <w:p>
      <w:pPr>
        <w:snapToGrid w:val="0"/>
        <w:spacing w:line="500" w:lineRule="atLeast"/>
        <w:ind w:firstLine="660" w:firstLineChars="300"/>
        <w:rPr>
          <w:rFonts w:ascii="宋体"/>
          <w:sz w:val="22"/>
        </w:rPr>
      </w:pPr>
      <w:r>
        <w:rPr>
          <w:rFonts w:hint="eastAsia" w:ascii="宋体"/>
          <w:sz w:val="22"/>
        </w:rPr>
        <w:t>2</w:t>
      </w:r>
      <w:r>
        <w:rPr>
          <w:rFonts w:ascii="宋体"/>
          <w:sz w:val="22"/>
        </w:rPr>
        <w:t>、本表所列费用为本项目的全部费用，未列费用均为综合考虑。</w:t>
      </w:r>
    </w:p>
    <w:p>
      <w:pPr>
        <w:snapToGrid w:val="0"/>
        <w:spacing w:line="500" w:lineRule="atLeast"/>
        <w:ind w:firstLine="660" w:firstLineChars="300"/>
        <w:rPr>
          <w:rFonts w:ascii="宋体"/>
          <w:sz w:val="22"/>
        </w:rPr>
      </w:pPr>
      <w:r>
        <w:rPr>
          <w:rFonts w:hint="eastAsia" w:ascii="宋体"/>
          <w:sz w:val="22"/>
        </w:rPr>
        <w:t>3、以上格式可改动，投标供应商可根据本表结合实际自行扩充。</w:t>
      </w:r>
    </w:p>
    <w:p>
      <w:pPr>
        <w:snapToGrid w:val="0"/>
        <w:spacing w:line="500" w:lineRule="atLeast"/>
        <w:ind w:firstLine="660" w:firstLineChars="300"/>
        <w:rPr>
          <w:rFonts w:ascii="宋体"/>
          <w:sz w:val="22"/>
        </w:rPr>
      </w:pPr>
      <w:r>
        <w:rPr>
          <w:rFonts w:hint="eastAsia" w:ascii="宋体"/>
          <w:sz w:val="22"/>
        </w:rPr>
        <w:t>4、根据《中华人民共和国政府采购法实施条例》第四十三条规定，在中标或者成交公告的内容中增加本表，请各供应商认真填写，确保相关数据的真实性、完整性和合理性。</w:t>
      </w:r>
    </w:p>
    <w:p>
      <w:pPr>
        <w:rPr>
          <w:rFonts w:ascii="宋体"/>
          <w:sz w:val="36"/>
          <w:szCs w:val="36"/>
          <w:lang w:val="zh-CN"/>
        </w:rPr>
      </w:pPr>
      <w:r>
        <w:rPr>
          <w:rFonts w:hint="eastAsia" w:ascii="宋体"/>
          <w:sz w:val="36"/>
          <w:szCs w:val="36"/>
          <w:lang w:val="zh-CN"/>
        </w:rPr>
        <w:br w:type="page"/>
      </w:r>
    </w:p>
    <w:p>
      <w:pPr>
        <w:snapToGrid w:val="0"/>
        <w:spacing w:line="500" w:lineRule="atLeast"/>
        <w:rPr>
          <w:rFonts w:ascii="宋体"/>
          <w:sz w:val="30"/>
          <w:szCs w:val="30"/>
        </w:rPr>
      </w:pPr>
      <w:r>
        <w:rPr>
          <w:rFonts w:hint="eastAsia" w:ascii="宋体" w:hAnsi="Courier New" w:cs="Arial"/>
          <w:sz w:val="22"/>
        </w:rPr>
        <w:t>附件四</w:t>
      </w:r>
    </w:p>
    <w:p>
      <w:pPr>
        <w:autoSpaceDE w:val="0"/>
        <w:autoSpaceDN w:val="0"/>
        <w:adjustRightInd w:val="0"/>
        <w:spacing w:line="460" w:lineRule="atLeast"/>
        <w:jc w:val="center"/>
        <w:rPr>
          <w:rFonts w:ascii="宋体"/>
          <w:sz w:val="36"/>
          <w:lang w:val="zh-CN"/>
        </w:rPr>
      </w:pPr>
      <w:r>
        <w:rPr>
          <w:rFonts w:hint="eastAsia" w:ascii="宋体"/>
          <w:sz w:val="36"/>
          <w:lang w:val="zh-CN"/>
        </w:rPr>
        <w:t>投</w:t>
      </w:r>
      <w:r>
        <w:rPr>
          <w:rFonts w:ascii="宋体"/>
          <w:sz w:val="36"/>
          <w:lang w:val="zh-CN"/>
        </w:rPr>
        <w:t xml:space="preserve">  </w:t>
      </w:r>
      <w:r>
        <w:rPr>
          <w:rFonts w:hint="eastAsia" w:ascii="宋体"/>
          <w:sz w:val="36"/>
          <w:lang w:val="zh-CN"/>
        </w:rPr>
        <w:t>标</w:t>
      </w:r>
      <w:r>
        <w:rPr>
          <w:rFonts w:ascii="宋体"/>
          <w:sz w:val="36"/>
          <w:lang w:val="zh-CN"/>
        </w:rPr>
        <w:t xml:space="preserve">  </w:t>
      </w:r>
      <w:r>
        <w:rPr>
          <w:rFonts w:hint="eastAsia" w:ascii="宋体"/>
          <w:sz w:val="36"/>
          <w:lang w:val="zh-CN"/>
        </w:rPr>
        <w:t>函</w:t>
      </w:r>
    </w:p>
    <w:p>
      <w:pPr>
        <w:pStyle w:val="29"/>
        <w:rPr>
          <w:lang w:val="zh-CN"/>
        </w:rPr>
      </w:pPr>
    </w:p>
    <w:p>
      <w:pPr>
        <w:snapToGrid w:val="0"/>
        <w:spacing w:line="360" w:lineRule="auto"/>
        <w:rPr>
          <w:rFonts w:ascii="宋体"/>
          <w:sz w:val="22"/>
        </w:rPr>
      </w:pPr>
      <w:r>
        <w:rPr>
          <w:rFonts w:hint="eastAsia" w:ascii="宋体"/>
          <w:sz w:val="22"/>
        </w:rPr>
        <w:t>致：</w:t>
      </w:r>
      <w:r>
        <w:rPr>
          <w:rFonts w:ascii="宋体"/>
          <w:sz w:val="22"/>
        </w:rPr>
        <w:t>____</w:t>
      </w:r>
      <w:r>
        <w:rPr>
          <w:rFonts w:ascii="宋体"/>
          <w:sz w:val="22"/>
          <w:u w:val="single"/>
        </w:rPr>
        <w:t>___     _</w:t>
      </w:r>
      <w:r>
        <w:rPr>
          <w:rFonts w:ascii="宋体"/>
          <w:sz w:val="22"/>
        </w:rPr>
        <w:t>_</w:t>
      </w:r>
      <w:r>
        <w:rPr>
          <w:rFonts w:hint="eastAsia" w:ascii="宋体"/>
          <w:sz w:val="22"/>
        </w:rPr>
        <w:t>（招标采购单位名称）：</w:t>
      </w:r>
    </w:p>
    <w:p>
      <w:pPr>
        <w:snapToGrid w:val="0"/>
        <w:spacing w:line="360" w:lineRule="auto"/>
        <w:ind w:firstLine="480"/>
        <w:rPr>
          <w:rFonts w:ascii="宋体"/>
          <w:sz w:val="22"/>
        </w:rPr>
      </w:pPr>
      <w:r>
        <w:rPr>
          <w:rFonts w:hint="eastAsia" w:ascii="宋体"/>
          <w:sz w:val="22"/>
        </w:rPr>
        <w:t>根据贵方为</w:t>
      </w:r>
      <w:r>
        <w:rPr>
          <w:rFonts w:ascii="宋体"/>
          <w:sz w:val="22"/>
        </w:rPr>
        <w:t xml:space="preserve">                             </w:t>
      </w:r>
      <w:r>
        <w:rPr>
          <w:rFonts w:hint="eastAsia" w:ascii="宋体"/>
          <w:sz w:val="22"/>
        </w:rPr>
        <w:t>项目的招标公告</w:t>
      </w:r>
      <w:r>
        <w:rPr>
          <w:rFonts w:ascii="宋体"/>
          <w:sz w:val="22"/>
        </w:rPr>
        <w:t>/</w:t>
      </w:r>
      <w:r>
        <w:rPr>
          <w:rFonts w:hint="eastAsia" w:ascii="宋体"/>
          <w:sz w:val="22"/>
        </w:rPr>
        <w:t>投标邀请书</w:t>
      </w:r>
    </w:p>
    <w:p>
      <w:pPr>
        <w:snapToGrid w:val="0"/>
        <w:spacing w:line="360" w:lineRule="auto"/>
        <w:rPr>
          <w:rFonts w:ascii="宋体"/>
          <w:sz w:val="22"/>
        </w:rPr>
      </w:pPr>
      <w:r>
        <w:rPr>
          <w:rFonts w:hint="eastAsia" w:ascii="宋体"/>
          <w:sz w:val="22"/>
        </w:rPr>
        <w:t>（项目编号：</w:t>
      </w:r>
      <w:r>
        <w:rPr>
          <w:rFonts w:ascii="宋体"/>
          <w:sz w:val="22"/>
        </w:rPr>
        <w:t>___</w:t>
      </w:r>
      <w:r>
        <w:rPr>
          <w:rFonts w:ascii="宋体"/>
          <w:sz w:val="22"/>
          <w:u w:val="single"/>
        </w:rPr>
        <w:t>__     _</w:t>
      </w:r>
      <w:r>
        <w:rPr>
          <w:rFonts w:ascii="宋体"/>
          <w:sz w:val="22"/>
        </w:rPr>
        <w:t>_</w:t>
      </w:r>
      <w:r>
        <w:rPr>
          <w:rFonts w:hint="eastAsia" w:ascii="宋体"/>
          <w:sz w:val="22"/>
        </w:rPr>
        <w:t>），签字代表</w:t>
      </w:r>
      <w:r>
        <w:rPr>
          <w:rFonts w:ascii="宋体"/>
          <w:sz w:val="22"/>
        </w:rPr>
        <w:t xml:space="preserve">_______     </w:t>
      </w:r>
      <w:r>
        <w:rPr>
          <w:rFonts w:hint="eastAsia" w:ascii="宋体"/>
          <w:sz w:val="22"/>
        </w:rPr>
        <w:t>（全名）经正式授权并代表投标人</w:t>
      </w:r>
      <w:r>
        <w:rPr>
          <w:rFonts w:ascii="宋体"/>
          <w:sz w:val="22"/>
        </w:rPr>
        <w:t>_______                    __</w:t>
      </w:r>
      <w:r>
        <w:rPr>
          <w:rFonts w:hint="eastAsia" w:ascii="宋体"/>
          <w:sz w:val="22"/>
        </w:rPr>
        <w:t>（投标人名称）提交资信</w:t>
      </w:r>
      <w:r>
        <w:rPr>
          <w:rFonts w:ascii="宋体"/>
          <w:sz w:val="22"/>
        </w:rPr>
        <w:t>/</w:t>
      </w:r>
      <w:r>
        <w:rPr>
          <w:rFonts w:hint="eastAsia" w:ascii="宋体"/>
          <w:sz w:val="22"/>
        </w:rPr>
        <w:t>商务文件、技术文件、报价文件电子投标文件。</w:t>
      </w:r>
    </w:p>
    <w:p>
      <w:pPr>
        <w:snapToGrid w:val="0"/>
        <w:spacing w:line="360" w:lineRule="auto"/>
        <w:ind w:firstLine="440" w:firstLineChars="200"/>
        <w:rPr>
          <w:rFonts w:ascii="宋体"/>
          <w:sz w:val="22"/>
        </w:rPr>
      </w:pPr>
      <w:r>
        <w:rPr>
          <w:rFonts w:hint="eastAsia" w:ascii="宋体"/>
          <w:sz w:val="22"/>
        </w:rPr>
        <w:t>据此函，签字代表宣布同意如下：</w:t>
      </w:r>
    </w:p>
    <w:p>
      <w:pPr>
        <w:snapToGrid w:val="0"/>
        <w:spacing w:line="360" w:lineRule="auto"/>
        <w:ind w:firstLine="440" w:firstLineChars="200"/>
        <w:rPr>
          <w:rFonts w:ascii="宋体"/>
          <w:sz w:val="22"/>
        </w:rPr>
      </w:pPr>
      <w:r>
        <w:rPr>
          <w:rFonts w:ascii="宋体"/>
          <w:sz w:val="22"/>
        </w:rPr>
        <w:t>1</w:t>
      </w:r>
      <w:r>
        <w:rPr>
          <w:rFonts w:hint="eastAsia" w:ascii="宋体"/>
          <w:sz w:val="22"/>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40" w:firstLineChars="200"/>
        <w:rPr>
          <w:rFonts w:ascii="宋体"/>
          <w:sz w:val="22"/>
        </w:rPr>
      </w:pPr>
      <w:r>
        <w:rPr>
          <w:rFonts w:ascii="宋体"/>
          <w:sz w:val="22"/>
        </w:rPr>
        <w:t>2</w:t>
      </w:r>
      <w:r>
        <w:rPr>
          <w:rFonts w:hint="eastAsia" w:ascii="宋体"/>
          <w:sz w:val="22"/>
        </w:rPr>
        <w:t>.投标人在投标之前已经与贵方进行了充分的沟通，完全理解并接受招标文件的各项规定和要求，对招标文件的合理性、合法性不再有异议。</w:t>
      </w:r>
    </w:p>
    <w:p>
      <w:pPr>
        <w:snapToGrid w:val="0"/>
        <w:spacing w:line="360" w:lineRule="auto"/>
        <w:ind w:firstLine="440" w:firstLineChars="200"/>
        <w:rPr>
          <w:rFonts w:ascii="宋体"/>
          <w:sz w:val="22"/>
        </w:rPr>
      </w:pPr>
      <w:r>
        <w:rPr>
          <w:rFonts w:ascii="宋体"/>
          <w:sz w:val="22"/>
        </w:rPr>
        <w:t>3</w:t>
      </w:r>
      <w:r>
        <w:rPr>
          <w:rFonts w:hint="eastAsia" w:ascii="宋体"/>
          <w:sz w:val="22"/>
        </w:rPr>
        <w:t>.本投标有效期自开标日起</w:t>
      </w:r>
      <w:r>
        <w:rPr>
          <w:rFonts w:ascii="宋体"/>
          <w:sz w:val="22"/>
        </w:rPr>
        <w:t xml:space="preserve"> __</w:t>
      </w:r>
      <w:r>
        <w:rPr>
          <w:rFonts w:hint="eastAsia" w:ascii="宋体"/>
          <w:sz w:val="22"/>
        </w:rPr>
        <w:t>90</w:t>
      </w:r>
      <w:r>
        <w:rPr>
          <w:rFonts w:ascii="宋体"/>
          <w:sz w:val="22"/>
        </w:rPr>
        <w:t>___</w:t>
      </w:r>
      <w:r>
        <w:rPr>
          <w:rFonts w:hint="eastAsia" w:ascii="宋体"/>
          <w:sz w:val="22"/>
        </w:rPr>
        <w:t>天。</w:t>
      </w:r>
    </w:p>
    <w:p>
      <w:pPr>
        <w:snapToGrid w:val="0"/>
        <w:spacing w:line="360" w:lineRule="auto"/>
        <w:ind w:firstLine="440" w:firstLineChars="200"/>
        <w:rPr>
          <w:rFonts w:ascii="宋体"/>
          <w:sz w:val="22"/>
        </w:rPr>
      </w:pPr>
      <w:r>
        <w:rPr>
          <w:rFonts w:ascii="宋体"/>
          <w:sz w:val="22"/>
        </w:rPr>
        <w:t>4</w:t>
      </w:r>
      <w:r>
        <w:rPr>
          <w:rFonts w:hint="eastAsia" w:ascii="宋体"/>
          <w:sz w:val="22"/>
        </w:rPr>
        <w:t>.如中标，本投标文件至本项目合同履行完毕止均保持有效，本投标人将按“招标文件”及政府采购法律、法规的规定履行合同责任和义务。</w:t>
      </w:r>
    </w:p>
    <w:p>
      <w:pPr>
        <w:snapToGrid w:val="0"/>
        <w:spacing w:line="360" w:lineRule="auto"/>
        <w:ind w:firstLine="440" w:firstLineChars="200"/>
        <w:rPr>
          <w:rFonts w:ascii="宋体"/>
          <w:sz w:val="22"/>
        </w:rPr>
      </w:pPr>
      <w:r>
        <w:rPr>
          <w:rFonts w:ascii="宋体"/>
          <w:sz w:val="22"/>
        </w:rPr>
        <w:t>5</w:t>
      </w:r>
      <w:r>
        <w:rPr>
          <w:rFonts w:hint="eastAsia" w:ascii="宋体"/>
          <w:sz w:val="22"/>
        </w:rPr>
        <w:t>.投标人同意按照贵方要求提供与投标有关的一切数据或资料。</w:t>
      </w:r>
    </w:p>
    <w:p>
      <w:pPr>
        <w:snapToGrid w:val="0"/>
        <w:spacing w:line="360" w:lineRule="auto"/>
        <w:ind w:firstLine="440" w:firstLineChars="200"/>
        <w:rPr>
          <w:rFonts w:ascii="宋体"/>
          <w:sz w:val="22"/>
        </w:rPr>
      </w:pPr>
      <w:r>
        <w:rPr>
          <w:rFonts w:ascii="宋体"/>
          <w:sz w:val="22"/>
        </w:rPr>
        <w:t>6</w:t>
      </w:r>
      <w:r>
        <w:rPr>
          <w:rFonts w:hint="eastAsia" w:ascii="宋体"/>
          <w:sz w:val="22"/>
        </w:rPr>
        <w:t>.与本投标有关的一切正式往来信函请寄：</w:t>
      </w:r>
    </w:p>
    <w:p>
      <w:pPr>
        <w:snapToGrid w:val="0"/>
        <w:spacing w:line="360" w:lineRule="auto"/>
        <w:rPr>
          <w:rFonts w:ascii="宋体"/>
          <w:sz w:val="22"/>
        </w:rPr>
      </w:pPr>
      <w:r>
        <w:rPr>
          <w:rFonts w:hint="eastAsia" w:ascii="宋体"/>
          <w:sz w:val="22"/>
        </w:rPr>
        <w:t>地址：</w:t>
      </w:r>
      <w:r>
        <w:rPr>
          <w:rFonts w:ascii="宋体"/>
          <w:sz w:val="22"/>
        </w:rPr>
        <w:t>__________        _____</w:t>
      </w:r>
      <w:r>
        <w:rPr>
          <w:rFonts w:hint="eastAsia" w:ascii="宋体"/>
          <w:sz w:val="22"/>
        </w:rPr>
        <w:t>邮编：</w:t>
      </w:r>
      <w:r>
        <w:rPr>
          <w:rFonts w:ascii="宋体"/>
          <w:sz w:val="22"/>
        </w:rPr>
        <w:t xml:space="preserve">__________   </w:t>
      </w:r>
      <w:r>
        <w:rPr>
          <w:rFonts w:hint="eastAsia" w:ascii="宋体"/>
          <w:sz w:val="22"/>
        </w:rPr>
        <w:t>电话：</w:t>
      </w:r>
      <w:r>
        <w:rPr>
          <w:rFonts w:ascii="宋体"/>
          <w:sz w:val="22"/>
        </w:rPr>
        <w:t>______________</w:t>
      </w:r>
    </w:p>
    <w:p>
      <w:pPr>
        <w:snapToGrid w:val="0"/>
        <w:spacing w:line="360" w:lineRule="auto"/>
        <w:rPr>
          <w:rFonts w:ascii="宋体"/>
          <w:sz w:val="22"/>
        </w:rPr>
      </w:pPr>
      <w:r>
        <w:rPr>
          <w:rFonts w:hint="eastAsia" w:ascii="宋体"/>
          <w:sz w:val="22"/>
        </w:rPr>
        <w:t>传真：</w:t>
      </w:r>
      <w:r>
        <w:rPr>
          <w:rFonts w:ascii="宋体"/>
          <w:sz w:val="22"/>
        </w:rPr>
        <w:t>______________</w:t>
      </w:r>
      <w:r>
        <w:rPr>
          <w:rFonts w:hint="eastAsia" w:ascii="宋体"/>
          <w:sz w:val="22"/>
        </w:rPr>
        <w:t>投标人代表姓名</w:t>
      </w:r>
      <w:r>
        <w:rPr>
          <w:rFonts w:ascii="宋体"/>
          <w:sz w:val="22"/>
        </w:rPr>
        <w:t xml:space="preserve"> ___________  </w:t>
      </w:r>
      <w:r>
        <w:rPr>
          <w:rFonts w:hint="eastAsia" w:ascii="宋体"/>
          <w:sz w:val="22"/>
        </w:rPr>
        <w:t>职务：</w:t>
      </w:r>
      <w:r>
        <w:rPr>
          <w:rFonts w:ascii="宋体"/>
          <w:sz w:val="22"/>
        </w:rPr>
        <w:t>______ _______</w:t>
      </w:r>
    </w:p>
    <w:p>
      <w:pPr>
        <w:snapToGrid w:val="0"/>
        <w:spacing w:line="360" w:lineRule="auto"/>
        <w:rPr>
          <w:rFonts w:ascii="宋体"/>
          <w:sz w:val="22"/>
        </w:rPr>
      </w:pPr>
      <w:r>
        <w:rPr>
          <w:rFonts w:hint="eastAsia" w:ascii="宋体"/>
          <w:sz w:val="22"/>
        </w:rPr>
        <w:t>投标人名称</w:t>
      </w:r>
      <w:r>
        <w:rPr>
          <w:rFonts w:ascii="宋体"/>
          <w:sz w:val="22"/>
        </w:rPr>
        <w:t>(</w:t>
      </w:r>
      <w:r>
        <w:rPr>
          <w:rFonts w:hint="eastAsia" w:ascii="宋体"/>
          <w:sz w:val="22"/>
        </w:rPr>
        <w:t>公章</w:t>
      </w:r>
      <w:r>
        <w:rPr>
          <w:rFonts w:ascii="宋体"/>
          <w:sz w:val="22"/>
        </w:rPr>
        <w:t>):___________________</w:t>
      </w:r>
    </w:p>
    <w:p>
      <w:pPr>
        <w:snapToGrid w:val="0"/>
        <w:spacing w:line="360" w:lineRule="auto"/>
        <w:rPr>
          <w:rFonts w:ascii="宋体"/>
          <w:sz w:val="22"/>
        </w:rPr>
      </w:pPr>
      <w:r>
        <w:rPr>
          <w:rFonts w:hint="eastAsia" w:ascii="宋体"/>
          <w:sz w:val="22"/>
        </w:rPr>
        <w:t>开户银行：</w:t>
      </w:r>
      <w:r>
        <w:rPr>
          <w:rFonts w:ascii="宋体"/>
          <w:sz w:val="22"/>
        </w:rPr>
        <w:t xml:space="preserve">                         </w:t>
      </w:r>
      <w:r>
        <w:rPr>
          <w:rFonts w:hint="eastAsia" w:ascii="宋体"/>
          <w:sz w:val="22"/>
        </w:rPr>
        <w:t>银行帐号：</w:t>
      </w:r>
      <w:r>
        <w:rPr>
          <w:rFonts w:ascii="宋体"/>
          <w:sz w:val="22"/>
        </w:rPr>
        <w:t xml:space="preserve">                     </w:t>
      </w:r>
    </w:p>
    <w:p>
      <w:pPr>
        <w:snapToGrid w:val="0"/>
        <w:spacing w:line="360" w:lineRule="auto"/>
        <w:jc w:val="center"/>
        <w:rPr>
          <w:rFonts w:ascii="宋体"/>
          <w:sz w:val="22"/>
        </w:rPr>
      </w:pPr>
      <w:r>
        <w:rPr>
          <w:rFonts w:hint="eastAsia" w:ascii="宋体"/>
          <w:sz w:val="22"/>
        </w:rPr>
        <w:t>授权代表签字</w:t>
      </w:r>
      <w:r>
        <w:rPr>
          <w:rFonts w:ascii="宋体"/>
          <w:sz w:val="22"/>
        </w:rPr>
        <w:t xml:space="preserve">:___________                      </w:t>
      </w:r>
      <w:r>
        <w:rPr>
          <w:rFonts w:hint="eastAsia" w:ascii="宋体"/>
          <w:sz w:val="22"/>
        </w:rPr>
        <w:t>日期</w:t>
      </w:r>
      <w:r>
        <w:rPr>
          <w:rFonts w:ascii="宋体"/>
          <w:sz w:val="22"/>
        </w:rPr>
        <w:t>:_____</w:t>
      </w:r>
      <w:r>
        <w:rPr>
          <w:rFonts w:hint="eastAsia" w:ascii="宋体"/>
          <w:sz w:val="22"/>
        </w:rPr>
        <w:t>年</w:t>
      </w:r>
      <w:r>
        <w:rPr>
          <w:rFonts w:ascii="宋体"/>
          <w:sz w:val="22"/>
        </w:rPr>
        <w:t>___</w:t>
      </w:r>
      <w:r>
        <w:rPr>
          <w:rFonts w:hint="eastAsia" w:ascii="宋体"/>
          <w:sz w:val="22"/>
        </w:rPr>
        <w:t>月</w:t>
      </w:r>
      <w:r>
        <w:rPr>
          <w:rFonts w:ascii="宋体"/>
          <w:sz w:val="22"/>
        </w:rPr>
        <w:t>___</w:t>
      </w:r>
      <w:r>
        <w:rPr>
          <w:rFonts w:hint="eastAsia" w:ascii="宋体"/>
          <w:sz w:val="22"/>
        </w:rPr>
        <w:t>日</w:t>
      </w:r>
    </w:p>
    <w:p>
      <w:pPr>
        <w:autoSpaceDE w:val="0"/>
        <w:autoSpaceDN w:val="0"/>
        <w:adjustRightInd w:val="0"/>
        <w:spacing w:line="460" w:lineRule="exact"/>
        <w:rPr>
          <w:rFonts w:ascii="宋体"/>
          <w:sz w:val="22"/>
        </w:rPr>
      </w:pPr>
    </w:p>
    <w:p>
      <w:pPr>
        <w:snapToGrid w:val="0"/>
        <w:spacing w:line="500" w:lineRule="atLeast"/>
        <w:rPr>
          <w:rFonts w:ascii="宋体"/>
          <w:sz w:val="30"/>
          <w:szCs w:val="30"/>
        </w:rPr>
      </w:pPr>
    </w:p>
    <w:p>
      <w:pPr>
        <w:autoSpaceDE w:val="0"/>
        <w:autoSpaceDN w:val="0"/>
        <w:adjustRightInd w:val="0"/>
        <w:spacing w:line="460" w:lineRule="atLeast"/>
        <w:rPr>
          <w:rFonts w:ascii="宋体"/>
          <w:sz w:val="32"/>
          <w:lang w:val="zh-CN"/>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ascii="宋体"/>
          <w:sz w:val="32"/>
          <w:lang w:val="zh-CN"/>
        </w:rPr>
      </w:pPr>
      <w:r>
        <w:rPr>
          <w:rFonts w:hint="eastAsia" w:ascii="宋体" w:hAnsi="Courier New" w:cs="Arial"/>
          <w:sz w:val="22"/>
        </w:rPr>
        <w:t>附件五</w:t>
      </w:r>
    </w:p>
    <w:p>
      <w:pPr>
        <w:tabs>
          <w:tab w:val="left" w:pos="1080"/>
        </w:tabs>
        <w:autoSpaceDE w:val="0"/>
        <w:autoSpaceDN w:val="0"/>
        <w:adjustRightInd w:val="0"/>
        <w:spacing w:line="460" w:lineRule="atLeast"/>
        <w:jc w:val="center"/>
        <w:rPr>
          <w:rFonts w:ascii="宋体" w:cs="仿宋_GB2312"/>
          <w:sz w:val="36"/>
          <w:szCs w:val="36"/>
          <w:lang w:val="zh-CN"/>
        </w:rPr>
      </w:pPr>
      <w:r>
        <w:rPr>
          <w:rFonts w:hint="eastAsia" w:ascii="宋体" w:cs="仿宋_GB2312"/>
          <w:sz w:val="36"/>
          <w:szCs w:val="36"/>
          <w:lang w:val="zh-CN"/>
        </w:rPr>
        <w:t>法定代表人授权书</w:t>
      </w:r>
    </w:p>
    <w:p>
      <w:pPr>
        <w:spacing w:line="460" w:lineRule="exact"/>
        <w:rPr>
          <w:rFonts w:ascii="宋体" w:cs="黑体"/>
          <w:sz w:val="22"/>
          <w:u w:val="single"/>
        </w:rPr>
      </w:pPr>
      <w:r>
        <w:rPr>
          <w:rFonts w:hint="eastAsia" w:ascii="宋体" w:cs="黑体"/>
          <w:sz w:val="22"/>
          <w:u w:val="single"/>
        </w:rPr>
        <w:t>金华市政府采购中心：</w:t>
      </w:r>
    </w:p>
    <w:p>
      <w:pPr>
        <w:snapToGrid w:val="0"/>
        <w:spacing w:line="580" w:lineRule="atLeast"/>
        <w:ind w:firstLine="440" w:firstLineChars="200"/>
        <w:rPr>
          <w:rFonts w:ascii="宋体"/>
          <w:sz w:val="22"/>
        </w:rPr>
      </w:pPr>
      <w:r>
        <w:rPr>
          <w:rFonts w:hint="eastAsia" w:ascii="宋体"/>
          <w:sz w:val="22"/>
        </w:rPr>
        <w:t>本授权委托书声明：我</w:t>
      </w:r>
      <w:r>
        <w:rPr>
          <w:rFonts w:hint="eastAsia" w:ascii="宋体"/>
          <w:sz w:val="22"/>
          <w:u w:val="single"/>
        </w:rPr>
        <w:t xml:space="preserve">   （法定代表人姓名）   </w:t>
      </w:r>
      <w:r>
        <w:rPr>
          <w:rFonts w:hint="eastAsia" w:ascii="宋体"/>
          <w:sz w:val="22"/>
        </w:rPr>
        <w:t>系</w:t>
      </w:r>
      <w:r>
        <w:rPr>
          <w:rFonts w:hint="eastAsia" w:ascii="宋体"/>
          <w:sz w:val="22"/>
          <w:u w:val="single"/>
        </w:rPr>
        <w:t xml:space="preserve">   （供 应 商 名 称）  </w:t>
      </w:r>
      <w:r>
        <w:rPr>
          <w:rFonts w:hint="eastAsia" w:ascii="宋体"/>
          <w:sz w:val="22"/>
        </w:rPr>
        <w:t>的法定代表人，现授权委托</w:t>
      </w:r>
      <w:r>
        <w:rPr>
          <w:rFonts w:hint="eastAsia" w:ascii="宋体"/>
          <w:sz w:val="22"/>
          <w:u w:val="single"/>
        </w:rPr>
        <w:t xml:space="preserve">  （单 位 名 称）   </w:t>
      </w:r>
      <w:r>
        <w:rPr>
          <w:rFonts w:hint="eastAsia" w:ascii="宋体"/>
          <w:sz w:val="22"/>
        </w:rPr>
        <w:t>的</w:t>
      </w:r>
      <w:r>
        <w:rPr>
          <w:rFonts w:hint="eastAsia" w:ascii="宋体"/>
          <w:sz w:val="22"/>
          <w:u w:val="single"/>
        </w:rPr>
        <w:t xml:space="preserve">  （授权代表姓名）  </w:t>
      </w:r>
      <w:r>
        <w:rPr>
          <w:rFonts w:hint="eastAsia" w:ascii="宋体"/>
          <w:sz w:val="22"/>
        </w:rPr>
        <w:t>为我公司法定代表人授权代表，参加贵处组织的</w:t>
      </w:r>
      <w:r>
        <w:rPr>
          <w:rFonts w:hint="eastAsia" w:ascii="宋体"/>
          <w:sz w:val="22"/>
          <w:u w:val="single"/>
        </w:rPr>
        <w:t xml:space="preserve">  （招标项目名称，括号中填写项目编号）  </w:t>
      </w:r>
      <w:r>
        <w:rPr>
          <w:rFonts w:hint="eastAsia" w:ascii="宋体"/>
          <w:sz w:val="22"/>
        </w:rPr>
        <w:t>项目投标，全权处理本次招投标活动中的一切事宜，我承认授权代表全权代表本项目的投标文件的内容。</w:t>
      </w:r>
    </w:p>
    <w:p>
      <w:pPr>
        <w:snapToGrid w:val="0"/>
        <w:spacing w:line="580" w:lineRule="atLeast"/>
        <w:ind w:firstLine="440" w:firstLineChars="200"/>
        <w:rPr>
          <w:rFonts w:ascii="宋体"/>
          <w:sz w:val="22"/>
        </w:rPr>
      </w:pPr>
      <w:r>
        <w:rPr>
          <w:rFonts w:hint="eastAsia" w:ascii="宋体"/>
          <w:sz w:val="22"/>
        </w:rPr>
        <w:t>授权代表无转授权，特此授权。</w:t>
      </w:r>
    </w:p>
    <w:p>
      <w:pPr>
        <w:snapToGrid w:val="0"/>
        <w:ind w:left="2092" w:leftChars="996" w:firstLine="330" w:firstLineChars="150"/>
        <w:rPr>
          <w:rFonts w:ascii="宋体"/>
          <w:sz w:val="22"/>
          <w:u w:val="single"/>
        </w:rPr>
      </w:pPr>
      <w:r>
        <w:rPr>
          <w:rFonts w:hint="eastAsia" w:ascii="宋体"/>
          <w:sz w:val="22"/>
        </w:rPr>
        <w:t xml:space="preserve"> 授权代表：</w:t>
      </w:r>
      <w:r>
        <w:rPr>
          <w:rFonts w:hint="eastAsia" w:ascii="宋体"/>
          <w:sz w:val="22"/>
          <w:u w:val="single"/>
        </w:rPr>
        <w:t xml:space="preserve">          </w:t>
      </w:r>
      <w:r>
        <w:rPr>
          <w:rFonts w:hint="eastAsia" w:ascii="宋体"/>
          <w:sz w:val="22"/>
        </w:rPr>
        <w:t xml:space="preserve"> 性别 ：</w:t>
      </w:r>
      <w:r>
        <w:rPr>
          <w:rFonts w:hint="eastAsia" w:ascii="宋体"/>
          <w:sz w:val="22"/>
          <w:u w:val="single"/>
        </w:rPr>
        <w:t xml:space="preserve">         </w:t>
      </w:r>
      <w:r>
        <w:rPr>
          <w:rFonts w:hint="eastAsia" w:ascii="宋体"/>
          <w:sz w:val="22"/>
        </w:rPr>
        <w:t xml:space="preserve"> 年龄：</w:t>
      </w:r>
      <w:r>
        <w:rPr>
          <w:rFonts w:hint="eastAsia" w:ascii="宋体"/>
          <w:sz w:val="22"/>
          <w:u w:val="single"/>
        </w:rPr>
        <w:t xml:space="preserve">         </w:t>
      </w:r>
      <w:r>
        <w:rPr>
          <w:rFonts w:hint="eastAsia" w:ascii="宋体"/>
          <w:sz w:val="22"/>
        </w:rPr>
        <w:t xml:space="preserve"> </w:t>
      </w:r>
    </w:p>
    <w:p>
      <w:pPr>
        <w:snapToGrid w:val="0"/>
        <w:ind w:left="2100" w:leftChars="1000" w:firstLine="440" w:firstLineChars="200"/>
        <w:rPr>
          <w:rFonts w:ascii="宋体"/>
          <w:sz w:val="22"/>
          <w:u w:val="single"/>
        </w:rPr>
      </w:pPr>
      <w:r>
        <w:rPr>
          <w:rFonts w:hint="eastAsia" w:ascii="宋体"/>
          <w:sz w:val="22"/>
        </w:rPr>
        <w:t>详细通讯地址：</w:t>
      </w:r>
      <w:r>
        <w:rPr>
          <w:rFonts w:hint="eastAsia" w:ascii="宋体"/>
          <w:sz w:val="22"/>
          <w:u w:val="single"/>
        </w:rPr>
        <w:t xml:space="preserve">                  </w:t>
      </w:r>
      <w:r>
        <w:rPr>
          <w:rFonts w:hint="eastAsia" w:ascii="宋体"/>
          <w:sz w:val="22"/>
        </w:rPr>
        <w:t xml:space="preserve"> 邮政编码：</w:t>
      </w:r>
      <w:r>
        <w:rPr>
          <w:rFonts w:hint="eastAsia" w:ascii="宋体"/>
          <w:sz w:val="22"/>
          <w:u w:val="single"/>
        </w:rPr>
        <w:t xml:space="preserve">           </w:t>
      </w:r>
    </w:p>
    <w:p>
      <w:pPr>
        <w:snapToGrid w:val="0"/>
        <w:ind w:left="1" w:firstLine="2510" w:firstLineChars="1141"/>
        <w:rPr>
          <w:rFonts w:ascii="宋体"/>
          <w:sz w:val="22"/>
          <w:u w:val="single"/>
        </w:rPr>
      </w:pPr>
      <w:r>
        <w:rPr>
          <w:rFonts w:hint="eastAsia" w:ascii="宋体"/>
          <w:sz w:val="22"/>
        </w:rPr>
        <w:t>电话：</w:t>
      </w:r>
      <w:r>
        <w:rPr>
          <w:rFonts w:hint="eastAsia" w:ascii="宋体"/>
          <w:sz w:val="22"/>
          <w:u w:val="single"/>
        </w:rPr>
        <w:t xml:space="preserve">                   </w:t>
      </w:r>
      <w:r>
        <w:rPr>
          <w:rFonts w:hint="eastAsia" w:ascii="宋体"/>
          <w:sz w:val="22"/>
        </w:rPr>
        <w:t xml:space="preserve"> 传真：</w:t>
      </w:r>
      <w:r>
        <w:rPr>
          <w:rFonts w:hint="eastAsia" w:ascii="宋体"/>
          <w:sz w:val="22"/>
          <w:u w:val="single"/>
        </w:rPr>
        <w:t xml:space="preserve">                      </w:t>
      </w:r>
    </w:p>
    <w:p>
      <w:pPr>
        <w:snapToGrid w:val="0"/>
        <w:ind w:left="1" w:firstLine="422" w:firstLineChars="192"/>
        <w:rPr>
          <w:rFonts w:ascii="宋体"/>
          <w:sz w:val="22"/>
        </w:rPr>
      </w:pPr>
      <w:r>
        <w:rPr>
          <w:rFonts w:hint="eastAsia" w:ascii="宋体"/>
          <w:sz w:val="22"/>
        </w:rPr>
        <w:t xml:space="preserve">                   投标供应商：</w:t>
      </w:r>
      <w:r>
        <w:rPr>
          <w:rFonts w:hint="eastAsia" w:ascii="宋体"/>
          <w:sz w:val="22"/>
          <w:u w:val="single"/>
        </w:rPr>
        <w:t xml:space="preserve">                                      （盖章）</w:t>
      </w:r>
    </w:p>
    <w:p>
      <w:pPr>
        <w:snapToGrid w:val="0"/>
        <w:ind w:left="2100" w:right="440"/>
        <w:jc w:val="center"/>
        <w:rPr>
          <w:rFonts w:ascii="宋体"/>
          <w:sz w:val="22"/>
        </w:rPr>
      </w:pPr>
      <w:r>
        <w:rPr>
          <w:rFonts w:hint="eastAsia" w:ascii="宋体"/>
          <w:sz w:val="22"/>
        </w:rPr>
        <w:t xml:space="preserve">   法定代表人：</w:t>
      </w:r>
      <w:r>
        <w:rPr>
          <w:rFonts w:hint="eastAsia" w:ascii="宋体"/>
          <w:sz w:val="22"/>
          <w:u w:val="single"/>
        </w:rPr>
        <w:t xml:space="preserve">                                  （签字或盖章）</w:t>
      </w:r>
    </w:p>
    <w:p>
      <w:pPr>
        <w:pStyle w:val="15"/>
        <w:adjustRightInd w:val="0"/>
        <w:snapToGrid w:val="0"/>
        <w:spacing w:before="120" w:after="120" w:line="240" w:lineRule="auto"/>
        <w:ind w:firstLine="2530" w:firstLineChars="1150"/>
        <w:rPr>
          <w:rFonts w:hAnsi="宋体"/>
          <w:sz w:val="22"/>
          <w:szCs w:val="22"/>
        </w:rPr>
      </w:pPr>
      <w:r>
        <w:rPr>
          <w:rFonts w:hint="eastAsia" w:hAnsi="宋体"/>
          <w:sz w:val="22"/>
          <w:szCs w:val="22"/>
        </w:rPr>
        <w:t>授权委托日期：</w:t>
      </w:r>
      <w:r>
        <w:rPr>
          <w:rFonts w:hint="eastAsia" w:hAnsi="宋体"/>
          <w:sz w:val="22"/>
          <w:szCs w:val="22"/>
          <w:u w:val="single"/>
        </w:rPr>
        <w:t xml:space="preserve">     </w:t>
      </w:r>
      <w:r>
        <w:rPr>
          <w:rFonts w:hint="eastAsia" w:hAnsi="宋体"/>
          <w:sz w:val="22"/>
          <w:szCs w:val="22"/>
        </w:rPr>
        <w:t xml:space="preserve">年 </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w:t>
      </w:r>
    </w:p>
    <w:tbl>
      <w:tblPr>
        <w:tblStyle w:val="30"/>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5"/>
              <w:spacing w:before="120" w:after="120" w:line="440" w:lineRule="atLeast"/>
              <w:jc w:val="center"/>
              <w:rPr>
                <w:rFonts w:hAnsi="宋体"/>
                <w:sz w:val="36"/>
              </w:rPr>
            </w:pPr>
            <w:r>
              <w:rPr>
                <w:rFonts w:hint="eastAsia" w:hAnsi="宋体"/>
                <w:sz w:val="36"/>
              </w:rPr>
              <w:t>粘贴授权代表身份证复印件或影印件</w:t>
            </w:r>
          </w:p>
        </w:tc>
      </w:tr>
    </w:tbl>
    <w:p>
      <w:pPr>
        <w:pStyle w:val="15"/>
        <w:adjustRightInd w:val="0"/>
        <w:snapToGrid w:val="0"/>
        <w:spacing w:before="120" w:after="120" w:line="580" w:lineRule="atLeast"/>
        <w:jc w:val="center"/>
        <w:rPr>
          <w:rFonts w:hAnsi="宋体"/>
          <w:sz w:val="22"/>
          <w:szCs w:val="22"/>
        </w:rPr>
      </w:pPr>
    </w:p>
    <w:p>
      <w:pPr>
        <w:pStyle w:val="15"/>
        <w:snapToGrid w:val="0"/>
        <w:spacing w:before="120" w:after="120" w:line="580" w:lineRule="atLeast"/>
        <w:rPr>
          <w:rFonts w:hAnsi="宋体" w:cs="Arial"/>
          <w:sz w:val="22"/>
          <w:szCs w:val="22"/>
          <w:u w:val="thick"/>
        </w:rPr>
      </w:pPr>
    </w:p>
    <w:p>
      <w:pPr>
        <w:pStyle w:val="15"/>
        <w:snapToGrid w:val="0"/>
        <w:spacing w:before="120" w:after="120" w:line="580" w:lineRule="atLeast"/>
        <w:rPr>
          <w:rFonts w:hAnsi="宋体" w:cs="Arial"/>
          <w:sz w:val="22"/>
          <w:szCs w:val="22"/>
          <w:u w:val="thick"/>
        </w:rPr>
      </w:pPr>
    </w:p>
    <w:p>
      <w:pPr>
        <w:pStyle w:val="15"/>
        <w:snapToGrid w:val="0"/>
        <w:spacing w:before="120" w:after="120" w:line="580" w:lineRule="atLeast"/>
        <w:rPr>
          <w:rFonts w:hAnsi="宋体" w:cs="Arial"/>
          <w:sz w:val="22"/>
          <w:szCs w:val="22"/>
          <w:u w:val="thick"/>
        </w:rPr>
      </w:pPr>
    </w:p>
    <w:p>
      <w:pPr>
        <w:pStyle w:val="15"/>
        <w:adjustRightInd w:val="0"/>
        <w:snapToGrid w:val="0"/>
        <w:spacing w:before="120" w:after="120" w:line="360" w:lineRule="exact"/>
        <w:rPr>
          <w:rFonts w:hAnsi="宋体"/>
          <w:sz w:val="22"/>
        </w:rPr>
      </w:pPr>
    </w:p>
    <w:tbl>
      <w:tblPr>
        <w:tblStyle w:val="30"/>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5"/>
              <w:spacing w:before="120" w:after="120" w:line="440" w:lineRule="atLeast"/>
              <w:jc w:val="center"/>
              <w:rPr>
                <w:rFonts w:hAnsi="宋体"/>
                <w:sz w:val="36"/>
              </w:rPr>
            </w:pPr>
            <w:r>
              <w:rPr>
                <w:rFonts w:hint="eastAsia" w:hAnsi="宋体"/>
                <w:sz w:val="36"/>
              </w:rPr>
              <w:t>粘贴法定代表人身份证复印件或影印件</w:t>
            </w:r>
          </w:p>
        </w:tc>
      </w:tr>
    </w:tbl>
    <w:p>
      <w:pPr>
        <w:pStyle w:val="15"/>
        <w:snapToGrid w:val="0"/>
        <w:spacing w:before="120" w:after="120" w:line="580" w:lineRule="atLeast"/>
        <w:rPr>
          <w:rFonts w:hAnsi="宋体" w:cs="Arial"/>
          <w:sz w:val="22"/>
          <w:szCs w:val="22"/>
          <w:u w:val="thick"/>
        </w:rPr>
      </w:pPr>
    </w:p>
    <w:p>
      <w:pPr>
        <w:pStyle w:val="15"/>
        <w:snapToGrid w:val="0"/>
        <w:spacing w:before="120" w:after="120" w:line="580" w:lineRule="atLeast"/>
        <w:rPr>
          <w:rFonts w:hAnsi="宋体" w:cs="Arial"/>
          <w:sz w:val="22"/>
          <w:szCs w:val="22"/>
          <w:u w:val="thick"/>
        </w:rPr>
      </w:pPr>
    </w:p>
    <w:p>
      <w:pPr>
        <w:snapToGrid w:val="0"/>
        <w:spacing w:line="500" w:lineRule="atLeast"/>
        <w:rPr>
          <w:rFonts w:ascii="宋体"/>
          <w:sz w:val="30"/>
          <w:szCs w:val="30"/>
        </w:rPr>
      </w:pPr>
    </w:p>
    <w:p>
      <w:pPr>
        <w:snapToGrid w:val="0"/>
        <w:spacing w:line="500" w:lineRule="atLeast"/>
        <w:rPr>
          <w:rFonts w:ascii="宋体"/>
          <w:sz w:val="30"/>
          <w:szCs w:val="30"/>
        </w:rPr>
      </w:pPr>
    </w:p>
    <w:p>
      <w:pPr>
        <w:autoSpaceDE w:val="0"/>
        <w:autoSpaceDN w:val="0"/>
        <w:adjustRightInd w:val="0"/>
        <w:snapToGrid w:val="0"/>
        <w:spacing w:line="460" w:lineRule="atLeast"/>
        <w:ind w:firstLine="440" w:firstLineChars="200"/>
        <w:textAlignment w:val="bottom"/>
        <w:rPr>
          <w:rFonts w:ascii="宋体" w:cs="Arial"/>
          <w:sz w:val="22"/>
        </w:rPr>
      </w:pPr>
      <w:r>
        <w:rPr>
          <w:rFonts w:hint="eastAsia" w:ascii="宋体" w:cs="Arial"/>
          <w:sz w:val="22"/>
        </w:rPr>
        <w:t>注：法定代表人授权书中法定代表人必须签字或盖章，否则做无效投标处理</w:t>
      </w:r>
      <w:r>
        <w:rPr>
          <w:rFonts w:ascii="宋体" w:cs="Arial"/>
          <w:sz w:val="22"/>
        </w:rPr>
        <w:t>。</w:t>
      </w:r>
    </w:p>
    <w:p>
      <w:pPr>
        <w:snapToGrid w:val="0"/>
        <w:spacing w:line="500" w:lineRule="atLeast"/>
        <w:rPr>
          <w:rFonts w:ascii="宋体"/>
          <w:sz w:val="30"/>
          <w:szCs w:val="30"/>
        </w:rPr>
      </w:pPr>
      <w:r>
        <w:rPr>
          <w:rFonts w:ascii="宋体"/>
          <w:sz w:val="30"/>
          <w:szCs w:val="30"/>
        </w:rPr>
        <w:br w:type="page"/>
      </w:r>
      <w:r>
        <w:rPr>
          <w:rFonts w:hint="eastAsia" w:ascii="宋体" w:hAnsi="Courier New" w:cs="Arial"/>
          <w:sz w:val="22"/>
        </w:rPr>
        <w:t>附件六</w:t>
      </w:r>
    </w:p>
    <w:p>
      <w:pPr>
        <w:snapToGrid w:val="0"/>
        <w:spacing w:line="500" w:lineRule="atLeast"/>
        <w:jc w:val="center"/>
        <w:rPr>
          <w:rFonts w:ascii="宋体"/>
          <w:sz w:val="36"/>
          <w:szCs w:val="36"/>
          <w:lang w:val="zh-CN"/>
        </w:rPr>
      </w:pPr>
      <w:r>
        <w:rPr>
          <w:rFonts w:hint="eastAsia" w:ascii="宋体"/>
          <w:sz w:val="36"/>
          <w:szCs w:val="36"/>
          <w:lang w:val="zh-CN"/>
        </w:rPr>
        <w:t>法定代表人诚信投标承诺书</w:t>
      </w:r>
    </w:p>
    <w:p>
      <w:pPr>
        <w:spacing w:line="460" w:lineRule="atLeast"/>
        <w:jc w:val="left"/>
        <w:rPr>
          <w:rFonts w:ascii="宋体"/>
          <w:sz w:val="22"/>
        </w:rPr>
      </w:pPr>
      <w:r>
        <w:rPr>
          <w:rFonts w:hint="eastAsia" w:ascii="宋体"/>
          <w:sz w:val="22"/>
        </w:rPr>
        <w:t>本人以企业法定代表人的身份郑重承诺：</w:t>
      </w:r>
    </w:p>
    <w:p>
      <w:pPr>
        <w:spacing w:line="460" w:lineRule="atLeast"/>
        <w:ind w:firstLine="440" w:firstLineChars="200"/>
        <w:jc w:val="left"/>
        <w:rPr>
          <w:rFonts w:ascii="宋体"/>
          <w:sz w:val="22"/>
        </w:rPr>
      </w:pPr>
      <w:r>
        <w:rPr>
          <w:rFonts w:hint="eastAsia" w:ascii="宋体"/>
          <w:sz w:val="22"/>
        </w:rPr>
        <w:t>将遵循公开、公平、公正和诚信信用的原则参加</w:t>
      </w:r>
      <w:r>
        <w:rPr>
          <w:rFonts w:hint="eastAsia" w:ascii="宋体" w:cs="楷体_GB2312"/>
          <w:sz w:val="22"/>
          <w:u w:val="single"/>
        </w:rPr>
        <w:t xml:space="preserve">              项目（招标编号：   ）</w:t>
      </w:r>
      <w:r>
        <w:rPr>
          <w:rFonts w:hint="eastAsia" w:ascii="宋体"/>
          <w:sz w:val="22"/>
        </w:rPr>
        <w:t>的投标；</w:t>
      </w:r>
    </w:p>
    <w:p>
      <w:pPr>
        <w:spacing w:line="460" w:lineRule="atLeast"/>
        <w:ind w:firstLine="440" w:firstLineChars="200"/>
        <w:jc w:val="left"/>
        <w:rPr>
          <w:rFonts w:ascii="宋体"/>
          <w:sz w:val="22"/>
          <w:u w:val="single"/>
        </w:rPr>
      </w:pPr>
      <w:r>
        <w:rPr>
          <w:rFonts w:hint="eastAsia" w:ascii="宋体"/>
          <w:sz w:val="22"/>
        </w:rPr>
        <w:t>一、杜绝以收取管理费等形式的一切挂靠、违法转包、分包行为；并选派有丰富经验、无不良行为记录的项目管理人员、技术人员，严格按招标文件、投标文件及合同等要求保证拟派人员的到岗率。</w:t>
      </w:r>
    </w:p>
    <w:p>
      <w:pPr>
        <w:spacing w:line="460" w:lineRule="atLeast"/>
        <w:ind w:firstLine="440" w:firstLineChars="200"/>
        <w:jc w:val="left"/>
        <w:rPr>
          <w:rFonts w:ascii="宋体"/>
          <w:sz w:val="22"/>
        </w:rPr>
      </w:pPr>
      <w:r>
        <w:rPr>
          <w:rFonts w:hint="eastAsia" w:ascii="宋体"/>
          <w:sz w:val="22"/>
        </w:rPr>
        <w:t>二、投标文件所提供的一切材料都是真实、有效、合法的。</w:t>
      </w:r>
    </w:p>
    <w:p>
      <w:pPr>
        <w:spacing w:line="460" w:lineRule="atLeast"/>
        <w:ind w:firstLine="440" w:firstLineChars="200"/>
        <w:jc w:val="left"/>
        <w:rPr>
          <w:rFonts w:ascii="宋体"/>
          <w:sz w:val="22"/>
        </w:rPr>
      </w:pPr>
      <w:r>
        <w:rPr>
          <w:rFonts w:hint="eastAsia" w:asci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sz w:val="22"/>
        </w:rPr>
      </w:pPr>
      <w:r>
        <w:rPr>
          <w:rFonts w:hint="eastAsia" w:ascii="宋体"/>
          <w:sz w:val="22"/>
        </w:rPr>
        <w:t>四、不与采购人或采购机构串通投标，不损害国家利益，社会公共利益或其他人的合法权益。</w:t>
      </w:r>
    </w:p>
    <w:p>
      <w:pPr>
        <w:spacing w:line="460" w:lineRule="atLeast"/>
        <w:ind w:firstLine="440" w:firstLineChars="200"/>
        <w:jc w:val="left"/>
        <w:rPr>
          <w:rFonts w:ascii="宋体"/>
          <w:sz w:val="22"/>
        </w:rPr>
      </w:pPr>
      <w:r>
        <w:rPr>
          <w:rFonts w:hint="eastAsia" w:ascii="宋体"/>
          <w:sz w:val="22"/>
        </w:rPr>
        <w:t>五、不向采购人或者评标委员会成员行贿以牟取中标。</w:t>
      </w:r>
    </w:p>
    <w:p>
      <w:pPr>
        <w:spacing w:line="460" w:lineRule="atLeast"/>
        <w:ind w:firstLine="440" w:firstLineChars="200"/>
        <w:jc w:val="left"/>
        <w:rPr>
          <w:rFonts w:ascii="宋体"/>
          <w:sz w:val="22"/>
        </w:rPr>
      </w:pPr>
      <w:r>
        <w:rPr>
          <w:rFonts w:hint="eastAsia" w:ascii="宋体"/>
          <w:sz w:val="22"/>
        </w:rPr>
        <w:t>六、不以其他人名义投标或者以其他方式弄虚作假，骗取中标。</w:t>
      </w:r>
    </w:p>
    <w:p>
      <w:pPr>
        <w:spacing w:line="460" w:lineRule="atLeast"/>
        <w:ind w:firstLine="440" w:firstLineChars="200"/>
        <w:jc w:val="left"/>
        <w:rPr>
          <w:rFonts w:ascii="宋体"/>
          <w:sz w:val="22"/>
        </w:rPr>
      </w:pPr>
      <w:r>
        <w:rPr>
          <w:rFonts w:hint="eastAsia" w:ascii="宋体"/>
          <w:sz w:val="22"/>
        </w:rPr>
        <w:t>七、不在开标后进行虚假恶意投诉。</w:t>
      </w:r>
    </w:p>
    <w:p>
      <w:pPr>
        <w:spacing w:line="460" w:lineRule="atLeast"/>
        <w:ind w:firstLine="440" w:firstLineChars="200"/>
        <w:jc w:val="left"/>
        <w:rPr>
          <w:rFonts w:ascii="宋体"/>
          <w:sz w:val="22"/>
        </w:rPr>
      </w:pPr>
      <w:r>
        <w:rPr>
          <w:rFonts w:hint="eastAsia" w:ascii="宋体"/>
          <w:sz w:val="22"/>
        </w:rPr>
        <w:t>八、我单位没有被政府机关</w:t>
      </w:r>
      <w:r>
        <w:rPr>
          <w:rFonts w:ascii="宋体"/>
          <w:sz w:val="22"/>
        </w:rPr>
        <w:t>列入失信被执行人</w:t>
      </w:r>
      <w:r>
        <w:rPr>
          <w:rFonts w:hint="eastAsia" w:ascii="宋体"/>
          <w:sz w:val="22"/>
        </w:rPr>
        <w:t>名单</w:t>
      </w:r>
      <w:r>
        <w:rPr>
          <w:rFonts w:ascii="宋体"/>
          <w:sz w:val="22"/>
        </w:rPr>
        <w:t>、重大税收违法案件当事人名单、政府采购严重违法失信行为记录名单及其他不符合《中华人民共和国政府采购法》第二十二条规定条件</w:t>
      </w:r>
      <w:r>
        <w:rPr>
          <w:rFonts w:hint="eastAsia" w:ascii="宋体"/>
          <w:sz w:val="22"/>
        </w:rPr>
        <w:t>的情形（《中华人民共和国政府采购法实施条例》第十九条规定的情形除外）。</w:t>
      </w:r>
    </w:p>
    <w:p>
      <w:pPr>
        <w:spacing w:line="460" w:lineRule="atLeast"/>
        <w:ind w:firstLine="440" w:firstLineChars="200"/>
        <w:rPr>
          <w:rFonts w:ascii="宋体"/>
          <w:sz w:val="22"/>
        </w:rPr>
      </w:pPr>
      <w:r>
        <w:rPr>
          <w:rFonts w:hint="eastAsia" w:ascii="宋体"/>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sz w:val="22"/>
        </w:rPr>
      </w:pPr>
    </w:p>
    <w:p>
      <w:pPr>
        <w:spacing w:line="460" w:lineRule="atLeast"/>
        <w:ind w:right="1120"/>
        <w:rPr>
          <w:rFonts w:ascii="宋体"/>
          <w:sz w:val="22"/>
        </w:rPr>
      </w:pPr>
      <w:r>
        <w:rPr>
          <w:rFonts w:hint="eastAsia" w:ascii="宋体"/>
          <w:sz w:val="22"/>
        </w:rPr>
        <w:t>投标供应商（盖章）</w:t>
      </w:r>
    </w:p>
    <w:p>
      <w:pPr>
        <w:spacing w:line="460" w:lineRule="atLeast"/>
        <w:ind w:right="1120"/>
        <w:rPr>
          <w:rFonts w:ascii="宋体"/>
          <w:sz w:val="22"/>
        </w:rPr>
      </w:pPr>
      <w:r>
        <w:rPr>
          <w:rFonts w:hint="eastAsia" w:ascii="宋体"/>
          <w:sz w:val="22"/>
        </w:rPr>
        <w:t>法定代表人（签字或盖章）：</w:t>
      </w:r>
    </w:p>
    <w:p>
      <w:pPr>
        <w:snapToGrid w:val="0"/>
        <w:spacing w:line="500" w:lineRule="atLeast"/>
        <w:rPr>
          <w:rFonts w:ascii="宋体"/>
          <w:sz w:val="30"/>
          <w:szCs w:val="30"/>
        </w:rPr>
      </w:pPr>
      <w:r>
        <w:rPr>
          <w:rFonts w:hint="eastAsia" w:ascii="宋体"/>
          <w:sz w:val="22"/>
        </w:rPr>
        <w:t xml:space="preserve">承诺书签署日期：  </w:t>
      </w: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22"/>
        </w:rPr>
        <w:sectPr>
          <w:pgSz w:w="11906" w:h="16838"/>
          <w:pgMar w:top="1440" w:right="1106" w:bottom="1440" w:left="1622" w:header="851" w:footer="992" w:gutter="0"/>
          <w:cols w:space="720" w:num="1"/>
          <w:docGrid w:linePitch="312" w:charSpace="0"/>
        </w:sectPr>
      </w:pPr>
    </w:p>
    <w:p>
      <w:pPr>
        <w:pStyle w:val="15"/>
        <w:spacing w:before="156" w:after="156" w:line="460" w:lineRule="atLeast"/>
        <w:rPr>
          <w:rFonts w:hAnsi="宋体"/>
          <w:sz w:val="32"/>
        </w:rPr>
      </w:pPr>
      <w:r>
        <w:rPr>
          <w:rFonts w:hint="eastAsia" w:cs="Arial"/>
          <w:sz w:val="22"/>
          <w:szCs w:val="22"/>
        </w:rPr>
        <w:t>附件七</w:t>
      </w:r>
    </w:p>
    <w:p>
      <w:pPr>
        <w:pStyle w:val="15"/>
        <w:spacing w:before="156" w:after="156" w:line="440" w:lineRule="atLeast"/>
        <w:jc w:val="center"/>
        <w:rPr>
          <w:rFonts w:hAnsi="宋体" w:cs="Arial"/>
          <w:bCs/>
          <w:sz w:val="36"/>
          <w:szCs w:val="36"/>
        </w:rPr>
      </w:pPr>
      <w:r>
        <w:rPr>
          <w:rFonts w:hint="eastAsia" w:hAnsi="宋体" w:cs="Arial"/>
          <w:bCs/>
          <w:sz w:val="36"/>
          <w:szCs w:val="36"/>
        </w:rPr>
        <w:t>投标供应商业绩</w:t>
      </w:r>
    </w:p>
    <w:tbl>
      <w:tblPr>
        <w:tblStyle w:val="30"/>
        <w:tblW w:w="9659"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5"/>
              <w:adjustRightInd w:val="0"/>
              <w:snapToGrid w:val="0"/>
              <w:spacing w:before="156" w:after="156" w:line="440" w:lineRule="atLeast"/>
              <w:jc w:val="center"/>
              <w:rPr>
                <w:rFonts w:hAnsi="宋体"/>
                <w:sz w:val="22"/>
                <w:szCs w:val="22"/>
              </w:rPr>
            </w:pPr>
            <w:r>
              <w:rPr>
                <w:rFonts w:hint="eastAsia" w:hAnsi="宋体"/>
                <w:sz w:val="22"/>
                <w:szCs w:val="22"/>
              </w:rPr>
              <w:t>序号</w:t>
            </w:r>
          </w:p>
        </w:tc>
        <w:tc>
          <w:tcPr>
            <w:tcW w:w="1266" w:type="dxa"/>
            <w:tcBorders>
              <w:right w:val="single" w:color="000000" w:sz="4" w:space="0"/>
            </w:tcBorders>
          </w:tcPr>
          <w:p>
            <w:pPr>
              <w:pStyle w:val="15"/>
              <w:adjustRightInd w:val="0"/>
              <w:snapToGrid w:val="0"/>
              <w:spacing w:before="156" w:after="156" w:line="440" w:lineRule="atLeast"/>
              <w:jc w:val="center"/>
              <w:rPr>
                <w:rFonts w:hAnsi="宋体"/>
                <w:sz w:val="22"/>
                <w:szCs w:val="22"/>
              </w:rPr>
            </w:pPr>
            <w:r>
              <w:rPr>
                <w:rFonts w:hint="eastAsia" w:hAnsi="宋体"/>
                <w:sz w:val="22"/>
                <w:szCs w:val="22"/>
              </w:rPr>
              <w:t>签订时间</w:t>
            </w:r>
          </w:p>
        </w:tc>
        <w:tc>
          <w:tcPr>
            <w:tcW w:w="1477" w:type="dxa"/>
            <w:tcBorders>
              <w:left w:val="single" w:color="000000" w:sz="4" w:space="0"/>
            </w:tcBorders>
          </w:tcPr>
          <w:p>
            <w:pPr>
              <w:pStyle w:val="15"/>
              <w:adjustRightInd w:val="0"/>
              <w:snapToGrid w:val="0"/>
              <w:spacing w:before="156" w:after="156" w:line="440" w:lineRule="atLeast"/>
              <w:jc w:val="center"/>
              <w:rPr>
                <w:rFonts w:hAnsi="宋体"/>
                <w:sz w:val="22"/>
                <w:szCs w:val="22"/>
              </w:rPr>
            </w:pPr>
            <w:r>
              <w:rPr>
                <w:rFonts w:hint="eastAsia" w:hAnsi="宋体"/>
                <w:sz w:val="22"/>
                <w:szCs w:val="22"/>
              </w:rPr>
              <w:t>业主名称</w:t>
            </w:r>
          </w:p>
        </w:tc>
        <w:tc>
          <w:tcPr>
            <w:tcW w:w="1491" w:type="dxa"/>
          </w:tcPr>
          <w:p>
            <w:pPr>
              <w:pStyle w:val="15"/>
              <w:adjustRightInd w:val="0"/>
              <w:snapToGrid w:val="0"/>
              <w:spacing w:before="156" w:after="156" w:line="440" w:lineRule="atLeast"/>
              <w:jc w:val="center"/>
              <w:rPr>
                <w:rFonts w:hAnsi="宋体"/>
                <w:sz w:val="22"/>
                <w:szCs w:val="22"/>
              </w:rPr>
            </w:pPr>
            <w:r>
              <w:rPr>
                <w:rFonts w:hint="eastAsia" w:hAnsi="宋体"/>
                <w:sz w:val="22"/>
                <w:szCs w:val="22"/>
              </w:rPr>
              <w:t>合同金额</w:t>
            </w:r>
          </w:p>
        </w:tc>
        <w:tc>
          <w:tcPr>
            <w:tcW w:w="1555" w:type="dxa"/>
          </w:tcPr>
          <w:p>
            <w:pPr>
              <w:pStyle w:val="15"/>
              <w:adjustRightInd w:val="0"/>
              <w:snapToGrid w:val="0"/>
              <w:spacing w:before="156" w:after="156" w:line="440" w:lineRule="atLeast"/>
              <w:jc w:val="center"/>
              <w:rPr>
                <w:rFonts w:hAnsi="宋体"/>
                <w:sz w:val="22"/>
                <w:szCs w:val="22"/>
              </w:rPr>
            </w:pPr>
            <w:r>
              <w:rPr>
                <w:rFonts w:hint="eastAsia" w:hAnsi="宋体"/>
                <w:sz w:val="22"/>
                <w:szCs w:val="22"/>
              </w:rPr>
              <w:t>联系人</w:t>
            </w:r>
          </w:p>
        </w:tc>
        <w:tc>
          <w:tcPr>
            <w:tcW w:w="1556" w:type="dxa"/>
          </w:tcPr>
          <w:p>
            <w:pPr>
              <w:pStyle w:val="15"/>
              <w:adjustRightInd w:val="0"/>
              <w:snapToGrid w:val="0"/>
              <w:spacing w:before="156" w:after="156" w:line="440" w:lineRule="atLeast"/>
              <w:jc w:val="center"/>
              <w:rPr>
                <w:rFonts w:hAnsi="宋体"/>
                <w:sz w:val="22"/>
                <w:szCs w:val="22"/>
              </w:rPr>
            </w:pPr>
            <w:r>
              <w:rPr>
                <w:rFonts w:hint="eastAsia" w:hAnsi="宋体"/>
                <w:sz w:val="22"/>
                <w:szCs w:val="22"/>
              </w:rPr>
              <w:t>联系电话</w:t>
            </w:r>
          </w:p>
        </w:tc>
        <w:tc>
          <w:tcPr>
            <w:tcW w:w="1556" w:type="dxa"/>
          </w:tcPr>
          <w:p>
            <w:pPr>
              <w:pStyle w:val="15"/>
              <w:adjustRightInd w:val="0"/>
              <w:snapToGrid w:val="0"/>
              <w:spacing w:before="156" w:after="156" w:line="440" w:lineRule="atLeast"/>
              <w:jc w:val="center"/>
              <w:rPr>
                <w:rFonts w:hAnsi="宋体"/>
                <w:sz w:val="22"/>
                <w:szCs w:val="22"/>
              </w:rPr>
            </w:pPr>
            <w:r>
              <w:rPr>
                <w:rFonts w:hint="eastAsia" w:hAnsi="宋体"/>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5"/>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5"/>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5"/>
              <w:adjustRightInd w:val="0"/>
              <w:snapToGrid w:val="0"/>
              <w:spacing w:before="156" w:after="156" w:line="440" w:lineRule="atLeast"/>
              <w:rPr>
                <w:rFonts w:hAnsi="宋体"/>
                <w:sz w:val="22"/>
                <w:szCs w:val="22"/>
              </w:rPr>
            </w:pPr>
          </w:p>
        </w:tc>
        <w:tc>
          <w:tcPr>
            <w:tcW w:w="1491" w:type="dxa"/>
          </w:tcPr>
          <w:p>
            <w:pPr>
              <w:pStyle w:val="15"/>
              <w:adjustRightInd w:val="0"/>
              <w:snapToGrid w:val="0"/>
              <w:spacing w:before="156" w:after="156" w:line="440" w:lineRule="atLeast"/>
              <w:rPr>
                <w:rFonts w:hAnsi="宋体"/>
                <w:sz w:val="22"/>
                <w:szCs w:val="22"/>
              </w:rPr>
            </w:pPr>
          </w:p>
        </w:tc>
        <w:tc>
          <w:tcPr>
            <w:tcW w:w="1555"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5"/>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5"/>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5"/>
              <w:adjustRightInd w:val="0"/>
              <w:snapToGrid w:val="0"/>
              <w:spacing w:before="156" w:after="156" w:line="440" w:lineRule="atLeast"/>
              <w:rPr>
                <w:rFonts w:hAnsi="宋体"/>
                <w:sz w:val="22"/>
                <w:szCs w:val="22"/>
              </w:rPr>
            </w:pPr>
          </w:p>
        </w:tc>
        <w:tc>
          <w:tcPr>
            <w:tcW w:w="1491" w:type="dxa"/>
          </w:tcPr>
          <w:p>
            <w:pPr>
              <w:pStyle w:val="15"/>
              <w:adjustRightInd w:val="0"/>
              <w:snapToGrid w:val="0"/>
              <w:spacing w:before="156" w:after="156" w:line="440" w:lineRule="atLeast"/>
              <w:rPr>
                <w:rFonts w:hAnsi="宋体"/>
                <w:sz w:val="22"/>
                <w:szCs w:val="22"/>
              </w:rPr>
            </w:pPr>
          </w:p>
        </w:tc>
        <w:tc>
          <w:tcPr>
            <w:tcW w:w="1555"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5"/>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5"/>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5"/>
              <w:adjustRightInd w:val="0"/>
              <w:snapToGrid w:val="0"/>
              <w:spacing w:before="156" w:after="156" w:line="440" w:lineRule="atLeast"/>
              <w:rPr>
                <w:rFonts w:hAnsi="宋体"/>
                <w:sz w:val="22"/>
                <w:szCs w:val="22"/>
              </w:rPr>
            </w:pPr>
          </w:p>
        </w:tc>
        <w:tc>
          <w:tcPr>
            <w:tcW w:w="1491" w:type="dxa"/>
          </w:tcPr>
          <w:p>
            <w:pPr>
              <w:pStyle w:val="15"/>
              <w:adjustRightInd w:val="0"/>
              <w:snapToGrid w:val="0"/>
              <w:spacing w:before="156" w:after="156" w:line="440" w:lineRule="atLeast"/>
              <w:rPr>
                <w:rFonts w:hAnsi="宋体"/>
                <w:sz w:val="22"/>
                <w:szCs w:val="22"/>
              </w:rPr>
            </w:pPr>
          </w:p>
        </w:tc>
        <w:tc>
          <w:tcPr>
            <w:tcW w:w="1555"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5"/>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5"/>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5"/>
              <w:adjustRightInd w:val="0"/>
              <w:snapToGrid w:val="0"/>
              <w:spacing w:before="156" w:after="156" w:line="440" w:lineRule="atLeast"/>
              <w:rPr>
                <w:rFonts w:hAnsi="宋体"/>
                <w:sz w:val="22"/>
                <w:szCs w:val="22"/>
              </w:rPr>
            </w:pPr>
          </w:p>
        </w:tc>
        <w:tc>
          <w:tcPr>
            <w:tcW w:w="1491" w:type="dxa"/>
          </w:tcPr>
          <w:p>
            <w:pPr>
              <w:pStyle w:val="15"/>
              <w:adjustRightInd w:val="0"/>
              <w:snapToGrid w:val="0"/>
              <w:spacing w:before="156" w:after="156" w:line="440" w:lineRule="atLeast"/>
              <w:rPr>
                <w:rFonts w:hAnsi="宋体"/>
                <w:sz w:val="22"/>
                <w:szCs w:val="22"/>
              </w:rPr>
            </w:pPr>
          </w:p>
        </w:tc>
        <w:tc>
          <w:tcPr>
            <w:tcW w:w="1555"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5"/>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5"/>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5"/>
              <w:adjustRightInd w:val="0"/>
              <w:snapToGrid w:val="0"/>
              <w:spacing w:before="156" w:after="156" w:line="440" w:lineRule="atLeast"/>
              <w:rPr>
                <w:rFonts w:hAnsi="宋体"/>
                <w:sz w:val="22"/>
                <w:szCs w:val="22"/>
              </w:rPr>
            </w:pPr>
          </w:p>
        </w:tc>
        <w:tc>
          <w:tcPr>
            <w:tcW w:w="1491" w:type="dxa"/>
          </w:tcPr>
          <w:p>
            <w:pPr>
              <w:pStyle w:val="15"/>
              <w:adjustRightInd w:val="0"/>
              <w:snapToGrid w:val="0"/>
              <w:spacing w:before="156" w:after="156" w:line="440" w:lineRule="atLeast"/>
              <w:rPr>
                <w:rFonts w:hAnsi="宋体"/>
                <w:sz w:val="22"/>
                <w:szCs w:val="22"/>
              </w:rPr>
            </w:pPr>
          </w:p>
        </w:tc>
        <w:tc>
          <w:tcPr>
            <w:tcW w:w="1555"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5"/>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5"/>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5"/>
              <w:adjustRightInd w:val="0"/>
              <w:snapToGrid w:val="0"/>
              <w:spacing w:before="156" w:after="156" w:line="440" w:lineRule="atLeast"/>
              <w:rPr>
                <w:rFonts w:hAnsi="宋体"/>
                <w:sz w:val="22"/>
                <w:szCs w:val="22"/>
              </w:rPr>
            </w:pPr>
          </w:p>
        </w:tc>
        <w:tc>
          <w:tcPr>
            <w:tcW w:w="1491" w:type="dxa"/>
          </w:tcPr>
          <w:p>
            <w:pPr>
              <w:pStyle w:val="15"/>
              <w:adjustRightInd w:val="0"/>
              <w:snapToGrid w:val="0"/>
              <w:spacing w:before="156" w:after="156" w:line="440" w:lineRule="atLeast"/>
              <w:rPr>
                <w:rFonts w:hAnsi="宋体"/>
                <w:sz w:val="22"/>
                <w:szCs w:val="22"/>
              </w:rPr>
            </w:pPr>
          </w:p>
        </w:tc>
        <w:tc>
          <w:tcPr>
            <w:tcW w:w="1555"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5"/>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5"/>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5"/>
              <w:adjustRightInd w:val="0"/>
              <w:snapToGrid w:val="0"/>
              <w:spacing w:before="156" w:after="156" w:line="440" w:lineRule="atLeast"/>
              <w:rPr>
                <w:rFonts w:hAnsi="宋体"/>
                <w:sz w:val="22"/>
                <w:szCs w:val="22"/>
              </w:rPr>
            </w:pPr>
          </w:p>
        </w:tc>
        <w:tc>
          <w:tcPr>
            <w:tcW w:w="1491" w:type="dxa"/>
          </w:tcPr>
          <w:p>
            <w:pPr>
              <w:pStyle w:val="15"/>
              <w:adjustRightInd w:val="0"/>
              <w:snapToGrid w:val="0"/>
              <w:spacing w:before="156" w:after="156" w:line="440" w:lineRule="atLeast"/>
              <w:rPr>
                <w:rFonts w:hAnsi="宋体"/>
                <w:sz w:val="22"/>
                <w:szCs w:val="22"/>
              </w:rPr>
            </w:pPr>
          </w:p>
        </w:tc>
        <w:tc>
          <w:tcPr>
            <w:tcW w:w="1555"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5"/>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5"/>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5"/>
              <w:adjustRightInd w:val="0"/>
              <w:snapToGrid w:val="0"/>
              <w:spacing w:before="156" w:after="156" w:line="440" w:lineRule="atLeast"/>
              <w:rPr>
                <w:rFonts w:hAnsi="宋体"/>
                <w:sz w:val="22"/>
                <w:szCs w:val="22"/>
              </w:rPr>
            </w:pPr>
          </w:p>
        </w:tc>
        <w:tc>
          <w:tcPr>
            <w:tcW w:w="1491" w:type="dxa"/>
          </w:tcPr>
          <w:p>
            <w:pPr>
              <w:pStyle w:val="15"/>
              <w:adjustRightInd w:val="0"/>
              <w:snapToGrid w:val="0"/>
              <w:spacing w:before="156" w:after="156" w:line="440" w:lineRule="atLeast"/>
              <w:rPr>
                <w:rFonts w:hAnsi="宋体"/>
                <w:sz w:val="22"/>
                <w:szCs w:val="22"/>
              </w:rPr>
            </w:pPr>
          </w:p>
        </w:tc>
        <w:tc>
          <w:tcPr>
            <w:tcW w:w="1555"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5"/>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5"/>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5"/>
              <w:adjustRightInd w:val="0"/>
              <w:snapToGrid w:val="0"/>
              <w:spacing w:before="156" w:after="156" w:line="440" w:lineRule="atLeast"/>
              <w:rPr>
                <w:rFonts w:hAnsi="宋体"/>
                <w:sz w:val="22"/>
                <w:szCs w:val="22"/>
              </w:rPr>
            </w:pPr>
          </w:p>
        </w:tc>
        <w:tc>
          <w:tcPr>
            <w:tcW w:w="1491" w:type="dxa"/>
          </w:tcPr>
          <w:p>
            <w:pPr>
              <w:pStyle w:val="15"/>
              <w:adjustRightInd w:val="0"/>
              <w:snapToGrid w:val="0"/>
              <w:spacing w:before="156" w:after="156" w:line="440" w:lineRule="atLeast"/>
              <w:rPr>
                <w:rFonts w:hAnsi="宋体"/>
                <w:sz w:val="22"/>
                <w:szCs w:val="22"/>
              </w:rPr>
            </w:pPr>
          </w:p>
        </w:tc>
        <w:tc>
          <w:tcPr>
            <w:tcW w:w="1555"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5"/>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5"/>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5"/>
              <w:adjustRightInd w:val="0"/>
              <w:snapToGrid w:val="0"/>
              <w:spacing w:before="156" w:after="156" w:line="440" w:lineRule="atLeast"/>
              <w:rPr>
                <w:rFonts w:hAnsi="宋体"/>
                <w:sz w:val="22"/>
                <w:szCs w:val="22"/>
              </w:rPr>
            </w:pPr>
          </w:p>
        </w:tc>
        <w:tc>
          <w:tcPr>
            <w:tcW w:w="1491" w:type="dxa"/>
          </w:tcPr>
          <w:p>
            <w:pPr>
              <w:pStyle w:val="15"/>
              <w:adjustRightInd w:val="0"/>
              <w:snapToGrid w:val="0"/>
              <w:spacing w:before="156" w:after="156" w:line="440" w:lineRule="atLeast"/>
              <w:rPr>
                <w:rFonts w:hAnsi="宋体"/>
                <w:sz w:val="22"/>
                <w:szCs w:val="22"/>
              </w:rPr>
            </w:pPr>
          </w:p>
        </w:tc>
        <w:tc>
          <w:tcPr>
            <w:tcW w:w="1555"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5"/>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5"/>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5"/>
              <w:adjustRightInd w:val="0"/>
              <w:snapToGrid w:val="0"/>
              <w:spacing w:before="156" w:after="156" w:line="440" w:lineRule="atLeast"/>
              <w:rPr>
                <w:rFonts w:hAnsi="宋体"/>
                <w:sz w:val="22"/>
                <w:szCs w:val="22"/>
              </w:rPr>
            </w:pPr>
          </w:p>
        </w:tc>
        <w:tc>
          <w:tcPr>
            <w:tcW w:w="1491" w:type="dxa"/>
          </w:tcPr>
          <w:p>
            <w:pPr>
              <w:pStyle w:val="15"/>
              <w:adjustRightInd w:val="0"/>
              <w:snapToGrid w:val="0"/>
              <w:spacing w:before="156" w:after="156" w:line="440" w:lineRule="atLeast"/>
              <w:rPr>
                <w:rFonts w:hAnsi="宋体"/>
                <w:sz w:val="22"/>
                <w:szCs w:val="22"/>
              </w:rPr>
            </w:pPr>
          </w:p>
        </w:tc>
        <w:tc>
          <w:tcPr>
            <w:tcW w:w="1555"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c>
          <w:tcPr>
            <w:tcW w:w="1556" w:type="dxa"/>
          </w:tcPr>
          <w:p>
            <w:pPr>
              <w:pStyle w:val="15"/>
              <w:adjustRightInd w:val="0"/>
              <w:snapToGrid w:val="0"/>
              <w:spacing w:before="156" w:after="156" w:line="440" w:lineRule="atLeast"/>
              <w:rPr>
                <w:rFonts w:hAnsi="宋体"/>
                <w:sz w:val="22"/>
                <w:szCs w:val="22"/>
              </w:rPr>
            </w:pPr>
          </w:p>
        </w:tc>
      </w:tr>
    </w:tbl>
    <w:p>
      <w:pPr>
        <w:pStyle w:val="15"/>
        <w:spacing w:before="156" w:after="156" w:line="440" w:lineRule="atLeast"/>
        <w:rPr>
          <w:rFonts w:hAnsi="宋体" w:cs="Arial"/>
          <w:bCs/>
          <w:sz w:val="36"/>
          <w:szCs w:val="36"/>
        </w:rPr>
      </w:pPr>
      <w:r>
        <w:rPr>
          <w:rFonts w:hint="eastAsia" w:hAnsi="宋体"/>
          <w:sz w:val="22"/>
          <w:szCs w:val="22"/>
        </w:rPr>
        <w:t>说明：按评分标准要求提供。</w:t>
      </w:r>
    </w:p>
    <w:p>
      <w:pPr>
        <w:pStyle w:val="15"/>
        <w:spacing w:before="156" w:after="156" w:line="440" w:lineRule="atLeast"/>
        <w:jc w:val="center"/>
        <w:rPr>
          <w:rFonts w:hAnsi="宋体" w:cs="Arial"/>
          <w:bCs/>
          <w:sz w:val="36"/>
          <w:szCs w:val="36"/>
        </w:rPr>
      </w:pPr>
    </w:p>
    <w:p>
      <w:pPr>
        <w:pStyle w:val="15"/>
        <w:spacing w:before="156" w:after="156" w:line="440" w:lineRule="atLeast"/>
        <w:jc w:val="left"/>
        <w:rPr>
          <w:rFonts w:hAnsi="宋体" w:cs="Arial"/>
          <w:bCs/>
          <w:sz w:val="36"/>
          <w:szCs w:val="36"/>
        </w:rPr>
      </w:pPr>
      <w:r>
        <w:rPr>
          <w:rFonts w:hint="eastAsia"/>
          <w:sz w:val="22"/>
        </w:rPr>
        <w:t>投标供应商（盖章）</w:t>
      </w:r>
      <w:r>
        <w:rPr>
          <w:rFonts w:hint="eastAsia"/>
          <w:sz w:val="22"/>
          <w:u w:val="single"/>
        </w:rPr>
        <w:t xml:space="preserve">              </w:t>
      </w:r>
    </w:p>
    <w:p>
      <w:pPr>
        <w:pStyle w:val="15"/>
        <w:spacing w:before="156" w:after="156" w:line="440" w:lineRule="atLeast"/>
        <w:jc w:val="center"/>
        <w:rPr>
          <w:rFonts w:hAnsi="宋体" w:cs="Arial"/>
          <w:bCs/>
          <w:sz w:val="36"/>
          <w:szCs w:val="36"/>
        </w:rPr>
      </w:pPr>
    </w:p>
    <w:p>
      <w:pPr>
        <w:pStyle w:val="15"/>
        <w:spacing w:before="156" w:after="156" w:line="460" w:lineRule="atLeast"/>
        <w:rPr>
          <w:rFonts w:hAnsi="宋体"/>
          <w:sz w:val="36"/>
          <w:szCs w:val="36"/>
        </w:rPr>
      </w:pPr>
      <w:r>
        <w:rPr>
          <w:rFonts w:hint="eastAsia" w:cs="Arial"/>
          <w:sz w:val="22"/>
          <w:szCs w:val="22"/>
        </w:rPr>
        <w:t>附件八</w:t>
      </w:r>
    </w:p>
    <w:p>
      <w:pPr>
        <w:pStyle w:val="15"/>
        <w:spacing w:before="156" w:after="156" w:line="460" w:lineRule="atLeast"/>
        <w:jc w:val="center"/>
        <w:rPr>
          <w:rFonts w:hAnsi="宋体"/>
          <w:sz w:val="36"/>
          <w:szCs w:val="36"/>
        </w:rPr>
      </w:pPr>
      <w:r>
        <w:rPr>
          <w:rFonts w:hint="eastAsia" w:hAnsi="宋体"/>
          <w:sz w:val="36"/>
          <w:szCs w:val="36"/>
        </w:rPr>
        <w:t>拟派本项目成员组成表</w:t>
      </w:r>
    </w:p>
    <w:p>
      <w:pPr>
        <w:spacing w:line="400" w:lineRule="exact"/>
        <w:rPr>
          <w:rFonts w:ascii="宋体"/>
          <w:bCs/>
          <w:sz w:val="22"/>
        </w:rPr>
      </w:pPr>
      <w:r>
        <w:rPr>
          <w:rFonts w:hint="eastAsia" w:ascii="宋体"/>
          <w:sz w:val="22"/>
        </w:rPr>
        <w:t>项目名称：                                               招标编号：</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126"/>
        <w:gridCol w:w="690"/>
        <w:gridCol w:w="690"/>
        <w:gridCol w:w="1457"/>
        <w:gridCol w:w="1134"/>
        <w:gridCol w:w="26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40" w:type="dxa"/>
            <w:vAlign w:val="center"/>
          </w:tcPr>
          <w:p>
            <w:pPr>
              <w:jc w:val="center"/>
              <w:rPr>
                <w:rFonts w:ascii="宋体"/>
                <w:bCs/>
                <w:sz w:val="20"/>
              </w:rPr>
            </w:pPr>
            <w:r>
              <w:rPr>
                <w:rFonts w:hint="eastAsia" w:ascii="宋体"/>
                <w:bCs/>
                <w:sz w:val="20"/>
              </w:rPr>
              <w:t>姓名</w:t>
            </w:r>
          </w:p>
        </w:tc>
        <w:tc>
          <w:tcPr>
            <w:tcW w:w="1126" w:type="dxa"/>
            <w:vAlign w:val="center"/>
          </w:tcPr>
          <w:p>
            <w:pPr>
              <w:jc w:val="center"/>
              <w:rPr>
                <w:rFonts w:ascii="宋体"/>
                <w:bCs/>
                <w:sz w:val="20"/>
              </w:rPr>
            </w:pPr>
            <w:r>
              <w:rPr>
                <w:rFonts w:hint="eastAsia" w:ascii="宋体"/>
                <w:bCs/>
                <w:sz w:val="20"/>
              </w:rPr>
              <w:t>本项目担任工作</w:t>
            </w:r>
          </w:p>
        </w:tc>
        <w:tc>
          <w:tcPr>
            <w:tcW w:w="690" w:type="dxa"/>
            <w:vAlign w:val="center"/>
          </w:tcPr>
          <w:p>
            <w:pPr>
              <w:jc w:val="center"/>
              <w:rPr>
                <w:rFonts w:ascii="宋体"/>
                <w:bCs/>
                <w:sz w:val="20"/>
              </w:rPr>
            </w:pPr>
            <w:r>
              <w:rPr>
                <w:rFonts w:hint="eastAsia" w:ascii="宋体"/>
                <w:bCs/>
                <w:sz w:val="20"/>
              </w:rPr>
              <w:t>年龄</w:t>
            </w:r>
          </w:p>
        </w:tc>
        <w:tc>
          <w:tcPr>
            <w:tcW w:w="690" w:type="dxa"/>
            <w:vAlign w:val="center"/>
          </w:tcPr>
          <w:p>
            <w:pPr>
              <w:jc w:val="center"/>
              <w:rPr>
                <w:rFonts w:ascii="宋体"/>
                <w:bCs/>
                <w:sz w:val="20"/>
              </w:rPr>
            </w:pPr>
            <w:r>
              <w:rPr>
                <w:rFonts w:hint="eastAsia" w:ascii="宋体"/>
                <w:bCs/>
                <w:sz w:val="20"/>
              </w:rPr>
              <w:t>性别</w:t>
            </w:r>
          </w:p>
        </w:tc>
        <w:tc>
          <w:tcPr>
            <w:tcW w:w="1457" w:type="dxa"/>
            <w:vAlign w:val="center"/>
          </w:tcPr>
          <w:p>
            <w:pPr>
              <w:jc w:val="center"/>
              <w:rPr>
                <w:rFonts w:ascii="宋体"/>
                <w:bCs/>
                <w:sz w:val="20"/>
              </w:rPr>
            </w:pPr>
            <w:r>
              <w:rPr>
                <w:rFonts w:hint="eastAsia" w:ascii="宋体"/>
                <w:bCs/>
                <w:sz w:val="20"/>
              </w:rPr>
              <w:t>职称或资格</w:t>
            </w:r>
          </w:p>
        </w:tc>
        <w:tc>
          <w:tcPr>
            <w:tcW w:w="1134" w:type="dxa"/>
            <w:vAlign w:val="center"/>
          </w:tcPr>
          <w:p>
            <w:pPr>
              <w:jc w:val="center"/>
              <w:rPr>
                <w:rFonts w:ascii="宋体"/>
                <w:bCs/>
                <w:sz w:val="20"/>
              </w:rPr>
            </w:pPr>
            <w:r>
              <w:rPr>
                <w:rFonts w:hint="eastAsia" w:ascii="宋体"/>
                <w:bCs/>
                <w:sz w:val="20"/>
              </w:rPr>
              <w:t xml:space="preserve">专业 </w:t>
            </w:r>
          </w:p>
        </w:tc>
        <w:tc>
          <w:tcPr>
            <w:tcW w:w="2693" w:type="dxa"/>
            <w:vAlign w:val="center"/>
          </w:tcPr>
          <w:p>
            <w:pPr>
              <w:jc w:val="center"/>
              <w:rPr>
                <w:rFonts w:ascii="宋体"/>
                <w:bCs/>
                <w:sz w:val="20"/>
              </w:rPr>
            </w:pPr>
            <w:r>
              <w:rPr>
                <w:rFonts w:hint="eastAsia" w:ascii="宋体"/>
                <w:bCs/>
                <w:sz w:val="20"/>
              </w:rPr>
              <w:t>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pStyle w:val="43"/>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sz w:val="20"/>
                <w:szCs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pStyle w:val="16"/>
              <w:spacing w:line="360" w:lineRule="auto"/>
              <w:ind w:left="5250"/>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930" w:type="dxa"/>
            <w:gridSpan w:val="7"/>
            <w:vAlign w:val="center"/>
          </w:tcPr>
          <w:p>
            <w:pPr>
              <w:spacing w:line="360" w:lineRule="auto"/>
              <w:rPr>
                <w:rFonts w:ascii="宋体"/>
                <w:sz w:val="20"/>
              </w:rPr>
            </w:pPr>
            <w:r>
              <w:rPr>
                <w:rFonts w:hint="eastAsia" w:ascii="宋体"/>
                <w:sz w:val="22"/>
              </w:rPr>
              <w:t>一旦我单位中标，将实行项目负责人负责制，我方保证按招标文件要求配备齐全相关人员。上述填报内容真实，若不真实，愿按有关规定接受处理。</w:t>
            </w:r>
          </w:p>
        </w:tc>
      </w:tr>
    </w:tbl>
    <w:p>
      <w:pPr>
        <w:autoSpaceDE w:val="0"/>
        <w:autoSpaceDN w:val="0"/>
        <w:adjustRightInd w:val="0"/>
        <w:spacing w:line="360" w:lineRule="auto"/>
        <w:rPr>
          <w:rFonts w:ascii="宋体"/>
          <w:sz w:val="22"/>
        </w:rPr>
      </w:pPr>
      <w:r>
        <w:rPr>
          <w:rFonts w:hint="eastAsia" w:ascii="宋体"/>
          <w:sz w:val="22"/>
        </w:rPr>
        <w:t>注：1、本表人员</w:t>
      </w:r>
      <w:r>
        <w:rPr>
          <w:rFonts w:hint="eastAsia"/>
          <w:sz w:val="22"/>
        </w:rPr>
        <w:t>如有证书的，同时</w:t>
      </w:r>
      <w:r>
        <w:rPr>
          <w:sz w:val="22"/>
        </w:rPr>
        <w:t>提供</w:t>
      </w:r>
      <w:r>
        <w:rPr>
          <w:rFonts w:hint="eastAsia"/>
          <w:sz w:val="22"/>
        </w:rPr>
        <w:t>证书及</w:t>
      </w:r>
      <w:r>
        <w:rPr>
          <w:rFonts w:hint="eastAsia" w:ascii="宋体"/>
          <w:sz w:val="22"/>
        </w:rPr>
        <w:t>就近连续3个月在本单</w:t>
      </w:r>
      <w:r>
        <w:rPr>
          <w:rFonts w:hint="eastAsia"/>
          <w:sz w:val="22"/>
        </w:rPr>
        <w:t>位缴纳社保证明</w:t>
      </w:r>
      <w:r>
        <w:rPr>
          <w:sz w:val="22"/>
        </w:rPr>
        <w:t>扫描件加盖公章</w:t>
      </w:r>
      <w:r>
        <w:rPr>
          <w:rFonts w:hint="eastAsia" w:ascii="宋体"/>
          <w:sz w:val="22"/>
        </w:rPr>
        <w:t>。</w:t>
      </w:r>
    </w:p>
    <w:p>
      <w:pPr>
        <w:autoSpaceDE w:val="0"/>
        <w:autoSpaceDN w:val="0"/>
        <w:adjustRightInd w:val="0"/>
        <w:spacing w:line="360" w:lineRule="auto"/>
        <w:ind w:firstLine="323" w:firstLineChars="147"/>
        <w:rPr>
          <w:rFonts w:ascii="宋体"/>
          <w:sz w:val="22"/>
        </w:rPr>
      </w:pPr>
      <w:r>
        <w:rPr>
          <w:rFonts w:hint="eastAsia" w:ascii="宋体"/>
          <w:sz w:val="22"/>
        </w:rPr>
        <w:t xml:space="preserve"> 2</w:t>
      </w:r>
      <w:r>
        <w:rPr>
          <w:rFonts w:ascii="宋体"/>
          <w:sz w:val="22"/>
        </w:rPr>
        <w:t>、</w:t>
      </w:r>
      <w:r>
        <w:rPr>
          <w:rFonts w:hint="eastAsia" w:ascii="宋体"/>
          <w:sz w:val="22"/>
        </w:rPr>
        <w:t>列入本表人员如要更换，需经采购单位同意；擅自更换或不到位属违约行为。</w:t>
      </w:r>
    </w:p>
    <w:p>
      <w:pPr>
        <w:snapToGrid w:val="0"/>
        <w:spacing w:line="400" w:lineRule="atLeast"/>
        <w:ind w:firstLine="550" w:firstLineChars="250"/>
        <w:rPr>
          <w:rFonts w:ascii="宋体"/>
          <w:sz w:val="22"/>
        </w:rPr>
      </w:pPr>
      <w:r>
        <w:rPr>
          <w:rFonts w:hint="eastAsia" w:ascii="宋体"/>
          <w:sz w:val="22"/>
        </w:rPr>
        <w:t>投标供应商（盖章）：</w:t>
      </w:r>
    </w:p>
    <w:p>
      <w:pPr>
        <w:snapToGrid w:val="0"/>
        <w:spacing w:line="400" w:lineRule="atLeast"/>
        <w:ind w:firstLine="550" w:firstLineChars="250"/>
        <w:rPr>
          <w:rFonts w:ascii="宋体"/>
          <w:sz w:val="22"/>
        </w:rPr>
      </w:pPr>
      <w:r>
        <w:rPr>
          <w:rFonts w:hint="eastAsia" w:ascii="宋体"/>
          <w:sz w:val="22"/>
          <w:lang w:val="zh-CN"/>
        </w:rPr>
        <w:t>法定代表人或</w:t>
      </w:r>
      <w:r>
        <w:rPr>
          <w:rFonts w:hint="eastAsia" w:ascii="宋体" w:cs="Courier New"/>
          <w:sz w:val="22"/>
        </w:rPr>
        <w:t>其</w:t>
      </w:r>
      <w:r>
        <w:rPr>
          <w:rFonts w:hint="eastAsia" w:ascii="宋体"/>
          <w:sz w:val="22"/>
          <w:lang w:val="zh-CN"/>
        </w:rPr>
        <w:t>授权代表（签字或盖章）</w:t>
      </w:r>
      <w:r>
        <w:rPr>
          <w:rFonts w:hint="eastAsia" w:ascii="宋体"/>
          <w:sz w:val="22"/>
        </w:rPr>
        <w:t>：</w:t>
      </w:r>
    </w:p>
    <w:p>
      <w:pPr>
        <w:snapToGrid w:val="0"/>
        <w:spacing w:line="400" w:lineRule="atLeast"/>
        <w:ind w:firstLine="550" w:firstLineChars="250"/>
        <w:rPr>
          <w:rFonts w:ascii="宋体"/>
        </w:rPr>
      </w:pPr>
      <w:r>
        <w:rPr>
          <w:rFonts w:hint="eastAsia" w:ascii="宋体"/>
          <w:sz w:val="22"/>
        </w:rPr>
        <w:t xml:space="preserve">日期：  </w:t>
      </w:r>
      <w:r>
        <w:rPr>
          <w:rFonts w:hint="eastAsia" w:ascii="宋体"/>
        </w:rPr>
        <w:t xml:space="preserve">          </w:t>
      </w:r>
    </w:p>
    <w:p>
      <w:pPr>
        <w:adjustRightInd w:val="0"/>
        <w:snapToGrid w:val="0"/>
        <w:outlineLvl w:val="1"/>
        <w:rPr>
          <w:rFonts w:ascii="宋体"/>
          <w:sz w:val="32"/>
          <w:szCs w:val="32"/>
        </w:rPr>
      </w:pPr>
    </w:p>
    <w:p>
      <w:pPr>
        <w:autoSpaceDE w:val="0"/>
        <w:autoSpaceDN w:val="0"/>
        <w:adjustRightInd w:val="0"/>
        <w:spacing w:line="460" w:lineRule="atLeast"/>
        <w:rPr>
          <w:rFonts w:ascii="宋体"/>
          <w:sz w:val="36"/>
          <w:lang w:val="zh-CN"/>
        </w:rPr>
      </w:pPr>
      <w:r>
        <w:rPr>
          <w:rFonts w:hint="eastAsia" w:ascii="宋体" w:hAnsi="Courier New" w:cs="Arial"/>
          <w:sz w:val="22"/>
        </w:rPr>
        <w:t>附件九</w:t>
      </w:r>
    </w:p>
    <w:p>
      <w:pPr>
        <w:autoSpaceDE w:val="0"/>
        <w:autoSpaceDN w:val="0"/>
        <w:adjustRightInd w:val="0"/>
        <w:spacing w:line="460" w:lineRule="atLeast"/>
        <w:ind w:firstLine="3592" w:firstLineChars="998"/>
        <w:rPr>
          <w:rFonts w:ascii="宋体"/>
          <w:sz w:val="36"/>
          <w:lang w:val="zh-CN"/>
        </w:rPr>
      </w:pPr>
      <w:r>
        <w:rPr>
          <w:rFonts w:hint="eastAsia" w:ascii="宋体"/>
          <w:sz w:val="36"/>
          <w:lang w:val="zh-CN"/>
        </w:rPr>
        <w:t>偏离表</w:t>
      </w:r>
    </w:p>
    <w:tbl>
      <w:tblPr>
        <w:tblStyle w:val="30"/>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vAlign w:val="center"/>
          </w:tcPr>
          <w:p>
            <w:pPr>
              <w:autoSpaceDE w:val="0"/>
              <w:autoSpaceDN w:val="0"/>
              <w:adjustRightInd w:val="0"/>
              <w:spacing w:line="460" w:lineRule="atLeast"/>
              <w:jc w:val="center"/>
              <w:rPr>
                <w:rFonts w:ascii="宋体"/>
                <w:sz w:val="22"/>
                <w:lang w:val="zh-CN"/>
              </w:rPr>
            </w:pPr>
            <w:r>
              <w:rPr>
                <w:rFonts w:ascii="宋体"/>
                <w:sz w:val="22"/>
                <w:lang w:val="zh-CN"/>
              </w:rPr>
              <w:t>商务</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tcPr>
          <w:p>
            <w:pPr>
              <w:autoSpaceDE w:val="0"/>
              <w:autoSpaceDN w:val="0"/>
              <w:adjustRightInd w:val="0"/>
              <w:spacing w:line="460" w:lineRule="atLeast"/>
              <w:jc w:val="center"/>
              <w:rPr>
                <w:rFonts w:ascii="宋体"/>
                <w:sz w:val="22"/>
                <w:lang w:val="zh-CN"/>
              </w:rPr>
            </w:pPr>
            <w:r>
              <w:rPr>
                <w:rFonts w:ascii="宋体"/>
                <w:sz w:val="22"/>
                <w:lang w:val="zh-CN"/>
              </w:rPr>
              <w:t>技术</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bl>
    <w:p>
      <w:pPr>
        <w:spacing w:line="360" w:lineRule="auto"/>
        <w:rPr>
          <w:rFonts w:ascii="宋体"/>
          <w:sz w:val="22"/>
          <w:lang w:val="zh-CN"/>
        </w:rPr>
      </w:pPr>
    </w:p>
    <w:p>
      <w:pPr>
        <w:spacing w:line="360" w:lineRule="auto"/>
        <w:rPr>
          <w:rFonts w:ascii="宋体"/>
          <w:sz w:val="22"/>
          <w:lang w:val="zh-CN"/>
        </w:rPr>
      </w:pPr>
      <w:r>
        <w:rPr>
          <w:rFonts w:hint="eastAsia" w:ascii="宋体"/>
          <w:b/>
          <w:bCs/>
          <w:sz w:val="22"/>
          <w:lang w:val="zh-CN"/>
        </w:rPr>
        <w:t>备注添正偏离、负偏离或无偏离。</w:t>
      </w:r>
    </w:p>
    <w:p>
      <w:pPr>
        <w:spacing w:line="360" w:lineRule="auto"/>
        <w:rPr>
          <w:rFonts w:ascii="宋体"/>
        </w:rPr>
      </w:pPr>
      <w:r>
        <w:rPr>
          <w:rFonts w:hint="eastAsia" w:ascii="宋体"/>
          <w:sz w:val="22"/>
          <w:lang w:val="zh-CN"/>
        </w:rPr>
        <w:t>投标供应商盖章：</w:t>
      </w:r>
      <w:r>
        <w:rPr>
          <w:rFonts w:hint="eastAsia" w:ascii="宋体"/>
          <w:sz w:val="22"/>
          <w:u w:val="single"/>
          <w:lang w:val="zh-CN"/>
        </w:rPr>
        <w:t xml:space="preserve">           </w:t>
      </w: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rPr>
          <w:rFonts w:ascii="宋体"/>
          <w:sz w:val="36"/>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ascii="宋体"/>
          <w:sz w:val="36"/>
          <w:lang w:val="zh-CN"/>
        </w:rPr>
      </w:pPr>
      <w:r>
        <w:rPr>
          <w:rFonts w:hint="eastAsia" w:ascii="宋体" w:hAnsi="Courier New" w:cs="Arial"/>
          <w:sz w:val="22"/>
        </w:rPr>
        <w:t>附件十</w:t>
      </w:r>
    </w:p>
    <w:p>
      <w:pPr>
        <w:spacing w:line="400" w:lineRule="exact"/>
        <w:ind w:left="1440" w:hanging="1440" w:hangingChars="400"/>
        <w:jc w:val="center"/>
        <w:rPr>
          <w:rFonts w:ascii="宋体" w:cs="Arial"/>
          <w:bCs/>
          <w:sz w:val="32"/>
        </w:rPr>
      </w:pPr>
      <w:r>
        <w:rPr>
          <w:rFonts w:hint="eastAsia" w:ascii="宋体" w:cs="Arial"/>
          <w:bCs/>
          <w:sz w:val="36"/>
          <w:szCs w:val="36"/>
        </w:rPr>
        <w:t>所投货物的品牌型号（货物类）</w:t>
      </w:r>
    </w:p>
    <w:p>
      <w:pPr>
        <w:spacing w:line="400" w:lineRule="exact"/>
        <w:ind w:left="1280" w:hanging="1280" w:hangingChars="400"/>
        <w:jc w:val="center"/>
        <w:rPr>
          <w:rFonts w:ascii="宋体" w:cs="Arial"/>
          <w:bCs/>
          <w:sz w:val="32"/>
        </w:rPr>
      </w:pPr>
    </w:p>
    <w:p>
      <w:pPr>
        <w:spacing w:line="380" w:lineRule="exact"/>
        <w:rPr>
          <w:rFonts w:ascii="宋体"/>
          <w:bCs/>
          <w:sz w:val="22"/>
        </w:rPr>
      </w:pPr>
      <w:r>
        <w:rPr>
          <w:rFonts w:hint="eastAsia" w:ascii="宋体"/>
          <w:bCs/>
          <w:sz w:val="22"/>
        </w:rPr>
        <w:t>项目名称：                                          招标编号：</w:t>
      </w:r>
    </w:p>
    <w:tbl>
      <w:tblPr>
        <w:tblStyle w:val="30"/>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2099"/>
        <w:gridCol w:w="1666"/>
        <w:gridCol w:w="1560"/>
        <w:gridCol w:w="1134"/>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设备名称</w:t>
            </w:r>
          </w:p>
        </w:tc>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规格型号</w:t>
            </w:r>
          </w:p>
        </w:tc>
        <w:tc>
          <w:tcPr>
            <w:tcW w:w="1560"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品牌</w:t>
            </w:r>
          </w:p>
        </w:tc>
        <w:tc>
          <w:tcPr>
            <w:tcW w:w="1134"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数量</w:t>
            </w:r>
          </w:p>
        </w:tc>
        <w:tc>
          <w:tcPr>
            <w:tcW w:w="1417"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bl>
    <w:p>
      <w:pPr>
        <w:pStyle w:val="15"/>
        <w:spacing w:before="156" w:after="156" w:line="400" w:lineRule="atLeast"/>
        <w:rPr>
          <w:rFonts w:hAnsi="宋体"/>
          <w:bCs/>
          <w:sz w:val="22"/>
          <w:szCs w:val="22"/>
        </w:rPr>
      </w:pPr>
      <w:r>
        <w:rPr>
          <w:rFonts w:hint="eastAsia" w:hAnsi="宋体"/>
          <w:sz w:val="22"/>
          <w:szCs w:val="22"/>
        </w:rPr>
        <w:t>注：1、</w:t>
      </w:r>
      <w:r>
        <w:rPr>
          <w:rFonts w:hint="eastAsia" w:hAnsi="宋体"/>
          <w:bCs/>
          <w:sz w:val="22"/>
          <w:szCs w:val="22"/>
        </w:rPr>
        <w:t>表格可以延续。</w:t>
      </w:r>
    </w:p>
    <w:p>
      <w:pPr>
        <w:pStyle w:val="15"/>
        <w:spacing w:before="156" w:after="156" w:line="400" w:lineRule="atLeast"/>
        <w:ind w:left="1"/>
        <w:rPr>
          <w:rFonts w:hAnsi="宋体"/>
          <w:bCs/>
          <w:sz w:val="22"/>
          <w:szCs w:val="22"/>
        </w:rPr>
      </w:pPr>
    </w:p>
    <w:p>
      <w:pPr>
        <w:pStyle w:val="15"/>
        <w:spacing w:before="156" w:after="156" w:line="400" w:lineRule="atLeast"/>
        <w:ind w:left="425" w:hanging="424" w:hangingChars="193"/>
        <w:rPr>
          <w:rFonts w:hAnsi="宋体"/>
          <w:sz w:val="22"/>
        </w:rPr>
      </w:pPr>
    </w:p>
    <w:p>
      <w:pPr>
        <w:snapToGrid w:val="0"/>
        <w:spacing w:line="500" w:lineRule="atLeast"/>
        <w:ind w:firstLine="550" w:firstLineChars="250"/>
        <w:rPr>
          <w:rFonts w:ascii="宋体"/>
          <w:sz w:val="22"/>
        </w:rPr>
      </w:pPr>
      <w:r>
        <w:rPr>
          <w:rFonts w:hint="eastAsia" w:ascii="宋体"/>
          <w:sz w:val="22"/>
        </w:rPr>
        <w:t>投标供应商（盖章）：</w:t>
      </w:r>
    </w:p>
    <w:p>
      <w:pPr>
        <w:snapToGrid w:val="0"/>
        <w:spacing w:line="500" w:lineRule="atLeast"/>
        <w:ind w:firstLine="550" w:firstLineChars="250"/>
        <w:rPr>
          <w:rFonts w:ascii="宋体"/>
          <w:sz w:val="22"/>
        </w:rPr>
      </w:pPr>
      <w:r>
        <w:rPr>
          <w:rFonts w:hint="eastAsia" w:ascii="宋体"/>
          <w:sz w:val="22"/>
        </w:rPr>
        <w:t>法定代表人或</w:t>
      </w:r>
      <w:r>
        <w:rPr>
          <w:rFonts w:hint="eastAsia" w:ascii="宋体" w:cs="Courier New"/>
          <w:sz w:val="22"/>
        </w:rPr>
        <w:t>其</w:t>
      </w:r>
      <w:r>
        <w:rPr>
          <w:rFonts w:hint="eastAsia" w:ascii="宋体"/>
          <w:sz w:val="22"/>
        </w:rPr>
        <w:t>授权代表（签字或盖章）：</w:t>
      </w:r>
    </w:p>
    <w:p>
      <w:pPr>
        <w:snapToGrid w:val="0"/>
        <w:spacing w:line="500" w:lineRule="atLeast"/>
        <w:ind w:firstLine="550" w:firstLineChars="250"/>
        <w:rPr>
          <w:rFonts w:ascii="宋体"/>
          <w:sz w:val="22"/>
        </w:rPr>
      </w:pPr>
      <w:r>
        <w:rPr>
          <w:rFonts w:hint="eastAsia" w:ascii="宋体"/>
          <w:sz w:val="22"/>
        </w:rPr>
        <w:t xml:space="preserve">日期： </w:t>
      </w:r>
    </w:p>
    <w:p>
      <w:pPr>
        <w:pStyle w:val="29"/>
        <w:ind w:firstLine="440"/>
        <w:rPr>
          <w:rFonts w:ascii="宋体"/>
          <w:sz w:val="22"/>
        </w:rPr>
      </w:pPr>
    </w:p>
    <w:p>
      <w:pPr>
        <w:pStyle w:val="29"/>
        <w:ind w:firstLine="440"/>
        <w:rPr>
          <w:rFonts w:ascii="宋体"/>
          <w:sz w:val="22"/>
        </w:rPr>
        <w:sectPr>
          <w:pgSz w:w="11906" w:h="16838"/>
          <w:pgMar w:top="1440" w:right="1800" w:bottom="1440" w:left="1800" w:header="851" w:footer="992" w:gutter="0"/>
          <w:cols w:space="425" w:num="1"/>
          <w:docGrid w:type="lines" w:linePitch="312" w:charSpace="0"/>
        </w:sectPr>
      </w:pPr>
    </w:p>
    <w:p>
      <w:pPr>
        <w:spacing w:line="460" w:lineRule="atLeast"/>
        <w:rPr>
          <w:rFonts w:ascii="宋体"/>
          <w:sz w:val="24"/>
          <w:szCs w:val="24"/>
        </w:rPr>
      </w:pPr>
      <w:r>
        <w:rPr>
          <w:rFonts w:hint="eastAsia" w:ascii="宋体" w:cs="宋体"/>
          <w:sz w:val="22"/>
        </w:rPr>
        <w:t>附件十一：</w:t>
      </w:r>
    </w:p>
    <w:p>
      <w:pPr>
        <w:spacing w:line="460" w:lineRule="atLeast"/>
        <w:ind w:firstLine="480" w:firstLineChars="200"/>
        <w:jc w:val="center"/>
        <w:rPr>
          <w:rFonts w:ascii="宋体"/>
          <w:sz w:val="24"/>
          <w:szCs w:val="24"/>
        </w:rPr>
      </w:pPr>
      <w:r>
        <w:rPr>
          <w:rFonts w:hint="eastAsia" w:ascii="宋体"/>
          <w:sz w:val="24"/>
          <w:szCs w:val="24"/>
        </w:rPr>
        <w:t>中小企业声明函（货物）</w:t>
      </w:r>
    </w:p>
    <w:p>
      <w:pPr>
        <w:pStyle w:val="29"/>
      </w:pPr>
    </w:p>
    <w:p>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采购活动，提供的货物全部由符合政策要求的中小企业制造。相关企业（含联合体中的中小企业、签订分包意向协议的中小企业）的具体情况如下：</w:t>
      </w:r>
    </w:p>
    <w:p>
      <w:pPr>
        <w:pStyle w:val="29"/>
        <w:spacing w:line="360" w:lineRule="auto"/>
        <w:ind w:left="0" w:leftChars="0" w:firstLine="0" w:firstLineChars="0"/>
        <w:rPr>
          <w:sz w:val="24"/>
          <w:szCs w:val="24"/>
        </w:rPr>
      </w:pPr>
      <w:r>
        <w:rPr>
          <w:rFonts w:hint="eastAsia"/>
          <w:sz w:val="24"/>
          <w:szCs w:val="24"/>
        </w:rPr>
        <w:t xml:space="preserve">    1.</w:t>
      </w:r>
      <w:r>
        <w:rPr>
          <w:rFonts w:hint="eastAsia"/>
          <w:sz w:val="24"/>
          <w:szCs w:val="24"/>
          <w:u w:val="single"/>
        </w:rPr>
        <w:t>（标的名称）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w:t>
      </w:r>
      <w:r>
        <w:rPr>
          <w:rFonts w:hint="eastAsia"/>
          <w:sz w:val="24"/>
          <w:szCs w:val="24"/>
          <w:vertAlign w:val="superscript"/>
        </w:rPr>
        <w:t>1</w:t>
      </w:r>
      <w:r>
        <w:rPr>
          <w:rFonts w:hint="eastAsia"/>
          <w:sz w:val="24"/>
          <w:szCs w:val="24"/>
        </w:rPr>
        <w:t>，资产总额为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pStyle w:val="29"/>
        <w:spacing w:line="360" w:lineRule="auto"/>
        <w:ind w:left="0" w:leftChars="0" w:firstLine="480"/>
        <w:rPr>
          <w:sz w:val="24"/>
          <w:szCs w:val="24"/>
        </w:rPr>
      </w:pPr>
      <w:r>
        <w:rPr>
          <w:rFonts w:hint="eastAsia"/>
          <w:sz w:val="24"/>
          <w:szCs w:val="24"/>
          <w:u w:val="single"/>
        </w:rPr>
        <w:t>2.（标的名称）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pStyle w:val="29"/>
        <w:spacing w:line="360" w:lineRule="auto"/>
        <w:ind w:left="0" w:leftChars="0" w:firstLine="480"/>
        <w:rPr>
          <w:sz w:val="24"/>
          <w:szCs w:val="24"/>
        </w:rPr>
      </w:pPr>
      <w:r>
        <w:rPr>
          <w:rFonts w:hint="eastAsia"/>
          <w:sz w:val="24"/>
          <w:szCs w:val="24"/>
        </w:rPr>
        <w:t>……</w:t>
      </w:r>
    </w:p>
    <w:p>
      <w:pPr>
        <w:pStyle w:val="29"/>
        <w:spacing w:line="360" w:lineRule="auto"/>
        <w:ind w:left="0" w:leftChars="0" w:firstLine="480"/>
        <w:rPr>
          <w:sz w:val="24"/>
          <w:szCs w:val="24"/>
        </w:rPr>
      </w:pPr>
      <w:r>
        <w:rPr>
          <w:rFonts w:hint="eastAsia"/>
          <w:sz w:val="24"/>
          <w:szCs w:val="24"/>
        </w:rPr>
        <w:t>以上企业，不属于大企业的分支机构，不存在控股股东为大企业的情形，也不存在与大企业的负责人为同一人的情形。</w:t>
      </w:r>
    </w:p>
    <w:p>
      <w:pPr>
        <w:pStyle w:val="29"/>
        <w:spacing w:line="360" w:lineRule="auto"/>
        <w:ind w:left="0" w:leftChars="0" w:firstLine="480"/>
        <w:rPr>
          <w:sz w:val="24"/>
          <w:szCs w:val="24"/>
        </w:rPr>
      </w:pPr>
      <w:r>
        <w:rPr>
          <w:rFonts w:hint="eastAsia"/>
          <w:sz w:val="24"/>
          <w:szCs w:val="24"/>
        </w:rPr>
        <w:t>本企业对上述声明内容的真实性负责。如有虚假，将依法承担相应责任。</w:t>
      </w:r>
    </w:p>
    <w:p>
      <w:pPr>
        <w:spacing w:line="460" w:lineRule="atLeast"/>
        <w:ind w:firstLine="480" w:firstLineChars="200"/>
        <w:jc w:val="right"/>
        <w:rPr>
          <w:rFonts w:ascii="宋体" w:cs="宋体"/>
          <w:sz w:val="24"/>
          <w:szCs w:val="24"/>
        </w:rPr>
      </w:pPr>
      <w:r>
        <w:rPr>
          <w:rFonts w:hint="eastAsia" w:ascii="宋体" w:cs="宋体"/>
          <w:sz w:val="24"/>
          <w:szCs w:val="24"/>
        </w:rPr>
        <w:t xml:space="preserve">    </w:t>
      </w:r>
    </w:p>
    <w:p>
      <w:pPr>
        <w:spacing w:line="460" w:lineRule="atLeast"/>
        <w:ind w:firstLine="481" w:firstLineChars="200"/>
        <w:jc w:val="right"/>
        <w:rPr>
          <w:rFonts w:ascii="宋体" w:cs="宋体"/>
          <w:b/>
          <w:bCs/>
          <w:sz w:val="24"/>
          <w:szCs w:val="24"/>
        </w:rPr>
      </w:pPr>
      <w:r>
        <w:rPr>
          <w:rFonts w:hint="eastAsia" w:ascii="宋体" w:cs="宋体"/>
          <w:b/>
          <w:bCs/>
          <w:sz w:val="24"/>
          <w:szCs w:val="24"/>
        </w:rPr>
        <w:t>企业名称（盖章）：</w:t>
      </w:r>
    </w:p>
    <w:p>
      <w:pPr>
        <w:spacing w:line="460" w:lineRule="atLeast"/>
        <w:ind w:firstLine="722" w:firstLineChars="300"/>
        <w:rPr>
          <w:rFonts w:ascii="宋体" w:cs="宋体"/>
          <w:sz w:val="24"/>
          <w:szCs w:val="24"/>
        </w:rPr>
      </w:pPr>
      <w:r>
        <w:rPr>
          <w:rFonts w:hint="eastAsia" w:ascii="宋体" w:cs="宋体"/>
          <w:b/>
          <w:bCs/>
          <w:sz w:val="24"/>
          <w:szCs w:val="24"/>
        </w:rPr>
        <w:t xml:space="preserve">                                                日 期：</w:t>
      </w:r>
    </w:p>
    <w:p>
      <w:pPr>
        <w:spacing w:line="460" w:lineRule="atLeast"/>
        <w:rPr>
          <w:rFonts w:ascii="宋体" w:cs="宋体"/>
          <w:sz w:val="22"/>
        </w:rPr>
      </w:pPr>
    </w:p>
    <w:p>
      <w:pPr>
        <w:pStyle w:val="29"/>
        <w:ind w:firstLine="440"/>
        <w:rPr>
          <w:rFonts w:ascii="宋体" w:cs="宋体"/>
          <w:sz w:val="22"/>
        </w:rPr>
      </w:pPr>
    </w:p>
    <w:p>
      <w:pPr>
        <w:pStyle w:val="29"/>
        <w:ind w:firstLine="440"/>
        <w:rPr>
          <w:rFonts w:ascii="宋体" w:cs="宋体"/>
          <w:sz w:val="22"/>
        </w:rPr>
      </w:pPr>
    </w:p>
    <w:p>
      <w:pPr>
        <w:pStyle w:val="29"/>
        <w:ind w:firstLine="440"/>
        <w:rPr>
          <w:rFonts w:ascii="宋体" w:cs="宋体"/>
          <w:sz w:val="22"/>
        </w:rPr>
      </w:pPr>
    </w:p>
    <w:p>
      <w:pPr>
        <w:pStyle w:val="29"/>
        <w:ind w:firstLine="440"/>
        <w:rPr>
          <w:rFonts w:ascii="宋体" w:cs="宋体"/>
          <w:sz w:val="22"/>
        </w:rPr>
      </w:pPr>
    </w:p>
    <w:p>
      <w:pPr>
        <w:pStyle w:val="29"/>
        <w:ind w:left="0" w:leftChars="0" w:firstLine="0" w:firstLineChars="0"/>
        <w:rPr>
          <w:rFonts w:ascii="宋体" w:cs="宋体"/>
          <w:sz w:val="22"/>
          <w:u w:val="single"/>
        </w:rPr>
      </w:pPr>
    </w:p>
    <w:p>
      <w:pPr>
        <w:pStyle w:val="29"/>
        <w:ind w:left="0" w:leftChars="0" w:firstLine="0" w:firstLineChars="0"/>
        <w:rPr>
          <w:rFonts w:ascii="宋体" w:cs="宋体"/>
          <w:sz w:val="22"/>
          <w:u w:val="single"/>
        </w:rPr>
      </w:pPr>
    </w:p>
    <w:p>
      <w:pPr>
        <w:pStyle w:val="29"/>
        <w:ind w:left="0" w:leftChars="0" w:firstLine="0" w:firstLineChars="0"/>
        <w:rPr>
          <w:rFonts w:ascii="宋体" w:cs="宋体"/>
          <w:sz w:val="22"/>
          <w:u w:val="single"/>
        </w:rPr>
      </w:pPr>
      <w:r>
        <w:rPr>
          <w:rFonts w:hint="eastAsia" w:ascii="宋体" w:cs="宋体"/>
          <w:sz w:val="22"/>
          <w:u w:val="single"/>
        </w:rPr>
        <w:t xml:space="preserve">                         </w:t>
      </w:r>
    </w:p>
    <w:p>
      <w:pPr>
        <w:pStyle w:val="29"/>
        <w:ind w:left="0" w:leftChars="0" w:firstLine="0" w:firstLineChars="0"/>
        <w:rPr>
          <w:rFonts w:ascii="宋体" w:cs="宋体"/>
          <w:sz w:val="15"/>
          <w:szCs w:val="15"/>
        </w:rPr>
        <w:sectPr>
          <w:pgSz w:w="11906" w:h="16838"/>
          <w:pgMar w:top="1440" w:right="1800" w:bottom="1440" w:left="1800" w:header="851" w:footer="992" w:gutter="0"/>
          <w:cols w:space="425" w:num="1"/>
          <w:docGrid w:type="lines" w:linePitch="312" w:charSpace="0"/>
        </w:sectPr>
      </w:pPr>
      <w:r>
        <w:rPr>
          <w:rFonts w:ascii="宋体" w:cs="宋体"/>
          <w:sz w:val="18"/>
          <w:szCs w:val="18"/>
          <w:vertAlign w:val="superscript"/>
        </w:rPr>
        <w:t>1</w:t>
      </w:r>
      <w:r>
        <w:rPr>
          <w:rFonts w:ascii="宋体" w:cs="宋体"/>
          <w:sz w:val="15"/>
          <w:szCs w:val="15"/>
        </w:rPr>
        <w:t>从业人员、营业收入、资产总额填报上一年度数据，无上一年度数据的新成立企业可不填报。</w:t>
      </w:r>
    </w:p>
    <w:p>
      <w:pPr>
        <w:spacing w:line="460" w:lineRule="atLeast"/>
        <w:ind w:firstLine="480" w:firstLineChars="200"/>
        <w:jc w:val="center"/>
        <w:rPr>
          <w:rFonts w:ascii="宋体"/>
          <w:sz w:val="24"/>
          <w:szCs w:val="24"/>
        </w:rPr>
      </w:pPr>
      <w:r>
        <w:rPr>
          <w:rFonts w:hint="eastAsia" w:ascii="宋体"/>
          <w:sz w:val="24"/>
          <w:szCs w:val="24"/>
        </w:rPr>
        <w:t>中小企业声明函（工程、服务）</w:t>
      </w:r>
    </w:p>
    <w:p>
      <w:pPr>
        <w:pStyle w:val="29"/>
      </w:pPr>
    </w:p>
    <w:p>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29"/>
        <w:spacing w:line="360" w:lineRule="auto"/>
        <w:ind w:left="0" w:leftChars="0" w:firstLine="0" w:firstLineChars="0"/>
        <w:rPr>
          <w:sz w:val="24"/>
          <w:szCs w:val="24"/>
        </w:rPr>
      </w:pPr>
      <w:r>
        <w:rPr>
          <w:rFonts w:hint="eastAsia"/>
          <w:sz w:val="24"/>
          <w:szCs w:val="24"/>
        </w:rPr>
        <w:t xml:space="preserve">    1.</w:t>
      </w:r>
      <w:r>
        <w:rPr>
          <w:rFonts w:hint="eastAsia"/>
          <w:sz w:val="24"/>
          <w:szCs w:val="24"/>
          <w:u w:val="single"/>
        </w:rPr>
        <w:t>（标的名称）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pStyle w:val="29"/>
        <w:spacing w:line="360" w:lineRule="auto"/>
        <w:ind w:left="0" w:leftChars="0" w:firstLine="480"/>
        <w:rPr>
          <w:sz w:val="24"/>
          <w:szCs w:val="24"/>
        </w:rPr>
      </w:pPr>
      <w:r>
        <w:rPr>
          <w:rFonts w:hint="eastAsia"/>
          <w:sz w:val="24"/>
          <w:szCs w:val="24"/>
          <w:u w:val="single"/>
        </w:rPr>
        <w:t>2.（标的名称）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w:t>
      </w:r>
      <w:r>
        <w:rPr>
          <w:rFonts w:hint="eastAsia"/>
          <w:sz w:val="24"/>
          <w:szCs w:val="24"/>
          <w:vertAlign w:val="superscript"/>
        </w:rPr>
        <w:t>1</w:t>
      </w:r>
      <w:r>
        <w:rPr>
          <w:rFonts w:hint="eastAsia"/>
          <w:sz w:val="24"/>
          <w:szCs w:val="24"/>
        </w:rPr>
        <w:t>，属于</w:t>
      </w:r>
      <w:r>
        <w:rPr>
          <w:rFonts w:hint="eastAsia"/>
          <w:sz w:val="24"/>
          <w:szCs w:val="24"/>
          <w:u w:val="single"/>
        </w:rPr>
        <w:t>（中型企业、小型企业、微型企业）</w:t>
      </w:r>
      <w:r>
        <w:rPr>
          <w:rFonts w:hint="eastAsia"/>
          <w:sz w:val="24"/>
          <w:szCs w:val="24"/>
        </w:rPr>
        <w:t>；</w:t>
      </w:r>
    </w:p>
    <w:p>
      <w:pPr>
        <w:pStyle w:val="29"/>
        <w:spacing w:line="360" w:lineRule="auto"/>
        <w:ind w:left="0" w:leftChars="0" w:firstLine="480"/>
        <w:rPr>
          <w:sz w:val="24"/>
          <w:szCs w:val="24"/>
        </w:rPr>
      </w:pPr>
      <w:r>
        <w:rPr>
          <w:rFonts w:hint="eastAsia"/>
          <w:sz w:val="24"/>
          <w:szCs w:val="24"/>
        </w:rPr>
        <w:t>……</w:t>
      </w:r>
    </w:p>
    <w:p>
      <w:pPr>
        <w:pStyle w:val="29"/>
        <w:spacing w:line="360" w:lineRule="auto"/>
        <w:ind w:left="0" w:leftChars="0" w:firstLine="480"/>
        <w:rPr>
          <w:sz w:val="24"/>
          <w:szCs w:val="24"/>
        </w:rPr>
      </w:pPr>
      <w:r>
        <w:rPr>
          <w:rFonts w:hint="eastAsia"/>
          <w:sz w:val="24"/>
          <w:szCs w:val="24"/>
        </w:rPr>
        <w:t>以上企业，不属于大企业的分支机构，不存在控股股东为大企业的情形，也不存在与大企业的负责人为同一人的情形。</w:t>
      </w:r>
    </w:p>
    <w:p>
      <w:pPr>
        <w:pStyle w:val="29"/>
        <w:spacing w:line="360" w:lineRule="auto"/>
        <w:ind w:left="0" w:leftChars="0" w:firstLine="480"/>
        <w:rPr>
          <w:sz w:val="24"/>
          <w:szCs w:val="24"/>
        </w:rPr>
      </w:pPr>
      <w:r>
        <w:rPr>
          <w:rFonts w:hint="eastAsia"/>
          <w:sz w:val="24"/>
          <w:szCs w:val="24"/>
        </w:rPr>
        <w:t>本企业对上述声明内容的真实性负责。如有虚假，将依法承担相应责任。</w:t>
      </w:r>
    </w:p>
    <w:p>
      <w:pPr>
        <w:spacing w:line="460" w:lineRule="atLeast"/>
        <w:ind w:firstLine="480" w:firstLineChars="200"/>
        <w:jc w:val="right"/>
        <w:rPr>
          <w:rFonts w:ascii="宋体" w:cs="宋体"/>
          <w:sz w:val="24"/>
          <w:szCs w:val="24"/>
        </w:rPr>
      </w:pPr>
      <w:r>
        <w:rPr>
          <w:rFonts w:hint="eastAsia" w:ascii="宋体" w:cs="宋体"/>
          <w:sz w:val="24"/>
          <w:szCs w:val="24"/>
        </w:rPr>
        <w:t xml:space="preserve">    </w:t>
      </w:r>
    </w:p>
    <w:p>
      <w:pPr>
        <w:spacing w:line="460" w:lineRule="atLeast"/>
        <w:ind w:firstLine="481" w:firstLineChars="200"/>
        <w:jc w:val="right"/>
        <w:rPr>
          <w:rFonts w:ascii="宋体" w:cs="宋体"/>
          <w:b/>
          <w:bCs/>
          <w:sz w:val="24"/>
          <w:szCs w:val="24"/>
        </w:rPr>
      </w:pPr>
      <w:r>
        <w:rPr>
          <w:rFonts w:hint="eastAsia" w:ascii="宋体" w:cs="宋体"/>
          <w:b/>
          <w:bCs/>
          <w:sz w:val="24"/>
          <w:szCs w:val="24"/>
        </w:rPr>
        <w:t>企业名称（盖章）：</w:t>
      </w:r>
    </w:p>
    <w:p>
      <w:pPr>
        <w:spacing w:line="460" w:lineRule="atLeast"/>
        <w:ind w:firstLine="481" w:firstLineChars="200"/>
        <w:jc w:val="center"/>
        <w:rPr>
          <w:rFonts w:ascii="宋体" w:cs="宋体"/>
          <w:b/>
          <w:bCs/>
          <w:sz w:val="24"/>
          <w:szCs w:val="24"/>
        </w:rPr>
      </w:pPr>
      <w:r>
        <w:rPr>
          <w:rFonts w:hint="eastAsia" w:ascii="宋体" w:cs="宋体"/>
          <w:b/>
          <w:bCs/>
          <w:sz w:val="24"/>
          <w:szCs w:val="24"/>
        </w:rPr>
        <w:t xml:space="preserve">                                                日 期：</w:t>
      </w:r>
    </w:p>
    <w:p>
      <w:pPr>
        <w:pStyle w:val="29"/>
        <w:ind w:firstLine="482"/>
        <w:rPr>
          <w:rFonts w:ascii="宋体" w:cs="宋体"/>
          <w:b/>
          <w:bCs/>
          <w:sz w:val="24"/>
          <w:szCs w:val="24"/>
        </w:rPr>
      </w:pPr>
    </w:p>
    <w:p>
      <w:pPr>
        <w:pStyle w:val="29"/>
        <w:ind w:firstLine="482"/>
        <w:rPr>
          <w:rFonts w:ascii="宋体" w:cs="宋体"/>
          <w:b/>
          <w:bCs/>
          <w:sz w:val="24"/>
          <w:szCs w:val="24"/>
        </w:rPr>
      </w:pPr>
    </w:p>
    <w:p>
      <w:pPr>
        <w:pStyle w:val="29"/>
        <w:ind w:firstLine="482"/>
        <w:rPr>
          <w:rFonts w:ascii="宋体" w:cs="宋体"/>
          <w:b/>
          <w:bCs/>
          <w:sz w:val="24"/>
          <w:szCs w:val="24"/>
        </w:rPr>
      </w:pPr>
    </w:p>
    <w:p>
      <w:pPr>
        <w:pStyle w:val="29"/>
        <w:ind w:left="0" w:leftChars="0" w:firstLine="0" w:firstLineChars="0"/>
        <w:rPr>
          <w:rFonts w:ascii="宋体" w:cs="宋体"/>
          <w:b/>
          <w:bCs/>
          <w:sz w:val="24"/>
          <w:szCs w:val="24"/>
        </w:rPr>
      </w:pPr>
    </w:p>
    <w:p>
      <w:pPr>
        <w:pStyle w:val="29"/>
        <w:ind w:firstLine="482"/>
        <w:rPr>
          <w:rFonts w:ascii="宋体" w:cs="宋体"/>
          <w:b/>
          <w:bCs/>
          <w:sz w:val="24"/>
          <w:szCs w:val="24"/>
        </w:rPr>
      </w:pPr>
    </w:p>
    <w:p>
      <w:pPr>
        <w:pStyle w:val="29"/>
        <w:ind w:firstLine="482"/>
        <w:rPr>
          <w:rFonts w:ascii="宋体" w:cs="宋体"/>
          <w:b/>
          <w:bCs/>
          <w:sz w:val="24"/>
          <w:szCs w:val="24"/>
        </w:rPr>
      </w:pPr>
    </w:p>
    <w:p>
      <w:pPr>
        <w:pStyle w:val="29"/>
        <w:ind w:left="0" w:leftChars="0" w:firstLine="0" w:firstLineChars="0"/>
        <w:rPr>
          <w:rFonts w:ascii="宋体" w:cs="宋体"/>
          <w:sz w:val="22"/>
          <w:u w:val="single"/>
        </w:rPr>
      </w:pPr>
      <w:r>
        <w:rPr>
          <w:rFonts w:hint="eastAsia" w:ascii="宋体" w:cs="宋体"/>
          <w:sz w:val="22"/>
          <w:u w:val="single"/>
        </w:rPr>
        <w:t xml:space="preserve">                         </w:t>
      </w:r>
    </w:p>
    <w:p>
      <w:pPr>
        <w:pStyle w:val="29"/>
        <w:ind w:left="0" w:leftChars="0" w:firstLine="0" w:firstLineChars="0"/>
        <w:rPr>
          <w:rFonts w:ascii="宋体" w:cs="宋体"/>
          <w:sz w:val="15"/>
          <w:szCs w:val="15"/>
        </w:rPr>
        <w:sectPr>
          <w:pgSz w:w="11906" w:h="16838"/>
          <w:pgMar w:top="1440" w:right="1800" w:bottom="1440" w:left="1800" w:header="851" w:footer="992" w:gutter="0"/>
          <w:cols w:space="425" w:num="1"/>
          <w:docGrid w:type="lines" w:linePitch="312" w:charSpace="0"/>
        </w:sectPr>
      </w:pPr>
      <w:r>
        <w:rPr>
          <w:rFonts w:ascii="宋体" w:cs="宋体"/>
          <w:sz w:val="18"/>
          <w:szCs w:val="18"/>
          <w:vertAlign w:val="superscript"/>
        </w:rPr>
        <w:t>1</w:t>
      </w:r>
      <w:r>
        <w:rPr>
          <w:rFonts w:ascii="宋体" w:cs="宋体"/>
          <w:sz w:val="15"/>
          <w:szCs w:val="15"/>
        </w:rPr>
        <w:t>从业人员、营业收入、资产总额填报上一年度数据，无上一年度数据的新成立企业可不填报</w:t>
      </w:r>
      <w:r>
        <w:rPr>
          <w:rFonts w:hint="eastAsia" w:ascii="宋体" w:cs="宋体"/>
          <w:sz w:val="15"/>
          <w:szCs w:val="15"/>
        </w:rPr>
        <w:t>。</w:t>
      </w:r>
    </w:p>
    <w:p>
      <w:pPr>
        <w:spacing w:line="460" w:lineRule="exact"/>
        <w:rPr>
          <w:rFonts w:ascii="宋体" w:cs="宋体"/>
          <w:sz w:val="22"/>
        </w:rPr>
      </w:pPr>
      <w:r>
        <w:rPr>
          <w:rFonts w:hint="eastAsia" w:ascii="宋体" w:cs="宋体"/>
          <w:sz w:val="22"/>
        </w:rPr>
        <w:t>附件十二：</w:t>
      </w:r>
    </w:p>
    <w:p>
      <w:pPr>
        <w:spacing w:line="460" w:lineRule="exact"/>
        <w:jc w:val="center"/>
        <w:rPr>
          <w:rFonts w:ascii="宋体" w:cs="宋体"/>
          <w:sz w:val="22"/>
        </w:rPr>
      </w:pPr>
      <w:bookmarkStart w:id="243" w:name="OLE_LINK13"/>
      <w:bookmarkStart w:id="244" w:name="OLE_LINK14"/>
      <w:r>
        <w:rPr>
          <w:rFonts w:hint="eastAsia" w:ascii="宋体" w:cs="宋体"/>
          <w:sz w:val="22"/>
        </w:rPr>
        <w:t>残疾人福利性单位声明函</w:t>
      </w:r>
    </w:p>
    <w:bookmarkEnd w:id="243"/>
    <w:bookmarkEnd w:id="244"/>
    <w:p>
      <w:pPr>
        <w:spacing w:line="588" w:lineRule="exact"/>
        <w:rPr>
          <w:rFonts w:ascii="宋体"/>
          <w:spacing w:val="6"/>
          <w:sz w:val="30"/>
          <w:szCs w:val="30"/>
        </w:rPr>
      </w:pPr>
    </w:p>
    <w:p>
      <w:pPr>
        <w:spacing w:line="588" w:lineRule="exact"/>
        <w:ind w:firstLine="440" w:firstLineChars="200"/>
        <w:rPr>
          <w:rFonts w:ascii="宋体" w:cs="宋体"/>
          <w:sz w:val="22"/>
        </w:rPr>
      </w:pPr>
      <w:r>
        <w:rPr>
          <w:rFonts w:hint="eastAsia" w:ascii="宋体" w:cs="宋体"/>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spacing w:line="588" w:lineRule="exact"/>
        <w:ind w:firstLine="440" w:firstLineChars="200"/>
        <w:rPr>
          <w:rFonts w:ascii="宋体" w:cs="宋体"/>
          <w:sz w:val="22"/>
        </w:rPr>
      </w:pPr>
      <w:r>
        <w:rPr>
          <w:rFonts w:hint="eastAsia" w:ascii="宋体" w:cs="宋体"/>
          <w:sz w:val="22"/>
        </w:rPr>
        <w:t>本单位对上述声明的真实性负责。如有虚假，将依法承担相应责任。</w:t>
      </w:r>
    </w:p>
    <w:p>
      <w:pPr>
        <w:spacing w:line="588" w:lineRule="exact"/>
        <w:ind w:firstLine="624" w:firstLineChars="200"/>
        <w:rPr>
          <w:rFonts w:ascii="宋体"/>
          <w:spacing w:val="6"/>
          <w:sz w:val="30"/>
          <w:szCs w:val="30"/>
        </w:rPr>
      </w:pPr>
    </w:p>
    <w:p>
      <w:pPr>
        <w:spacing w:line="588" w:lineRule="exact"/>
        <w:ind w:firstLine="624" w:firstLineChars="200"/>
        <w:rPr>
          <w:rFonts w:ascii="宋体"/>
          <w:spacing w:val="6"/>
          <w:sz w:val="30"/>
          <w:szCs w:val="30"/>
        </w:rPr>
      </w:pPr>
    </w:p>
    <w:p>
      <w:pPr>
        <w:spacing w:line="460" w:lineRule="atLeast"/>
        <w:rPr>
          <w:rFonts w:ascii="宋体" w:cs="宋体"/>
          <w:sz w:val="22"/>
        </w:rPr>
      </w:pPr>
      <w:r>
        <w:rPr>
          <w:rFonts w:hint="eastAsia" w:ascii="宋体" w:cs="宋体"/>
          <w:sz w:val="22"/>
        </w:rPr>
        <w:t>投标供应商（盖章）：                </w:t>
      </w:r>
      <w:r>
        <w:rPr>
          <w:rFonts w:hint="eastAsia" w:ascii="宋体" w:cs="宋体"/>
          <w:sz w:val="22"/>
        </w:rPr>
        <w:br w:type="textWrapping"/>
      </w:r>
      <w:r>
        <w:rPr>
          <w:rFonts w:hint="eastAsia" w:ascii="宋体" w:cs="宋体"/>
          <w:sz w:val="22"/>
        </w:rPr>
        <w:t>日期：</w:t>
      </w: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jc w:val="left"/>
        <w:rPr>
          <w:rFonts w:ascii="宋体"/>
          <w:sz w:val="22"/>
        </w:rPr>
      </w:pPr>
      <w:r>
        <w:rPr>
          <w:rFonts w:hint="eastAsia" w:ascii="宋体"/>
          <w:sz w:val="22"/>
        </w:rPr>
        <w:t>备注说明：</w:t>
      </w:r>
    </w:p>
    <w:p>
      <w:pPr>
        <w:spacing w:line="588" w:lineRule="exact"/>
        <w:ind w:firstLine="440" w:firstLineChars="200"/>
        <w:rPr>
          <w:rFonts w:ascii="宋体" w:cs="宋体"/>
          <w:sz w:val="22"/>
        </w:rPr>
      </w:pPr>
      <w:r>
        <w:rPr>
          <w:rFonts w:hint="eastAsia" w:ascii="宋体" w:cs="宋体"/>
          <w:sz w:val="22"/>
        </w:rPr>
        <w:t>1、如中标，将在中标公告中将此残疾人福利性单位声明函予以公示，接受社会监督；</w:t>
      </w:r>
    </w:p>
    <w:p>
      <w:pPr>
        <w:spacing w:line="588" w:lineRule="exact"/>
        <w:ind w:firstLine="440" w:firstLineChars="200"/>
        <w:rPr>
          <w:rFonts w:ascii="宋体" w:cs="宋体"/>
          <w:sz w:val="22"/>
        </w:rPr>
      </w:pPr>
      <w:r>
        <w:rPr>
          <w:rFonts w:ascii="宋体" w:cs="宋体"/>
          <w:sz w:val="22"/>
        </w:rPr>
        <w:t>2</w:t>
      </w:r>
      <w:r>
        <w:rPr>
          <w:rFonts w:hint="eastAsia" w:ascii="宋体" w:cs="宋体"/>
          <w:sz w:val="22"/>
        </w:rPr>
        <w:t>、供应商提供的《残疾人福利性单位声明函》与事实不符的，依照《政府采购法》第七十七条第一款的规定追究法律责任。</w:t>
      </w: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altName w:val="宋体"/>
    <w:panose1 w:val="020B0609070205080204"/>
    <w:charset w:val="80"/>
    <w:family w:val="modern"/>
    <w:pitch w:val="default"/>
    <w:sig w:usb0="00000000" w:usb1="00000000" w:usb2="08000012" w:usb3="00000000" w:csb0="4002009F" w:csb1="DFD70000"/>
  </w:font>
  <w:font w:name="华文中宋">
    <w:altName w:val="汉仪中宋简"/>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erdana">
    <w:altName w:val="DejaVu Sans"/>
    <w:panose1 w:val="020B0604030504040204"/>
    <w:charset w:val="00"/>
    <w:family w:val="swiss"/>
    <w:pitch w:val="default"/>
    <w:sig w:usb0="00000000" w:usb1="00000000" w:usb2="00000010" w:usb3="00000000" w:csb0="2000019F" w:csb1="00000000"/>
  </w:font>
  <w:font w:name="Helvetica">
    <w:altName w:val="宋体"/>
    <w:panose1 w:val="020B0604020202020204"/>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4923"/>
    </w:sdtPr>
    <w:sdtContent>
      <w:p>
        <w:pPr>
          <w:pStyle w:val="19"/>
          <w:jc w:val="right"/>
        </w:pPr>
        <w:r>
          <w:fldChar w:fldCharType="begin"/>
        </w:r>
        <w:r>
          <w:instrText xml:space="preserve"> PAGE   \* MERGEFORMAT </w:instrText>
        </w:r>
        <w:r>
          <w:fldChar w:fldCharType="separate"/>
        </w:r>
        <w:r>
          <w:rPr>
            <w:lang w:val="zh-CN"/>
          </w:rPr>
          <w:t>39</w:t>
        </w:r>
        <w:r>
          <w:rPr>
            <w:lang w:val="zh-CN"/>
          </w:rP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12" w:space="2"/>
      </w:pBdr>
      <w:ind w:left="105" w:leftChars="50" w:firstLine="480"/>
      <w:jc w:val="center"/>
      <w:rPr>
        <w:rFonts w:asciiTheme="minorEastAsia" w:hAnsiTheme="min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rFonts w:hint="eastAsia" w:cs="华文中宋" w:asciiTheme="minorEastAsia" w:hAnsiTheme="minorEastAsia"/>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12" w:space="2"/>
      </w:pBdr>
      <w:ind w:left="105" w:leftChars="50" w:firstLine="360"/>
      <w:jc w:val="center"/>
      <w:rPr>
        <w:rFonts w:asciiTheme="minorEastAsia" w:hAnsiTheme="minorEastAsia"/>
      </w:rPr>
    </w:pPr>
    <w:r>
      <w:rPr>
        <w:rFonts w:hint="eastAsia" w:cs="华文中宋" w:asciiTheme="minorEastAsia" w:hAnsiTheme="minorEastAsia"/>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rFonts w:hint="eastAsia" w:cs="华文中宋" w:asciiTheme="minorEastAsia" w:hAnsiTheme="minorEastAsia"/>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12" w:space="2"/>
      </w:pBdr>
      <w:ind w:left="105" w:leftChars="50" w:firstLine="360"/>
      <w:jc w:val="center"/>
      <w:rPr>
        <w:rFonts w:asciiTheme="minorEastAsia" w:hAnsiTheme="minorEastAsia"/>
      </w:rPr>
    </w:pPr>
    <w:r>
      <w:rPr>
        <w:rFonts w:hint="eastAsia" w:cs="华文中宋" w:asciiTheme="minorEastAsia" w:hAnsiTheme="minorEastAsia"/>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rFonts w:hint="eastAsia" w:cs="华文中宋" w:asciiTheme="minorEastAsia" w:hAnsiTheme="minorEastAsia"/>
        <w:sz w:val="18"/>
        <w:szCs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numPicBullet w:numPicBulletId="2">
    <w:pict>
      <v:shape id="2" type="#_x0000_t75" style="width:15px;height:15px" o:bullet="t">
        <v:imagedata r:id="rId3" o:title=""/>
      </v:shape>
    </w:pict>
  </w:numPicBullet>
  <w:numPicBullet w:numPicBulletId="3">
    <w:pict>
      <v:shape id="3" type="#_x0000_t75" style="width:15px;height:15px" o:bullet="t">
        <v:imagedata r:id="rId4" o:title=""/>
      </v:shape>
    </w:pict>
  </w:numPicBullet>
  <w:numPicBullet w:numPicBulletId="4">
    <w:pict>
      <v:shape id="4" type="#_x0000_t75" style="width:15px;height:15px" o:bullet="t">
        <v:imagedata r:id="rId5" o:title=""/>
      </v:shape>
    </w:pict>
  </w:numPicBullet>
  <w:numPicBullet w:numPicBulletId="5">
    <w:pict>
      <v:shape id="5" type="#_x0000_t75" style="width:15px;height:15px" o:bullet="t">
        <v:imagedata r:id="rId6" o:title=""/>
      </v:shape>
    </w:pict>
  </w:numPicBullet>
  <w:abstractNum w:abstractNumId="0">
    <w:nsid w:val="A876A76F"/>
    <w:multiLevelType w:val="singleLevel"/>
    <w:tmpl w:val="A876A76F"/>
    <w:lvl w:ilvl="0" w:tentative="0">
      <w:start w:val="1"/>
      <w:numFmt w:val="chineseCounting"/>
      <w:suff w:val="nothing"/>
      <w:lvlText w:val="（%1）"/>
      <w:lvlJc w:val="left"/>
      <w:rPr>
        <w:rFonts w:hint="eastAsia"/>
      </w:rPr>
    </w:lvl>
  </w:abstractNum>
  <w:abstractNum w:abstractNumId="1">
    <w:nsid w:val="FD7CC7E0"/>
    <w:multiLevelType w:val="singleLevel"/>
    <w:tmpl w:val="FD7CC7E0"/>
    <w:lvl w:ilvl="0" w:tentative="0">
      <w:start w:val="4"/>
      <w:numFmt w:val="decimal"/>
      <w:suff w:val="nothing"/>
      <w:lvlText w:val="%1、"/>
      <w:lvlJc w:val="left"/>
    </w:lvl>
  </w:abstractNum>
  <w:abstractNum w:abstractNumId="2">
    <w:nsid w:val="0A80700F"/>
    <w:multiLevelType w:val="multilevel"/>
    <w:tmpl w:val="0A80700F"/>
    <w:lvl w:ilvl="0" w:tentative="0">
      <w:start w:val="1"/>
      <w:numFmt w:val="chineseCountingThousand"/>
      <w:pStyle w:val="3"/>
      <w:suff w:val="space"/>
      <w:lvlText w:val="第%1章"/>
      <w:lvlJc w:val="left"/>
      <w:pPr>
        <w:ind w:left="0" w:firstLine="0"/>
      </w:pPr>
      <w:rPr>
        <w:rFonts w:hint="eastAsia" w:ascii="宋体" w:hAnsi="宋体" w:eastAsia="宋体"/>
        <w:b/>
        <w:bCs w:val="0"/>
        <w:i w:val="0"/>
        <w:iCs w:val="0"/>
        <w:caps w:val="0"/>
        <w:smallCaps w:val="0"/>
        <w:strike w:val="0"/>
        <w:dstrike w:val="0"/>
        <w:vanish w:val="0"/>
        <w:spacing w:val="0"/>
        <w:position w:val="0"/>
        <w:sz w:val="30"/>
        <w:u w:val="none"/>
        <w:vertAlign w:val="baseline"/>
      </w:rPr>
    </w:lvl>
    <w:lvl w:ilvl="1" w:tentative="0">
      <w:start w:val="1"/>
      <w:numFmt w:val="decimal"/>
      <w:suff w:val="space"/>
      <w:lvlText w:val="%2、"/>
      <w:lvlJc w:val="left"/>
      <w:pPr>
        <w:ind w:left="0" w:firstLine="0"/>
      </w:pPr>
      <w:rPr>
        <w:rFonts w:hint="eastAsia"/>
        <w:b/>
        <w:bCs w:val="0"/>
        <w:i w:val="0"/>
        <w:iCs w:val="0"/>
        <w:caps w:val="0"/>
        <w:smallCaps w:val="0"/>
        <w:strike w:val="0"/>
        <w:dstrike w:val="0"/>
        <w:vanish w:val="0"/>
        <w:spacing w:val="0"/>
        <w:position w:val="0"/>
        <w:u w:val="none"/>
        <w:vertAlign w:val="baseline"/>
      </w:rPr>
    </w:lvl>
    <w:lvl w:ilvl="2" w:tentative="0">
      <w:start w:val="1"/>
      <w:numFmt w:val="decimal"/>
      <w:pStyle w:val="4"/>
      <w:suff w:val="space"/>
      <w:lvlText w:val="%2.%3、"/>
      <w:lvlJc w:val="left"/>
      <w:pPr>
        <w:ind w:left="284" w:firstLine="0"/>
      </w:pPr>
      <w:rPr>
        <w:rFonts w:hint="eastAsia"/>
        <w:b/>
        <w:bCs w:val="0"/>
        <w:i w:val="0"/>
        <w:iCs w:val="0"/>
        <w:caps w:val="0"/>
        <w:smallCaps w:val="0"/>
        <w:strike w:val="0"/>
        <w:dstrike w:val="0"/>
        <w:vanish w:val="0"/>
        <w:spacing w:val="0"/>
        <w:position w:val="0"/>
        <w:u w:val="none"/>
        <w:vertAlign w:val="baseline"/>
      </w:rPr>
    </w:lvl>
    <w:lvl w:ilvl="3" w:tentative="0">
      <w:start w:val="1"/>
      <w:numFmt w:val="decimal"/>
      <w:pStyle w:val="5"/>
      <w:suff w:val="space"/>
      <w:lvlText w:val="%2.%3.%4、"/>
      <w:lvlJc w:val="left"/>
      <w:pPr>
        <w:ind w:left="993" w:firstLine="0"/>
      </w:pPr>
      <w:rPr>
        <w:b w:val="0"/>
        <w:bCs w:val="0"/>
        <w:i w:val="0"/>
        <w:iCs w:val="0"/>
        <w:caps w:val="0"/>
        <w:smallCaps w:val="0"/>
        <w:strike w:val="0"/>
        <w:dstrike w:val="0"/>
        <w:vanish w:val="0"/>
        <w:spacing w:val="0"/>
        <w:position w:val="0"/>
        <w:u w:val="none"/>
        <w:vertAlign w:val="baseline"/>
      </w:rPr>
    </w:lvl>
    <w:lvl w:ilvl="4" w:tentative="0">
      <w:start w:val="1"/>
      <w:numFmt w:val="decimal"/>
      <w:pStyle w:val="6"/>
      <w:suff w:val="space"/>
      <w:lvlText w:val="%2.%3.%4.%5、"/>
      <w:lvlJc w:val="left"/>
      <w:pPr>
        <w:ind w:left="1843" w:firstLine="0"/>
      </w:pPr>
      <w:rPr>
        <w:rFonts w:hint="eastAsia"/>
        <w:b/>
        <w:bCs w:val="0"/>
        <w:i w:val="0"/>
        <w:iCs w:val="0"/>
        <w:caps w:val="0"/>
        <w:smallCaps w:val="0"/>
        <w:strike w:val="0"/>
        <w:dstrike w:val="0"/>
        <w:vanish w:val="0"/>
        <w:spacing w:val="0"/>
        <w:position w:val="0"/>
        <w:u w:val="none"/>
        <w:vertAlign w:val="baseline"/>
      </w:rPr>
    </w:lvl>
    <w:lvl w:ilvl="5" w:tentative="0">
      <w:start w:val="1"/>
      <w:numFmt w:val="decimal"/>
      <w:suff w:val="space"/>
      <w:lvlText w:val="（%6）"/>
      <w:lvlJc w:val="left"/>
      <w:pPr>
        <w:ind w:left="4253" w:firstLine="0"/>
      </w:pPr>
      <w:rPr>
        <w:rFonts w:hint="eastAsia" w:ascii="宋体" w:hAnsi="宋体" w:eastAsia="宋体"/>
        <w:b/>
        <w:bCs w:val="0"/>
        <w:i w:val="0"/>
        <w:iCs w:val="0"/>
        <w:caps w:val="0"/>
        <w:strike w:val="0"/>
        <w:dstrike w:val="0"/>
        <w:vanish w:val="0"/>
        <w:spacing w:val="0"/>
        <w:position w:val="0"/>
        <w:sz w:val="28"/>
        <w:u w:val="none"/>
        <w:vertAlign w:val="baseline"/>
      </w:rPr>
    </w:lvl>
    <w:lvl w:ilvl="6" w:tentative="0">
      <w:start w:val="1"/>
      <w:numFmt w:val="decimal"/>
      <w:suff w:val="space"/>
      <w:lvlText w:val="%7）"/>
      <w:lvlJc w:val="left"/>
      <w:pPr>
        <w:ind w:left="0" w:firstLine="0"/>
      </w:pPr>
      <w:rPr>
        <w:rFonts w:hint="eastAsia" w:ascii="宋体" w:hAnsi="宋体" w:eastAsia="宋体"/>
        <w:b/>
        <w:bCs w:val="0"/>
        <w:i w:val="0"/>
        <w:iCs w:val="0"/>
        <w:caps w:val="0"/>
        <w:strike w:val="0"/>
        <w:dstrike w:val="0"/>
        <w:vanish w:val="0"/>
        <w:spacing w:val="0"/>
        <w:position w:val="0"/>
        <w:sz w:val="24"/>
        <w:u w:val="none"/>
        <w:vertAlign w:val="baseline"/>
      </w:rPr>
    </w:lvl>
    <w:lvl w:ilvl="7" w:tentative="0">
      <w:start w:val="1"/>
      <w:numFmt w:val="lowerLetter"/>
      <w:suff w:val="space"/>
      <w:lvlText w:val="%8）"/>
      <w:lvlJc w:val="left"/>
      <w:pPr>
        <w:ind w:left="0" w:firstLine="0"/>
      </w:pPr>
      <w:rPr>
        <w:rFonts w:hint="eastAsia" w:ascii="宋体" w:hAnsi="宋体" w:eastAsia="宋体"/>
        <w:b/>
        <w:bCs w:val="0"/>
        <w:i w:val="0"/>
        <w:iCs w:val="0"/>
        <w:caps w:val="0"/>
        <w:strike w:val="0"/>
        <w:dstrike w:val="0"/>
        <w:vanish w:val="0"/>
        <w:spacing w:val="0"/>
        <w:position w:val="0"/>
        <w:sz w:val="28"/>
        <w:u w:val="none"/>
        <w:vertAlign w:val="baseline"/>
      </w:rPr>
    </w:lvl>
    <w:lvl w:ilvl="8" w:tentative="0">
      <w:start w:val="1"/>
      <w:numFmt w:val="decimal"/>
      <w:lvlText w:val="%1.%2.%3.%4.%5.%6.%7.%8.%9"/>
      <w:lvlJc w:val="left"/>
      <w:pPr>
        <w:ind w:left="5102" w:hanging="1700"/>
      </w:pPr>
      <w:rPr>
        <w:rFonts w:hint="eastAsia"/>
      </w:rPr>
    </w:lvl>
  </w:abstractNum>
  <w:abstractNum w:abstractNumId="3">
    <w:nsid w:val="101D669E"/>
    <w:multiLevelType w:val="multilevel"/>
    <w:tmpl w:val="101D669E"/>
    <w:lvl w:ilvl="0" w:tentative="0">
      <w:start w:val="1"/>
      <w:numFmt w:val="bullet"/>
      <w:lvlText w:val=""/>
      <w:lvlPicBulletId w:val="4"/>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4">
    <w:nsid w:val="10C20441"/>
    <w:multiLevelType w:val="multilevel"/>
    <w:tmpl w:val="10C20441"/>
    <w:lvl w:ilvl="0" w:tentative="0">
      <w:start w:val="1"/>
      <w:numFmt w:val="bullet"/>
      <w:lvlText w:val=""/>
      <w:lvlPicBulletId w:val="1"/>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2754277"/>
    <w:multiLevelType w:val="multilevel"/>
    <w:tmpl w:val="12754277"/>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6">
    <w:nsid w:val="163D666D"/>
    <w:multiLevelType w:val="multilevel"/>
    <w:tmpl w:val="163D666D"/>
    <w:lvl w:ilvl="0" w:tentative="0">
      <w:start w:val="1"/>
      <w:numFmt w:val="bullet"/>
      <w:lvlText w:val=""/>
      <w:lvlPicBulletId w:val="2"/>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7">
    <w:nsid w:val="3D7C0DCE"/>
    <w:multiLevelType w:val="singleLevel"/>
    <w:tmpl w:val="3D7C0DCE"/>
    <w:lvl w:ilvl="0" w:tentative="0">
      <w:start w:val="2022"/>
      <w:numFmt w:val="decimal"/>
      <w:suff w:val="space"/>
      <w:lvlText w:val="%1-"/>
      <w:lvlJc w:val="left"/>
    </w:lvl>
  </w:abstractNum>
  <w:abstractNum w:abstractNumId="8">
    <w:nsid w:val="45A91B01"/>
    <w:multiLevelType w:val="multilevel"/>
    <w:tmpl w:val="45A91B01"/>
    <w:lvl w:ilvl="0" w:tentative="0">
      <w:start w:val="1"/>
      <w:numFmt w:val="bullet"/>
      <w:lvlText w:val=""/>
      <w:lvlPicBulletId w:val="0"/>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517076C3"/>
    <w:multiLevelType w:val="multilevel"/>
    <w:tmpl w:val="517076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17370D4"/>
    <w:multiLevelType w:val="multilevel"/>
    <w:tmpl w:val="517370D4"/>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E871BAB"/>
    <w:multiLevelType w:val="multilevel"/>
    <w:tmpl w:val="5E871BA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88E646C"/>
    <w:multiLevelType w:val="multilevel"/>
    <w:tmpl w:val="688E646C"/>
    <w:lvl w:ilvl="0" w:tentative="0">
      <w:start w:val="1"/>
      <w:numFmt w:val="bullet"/>
      <w:lvlText w:val=""/>
      <w:lvlPicBulletId w:val="3"/>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1A17DF0"/>
    <w:multiLevelType w:val="multilevel"/>
    <w:tmpl w:val="71A17DF0"/>
    <w:lvl w:ilvl="0" w:tentative="0">
      <w:start w:val="1"/>
      <w:numFmt w:val="bullet"/>
      <w:lvlText w:val=""/>
      <w:lvlPicBulletId w:val="5"/>
      <w:lvlJc w:val="left"/>
      <w:pPr>
        <w:ind w:left="0" w:firstLine="48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C657597"/>
    <w:multiLevelType w:val="multilevel"/>
    <w:tmpl w:val="7C657597"/>
    <w:lvl w:ilvl="0" w:tentative="0">
      <w:start w:val="1"/>
      <w:numFmt w:val="japaneseCounting"/>
      <w:lvlText w:val="第%1章"/>
      <w:lvlJc w:val="left"/>
      <w:pPr>
        <w:ind w:left="1365" w:hanging="1200"/>
      </w:pPr>
      <w:rPr>
        <w:rFonts w:hint="default"/>
      </w:rPr>
    </w:lvl>
    <w:lvl w:ilvl="1" w:tentative="0">
      <w:start w:val="1"/>
      <w:numFmt w:val="lowerLetter"/>
      <w:lvlText w:val="%2)"/>
      <w:lvlJc w:val="left"/>
      <w:pPr>
        <w:ind w:left="1005" w:hanging="420"/>
      </w:p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num w:numId="1">
    <w:abstractNumId w:val="2"/>
  </w:num>
  <w:num w:numId="2">
    <w:abstractNumId w:val="14"/>
  </w:num>
  <w:num w:numId="3">
    <w:abstractNumId w:val="8"/>
  </w:num>
  <w:num w:numId="4">
    <w:abstractNumId w:val="4"/>
  </w:num>
  <w:num w:numId="5">
    <w:abstractNumId w:val="6"/>
  </w:num>
  <w:num w:numId="6">
    <w:abstractNumId w:val="12"/>
  </w:num>
  <w:num w:numId="7">
    <w:abstractNumId w:val="11"/>
  </w:num>
  <w:num w:numId="8">
    <w:abstractNumId w:val="10"/>
  </w:num>
  <w:num w:numId="9">
    <w:abstractNumId w:val="3"/>
  </w:num>
  <w:num w:numId="10">
    <w:abstractNumId w:val="9"/>
  </w:num>
  <w:num w:numId="11">
    <w:abstractNumId w:val="13"/>
  </w:num>
  <w:num w:numId="12">
    <w:abstractNumId w:val="7"/>
  </w:num>
  <w:num w:numId="13">
    <w:abstractNumId w:val="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Dc4ZDhjMGUxMDVkZWZjNjAzYzQ0ZGUxZTY3ZWMifQ=="/>
  </w:docVars>
  <w:rsids>
    <w:rsidRoot w:val="76FB07A6"/>
    <w:rsid w:val="00017723"/>
    <w:rsid w:val="00026D66"/>
    <w:rsid w:val="00031099"/>
    <w:rsid w:val="00031981"/>
    <w:rsid w:val="000A162C"/>
    <w:rsid w:val="000C3922"/>
    <w:rsid w:val="000E36AE"/>
    <w:rsid w:val="00102695"/>
    <w:rsid w:val="0011165C"/>
    <w:rsid w:val="00125CDC"/>
    <w:rsid w:val="00147DAC"/>
    <w:rsid w:val="0018512C"/>
    <w:rsid w:val="00197961"/>
    <w:rsid w:val="001B0D4A"/>
    <w:rsid w:val="001D0DEF"/>
    <w:rsid w:val="001F068C"/>
    <w:rsid w:val="001F13C5"/>
    <w:rsid w:val="002103D6"/>
    <w:rsid w:val="00252E6D"/>
    <w:rsid w:val="00254853"/>
    <w:rsid w:val="00277B35"/>
    <w:rsid w:val="00280A17"/>
    <w:rsid w:val="00282BB7"/>
    <w:rsid w:val="0029405A"/>
    <w:rsid w:val="00296C83"/>
    <w:rsid w:val="002E0CB4"/>
    <w:rsid w:val="003369BF"/>
    <w:rsid w:val="00341192"/>
    <w:rsid w:val="00361E3F"/>
    <w:rsid w:val="00363D3F"/>
    <w:rsid w:val="0037600B"/>
    <w:rsid w:val="003928F9"/>
    <w:rsid w:val="003A0B29"/>
    <w:rsid w:val="003A7A6C"/>
    <w:rsid w:val="003A7D04"/>
    <w:rsid w:val="003C056B"/>
    <w:rsid w:val="00401889"/>
    <w:rsid w:val="004163A4"/>
    <w:rsid w:val="00425CF5"/>
    <w:rsid w:val="00460F95"/>
    <w:rsid w:val="00464CB3"/>
    <w:rsid w:val="004948E1"/>
    <w:rsid w:val="004B245F"/>
    <w:rsid w:val="004C030A"/>
    <w:rsid w:val="004D4AE7"/>
    <w:rsid w:val="004E7813"/>
    <w:rsid w:val="004F293E"/>
    <w:rsid w:val="00520C10"/>
    <w:rsid w:val="00540467"/>
    <w:rsid w:val="0054703C"/>
    <w:rsid w:val="00557068"/>
    <w:rsid w:val="00576E49"/>
    <w:rsid w:val="00593B57"/>
    <w:rsid w:val="005A7DE8"/>
    <w:rsid w:val="005B6276"/>
    <w:rsid w:val="005C3036"/>
    <w:rsid w:val="0062616B"/>
    <w:rsid w:val="00655D74"/>
    <w:rsid w:val="006814D6"/>
    <w:rsid w:val="006870BA"/>
    <w:rsid w:val="006F1068"/>
    <w:rsid w:val="00704DDD"/>
    <w:rsid w:val="0072748E"/>
    <w:rsid w:val="00795DE4"/>
    <w:rsid w:val="007B7473"/>
    <w:rsid w:val="007D131C"/>
    <w:rsid w:val="007D627E"/>
    <w:rsid w:val="00807410"/>
    <w:rsid w:val="00813481"/>
    <w:rsid w:val="008139D2"/>
    <w:rsid w:val="008214C2"/>
    <w:rsid w:val="00834BDA"/>
    <w:rsid w:val="00836CC6"/>
    <w:rsid w:val="00853501"/>
    <w:rsid w:val="00897078"/>
    <w:rsid w:val="00912BBB"/>
    <w:rsid w:val="0091465F"/>
    <w:rsid w:val="00945C71"/>
    <w:rsid w:val="009669F8"/>
    <w:rsid w:val="009B5769"/>
    <w:rsid w:val="009E4782"/>
    <w:rsid w:val="00A262B1"/>
    <w:rsid w:val="00A61C56"/>
    <w:rsid w:val="00A87BF0"/>
    <w:rsid w:val="00AA07CF"/>
    <w:rsid w:val="00AB441E"/>
    <w:rsid w:val="00AB4DC1"/>
    <w:rsid w:val="00AC5500"/>
    <w:rsid w:val="00AC6329"/>
    <w:rsid w:val="00AE31C3"/>
    <w:rsid w:val="00B21EF0"/>
    <w:rsid w:val="00B25208"/>
    <w:rsid w:val="00B85070"/>
    <w:rsid w:val="00BA06B7"/>
    <w:rsid w:val="00BC7117"/>
    <w:rsid w:val="00C00444"/>
    <w:rsid w:val="00C14AFF"/>
    <w:rsid w:val="00C320FC"/>
    <w:rsid w:val="00C343A4"/>
    <w:rsid w:val="00C82100"/>
    <w:rsid w:val="00C92176"/>
    <w:rsid w:val="00CF611E"/>
    <w:rsid w:val="00D1363D"/>
    <w:rsid w:val="00D171AC"/>
    <w:rsid w:val="00D21C62"/>
    <w:rsid w:val="00D30599"/>
    <w:rsid w:val="00D44E07"/>
    <w:rsid w:val="00D56752"/>
    <w:rsid w:val="00D848D3"/>
    <w:rsid w:val="00DA4A45"/>
    <w:rsid w:val="00DC3E09"/>
    <w:rsid w:val="00DC6058"/>
    <w:rsid w:val="00DD01A5"/>
    <w:rsid w:val="00DD25B6"/>
    <w:rsid w:val="00E01F05"/>
    <w:rsid w:val="00E11CEF"/>
    <w:rsid w:val="00E3533C"/>
    <w:rsid w:val="00E5348D"/>
    <w:rsid w:val="00E56C02"/>
    <w:rsid w:val="00E7585E"/>
    <w:rsid w:val="00E86052"/>
    <w:rsid w:val="00EB1B89"/>
    <w:rsid w:val="00ED6A94"/>
    <w:rsid w:val="00F00100"/>
    <w:rsid w:val="00F1459D"/>
    <w:rsid w:val="00F3392B"/>
    <w:rsid w:val="00F54C94"/>
    <w:rsid w:val="00F573CB"/>
    <w:rsid w:val="00F62079"/>
    <w:rsid w:val="00F636FC"/>
    <w:rsid w:val="00F63B15"/>
    <w:rsid w:val="00FF5DEE"/>
    <w:rsid w:val="05DD24BE"/>
    <w:rsid w:val="06951D3C"/>
    <w:rsid w:val="085D1BBB"/>
    <w:rsid w:val="09AE3920"/>
    <w:rsid w:val="09DA21A4"/>
    <w:rsid w:val="0AC56FB7"/>
    <w:rsid w:val="0B5E7CDF"/>
    <w:rsid w:val="0CA15504"/>
    <w:rsid w:val="0CA16FF1"/>
    <w:rsid w:val="0F6625EF"/>
    <w:rsid w:val="118B20E5"/>
    <w:rsid w:val="121951DD"/>
    <w:rsid w:val="136F4C21"/>
    <w:rsid w:val="146354B5"/>
    <w:rsid w:val="17D72A02"/>
    <w:rsid w:val="1AEC2721"/>
    <w:rsid w:val="1BB18AFB"/>
    <w:rsid w:val="1C842C99"/>
    <w:rsid w:val="1CE21BEE"/>
    <w:rsid w:val="1DE430F5"/>
    <w:rsid w:val="1DF879BF"/>
    <w:rsid w:val="1E4F29AB"/>
    <w:rsid w:val="1EFF77A6"/>
    <w:rsid w:val="20771A06"/>
    <w:rsid w:val="20D61EF4"/>
    <w:rsid w:val="224E79A2"/>
    <w:rsid w:val="24367347"/>
    <w:rsid w:val="263844B3"/>
    <w:rsid w:val="26796516"/>
    <w:rsid w:val="27E47234"/>
    <w:rsid w:val="2B3440E1"/>
    <w:rsid w:val="2BDC887E"/>
    <w:rsid w:val="2CC802A6"/>
    <w:rsid w:val="2CF033A8"/>
    <w:rsid w:val="2D497671"/>
    <w:rsid w:val="311404B3"/>
    <w:rsid w:val="358E5B99"/>
    <w:rsid w:val="35EF4B41"/>
    <w:rsid w:val="363318E8"/>
    <w:rsid w:val="37542042"/>
    <w:rsid w:val="38DB3F08"/>
    <w:rsid w:val="39357335"/>
    <w:rsid w:val="39BA73A8"/>
    <w:rsid w:val="3B7E46A5"/>
    <w:rsid w:val="3D5B4529"/>
    <w:rsid w:val="3DA76F4F"/>
    <w:rsid w:val="3DFFEE3F"/>
    <w:rsid w:val="3EE8242A"/>
    <w:rsid w:val="3F5FE55E"/>
    <w:rsid w:val="4157061F"/>
    <w:rsid w:val="42AB37EC"/>
    <w:rsid w:val="42EE0B0F"/>
    <w:rsid w:val="432C34F9"/>
    <w:rsid w:val="43A4712E"/>
    <w:rsid w:val="43CE13F3"/>
    <w:rsid w:val="47FD5813"/>
    <w:rsid w:val="483F1665"/>
    <w:rsid w:val="486F26F2"/>
    <w:rsid w:val="49425882"/>
    <w:rsid w:val="4A966E5E"/>
    <w:rsid w:val="4AB6629E"/>
    <w:rsid w:val="4B0C7501"/>
    <w:rsid w:val="4D3D4EC8"/>
    <w:rsid w:val="4FEF55B7"/>
    <w:rsid w:val="549E1B8E"/>
    <w:rsid w:val="56B363AC"/>
    <w:rsid w:val="57663C9A"/>
    <w:rsid w:val="57F85FBE"/>
    <w:rsid w:val="57FF4964"/>
    <w:rsid w:val="5A8C50D8"/>
    <w:rsid w:val="5B707F53"/>
    <w:rsid w:val="5BCF984A"/>
    <w:rsid w:val="5D67C099"/>
    <w:rsid w:val="5D7F01A8"/>
    <w:rsid w:val="5DF64EF7"/>
    <w:rsid w:val="5E77DAF2"/>
    <w:rsid w:val="5F602174"/>
    <w:rsid w:val="5FB2641A"/>
    <w:rsid w:val="60090AB1"/>
    <w:rsid w:val="605E0C2A"/>
    <w:rsid w:val="60F11557"/>
    <w:rsid w:val="634051F6"/>
    <w:rsid w:val="63802A32"/>
    <w:rsid w:val="64BE1112"/>
    <w:rsid w:val="658D7EE8"/>
    <w:rsid w:val="65C60041"/>
    <w:rsid w:val="65E96F2D"/>
    <w:rsid w:val="66E85710"/>
    <w:rsid w:val="6724635B"/>
    <w:rsid w:val="67C512BD"/>
    <w:rsid w:val="69E82CB4"/>
    <w:rsid w:val="69F2EE65"/>
    <w:rsid w:val="6A431CC9"/>
    <w:rsid w:val="6A9E2C97"/>
    <w:rsid w:val="6BAF72B7"/>
    <w:rsid w:val="6BB702DC"/>
    <w:rsid w:val="6BC33EA0"/>
    <w:rsid w:val="6C4F6D3A"/>
    <w:rsid w:val="6D7355F8"/>
    <w:rsid w:val="6DD9A97F"/>
    <w:rsid w:val="6F0307B9"/>
    <w:rsid w:val="6FAFD9D2"/>
    <w:rsid w:val="6FF30A17"/>
    <w:rsid w:val="6FFEF8D7"/>
    <w:rsid w:val="714A2129"/>
    <w:rsid w:val="72342E32"/>
    <w:rsid w:val="729D6ADF"/>
    <w:rsid w:val="757D7153"/>
    <w:rsid w:val="762E1EA4"/>
    <w:rsid w:val="76FB07A6"/>
    <w:rsid w:val="77A91EC2"/>
    <w:rsid w:val="77CE7F51"/>
    <w:rsid w:val="783F8B50"/>
    <w:rsid w:val="78591895"/>
    <w:rsid w:val="797D0511"/>
    <w:rsid w:val="79F0119B"/>
    <w:rsid w:val="79FF3A20"/>
    <w:rsid w:val="7A181712"/>
    <w:rsid w:val="7AD21A3B"/>
    <w:rsid w:val="7B241CCA"/>
    <w:rsid w:val="7BA445EA"/>
    <w:rsid w:val="7BCF4915"/>
    <w:rsid w:val="7BEF4E81"/>
    <w:rsid w:val="7CFF412B"/>
    <w:rsid w:val="7D9F0BDA"/>
    <w:rsid w:val="7D9F1E8E"/>
    <w:rsid w:val="7DBF4A63"/>
    <w:rsid w:val="7F55E579"/>
    <w:rsid w:val="7F6F1AE1"/>
    <w:rsid w:val="7F7C1773"/>
    <w:rsid w:val="7F7E65A7"/>
    <w:rsid w:val="7F9EB0A8"/>
    <w:rsid w:val="7FBF76A0"/>
    <w:rsid w:val="7FD933F5"/>
    <w:rsid w:val="7FEE2FC6"/>
    <w:rsid w:val="7FFB90D4"/>
    <w:rsid w:val="7FFFBB6C"/>
    <w:rsid w:val="8FDD8BFC"/>
    <w:rsid w:val="AAEF8CCB"/>
    <w:rsid w:val="AED78B1A"/>
    <w:rsid w:val="AF3C78CC"/>
    <w:rsid w:val="B1FEA4D7"/>
    <w:rsid w:val="B29A1FBD"/>
    <w:rsid w:val="B5BE79BE"/>
    <w:rsid w:val="B73FBE01"/>
    <w:rsid w:val="B7FA143D"/>
    <w:rsid w:val="B9B78B71"/>
    <w:rsid w:val="BB7D8C31"/>
    <w:rsid w:val="BDAEA877"/>
    <w:rsid w:val="BEDFEE1E"/>
    <w:rsid w:val="BFBD2E66"/>
    <w:rsid w:val="D7DF0762"/>
    <w:rsid w:val="D7F6FECD"/>
    <w:rsid w:val="DE7AF175"/>
    <w:rsid w:val="DE7F0661"/>
    <w:rsid w:val="DF5CCB39"/>
    <w:rsid w:val="DFBD8F02"/>
    <w:rsid w:val="E6AFE4AF"/>
    <w:rsid w:val="E87E63CE"/>
    <w:rsid w:val="EB7794EC"/>
    <w:rsid w:val="ED759421"/>
    <w:rsid w:val="EFBDEE1E"/>
    <w:rsid w:val="EFEEAC5E"/>
    <w:rsid w:val="F39AFA06"/>
    <w:rsid w:val="F6FE4E19"/>
    <w:rsid w:val="F75DE9F4"/>
    <w:rsid w:val="F7BFAF13"/>
    <w:rsid w:val="F7EF79B2"/>
    <w:rsid w:val="F7F72015"/>
    <w:rsid w:val="FBD540CF"/>
    <w:rsid w:val="FD5E4696"/>
    <w:rsid w:val="FD71DB4B"/>
    <w:rsid w:val="FF23612E"/>
    <w:rsid w:val="FF9D908B"/>
    <w:rsid w:val="FFFB209E"/>
    <w:rsid w:val="FFFB6E25"/>
    <w:rsid w:val="FFFDBB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0" w:semiHidden="0" w:name="heading 2"/>
    <w:lsdException w:qFormat="1" w:uiPriority="99" w:semiHidden="0" w:name="heading 3"/>
    <w:lsdException w:qFormat="1" w:uiPriority="99"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7"/>
    <w:pPr>
      <w:numPr>
        <w:ilvl w:val="0"/>
        <w:numId w:val="1"/>
      </w:numPr>
      <w:outlineLvl w:val="0"/>
    </w:pPr>
    <w:rPr>
      <w:b/>
      <w:bCs/>
      <w:kern w:val="44"/>
      <w:sz w:val="30"/>
      <w:szCs w:val="44"/>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next w:val="1"/>
    <w:link w:val="66"/>
    <w:unhideWhenUsed/>
    <w:qFormat/>
    <w:uiPriority w:val="99"/>
    <w:pPr>
      <w:widowControl w:val="0"/>
      <w:numPr>
        <w:ilvl w:val="2"/>
        <w:numId w:val="1"/>
      </w:numPr>
      <w:adjustRightInd w:val="0"/>
      <w:snapToGrid w:val="0"/>
      <w:spacing w:line="360" w:lineRule="auto"/>
      <w:outlineLvl w:val="2"/>
    </w:pPr>
    <w:rPr>
      <w:rFonts w:ascii="宋体" w:hAnsi="宋体" w:eastAsiaTheme="minorEastAsia" w:cstheme="minorBidi"/>
      <w:b/>
      <w:bCs/>
      <w:kern w:val="2"/>
      <w:sz w:val="28"/>
      <w:szCs w:val="32"/>
      <w:lang w:val="en-US" w:eastAsia="zh-CN" w:bidi="ar-SA"/>
    </w:rPr>
  </w:style>
  <w:style w:type="paragraph" w:styleId="5">
    <w:name w:val="heading 4"/>
    <w:next w:val="1"/>
    <w:unhideWhenUsed/>
    <w:qFormat/>
    <w:uiPriority w:val="99"/>
    <w:pPr>
      <w:widowControl w:val="0"/>
      <w:numPr>
        <w:ilvl w:val="3"/>
        <w:numId w:val="1"/>
      </w:numPr>
      <w:adjustRightInd w:val="0"/>
      <w:snapToGrid w:val="0"/>
      <w:spacing w:line="360" w:lineRule="auto"/>
      <w:ind w:left="0"/>
      <w:outlineLvl w:val="3"/>
    </w:pPr>
    <w:rPr>
      <w:rFonts w:ascii="宋体" w:hAnsi="宋体" w:eastAsiaTheme="majorEastAsia" w:cstheme="majorBidi"/>
      <w:b/>
      <w:bCs/>
      <w:kern w:val="2"/>
      <w:sz w:val="28"/>
      <w:szCs w:val="28"/>
      <w:lang w:val="en-US" w:eastAsia="zh-CN" w:bidi="ar-SA"/>
    </w:rPr>
  </w:style>
  <w:style w:type="paragraph" w:styleId="6">
    <w:name w:val="heading 5"/>
    <w:next w:val="1"/>
    <w:unhideWhenUsed/>
    <w:qFormat/>
    <w:uiPriority w:val="0"/>
    <w:pPr>
      <w:keepNext/>
      <w:keepLines/>
      <w:numPr>
        <w:ilvl w:val="4"/>
        <w:numId w:val="1"/>
      </w:numPr>
      <w:adjustRightInd w:val="0"/>
      <w:snapToGrid w:val="0"/>
      <w:spacing w:line="360" w:lineRule="auto"/>
      <w:ind w:left="0"/>
      <w:outlineLvl w:val="4"/>
    </w:pPr>
    <w:rPr>
      <w:rFonts w:ascii="宋体" w:hAnsi="宋体" w:eastAsiaTheme="minorEastAsia" w:cstheme="minorBidi"/>
      <w:b/>
      <w:bCs/>
      <w:kern w:val="2"/>
      <w:sz w:val="28"/>
      <w:szCs w:val="28"/>
      <w:lang w:val="en-US" w:eastAsia="zh-CN" w:bidi="ar-SA"/>
    </w:rPr>
  </w:style>
  <w:style w:type="paragraph" w:styleId="7">
    <w:name w:val="heading 6"/>
    <w:basedOn w:val="1"/>
    <w:next w:val="1"/>
    <w:link w:val="63"/>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ind w:firstLine="420" w:firstLineChars="200"/>
    </w:pPr>
  </w:style>
  <w:style w:type="paragraph" w:styleId="9">
    <w:name w:val="Body Text Indent"/>
    <w:basedOn w:val="1"/>
    <w:next w:val="8"/>
    <w:unhideWhenUsed/>
    <w:qFormat/>
    <w:uiPriority w:val="99"/>
    <w:pPr>
      <w:spacing w:line="200" w:lineRule="exact"/>
      <w:ind w:firstLine="301"/>
    </w:pPr>
    <w:rPr>
      <w:rFonts w:ascii="宋体" w:hAnsi="Courier New"/>
      <w:spacing w:val="-4"/>
      <w:sz w:val="18"/>
      <w:szCs w:val="20"/>
    </w:rPr>
  </w:style>
  <w:style w:type="paragraph" w:styleId="10">
    <w:name w:val="caption"/>
    <w:basedOn w:val="1"/>
    <w:next w:val="1"/>
    <w:link w:val="67"/>
    <w:unhideWhenUsed/>
    <w:qFormat/>
    <w:uiPriority w:val="0"/>
    <w:rPr>
      <w:rFonts w:ascii="Arial" w:hAnsi="Arial" w:eastAsia="黑体"/>
      <w:sz w:val="20"/>
    </w:rPr>
  </w:style>
  <w:style w:type="paragraph" w:styleId="11">
    <w:name w:val="toa heading"/>
    <w:basedOn w:val="1"/>
    <w:next w:val="1"/>
    <w:unhideWhenUsed/>
    <w:qFormat/>
    <w:uiPriority w:val="99"/>
    <w:pPr>
      <w:spacing w:before="120"/>
    </w:pPr>
    <w:rPr>
      <w:rFonts w:asciiTheme="majorHAnsi" w:hAnsiTheme="majorHAnsi" w:cstheme="majorBidi"/>
    </w:rPr>
  </w:style>
  <w:style w:type="paragraph" w:styleId="12">
    <w:name w:val="annotation text"/>
    <w:basedOn w:val="1"/>
    <w:link w:val="51"/>
    <w:semiHidden/>
    <w:unhideWhenUsed/>
    <w:qFormat/>
    <w:uiPriority w:val="0"/>
    <w:pPr>
      <w:jc w:val="left"/>
    </w:pPr>
  </w:style>
  <w:style w:type="paragraph" w:styleId="13">
    <w:name w:val="Body Text"/>
    <w:basedOn w:val="1"/>
    <w:next w:val="1"/>
    <w:qFormat/>
    <w:uiPriority w:val="0"/>
    <w:pPr>
      <w:spacing w:after="120"/>
    </w:pPr>
  </w:style>
  <w:style w:type="paragraph" w:styleId="14">
    <w:name w:val="toc 3"/>
    <w:next w:val="1"/>
    <w:unhideWhenUsed/>
    <w:qFormat/>
    <w:uiPriority w:val="39"/>
    <w:pPr>
      <w:widowControl w:val="0"/>
      <w:adjustRightInd w:val="0"/>
      <w:snapToGrid w:val="0"/>
      <w:ind w:left="480" w:firstLine="200" w:firstLineChars="200"/>
    </w:pPr>
    <w:rPr>
      <w:rFonts w:asciiTheme="minorHAnsi" w:hAnsiTheme="minorHAnsi" w:eastAsiaTheme="minorEastAsia" w:cstheme="minorHAnsi"/>
      <w:iCs/>
      <w:kern w:val="2"/>
      <w:sz w:val="21"/>
      <w:lang w:val="en-US" w:eastAsia="zh-CN" w:bidi="ar-SA"/>
    </w:rPr>
  </w:style>
  <w:style w:type="paragraph" w:styleId="15">
    <w:name w:val="Plain Text"/>
    <w:basedOn w:val="1"/>
    <w:link w:val="49"/>
    <w:unhideWhenUsed/>
    <w:qFormat/>
    <w:uiPriority w:val="0"/>
    <w:pPr>
      <w:spacing w:beforeLines="50" w:afterLines="50" w:line="400" w:lineRule="exact"/>
    </w:pPr>
    <w:rPr>
      <w:rFonts w:ascii="宋体" w:hAnsi="Courier New"/>
      <w:sz w:val="24"/>
      <w:szCs w:val="24"/>
    </w:rPr>
  </w:style>
  <w:style w:type="paragraph" w:styleId="16">
    <w:name w:val="Date"/>
    <w:basedOn w:val="1"/>
    <w:next w:val="1"/>
    <w:qFormat/>
    <w:uiPriority w:val="0"/>
    <w:pPr>
      <w:ind w:left="100" w:leftChars="2500"/>
    </w:pPr>
    <w:rPr>
      <w:sz w:val="24"/>
    </w:rPr>
  </w:style>
  <w:style w:type="paragraph" w:styleId="17">
    <w:name w:val="Body Text Indent 2"/>
    <w:qFormat/>
    <w:uiPriority w:val="0"/>
    <w:pPr>
      <w:spacing w:line="480" w:lineRule="atLeast"/>
      <w:ind w:firstLine="480"/>
      <w:jc w:val="both"/>
    </w:pPr>
    <w:rPr>
      <w:rFonts w:ascii="宋体" w:hAnsi="宋体" w:eastAsia="仿宋_GB2312" w:cs="Times New Roman"/>
      <w:b/>
      <w:color w:val="000000"/>
      <w:sz w:val="24"/>
      <w:lang w:val="en-US" w:eastAsia="zh-CN" w:bidi="ar-SA"/>
    </w:rPr>
  </w:style>
  <w:style w:type="paragraph" w:styleId="18">
    <w:name w:val="Balloon Text"/>
    <w:basedOn w:val="1"/>
    <w:link w:val="50"/>
    <w:qFormat/>
    <w:uiPriority w:val="0"/>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1">
    <w:name w:val="toc 1"/>
    <w:next w:val="1"/>
    <w:unhideWhenUsed/>
    <w:qFormat/>
    <w:uiPriority w:val="39"/>
    <w:pPr>
      <w:widowControl w:val="0"/>
      <w:adjustRightInd w:val="0"/>
      <w:snapToGrid w:val="0"/>
      <w:ind w:firstLine="100" w:firstLineChars="100"/>
    </w:pPr>
    <w:rPr>
      <w:rFonts w:asciiTheme="minorHAnsi" w:hAnsiTheme="minorHAnsi" w:eastAsiaTheme="minorEastAsia" w:cstheme="minorHAnsi"/>
      <w:b/>
      <w:bCs/>
      <w:caps/>
      <w:kern w:val="2"/>
      <w:sz w:val="21"/>
      <w:lang w:val="en-US" w:eastAsia="zh-CN" w:bidi="ar-SA"/>
    </w:rPr>
  </w:style>
  <w:style w:type="paragraph" w:styleId="22">
    <w:name w:val="footnote text"/>
    <w:basedOn w:val="1"/>
    <w:qFormat/>
    <w:uiPriority w:val="0"/>
    <w:pPr>
      <w:snapToGrid w:val="0"/>
      <w:jc w:val="left"/>
    </w:pPr>
    <w:rPr>
      <w:sz w:val="18"/>
    </w:rPr>
  </w:style>
  <w:style w:type="paragraph" w:styleId="23">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4">
    <w:name w:val="toc 2"/>
    <w:next w:val="1"/>
    <w:unhideWhenUsed/>
    <w:qFormat/>
    <w:uiPriority w:val="39"/>
    <w:pPr>
      <w:widowControl w:val="0"/>
      <w:adjustRightInd w:val="0"/>
      <w:snapToGrid w:val="0"/>
      <w:ind w:left="240" w:firstLine="200" w:firstLineChars="200"/>
    </w:pPr>
    <w:rPr>
      <w:rFonts w:asciiTheme="minorHAnsi" w:hAnsiTheme="minorHAnsi" w:eastAsiaTheme="minorEastAsia" w:cstheme="minorHAnsi"/>
      <w:smallCaps/>
      <w:kern w:val="2"/>
      <w:sz w:val="21"/>
      <w:lang w:val="en-US" w:eastAsia="zh-CN" w:bidi="ar-SA"/>
    </w:rPr>
  </w:style>
  <w:style w:type="paragraph" w:styleId="25">
    <w:name w:val="HTML Preformatted"/>
    <w:basedOn w:val="1"/>
    <w:link w:val="4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paragraph" w:styleId="27">
    <w:name w:val="annotation subject"/>
    <w:basedOn w:val="12"/>
    <w:next w:val="12"/>
    <w:link w:val="52"/>
    <w:semiHidden/>
    <w:unhideWhenUsed/>
    <w:qFormat/>
    <w:uiPriority w:val="0"/>
    <w:rPr>
      <w:b/>
      <w:bCs/>
    </w:rPr>
  </w:style>
  <w:style w:type="paragraph" w:styleId="28">
    <w:name w:val="Body Text First Indent"/>
    <w:basedOn w:val="13"/>
    <w:qFormat/>
    <w:uiPriority w:val="0"/>
    <w:pPr>
      <w:ind w:firstLine="420" w:firstLineChars="100"/>
    </w:pPr>
  </w:style>
  <w:style w:type="paragraph" w:styleId="29">
    <w:name w:val="Body Text First Indent 2"/>
    <w:basedOn w:val="9"/>
    <w:next w:val="1"/>
    <w:unhideWhenUsed/>
    <w:qFormat/>
    <w:uiPriority w:val="99"/>
    <w:pPr>
      <w:spacing w:after="120" w:line="240" w:lineRule="auto"/>
      <w:ind w:left="420" w:leftChars="200" w:firstLine="420" w:firstLineChars="200"/>
    </w:pPr>
    <w:rPr>
      <w:rFonts w:ascii="Times New Roman" w:hAnsi="Times New Roman"/>
      <w:spacing w:val="0"/>
      <w:sz w:val="21"/>
    </w:r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basedOn w:val="31"/>
    <w:qFormat/>
    <w:uiPriority w:val="99"/>
    <w:rPr>
      <w:color w:val="0000FF"/>
      <w:u w:val="single"/>
    </w:rPr>
  </w:style>
  <w:style w:type="character" w:styleId="36">
    <w:name w:val="annotation reference"/>
    <w:basedOn w:val="31"/>
    <w:semiHidden/>
    <w:unhideWhenUsed/>
    <w:qFormat/>
    <w:uiPriority w:val="0"/>
    <w:rPr>
      <w:sz w:val="21"/>
      <w:szCs w:val="21"/>
    </w:rPr>
  </w:style>
  <w:style w:type="paragraph" w:customStyle="1" w:styleId="3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模板普通正文"/>
    <w:basedOn w:val="9"/>
    <w:qFormat/>
    <w:uiPriority w:val="0"/>
    <w:pPr>
      <w:spacing w:beforeLines="50" w:after="10"/>
      <w:ind w:firstLine="490" w:firstLineChars="175"/>
      <w:jc w:val="left"/>
    </w:pPr>
  </w:style>
  <w:style w:type="paragraph" w:customStyle="1" w:styleId="39">
    <w:name w:val="正文段"/>
    <w:basedOn w:val="1"/>
    <w:qFormat/>
    <w:uiPriority w:val="0"/>
    <w:pPr>
      <w:widowControl/>
      <w:snapToGrid w:val="0"/>
      <w:spacing w:afterLines="50"/>
      <w:ind w:firstLine="200" w:firstLineChars="200"/>
    </w:pPr>
    <w:rPr>
      <w:kern w:val="0"/>
      <w:sz w:val="24"/>
      <w:szCs w:val="20"/>
    </w:rPr>
  </w:style>
  <w:style w:type="paragraph" w:customStyle="1" w:styleId="40">
    <w:name w:val="一级标题"/>
    <w:basedOn w:val="15"/>
    <w:qFormat/>
    <w:uiPriority w:val="0"/>
    <w:pPr>
      <w:spacing w:line="360" w:lineRule="auto"/>
      <w:jc w:val="center"/>
    </w:pPr>
    <w:rPr>
      <w:rFonts w:hAnsi="宋体"/>
      <w:b/>
      <w:sz w:val="36"/>
      <w:szCs w:val="36"/>
    </w:rPr>
  </w:style>
  <w:style w:type="paragraph" w:customStyle="1" w:styleId="41">
    <w:name w:val="正文2"/>
    <w:basedOn w:val="1"/>
    <w:qFormat/>
    <w:uiPriority w:val="0"/>
    <w:pPr>
      <w:spacing w:before="156" w:line="360" w:lineRule="auto"/>
      <w:ind w:firstLine="510" w:firstLineChars="200"/>
    </w:pPr>
    <w:rPr>
      <w:sz w:val="24"/>
    </w:rPr>
  </w:style>
  <w:style w:type="paragraph" w:customStyle="1" w:styleId="42">
    <w:name w:val="xl77"/>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sz w:val="28"/>
      <w:lang w:val="en-US" w:eastAsia="zh-CN" w:bidi="ar-SA"/>
    </w:rPr>
  </w:style>
  <w:style w:type="paragraph" w:customStyle="1" w:styleId="4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44">
    <w:name w:val="页眉 字符"/>
    <w:basedOn w:val="31"/>
    <w:link w:val="20"/>
    <w:qFormat/>
    <w:uiPriority w:val="0"/>
    <w:rPr>
      <w:kern w:val="2"/>
      <w:sz w:val="18"/>
      <w:szCs w:val="18"/>
    </w:rPr>
  </w:style>
  <w:style w:type="character" w:customStyle="1" w:styleId="45">
    <w:name w:val="页脚 字符"/>
    <w:basedOn w:val="31"/>
    <w:link w:val="19"/>
    <w:qFormat/>
    <w:uiPriority w:val="99"/>
    <w:rPr>
      <w:kern w:val="2"/>
      <w:sz w:val="18"/>
      <w:szCs w:val="18"/>
    </w:rPr>
  </w:style>
  <w:style w:type="character" w:customStyle="1" w:styleId="46">
    <w:name w:val="HTML 预设格式 Char"/>
    <w:qFormat/>
    <w:uiPriority w:val="99"/>
    <w:rPr>
      <w:rFonts w:ascii="宋体" w:hAnsi="宋体" w:cs="宋体"/>
      <w:sz w:val="24"/>
      <w:szCs w:val="24"/>
    </w:rPr>
  </w:style>
  <w:style w:type="character" w:customStyle="1" w:styleId="47">
    <w:name w:val="HTML 预设格式 字符"/>
    <w:basedOn w:val="31"/>
    <w:link w:val="25"/>
    <w:qFormat/>
    <w:uiPriority w:val="0"/>
    <w:rPr>
      <w:rFonts w:ascii="Courier New" w:hAnsi="Courier New" w:cs="Courier New"/>
      <w:kern w:val="2"/>
    </w:rPr>
  </w:style>
  <w:style w:type="paragraph" w:styleId="48">
    <w:name w:val="List Paragraph"/>
    <w:basedOn w:val="1"/>
    <w:link w:val="69"/>
    <w:unhideWhenUsed/>
    <w:qFormat/>
    <w:uiPriority w:val="34"/>
    <w:pPr>
      <w:ind w:firstLine="420" w:firstLineChars="200"/>
    </w:pPr>
  </w:style>
  <w:style w:type="character" w:customStyle="1" w:styleId="49">
    <w:name w:val="纯文本 字符"/>
    <w:link w:val="15"/>
    <w:qFormat/>
    <w:uiPriority w:val="0"/>
    <w:rPr>
      <w:rFonts w:ascii="宋体" w:hAnsi="Courier New"/>
      <w:kern w:val="2"/>
      <w:sz w:val="24"/>
      <w:szCs w:val="24"/>
    </w:rPr>
  </w:style>
  <w:style w:type="character" w:customStyle="1" w:styleId="50">
    <w:name w:val="批注框文本 字符"/>
    <w:basedOn w:val="31"/>
    <w:link w:val="18"/>
    <w:qFormat/>
    <w:uiPriority w:val="0"/>
    <w:rPr>
      <w:kern w:val="2"/>
      <w:sz w:val="18"/>
      <w:szCs w:val="18"/>
    </w:rPr>
  </w:style>
  <w:style w:type="character" w:customStyle="1" w:styleId="51">
    <w:name w:val="批注文字 字符"/>
    <w:basedOn w:val="31"/>
    <w:link w:val="12"/>
    <w:semiHidden/>
    <w:qFormat/>
    <w:uiPriority w:val="0"/>
    <w:rPr>
      <w:kern w:val="2"/>
      <w:sz w:val="21"/>
      <w:szCs w:val="22"/>
    </w:rPr>
  </w:style>
  <w:style w:type="character" w:customStyle="1" w:styleId="52">
    <w:name w:val="批注主题 字符"/>
    <w:basedOn w:val="51"/>
    <w:link w:val="27"/>
    <w:semiHidden/>
    <w:qFormat/>
    <w:uiPriority w:val="0"/>
    <w:rPr>
      <w:b/>
      <w:bCs/>
      <w:kern w:val="2"/>
      <w:sz w:val="21"/>
      <w:szCs w:val="22"/>
    </w:rPr>
  </w:style>
  <w:style w:type="character" w:customStyle="1" w:styleId="53">
    <w:name w:val="font41"/>
    <w:basedOn w:val="31"/>
    <w:qFormat/>
    <w:uiPriority w:val="0"/>
    <w:rPr>
      <w:rFonts w:hint="eastAsia" w:ascii="宋体" w:hAnsi="宋体" w:eastAsia="宋体" w:cs="宋体"/>
      <w:color w:val="000000"/>
      <w:sz w:val="32"/>
      <w:szCs w:val="32"/>
      <w:u w:val="none"/>
    </w:rPr>
  </w:style>
  <w:style w:type="paragraph" w:customStyle="1" w:styleId="54">
    <w:name w:val="A程-表内容"/>
    <w:basedOn w:val="1"/>
    <w:qFormat/>
    <w:uiPriority w:val="0"/>
    <w:pPr>
      <w:snapToGrid w:val="0"/>
    </w:pPr>
    <w:rPr>
      <w:rFonts w:ascii="宋体" w:hAnsi="宋体" w:cs="Arial"/>
      <w:sz w:val="18"/>
      <w:szCs w:val="18"/>
      <w:shd w:val="clear" w:color="auto" w:fill="FFFFFF"/>
    </w:rPr>
  </w:style>
  <w:style w:type="paragraph" w:customStyle="1" w:styleId="55">
    <w:name w:val="TOC 标题4"/>
    <w:basedOn w:val="3"/>
    <w:next w:val="1"/>
    <w:unhideWhenUsed/>
    <w:qFormat/>
    <w:uiPriority w:val="39"/>
    <w:pPr>
      <w:keepNext/>
      <w:keepLines/>
      <w:widowControl/>
      <w:numPr>
        <w:numId w:val="0"/>
      </w:numPr>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6">
    <w:name w:val="标书-正文"/>
    <w:basedOn w:val="1"/>
    <w:link w:val="70"/>
    <w:qFormat/>
    <w:uiPriority w:val="0"/>
    <w:rPr>
      <w:szCs w:val="24"/>
    </w:rPr>
  </w:style>
  <w:style w:type="paragraph" w:customStyle="1" w:styleId="57">
    <w:name w:val="*正文"/>
    <w:basedOn w:val="1"/>
    <w:link w:val="59"/>
    <w:qFormat/>
    <w:uiPriority w:val="0"/>
    <w:rPr>
      <w:rFonts w:cs="宋体"/>
    </w:rPr>
  </w:style>
  <w:style w:type="paragraph" w:customStyle="1" w:styleId="58">
    <w:name w:val="纯文本1"/>
    <w:basedOn w:val="41"/>
    <w:qFormat/>
    <w:uiPriority w:val="0"/>
    <w:rPr>
      <w:rFonts w:ascii="宋体" w:hAnsi="Courier New"/>
      <w:kern w:val="0"/>
      <w:sz w:val="20"/>
      <w:szCs w:val="21"/>
    </w:rPr>
  </w:style>
  <w:style w:type="character" w:customStyle="1" w:styleId="59">
    <w:name w:val="*正文 Char"/>
    <w:link w:val="57"/>
    <w:qFormat/>
    <w:uiPriority w:val="0"/>
    <w:rPr>
      <w:rFonts w:cs="宋体"/>
    </w:rPr>
  </w:style>
  <w:style w:type="paragraph" w:styleId="60">
    <w:name w:val="No Spacing"/>
    <w:next w:val="1"/>
    <w:link w:val="68"/>
    <w:qFormat/>
    <w:uiPriority w:val="1"/>
    <w:pPr>
      <w:adjustRightInd w:val="0"/>
      <w:snapToGrid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customStyle="1" w:styleId="61">
    <w:name w:val="ZW Char"/>
    <w:basedOn w:val="1"/>
    <w:qFormat/>
    <w:uiPriority w:val="0"/>
    <w:pPr>
      <w:spacing w:line="360" w:lineRule="auto"/>
      <w:ind w:firstLine="200" w:firstLineChars="200"/>
    </w:pPr>
    <w:rPr>
      <w:rFonts w:ascii="宋体" w:hAnsi="宋体"/>
      <w:sz w:val="24"/>
    </w:rPr>
  </w:style>
  <w:style w:type="paragraph" w:customStyle="1" w:styleId="62">
    <w:name w:val="样式6"/>
    <w:basedOn w:val="1"/>
    <w:link w:val="71"/>
    <w:qFormat/>
    <w:uiPriority w:val="0"/>
    <w:pPr>
      <w:spacing w:line="360" w:lineRule="auto"/>
      <w:ind w:firstLine="480" w:firstLineChars="200"/>
    </w:pPr>
    <w:rPr>
      <w:rFonts w:ascii="宋体" w:hAnsi="宋体"/>
      <w:sz w:val="24"/>
    </w:rPr>
  </w:style>
  <w:style w:type="character" w:customStyle="1" w:styleId="63">
    <w:name w:val="标题 6 字符"/>
    <w:basedOn w:val="31"/>
    <w:link w:val="7"/>
    <w:qFormat/>
    <w:uiPriority w:val="0"/>
    <w:rPr>
      <w:rFonts w:asciiTheme="majorHAnsi" w:hAnsiTheme="majorHAnsi" w:eastAsiaTheme="majorEastAsia" w:cstheme="majorBidi"/>
      <w:b/>
      <w:bCs/>
      <w:kern w:val="2"/>
      <w:sz w:val="24"/>
      <w:szCs w:val="24"/>
    </w:rPr>
  </w:style>
  <w:style w:type="paragraph" w:customStyle="1" w:styleId="64">
    <w:name w:val="招标文件正文"/>
    <w:basedOn w:val="1"/>
    <w:link w:val="65"/>
    <w:qFormat/>
    <w:uiPriority w:val="0"/>
    <w:pPr>
      <w:adjustRightInd w:val="0"/>
      <w:snapToGrid w:val="0"/>
      <w:spacing w:line="360" w:lineRule="auto"/>
      <w:ind w:firstLine="200" w:firstLineChars="200"/>
      <w:jc w:val="left"/>
    </w:pPr>
    <w:rPr>
      <w:rFonts w:ascii="宋体" w:hAnsi="宋体"/>
      <w:sz w:val="24"/>
      <w:szCs w:val="24"/>
    </w:rPr>
  </w:style>
  <w:style w:type="character" w:customStyle="1" w:styleId="65">
    <w:name w:val="招标文件正文 字符"/>
    <w:basedOn w:val="31"/>
    <w:link w:val="64"/>
    <w:qFormat/>
    <w:uiPriority w:val="0"/>
    <w:rPr>
      <w:rFonts w:ascii="宋体" w:hAnsi="宋体"/>
      <w:kern w:val="2"/>
      <w:sz w:val="24"/>
      <w:szCs w:val="24"/>
    </w:rPr>
  </w:style>
  <w:style w:type="character" w:customStyle="1" w:styleId="66">
    <w:name w:val="标题 3 字符"/>
    <w:basedOn w:val="31"/>
    <w:link w:val="4"/>
    <w:qFormat/>
    <w:uiPriority w:val="99"/>
    <w:rPr>
      <w:rFonts w:ascii="宋体" w:hAnsi="宋体" w:eastAsiaTheme="minorEastAsia" w:cstheme="minorBidi"/>
      <w:b/>
      <w:bCs/>
      <w:kern w:val="2"/>
      <w:sz w:val="28"/>
      <w:szCs w:val="32"/>
    </w:rPr>
  </w:style>
  <w:style w:type="character" w:customStyle="1" w:styleId="67">
    <w:name w:val="题注 字符"/>
    <w:link w:val="10"/>
    <w:qFormat/>
    <w:uiPriority w:val="0"/>
    <w:rPr>
      <w:rFonts w:ascii="Arial" w:hAnsi="Arial" w:eastAsia="黑体"/>
      <w:kern w:val="2"/>
      <w:szCs w:val="22"/>
    </w:rPr>
  </w:style>
  <w:style w:type="character" w:customStyle="1" w:styleId="68">
    <w:name w:val="无间隔 字符"/>
    <w:link w:val="60"/>
    <w:qFormat/>
    <w:uiPriority w:val="1"/>
    <w:rPr>
      <w:rFonts w:asciiTheme="minorHAnsi" w:hAnsiTheme="minorHAnsi" w:eastAsiaTheme="minorEastAsia" w:cstheme="minorBidi"/>
      <w:kern w:val="2"/>
      <w:sz w:val="24"/>
      <w:szCs w:val="22"/>
    </w:rPr>
  </w:style>
  <w:style w:type="character" w:customStyle="1" w:styleId="69">
    <w:name w:val="列表段落 字符"/>
    <w:basedOn w:val="31"/>
    <w:link w:val="48"/>
    <w:qFormat/>
    <w:uiPriority w:val="34"/>
    <w:rPr>
      <w:kern w:val="2"/>
      <w:sz w:val="21"/>
      <w:szCs w:val="22"/>
    </w:rPr>
  </w:style>
  <w:style w:type="character" w:customStyle="1" w:styleId="70">
    <w:name w:val="标书-正文 Char"/>
    <w:link w:val="56"/>
    <w:qFormat/>
    <w:uiPriority w:val="0"/>
    <w:rPr>
      <w:kern w:val="2"/>
      <w:sz w:val="21"/>
      <w:szCs w:val="24"/>
    </w:rPr>
  </w:style>
  <w:style w:type="character" w:customStyle="1" w:styleId="71">
    <w:name w:val="样式6 字符"/>
    <w:link w:val="62"/>
    <w:qFormat/>
    <w:uiPriority w:val="0"/>
    <w:rPr>
      <w:rFonts w:ascii="宋体" w:hAnsi="宋体"/>
      <w:kern w:val="2"/>
      <w:sz w:val="24"/>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8.xml" Type="http://schemas.openxmlformats.org/officeDocument/2006/relationships/footer"/><Relationship Id="rId11" Target="footer9.xml" Type="http://schemas.openxmlformats.org/officeDocument/2006/relationships/footer"/><Relationship Id="rId12" Target="theme/theme1.xml" Type="http://schemas.openxmlformats.org/officeDocument/2006/relationships/theme"/><Relationship Id="rId13" Target="media/image1.png" Type="http://schemas.openxmlformats.org/officeDocument/2006/relationships/image"/><Relationship Id="rId14" Target="media/image2.png" Type="http://schemas.openxmlformats.org/officeDocument/2006/relationships/imag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footer5.xml" Type="http://schemas.openxmlformats.org/officeDocument/2006/relationships/footer"/><Relationship Id="rId8" Target="footer6.xml" Type="http://schemas.openxmlformats.org/officeDocument/2006/relationships/footer"/><Relationship Id="rId9" Target="footer7.xml" Type="http://schemas.openxmlformats.org/officeDocument/2006/relationships/footer"/></Relationships>
</file>

<file path=word/_rels/numbering.xml.rels><?xml version="1.0" encoding="UTF-8" standalone="yes"?><Relationships xmlns="http://schemas.openxmlformats.org/package/2006/relationships"><Relationship Id="rId1" Target="media/image3.png" Type="http://schemas.openxmlformats.org/officeDocument/2006/relationships/image"/><Relationship Id="rId2" Target="media/image4.png" Type="http://schemas.openxmlformats.org/officeDocument/2006/relationships/image"/><Relationship Id="rId3" Target="media/image5.png" Type="http://schemas.openxmlformats.org/officeDocument/2006/relationships/image"/><Relationship Id="rId4" Target="media/image6.png" Type="http://schemas.openxmlformats.org/officeDocument/2006/relationships/image"/><Relationship Id="rId5" Target="media/image7.png" Type="http://schemas.openxmlformats.org/officeDocument/2006/relationships/image"/><Relationship Id="rId6" Target="media/image8.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137</Pages>
  <Words>92816</Words>
  <Characters>104868</Characters>
  <Lines>784</Lines>
  <Paragraphs>220</Paragraphs>
  <TotalTime>41</TotalTime>
  <ScaleCrop>false</ScaleCrop>
  <LinksUpToDate>false</LinksUpToDate>
  <CharactersWithSpaces>107781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2022-07-06T13:57:00Z</dcterms:created>
  <dc:creator>心渃相依～</dc:creator>
  <cp:lastModifiedBy>uos</cp:lastModifiedBy>
  <cp:lastPrinted>2022-08-31T15:50:00Z</cp:lastPrinted>
  <dcterms:modified xsi:type="dcterms:W3CDTF">2022-09-02T15:23:42Z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62D58A33CF49494AB27FBBB8F09AA8CD</vt:lpwstr>
  </property>
</Properties>
</file>