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7"/>
        <w:jc w:val="center"/>
        <w:rPr>
          <w:rFonts w:ascii="楷体" w:hAnsi="楷体" w:eastAsia="楷体" w:cs="楷体"/>
          <w:color w:val="000000"/>
          <w:spacing w:val="30"/>
          <w:sz w:val="48"/>
          <w:szCs w:val="48"/>
        </w:rPr>
      </w:pPr>
      <w:r>
        <w:rPr>
          <w:rFonts w:hint="eastAsia" w:ascii="楷体" w:hAnsi="楷体" w:eastAsia="楷体" w:cs="楷体"/>
          <w:color w:val="000000"/>
          <w:spacing w:val="30"/>
          <w:sz w:val="48"/>
          <w:szCs w:val="48"/>
        </w:rPr>
        <w:t>金华市政府采购中心关于金华</w:t>
      </w:r>
      <w:r>
        <w:rPr>
          <w:rFonts w:hint="eastAsia" w:ascii="楷体" w:hAnsi="楷体" w:eastAsia="楷体" w:cs="楷体"/>
          <w:color w:val="000000"/>
          <w:spacing w:val="30"/>
          <w:sz w:val="48"/>
          <w:szCs w:val="48"/>
          <w:lang w:val="en-US" w:eastAsia="zh-CN"/>
        </w:rPr>
        <w:t>市公共体育场馆管理中心亚运会场馆建设</w:t>
      </w:r>
      <w:r>
        <w:rPr>
          <w:rFonts w:hint="eastAsia" w:ascii="楷体" w:hAnsi="楷体" w:eastAsia="楷体" w:cs="楷体"/>
          <w:color w:val="000000"/>
          <w:spacing w:val="30"/>
          <w:sz w:val="48"/>
          <w:szCs w:val="48"/>
        </w:rPr>
        <w:t>项目</w:t>
      </w:r>
    </w:p>
    <w:p>
      <w:pPr>
        <w:pStyle w:val="2"/>
        <w:ind w:firstLine="1080"/>
        <w:rPr>
          <w:rFonts w:ascii="楷体" w:hAnsi="楷体" w:eastAsia="楷体" w:cs="楷体"/>
          <w:color w:val="000000"/>
          <w:spacing w:val="30"/>
          <w:sz w:val="48"/>
          <w:szCs w:val="48"/>
        </w:rPr>
      </w:pPr>
    </w:p>
    <w:p>
      <w:pPr>
        <w:pStyle w:val="2"/>
        <w:ind w:firstLine="1080"/>
        <w:rPr>
          <w:rFonts w:ascii="楷体" w:hAnsi="楷体" w:eastAsia="楷体" w:cs="楷体"/>
          <w:color w:val="000000"/>
          <w:spacing w:val="30"/>
          <w:sz w:val="48"/>
          <w:szCs w:val="48"/>
        </w:rPr>
      </w:pPr>
    </w:p>
    <w:p>
      <w:pPr>
        <w:pStyle w:val="2"/>
        <w:ind w:firstLine="1080"/>
        <w:rPr>
          <w:rFonts w:ascii="楷体" w:hAnsi="楷体" w:eastAsia="楷体" w:cs="楷体"/>
          <w:color w:val="000000"/>
          <w:spacing w:val="30"/>
          <w:sz w:val="48"/>
          <w:szCs w:val="48"/>
        </w:rPr>
      </w:pPr>
    </w:p>
    <w:p>
      <w:pPr>
        <w:spacing w:before="312" w:beforeLines="100" w:after="100" w:afterAutospacing="1" w:line="800" w:lineRule="exact"/>
        <w:ind w:right="-108"/>
        <w:jc w:val="center"/>
        <w:rPr>
          <w:rFonts w:ascii="宋体" w:hAnsi="宋体"/>
          <w:color w:val="000000"/>
          <w:spacing w:val="40"/>
          <w:sz w:val="72"/>
          <w:szCs w:val="72"/>
        </w:rPr>
      </w:pPr>
      <w:r>
        <w:rPr>
          <w:rFonts w:hint="eastAsia" w:ascii="宋体" w:hAnsi="宋体"/>
          <w:color w:val="000000"/>
          <w:spacing w:val="40"/>
          <w:sz w:val="72"/>
          <w:szCs w:val="72"/>
        </w:rPr>
        <w:t>公开招标采购文件</w:t>
      </w:r>
    </w:p>
    <w:p>
      <w:pPr>
        <w:pStyle w:val="2"/>
        <w:ind w:left="0" w:leftChars="0" w:firstLine="0" w:firstLineChars="0"/>
        <w:jc w:val="center"/>
        <w:rPr>
          <w:sz w:val="44"/>
          <w:szCs w:val="44"/>
        </w:rPr>
      </w:pPr>
      <w:r>
        <w:rPr>
          <w:rFonts w:hint="eastAsia" w:ascii="宋体" w:hAnsi="宋体"/>
          <w:color w:val="000000"/>
          <w:spacing w:val="40"/>
          <w:sz w:val="44"/>
          <w:szCs w:val="44"/>
        </w:rPr>
        <w:t>（线上电子招标）</w:t>
      </w:r>
    </w:p>
    <w:p>
      <w:pPr>
        <w:ind w:right="-110"/>
        <w:rPr>
          <w:rFonts w:ascii="宋体" w:hAnsi="宋体"/>
          <w:color w:val="000000"/>
          <w:sz w:val="32"/>
          <w:szCs w:val="32"/>
        </w:rPr>
      </w:pPr>
    </w:p>
    <w:p>
      <w:pPr>
        <w:spacing w:before="312" w:beforeLines="100" w:line="480" w:lineRule="auto"/>
        <w:ind w:right="-108"/>
        <w:rPr>
          <w:rFonts w:ascii="宋体" w:hAnsi="宋体"/>
          <w:color w:val="000000"/>
          <w:sz w:val="32"/>
          <w:szCs w:val="32"/>
        </w:rPr>
      </w:pPr>
    </w:p>
    <w:p>
      <w:pPr>
        <w:spacing w:before="312" w:beforeLines="100" w:line="480" w:lineRule="auto"/>
        <w:ind w:right="-108"/>
        <w:rPr>
          <w:rFonts w:hint="eastAsia" w:ascii="楷体" w:hAnsi="楷体" w:eastAsia="楷体" w:cs="楷体"/>
          <w:color w:val="000000"/>
          <w:sz w:val="36"/>
          <w:szCs w:val="36"/>
          <w:lang w:eastAsia="zh-CN"/>
        </w:rPr>
      </w:pPr>
      <w:r>
        <w:rPr>
          <w:rFonts w:hint="eastAsia" w:ascii="宋体" w:hAnsi="宋体"/>
          <w:color w:val="000000"/>
          <w:sz w:val="36"/>
          <w:szCs w:val="36"/>
        </w:rPr>
        <w:t xml:space="preserve">    </w:t>
      </w:r>
      <w:r>
        <w:rPr>
          <w:rFonts w:hint="eastAsia" w:ascii="楷体" w:hAnsi="楷体" w:eastAsia="楷体" w:cs="楷体"/>
          <w:color w:val="000000"/>
          <w:sz w:val="36"/>
          <w:szCs w:val="36"/>
        </w:rPr>
        <w:t>项目编号：</w:t>
      </w:r>
      <w:r>
        <w:rPr>
          <w:rFonts w:ascii="楷体" w:hAnsi="楷体" w:eastAsia="楷体" w:cs="楷体"/>
          <w:color w:val="000000"/>
          <w:sz w:val="36"/>
          <w:szCs w:val="36"/>
        </w:rPr>
        <w:t>JHCG202</w:t>
      </w:r>
      <w:r>
        <w:rPr>
          <w:rFonts w:hint="eastAsia" w:ascii="楷体" w:hAnsi="楷体" w:eastAsia="楷体" w:cs="楷体"/>
          <w:color w:val="000000"/>
          <w:sz w:val="36"/>
          <w:szCs w:val="36"/>
        </w:rPr>
        <w:t>0F-03</w:t>
      </w:r>
      <w:r>
        <w:rPr>
          <w:rFonts w:hint="eastAsia" w:ascii="楷体" w:hAnsi="楷体" w:eastAsia="楷体" w:cs="楷体"/>
          <w:color w:val="000000"/>
          <w:sz w:val="36"/>
          <w:szCs w:val="36"/>
          <w:lang w:val="en-US" w:eastAsia="zh-CN"/>
        </w:rPr>
        <w:t>3</w:t>
      </w:r>
    </w:p>
    <w:p>
      <w:pPr>
        <w:wordWrap w:val="0"/>
        <w:spacing w:line="480" w:lineRule="auto"/>
        <w:ind w:right="-108" w:firstLine="720" w:firstLineChars="200"/>
        <w:rPr>
          <w:rFonts w:ascii="楷体" w:hAnsi="楷体" w:eastAsia="楷体" w:cs="楷体"/>
          <w:color w:val="000000"/>
          <w:sz w:val="36"/>
          <w:szCs w:val="36"/>
        </w:rPr>
      </w:pPr>
      <w:r>
        <w:rPr>
          <w:rFonts w:hint="eastAsia" w:ascii="楷体" w:hAnsi="楷体" w:eastAsia="楷体" w:cs="楷体"/>
          <w:color w:val="000000"/>
          <w:sz w:val="36"/>
          <w:szCs w:val="36"/>
        </w:rPr>
        <w:t>代理机构：金华市政府采购中心</w:t>
      </w:r>
    </w:p>
    <w:p>
      <w:pPr>
        <w:wordWrap w:val="0"/>
        <w:spacing w:line="480" w:lineRule="auto"/>
        <w:ind w:right="-108" w:firstLine="720" w:firstLineChars="200"/>
        <w:rPr>
          <w:rFonts w:ascii="楷体" w:hAnsi="楷体" w:eastAsia="楷体" w:cs="楷体"/>
          <w:color w:val="000000"/>
          <w:sz w:val="36"/>
          <w:szCs w:val="36"/>
        </w:rPr>
      </w:pPr>
      <w:r>
        <w:rPr>
          <w:rFonts w:hint="eastAsia" w:ascii="楷体" w:hAnsi="楷体" w:eastAsia="楷体" w:cs="楷体"/>
          <w:color w:val="000000"/>
          <w:sz w:val="36"/>
          <w:szCs w:val="36"/>
        </w:rPr>
        <w:t>地址：金华市双龙南街858号财富大厦4楼</w:t>
      </w:r>
    </w:p>
    <w:p>
      <w:pPr>
        <w:pStyle w:val="11"/>
        <w:ind w:left="0" w:firstLine="720" w:firstLineChars="200"/>
        <w:rPr>
          <w:rFonts w:ascii="楷体" w:hAnsi="楷体" w:eastAsia="楷体" w:cs="楷体"/>
          <w:color w:val="000000"/>
          <w:sz w:val="36"/>
          <w:szCs w:val="36"/>
        </w:rPr>
        <w:sectPr>
          <w:footerReference r:id="rId3" w:type="default"/>
          <w:pgSz w:w="11906" w:h="16838"/>
          <w:pgMar w:top="1440" w:right="1800" w:bottom="1440" w:left="1800" w:header="851" w:footer="992" w:gutter="0"/>
          <w:cols w:space="425" w:num="1"/>
          <w:docGrid w:type="lines" w:linePitch="312" w:charSpace="0"/>
        </w:sectPr>
      </w:pPr>
      <w:r>
        <w:rPr>
          <w:rFonts w:hint="eastAsia" w:ascii="楷体" w:hAnsi="楷体" w:eastAsia="楷体" w:cs="楷体"/>
          <w:color w:val="000000"/>
          <w:sz w:val="36"/>
          <w:szCs w:val="36"/>
        </w:rPr>
        <w:t>开标时间：2020年</w:t>
      </w:r>
      <w:r>
        <w:rPr>
          <w:rFonts w:hint="eastAsia" w:ascii="楷体" w:hAnsi="楷体" w:eastAsia="楷体" w:cs="楷体"/>
          <w:color w:val="000000"/>
          <w:sz w:val="36"/>
          <w:szCs w:val="36"/>
          <w:lang w:val="en-US" w:eastAsia="zh-CN"/>
        </w:rPr>
        <w:t>8</w:t>
      </w:r>
      <w:r>
        <w:rPr>
          <w:rFonts w:hint="eastAsia" w:ascii="楷体" w:hAnsi="楷体" w:eastAsia="楷体" w:cs="楷体"/>
          <w:color w:val="000000"/>
          <w:sz w:val="36"/>
          <w:szCs w:val="36"/>
        </w:rPr>
        <w:t>月</w:t>
      </w:r>
      <w:r>
        <w:rPr>
          <w:rFonts w:hint="eastAsia" w:ascii="楷体" w:hAnsi="楷体" w:eastAsia="楷体" w:cs="楷体"/>
          <w:color w:val="000000"/>
          <w:sz w:val="36"/>
          <w:szCs w:val="36"/>
          <w:lang w:val="en-US" w:eastAsia="zh-CN"/>
        </w:rPr>
        <w:t>13</w:t>
      </w:r>
      <w:r>
        <w:rPr>
          <w:rFonts w:hint="eastAsia" w:ascii="楷体" w:hAnsi="楷体" w:eastAsia="楷体" w:cs="楷体"/>
          <w:color w:val="000000"/>
          <w:sz w:val="36"/>
          <w:szCs w:val="36"/>
        </w:rPr>
        <w:t>日上午9：00整</w:t>
      </w:r>
    </w:p>
    <w:p>
      <w:pPr>
        <w:pStyle w:val="6"/>
        <w:spacing w:before="156" w:after="156" w:line="480" w:lineRule="auto"/>
        <w:jc w:val="center"/>
        <w:rPr>
          <w:rFonts w:hAnsi="宋体"/>
          <w:b/>
          <w:color w:val="000000"/>
          <w:sz w:val="36"/>
          <w:szCs w:val="36"/>
        </w:rPr>
      </w:pPr>
      <w:r>
        <w:rPr>
          <w:rFonts w:hint="eastAsia" w:hAnsi="宋体"/>
          <w:b/>
          <w:color w:val="000000"/>
          <w:sz w:val="36"/>
          <w:szCs w:val="36"/>
        </w:rPr>
        <w:t>目    录</w:t>
      </w:r>
    </w:p>
    <w:p>
      <w:pPr>
        <w:spacing w:before="156" w:beforeLines="50" w:line="480" w:lineRule="exact"/>
        <w:rPr>
          <w:rFonts w:ascii="宋体" w:hAnsi="宋体" w:eastAsia="仿宋_GB2312"/>
          <w:color w:val="000000"/>
          <w:sz w:val="30"/>
          <w:szCs w:val="30"/>
        </w:rPr>
      </w:pP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公开</w:t>
      </w:r>
      <w:r>
        <w:rPr>
          <w:rFonts w:ascii="宋体" w:hAnsi="宋体" w:eastAsia="仿宋_GB2312"/>
          <w:color w:val="000000"/>
          <w:sz w:val="30"/>
          <w:szCs w:val="30"/>
        </w:rPr>
        <w:t>招标采购公告</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招标</w:t>
      </w:r>
      <w:r>
        <w:rPr>
          <w:rFonts w:ascii="宋体" w:hAnsi="宋体" w:eastAsia="仿宋_GB2312"/>
          <w:color w:val="000000"/>
          <w:sz w:val="30"/>
          <w:szCs w:val="30"/>
        </w:rPr>
        <w:t>需求</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投标人</w:t>
      </w:r>
      <w:r>
        <w:rPr>
          <w:rFonts w:ascii="宋体" w:hAnsi="宋体" w:eastAsia="仿宋_GB2312"/>
          <w:color w:val="000000"/>
          <w:sz w:val="30"/>
          <w:szCs w:val="30"/>
        </w:rPr>
        <w:t>须知</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政府采购政策功能相关说明</w:t>
      </w:r>
    </w:p>
    <w:p>
      <w:pPr>
        <w:numPr>
          <w:ilvl w:val="0"/>
          <w:numId w:val="1"/>
        </w:numPr>
        <w:spacing w:before="156" w:beforeLines="50" w:line="480" w:lineRule="exact"/>
        <w:rPr>
          <w:rFonts w:ascii="宋体" w:hAnsi="宋体" w:eastAsia="仿宋_GB2312"/>
          <w:color w:val="000000"/>
          <w:sz w:val="30"/>
          <w:szCs w:val="30"/>
        </w:rPr>
      </w:pPr>
      <w:r>
        <w:rPr>
          <w:rFonts w:hint="eastAsia" w:ascii="宋体" w:hAnsi="宋体" w:eastAsia="仿宋_GB2312"/>
          <w:color w:val="000000"/>
          <w:sz w:val="30"/>
          <w:szCs w:val="30"/>
        </w:rPr>
        <w:t xml:space="preserve"> 评标定标办法</w:t>
      </w:r>
    </w:p>
    <w:p>
      <w:pPr>
        <w:numPr>
          <w:ilvl w:val="0"/>
          <w:numId w:val="1"/>
        </w:numPr>
        <w:spacing w:before="156" w:beforeLines="50" w:line="480" w:lineRule="exact"/>
        <w:rPr>
          <w:rFonts w:ascii="宋体" w:hAnsi="宋体" w:eastAsia="仿宋_GB2312"/>
          <w:color w:val="000000"/>
          <w:sz w:val="30"/>
          <w:szCs w:val="30"/>
        </w:rPr>
      </w:pPr>
      <w:r>
        <w:rPr>
          <w:rFonts w:ascii="宋体" w:hAnsi="宋体" w:eastAsia="仿宋_GB2312"/>
          <w:color w:val="000000"/>
          <w:sz w:val="30"/>
          <w:szCs w:val="30"/>
        </w:rPr>
        <w:t xml:space="preserve"> </w:t>
      </w:r>
      <w:r>
        <w:rPr>
          <w:rFonts w:hint="eastAsia" w:ascii="宋体" w:hAnsi="宋体" w:eastAsia="仿宋_GB2312"/>
          <w:color w:val="000000"/>
          <w:sz w:val="30"/>
          <w:szCs w:val="30"/>
        </w:rPr>
        <w:t>政府采购合同主要条款</w:t>
      </w:r>
    </w:p>
    <w:p>
      <w:pPr>
        <w:pStyle w:val="2"/>
        <w:ind w:left="0" w:leftChars="0" w:firstLine="0" w:firstLineChars="0"/>
        <w:rPr>
          <w:rFonts w:eastAsia="仿宋_GB2312"/>
        </w:rPr>
      </w:pPr>
      <w:r>
        <w:rPr>
          <w:rFonts w:hint="eastAsia" w:ascii="宋体" w:hAnsi="宋体" w:eastAsia="仿宋_GB2312"/>
          <w:color w:val="000000"/>
          <w:sz w:val="30"/>
          <w:szCs w:val="30"/>
        </w:rPr>
        <w:t xml:space="preserve"> 第七章   投标文件格式</w:t>
      </w:r>
    </w:p>
    <w:p>
      <w:pPr>
        <w:sectPr>
          <w:pgSz w:w="11906" w:h="16838"/>
          <w:pgMar w:top="1440" w:right="1800" w:bottom="1440" w:left="1800" w:header="851" w:footer="992" w:gutter="0"/>
          <w:cols w:space="425" w:num="1"/>
          <w:docGrid w:type="lines" w:linePitch="312" w:charSpace="0"/>
        </w:sectPr>
      </w:pPr>
      <w:r>
        <w:rPr>
          <w:rFonts w:hint="eastAsia"/>
        </w:rPr>
        <w:t xml:space="preserve">  </w:t>
      </w:r>
    </w:p>
    <w:p>
      <w:pPr>
        <w:pStyle w:val="6"/>
        <w:spacing w:before="156" w:after="156" w:line="360" w:lineRule="auto"/>
        <w:ind w:firstLine="640"/>
        <w:jc w:val="center"/>
        <w:outlineLvl w:val="0"/>
        <w:rPr>
          <w:rFonts w:hAnsi="宋体"/>
          <w:b/>
          <w:color w:val="000000"/>
          <w:sz w:val="36"/>
          <w:szCs w:val="36"/>
        </w:rPr>
      </w:pPr>
      <w:bookmarkStart w:id="0" w:name="_Toc439237127"/>
      <w:r>
        <w:rPr>
          <w:rFonts w:hint="eastAsia" w:hAnsi="宋体"/>
          <w:b/>
          <w:color w:val="000000"/>
          <w:sz w:val="36"/>
          <w:szCs w:val="36"/>
        </w:rPr>
        <w:t>第一章  公开招标采购公告</w:t>
      </w:r>
      <w:bookmarkEnd w:id="0"/>
    </w:p>
    <w:p>
      <w:pPr>
        <w:pStyle w:val="29"/>
        <w:widowControl w:val="0"/>
        <w:spacing w:afterLines="0" w:line="460" w:lineRule="exact"/>
        <w:ind w:firstLine="480"/>
        <w:rPr>
          <w:rFonts w:ascii="仿宋" w:hAnsi="仿宋" w:eastAsia="仿宋" w:cs="Arial"/>
          <w:bCs/>
          <w:color w:val="000000"/>
          <w:kern w:val="2"/>
          <w:szCs w:val="24"/>
        </w:rPr>
      </w:pPr>
      <w:r>
        <w:rPr>
          <w:rFonts w:hint="eastAsia" w:ascii="仿宋" w:hAnsi="仿宋" w:eastAsia="仿宋" w:cs="Arial"/>
          <w:bCs/>
          <w:color w:val="000000"/>
          <w:kern w:val="2"/>
          <w:szCs w:val="24"/>
        </w:rPr>
        <w:t>根据《中华人民共和国政府采购法》、《中华人民共和国政府采购实施条例》、《政府采购货物和服务招标投标管理办法》（注：基建工程、经批准采购进口机电产品的项目，应注明相关法律依据）等规定，经金华市财政局批准，现就该</w:t>
      </w:r>
      <w:r>
        <w:rPr>
          <w:rFonts w:ascii="仿宋" w:hAnsi="仿宋" w:eastAsia="仿宋" w:cs="Arial"/>
          <w:bCs/>
          <w:color w:val="000000"/>
          <w:kern w:val="2"/>
          <w:szCs w:val="24"/>
        </w:rPr>
        <w:t>项目进行公开招标采购，</w:t>
      </w:r>
      <w:r>
        <w:rPr>
          <w:rFonts w:hint="eastAsia" w:ascii="仿宋" w:hAnsi="仿宋" w:eastAsia="仿宋" w:cs="Arial"/>
          <w:bCs/>
          <w:color w:val="000000"/>
          <w:kern w:val="2"/>
          <w:szCs w:val="24"/>
        </w:rPr>
        <w:t>欢迎提供本国货物、服务的生产制造厂商或其合格代理商前来投标：</w:t>
      </w:r>
    </w:p>
    <w:p>
      <w:pPr>
        <w:snapToGrid w:val="0"/>
        <w:ind w:firstLine="600" w:firstLineChars="200"/>
        <w:rPr>
          <w:rFonts w:hint="eastAsia" w:ascii="仿宋" w:hAnsi="仿宋" w:eastAsia="仿宋" w:cs="Arial"/>
          <w:b/>
          <w:bCs/>
          <w:color w:val="000000"/>
          <w:sz w:val="30"/>
          <w:szCs w:val="30"/>
          <w:lang w:eastAsia="zh-CN"/>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项目编号：JHCG2020F-03</w:t>
      </w:r>
      <w:r>
        <w:rPr>
          <w:rFonts w:hint="eastAsia" w:ascii="仿宋" w:hAnsi="仿宋" w:eastAsia="仿宋" w:cs="Arial"/>
          <w:b/>
          <w:bCs/>
          <w:color w:val="000000"/>
          <w:sz w:val="30"/>
          <w:szCs w:val="30"/>
          <w:lang w:val="en-US" w:eastAsia="zh-CN"/>
        </w:rPr>
        <w:t>3</w:t>
      </w:r>
    </w:p>
    <w:p>
      <w:pPr>
        <w:snapToGrid w:val="0"/>
        <w:spacing w:after="156" w:afterLines="50"/>
        <w:ind w:firstLine="602" w:firstLineChars="200"/>
        <w:rPr>
          <w:rFonts w:ascii="仿宋" w:hAnsi="仿宋" w:eastAsia="仿宋" w:cs="Arial"/>
          <w:b/>
          <w:color w:val="000000"/>
          <w:sz w:val="30"/>
          <w:szCs w:val="30"/>
        </w:rPr>
      </w:pPr>
      <w:r>
        <w:rPr>
          <w:rFonts w:hint="eastAsia" w:ascii="仿宋" w:hAnsi="仿宋" w:eastAsia="仿宋" w:cs="Arial"/>
          <w:b/>
          <w:color w:val="000000"/>
          <w:sz w:val="30"/>
          <w:szCs w:val="30"/>
        </w:rPr>
        <w:t>二</w:t>
      </w:r>
      <w:r>
        <w:rPr>
          <w:rFonts w:ascii="仿宋" w:hAnsi="仿宋" w:eastAsia="仿宋" w:cs="Arial"/>
          <w:b/>
          <w:color w:val="000000"/>
          <w:sz w:val="30"/>
          <w:szCs w:val="30"/>
        </w:rPr>
        <w:t>、采购组织类型：政府集中采购</w:t>
      </w:r>
    </w:p>
    <w:p>
      <w:pPr>
        <w:snapToGrid w:val="0"/>
        <w:spacing w:after="156" w:afterLines="50"/>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三、</w:t>
      </w:r>
      <w:r>
        <w:rPr>
          <w:rFonts w:hint="eastAsia" w:ascii="仿宋" w:hAnsi="仿宋" w:eastAsia="仿宋" w:cs="Arial"/>
          <w:b/>
          <w:bCs/>
          <w:color w:val="000000"/>
          <w:sz w:val="30"/>
          <w:szCs w:val="30"/>
        </w:rPr>
        <w:t>采购内容及数量</w:t>
      </w:r>
    </w:p>
    <w:tbl>
      <w:tblPr>
        <w:tblStyle w:val="15"/>
        <w:tblW w:w="87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0"/>
        <w:gridCol w:w="3087"/>
        <w:gridCol w:w="709"/>
        <w:gridCol w:w="992"/>
        <w:gridCol w:w="1350"/>
        <w:gridCol w:w="16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z w:val="24"/>
                <w:szCs w:val="24"/>
                <w:lang w:eastAsia="zh-CN"/>
              </w:rPr>
            </w:pPr>
            <w:r>
              <w:rPr>
                <w:rFonts w:hint="eastAsia" w:ascii="仿宋" w:hAnsi="仿宋" w:eastAsia="仿宋"/>
                <w:sz w:val="24"/>
                <w:szCs w:val="24"/>
                <w:lang w:val="en-US" w:eastAsia="zh-CN"/>
              </w:rPr>
              <w:t>序号</w:t>
            </w:r>
          </w:p>
        </w:tc>
        <w:tc>
          <w:tcPr>
            <w:tcW w:w="3087" w:type="dxa"/>
            <w:tcBorders>
              <w:top w:val="single" w:color="auto" w:sz="4" w:space="0"/>
              <w:left w:val="single" w:color="auto" w:sz="4" w:space="0"/>
              <w:bottom w:val="single" w:color="auto" w:sz="4" w:space="0"/>
              <w:right w:val="single" w:color="auto" w:sz="4" w:space="0"/>
            </w:tcBorders>
            <w:vAlign w:val="center"/>
          </w:tcPr>
          <w:p>
            <w:pPr>
              <w:spacing w:line="360" w:lineRule="auto"/>
              <w:ind w:firstLine="720" w:firstLineChars="300"/>
              <w:rPr>
                <w:rFonts w:ascii="仿宋" w:hAnsi="仿宋" w:eastAsia="仿宋"/>
                <w:sz w:val="24"/>
                <w:szCs w:val="24"/>
              </w:rPr>
            </w:pPr>
            <w:r>
              <w:rPr>
                <w:rFonts w:hint="eastAsia" w:ascii="仿宋" w:hAnsi="仿宋" w:eastAsia="仿宋"/>
                <w:sz w:val="24"/>
                <w:szCs w:val="24"/>
              </w:rPr>
              <w:t>采购内容</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单位</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数量</w:t>
            </w:r>
          </w:p>
        </w:tc>
        <w:tc>
          <w:tcPr>
            <w:tcW w:w="135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预算</w:t>
            </w:r>
          </w:p>
          <w:p>
            <w:pPr>
              <w:spacing w:line="360" w:lineRule="auto"/>
              <w:jc w:val="center"/>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万</w:t>
            </w:r>
            <w:r>
              <w:rPr>
                <w:rFonts w:hint="eastAsia" w:ascii="仿宋" w:hAnsi="仿宋" w:eastAsia="仿宋"/>
                <w:sz w:val="24"/>
                <w:szCs w:val="24"/>
              </w:rPr>
              <w:t>元)</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简要技术要求、用途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kern w:val="0"/>
                <w:sz w:val="24"/>
                <w:szCs w:val="24"/>
              </w:rPr>
            </w:pPr>
            <w:r>
              <w:rPr>
                <w:rFonts w:ascii="仿宋" w:hAnsi="仿宋" w:eastAsia="仿宋"/>
                <w:kern w:val="0"/>
                <w:sz w:val="24"/>
                <w:szCs w:val="24"/>
              </w:rPr>
              <w:t>1</w:t>
            </w:r>
          </w:p>
        </w:tc>
        <w:tc>
          <w:tcPr>
            <w:tcW w:w="3087"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专业赛事智能化系统改造</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kern w:val="0"/>
                <w:sz w:val="24"/>
                <w:szCs w:val="24"/>
                <w:lang w:eastAsia="zh-CN"/>
              </w:rPr>
            </w:pPr>
            <w:r>
              <w:rPr>
                <w:rFonts w:hint="eastAsia" w:ascii="仿宋" w:hAnsi="仿宋" w:eastAsia="仿宋"/>
                <w:kern w:val="0"/>
                <w:sz w:val="24"/>
                <w:szCs w:val="24"/>
                <w:lang w:val="en-US" w:eastAsia="zh-CN"/>
              </w:rPr>
              <w:t>批</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见需求</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kern w:val="0"/>
                <w:sz w:val="24"/>
                <w:szCs w:val="24"/>
              </w:rPr>
            </w:pPr>
          </w:p>
          <w:p>
            <w:pPr>
              <w:spacing w:line="360" w:lineRule="auto"/>
              <w:jc w:val="center"/>
              <w:rPr>
                <w:rFonts w:ascii="仿宋" w:hAnsi="仿宋" w:eastAsia="仿宋"/>
                <w:kern w:val="0"/>
                <w:sz w:val="24"/>
                <w:szCs w:val="24"/>
              </w:rPr>
            </w:pPr>
            <w:r>
              <w:rPr>
                <w:rFonts w:hint="eastAsia" w:ascii="仿宋" w:hAnsi="仿宋" w:eastAsia="仿宋"/>
                <w:kern w:val="0"/>
                <w:sz w:val="24"/>
                <w:szCs w:val="24"/>
              </w:rPr>
              <w:t>2072.2524</w:t>
            </w:r>
            <w:r>
              <w:rPr>
                <w:rFonts w:hint="eastAsia" w:ascii="仿宋" w:hAnsi="仿宋" w:eastAsia="仿宋"/>
                <w:kern w:val="0"/>
                <w:sz w:val="24"/>
                <w:szCs w:val="24"/>
              </w:rPr>
              <w:tab/>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kern w:val="0"/>
                <w:sz w:val="24"/>
                <w:szCs w:val="24"/>
              </w:rPr>
            </w:pPr>
            <w:r>
              <w:rPr>
                <w:rFonts w:hint="eastAsia" w:ascii="仿宋" w:hAnsi="仿宋" w:eastAsia="仿宋"/>
                <w:kern w:val="0"/>
                <w:sz w:val="24"/>
                <w:szCs w:val="24"/>
              </w:rPr>
              <w:t>详</w:t>
            </w:r>
            <w:r>
              <w:rPr>
                <w:rFonts w:ascii="仿宋" w:hAnsi="仿宋" w:eastAsia="仿宋"/>
                <w:kern w:val="0"/>
                <w:sz w:val="24"/>
                <w:szCs w:val="24"/>
              </w:rPr>
              <w:t>见</w:t>
            </w:r>
            <w:r>
              <w:rPr>
                <w:rFonts w:hint="eastAsia" w:ascii="仿宋" w:hAnsi="仿宋" w:eastAsia="仿宋"/>
                <w:kern w:val="0"/>
                <w:sz w:val="24"/>
                <w:szCs w:val="24"/>
              </w:rPr>
              <w:t>招</w:t>
            </w:r>
            <w:r>
              <w:rPr>
                <w:rFonts w:ascii="仿宋" w:hAnsi="仿宋" w:eastAsia="仿宋"/>
                <w:kern w:val="0"/>
                <w:sz w:val="24"/>
                <w:szCs w:val="24"/>
              </w:rPr>
              <w:t>标文件第二章</w:t>
            </w:r>
          </w:p>
        </w:tc>
      </w:tr>
    </w:tbl>
    <w:p>
      <w:pPr>
        <w:pStyle w:val="18"/>
      </w:pPr>
    </w:p>
    <w:p>
      <w:pPr>
        <w:snapToGrid w:val="0"/>
        <w:spacing w:line="460" w:lineRule="exact"/>
        <w:rPr>
          <w:rFonts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四、投标供应商资格要求</w:t>
      </w:r>
    </w:p>
    <w:p>
      <w:pPr>
        <w:snapToGrid w:val="0"/>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1.符合《中华人民共和国政府采购法》第二十二条供应商应当具备的条件和浙财采监【2013】24号《关于规范政府采购供应商资格设定及资格审查的通知》第六条规定。</w:t>
      </w:r>
    </w:p>
    <w:p>
      <w:pPr>
        <w:pStyle w:val="2"/>
        <w:ind w:left="0" w:leftChars="0" w:firstLine="0" w:firstLineChars="0"/>
        <w:rPr>
          <w:rFonts w:ascii="宋体" w:hAnsi="宋体" w:cs="宋体"/>
          <w:bCs/>
          <w:color w:val="000000"/>
          <w:sz w:val="24"/>
          <w:szCs w:val="24"/>
        </w:rPr>
      </w:pPr>
      <w:r>
        <w:rPr>
          <w:rFonts w:hint="eastAsia" w:ascii="宋体" w:hAnsi="宋体" w:cs="宋体"/>
          <w:bCs/>
          <w:color w:val="000000"/>
          <w:sz w:val="24"/>
          <w:szCs w:val="24"/>
        </w:rPr>
        <w:t xml:space="preserve">   2.本次采购不接受联合体投标；</w:t>
      </w:r>
    </w:p>
    <w:p>
      <w:pPr>
        <w:pStyle w:val="2"/>
        <w:ind w:left="0" w:leftChars="0" w:firstLine="0" w:firstLineChars="0"/>
        <w:rPr>
          <w:rFonts w:ascii="宋体" w:hAnsi="宋体" w:cs="宋体"/>
          <w:bCs/>
          <w:color w:val="000000"/>
          <w:sz w:val="24"/>
          <w:szCs w:val="24"/>
        </w:rPr>
      </w:pPr>
      <w:r>
        <w:rPr>
          <w:rFonts w:hint="eastAsia" w:ascii="宋体" w:hAnsi="宋体" w:cs="宋体"/>
          <w:bCs/>
          <w:color w:val="000000"/>
          <w:sz w:val="24"/>
          <w:szCs w:val="24"/>
        </w:rPr>
        <w:t xml:space="preserve">   3.投标人未被列入失信被执行人名单、重大税收违法案件当事人名单、政府采购严重违法失信行为记录名单，信用信息以信用中国网站（www.creditchina.gov.cn）、中国政府采购网（www.ccgp.gov.cn）公布为准；</w:t>
      </w:r>
    </w:p>
    <w:p>
      <w:pPr>
        <w:pStyle w:val="2"/>
        <w:ind w:left="0" w:leftChars="0" w:firstLine="240" w:firstLineChars="100"/>
        <w:rPr>
          <w:rFonts w:ascii="宋体" w:hAnsi="宋体" w:cs="宋体"/>
          <w:bCs/>
          <w:color w:val="000000"/>
          <w:sz w:val="24"/>
          <w:szCs w:val="24"/>
        </w:rPr>
      </w:pPr>
      <w:r>
        <w:rPr>
          <w:rFonts w:hint="eastAsia" w:ascii="宋体" w:hAnsi="宋体" w:cs="宋体"/>
          <w:bCs/>
          <w:color w:val="000000"/>
          <w:sz w:val="24"/>
          <w:szCs w:val="24"/>
        </w:rPr>
        <w:t>4.单位负责人为同一人或者存在直接控股、管理关系的不同供应商，不得参加同一合同项下的政府采购活动；</w:t>
      </w:r>
    </w:p>
    <w:p>
      <w:pPr>
        <w:pStyle w:val="2"/>
        <w:ind w:left="0" w:leftChars="0" w:firstLine="240" w:firstLineChars="100"/>
      </w:pPr>
      <w:r>
        <w:rPr>
          <w:rFonts w:hint="eastAsia" w:ascii="宋体" w:hAnsi="宋体" w:cs="宋体"/>
          <w:bCs/>
          <w:color w:val="000000"/>
          <w:sz w:val="24"/>
          <w:szCs w:val="24"/>
        </w:rPr>
        <w:t>5.法律、行政法规规定的其他条件。</w:t>
      </w:r>
    </w:p>
    <w:p>
      <w:pPr>
        <w:widowControl/>
        <w:snapToGrid w:val="0"/>
        <w:spacing w:line="46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五、招标文件获取方式：</w:t>
      </w:r>
    </w:p>
    <w:p>
      <w:pPr>
        <w:pStyle w:val="4"/>
        <w:spacing w:line="460" w:lineRule="exact"/>
        <w:ind w:firstLine="440"/>
        <w:rPr>
          <w:rFonts w:ascii="宋体" w:cs="宋体"/>
          <w:bCs/>
          <w:sz w:val="22"/>
        </w:rPr>
      </w:pPr>
      <w:bookmarkStart w:id="1" w:name="B18_招标文件发售起始日期"/>
      <w:bookmarkEnd w:id="1"/>
      <w:r>
        <w:rPr>
          <w:rFonts w:hint="eastAsia" w:ascii="宋体" w:cs="宋体"/>
          <w:bCs/>
          <w:sz w:val="22"/>
        </w:rPr>
        <w:t>1、本项目招标文件实行“政府采购云平台”在线获取，不提供招标文件纸质版。供应商获取招标文件前应先完成“政府采购云平台”的账号注册；</w:t>
      </w:r>
    </w:p>
    <w:p>
      <w:pPr>
        <w:pStyle w:val="4"/>
        <w:spacing w:line="460" w:lineRule="exact"/>
        <w:ind w:firstLine="440"/>
        <w:rPr>
          <w:rFonts w:ascii="宋体" w:cs="宋体"/>
          <w:bCs/>
          <w:sz w:val="22"/>
        </w:rPr>
      </w:pPr>
      <w:r>
        <w:rPr>
          <w:rFonts w:hint="eastAsia" w:ascii="宋体" w:cs="宋体"/>
          <w:bCs/>
          <w:sz w:val="22"/>
        </w:rPr>
        <w:t>2、地点：政采云平台；</w:t>
      </w:r>
    </w:p>
    <w:p>
      <w:pPr>
        <w:pStyle w:val="2"/>
        <w:ind w:left="0" w:leftChars="0" w:firstLine="440"/>
        <w:rPr>
          <w:rFonts w:ascii="宋体" w:cs="宋体"/>
          <w:bCs/>
          <w:sz w:val="22"/>
          <w:szCs w:val="22"/>
        </w:rPr>
      </w:pPr>
      <w:r>
        <w:rPr>
          <w:rFonts w:hint="eastAsia" w:ascii="宋体" w:cs="宋体"/>
          <w:bCs/>
          <w:sz w:val="22"/>
          <w:szCs w:val="22"/>
        </w:rPr>
        <w:t>3、方式：潜在供应商登陆政采云平台，在线申请获取招标文件（进入“项目采购”，在获取招标文件菜单中选择项目，申请获取招标文件，</w:t>
      </w:r>
      <w:r>
        <w:rPr>
          <w:rFonts w:ascii="宋体" w:cs="宋体"/>
          <w:bCs/>
          <w:sz w:val="22"/>
          <w:szCs w:val="22"/>
        </w:rPr>
        <w:t>填写获取采购文件的申请信息，提交后点击【下载采购文件】即可获取</w:t>
      </w:r>
      <w:r>
        <w:rPr>
          <w:rFonts w:hint="eastAsia" w:ascii="宋体" w:cs="宋体"/>
          <w:bCs/>
          <w:sz w:val="22"/>
          <w:szCs w:val="22"/>
        </w:rPr>
        <w:t>招标</w:t>
      </w:r>
      <w:r>
        <w:rPr>
          <w:rFonts w:ascii="宋体" w:cs="宋体"/>
          <w:bCs/>
          <w:sz w:val="22"/>
          <w:szCs w:val="22"/>
        </w:rPr>
        <w:t>文件</w:t>
      </w:r>
      <w:r>
        <w:rPr>
          <w:rFonts w:hint="eastAsia" w:ascii="宋体" w:cs="宋体"/>
          <w:bCs/>
          <w:sz w:val="22"/>
          <w:szCs w:val="22"/>
        </w:rPr>
        <w:t>，本项目招标文件不收取工本费。仅需浏览招标文件的供应商可点击“游客，浏览招标文件”直接下载招标文件浏览。</w:t>
      </w:r>
    </w:p>
    <w:p>
      <w:pPr>
        <w:pStyle w:val="2"/>
        <w:ind w:left="0" w:leftChars="0" w:firstLine="440"/>
        <w:rPr>
          <w:rFonts w:ascii="宋体" w:cs="宋体"/>
          <w:sz w:val="22"/>
          <w:szCs w:val="22"/>
        </w:rPr>
      </w:pPr>
      <w:r>
        <w:rPr>
          <w:rFonts w:hint="eastAsia" w:ascii="宋体" w:cs="宋体"/>
          <w:sz w:val="22"/>
          <w:szCs w:val="22"/>
        </w:rPr>
        <w:t>4、供应商获取招标文件时须提交的文件资料：无</w:t>
      </w:r>
    </w:p>
    <w:p>
      <w:pPr>
        <w:pStyle w:val="4"/>
        <w:spacing w:line="460" w:lineRule="exact"/>
        <w:ind w:firstLine="440"/>
        <w:rPr>
          <w:rFonts w:ascii="宋体" w:cs="宋体"/>
          <w:bCs/>
          <w:sz w:val="22"/>
        </w:rPr>
      </w:pPr>
      <w:r>
        <w:rPr>
          <w:rFonts w:hint="eastAsia" w:ascii="宋体" w:cs="宋体"/>
          <w:bCs/>
          <w:sz w:val="22"/>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4"/>
        <w:spacing w:line="460" w:lineRule="exact"/>
        <w:ind w:firstLine="440"/>
        <w:rPr>
          <w:rFonts w:ascii="宋体" w:cs="宋体"/>
          <w:sz w:val="22"/>
        </w:rPr>
      </w:pPr>
      <w:r>
        <w:rPr>
          <w:rFonts w:hint="eastAsia" w:ascii="宋体" w:cs="宋体"/>
          <w:bCs/>
          <w:sz w:val="22"/>
        </w:rPr>
        <w:t>注：请供应商按上述要求获取招标文件，如未在“政采云”系统内完成相关流程，引起的投标无效责任自负。</w:t>
      </w:r>
    </w:p>
    <w:p>
      <w:pPr>
        <w:widowControl/>
        <w:snapToGrid w:val="0"/>
        <w:spacing w:line="460" w:lineRule="exact"/>
        <w:jc w:val="left"/>
        <w:rPr>
          <w:rFonts w:ascii="宋体"/>
          <w:sz w:val="22"/>
        </w:rPr>
      </w:pPr>
      <w:r>
        <w:rPr>
          <w:rFonts w:hint="eastAsia" w:ascii="宋体"/>
          <w:b/>
          <w:bCs/>
          <w:sz w:val="24"/>
          <w:szCs w:val="24"/>
        </w:rPr>
        <w:t>六</w:t>
      </w:r>
      <w:r>
        <w:rPr>
          <w:rFonts w:ascii="宋体"/>
          <w:b/>
          <w:bCs/>
          <w:sz w:val="24"/>
          <w:szCs w:val="24"/>
        </w:rPr>
        <w:t>、投标截止时间</w:t>
      </w:r>
      <w:r>
        <w:rPr>
          <w:rFonts w:ascii="宋体"/>
          <w:sz w:val="22"/>
        </w:rPr>
        <w:t>：</w:t>
      </w:r>
      <w:r>
        <w:rPr>
          <w:rFonts w:hint="eastAsia" w:ascii="宋体"/>
          <w:sz w:val="22"/>
        </w:rPr>
        <w:t>2020年</w:t>
      </w:r>
      <w:r>
        <w:rPr>
          <w:rFonts w:hint="eastAsia" w:ascii="宋体" w:cs="宋体"/>
          <w:sz w:val="22"/>
          <w:lang w:val="en-US" w:eastAsia="zh-CN"/>
        </w:rPr>
        <w:t>8</w:t>
      </w:r>
      <w:r>
        <w:rPr>
          <w:rFonts w:hint="eastAsia" w:ascii="宋体" w:cs="宋体"/>
          <w:sz w:val="22"/>
        </w:rPr>
        <w:t>月</w:t>
      </w:r>
      <w:r>
        <w:rPr>
          <w:rFonts w:hint="eastAsia" w:ascii="宋体" w:cs="宋体"/>
          <w:sz w:val="22"/>
          <w:lang w:val="en-US" w:eastAsia="zh-CN"/>
        </w:rPr>
        <w:t>13</w:t>
      </w:r>
      <w:r>
        <w:rPr>
          <w:rFonts w:hint="eastAsia" w:ascii="宋体" w:cs="宋体"/>
          <w:sz w:val="22"/>
        </w:rPr>
        <w:t>日</w:t>
      </w:r>
      <w:bookmarkStart w:id="2" w:name="B25_投标截止时间"/>
      <w:r>
        <w:rPr>
          <w:rFonts w:hint="eastAsia" w:ascii="宋体"/>
          <w:sz w:val="22"/>
        </w:rPr>
        <w:t xml:space="preserve">  </w:t>
      </w:r>
      <w:r>
        <w:rPr>
          <w:rFonts w:ascii="宋体"/>
          <w:sz w:val="22"/>
        </w:rPr>
        <w:t>上午</w:t>
      </w:r>
      <w:bookmarkEnd w:id="2"/>
      <w:r>
        <w:rPr>
          <w:rFonts w:hint="eastAsia" w:ascii="宋体"/>
          <w:sz w:val="22"/>
        </w:rPr>
        <w:t>9:00</w:t>
      </w:r>
    </w:p>
    <w:p>
      <w:pPr>
        <w:widowControl/>
        <w:snapToGrid w:val="0"/>
        <w:spacing w:line="460" w:lineRule="exact"/>
        <w:jc w:val="left"/>
        <w:rPr>
          <w:rFonts w:ascii="宋体"/>
          <w:sz w:val="22"/>
        </w:rPr>
      </w:pPr>
      <w:r>
        <w:rPr>
          <w:rFonts w:hint="eastAsia" w:ascii="宋体"/>
          <w:b/>
          <w:bCs/>
          <w:sz w:val="22"/>
        </w:rPr>
        <w:t>七</w:t>
      </w:r>
      <w:r>
        <w:rPr>
          <w:rFonts w:ascii="宋体"/>
          <w:b/>
          <w:bCs/>
          <w:sz w:val="22"/>
        </w:rPr>
        <w:t>、投标地点</w:t>
      </w:r>
      <w:r>
        <w:rPr>
          <w:rFonts w:ascii="宋体"/>
          <w:sz w:val="22"/>
        </w:rPr>
        <w:t>：</w:t>
      </w:r>
      <w:r>
        <w:rPr>
          <w:rFonts w:hint="eastAsia" w:ascii="宋体"/>
          <w:sz w:val="22"/>
        </w:rPr>
        <w:t>金华市双龙南街858号财富大厦4楼开标2室（本项目采用在线投标方式，投标供应商无须前往投标现场。）</w:t>
      </w:r>
    </w:p>
    <w:p>
      <w:pPr>
        <w:widowControl/>
        <w:snapToGrid w:val="0"/>
        <w:spacing w:line="460" w:lineRule="exact"/>
        <w:jc w:val="left"/>
        <w:rPr>
          <w:rFonts w:ascii="宋体"/>
          <w:sz w:val="22"/>
        </w:rPr>
      </w:pPr>
      <w:r>
        <w:rPr>
          <w:rFonts w:hint="eastAsia" w:ascii="宋体"/>
          <w:b/>
          <w:bCs/>
          <w:sz w:val="22"/>
        </w:rPr>
        <w:t>八</w:t>
      </w:r>
      <w:r>
        <w:rPr>
          <w:rFonts w:ascii="宋体"/>
          <w:b/>
          <w:bCs/>
          <w:sz w:val="22"/>
        </w:rPr>
        <w:t>、开标时间</w:t>
      </w:r>
      <w:r>
        <w:rPr>
          <w:rFonts w:ascii="宋体"/>
          <w:sz w:val="22"/>
        </w:rPr>
        <w:t>：</w:t>
      </w:r>
      <w:r>
        <w:rPr>
          <w:rFonts w:hint="eastAsia" w:ascii="宋体"/>
          <w:sz w:val="22"/>
        </w:rPr>
        <w:t>2020年</w:t>
      </w:r>
      <w:r>
        <w:rPr>
          <w:rFonts w:hint="eastAsia" w:ascii="宋体" w:cs="宋体"/>
          <w:sz w:val="22"/>
          <w:lang w:val="en-US" w:eastAsia="zh-CN"/>
        </w:rPr>
        <w:t>8</w:t>
      </w:r>
      <w:r>
        <w:rPr>
          <w:rFonts w:hint="eastAsia" w:ascii="宋体" w:cs="宋体"/>
          <w:sz w:val="22"/>
        </w:rPr>
        <w:t>月</w:t>
      </w:r>
      <w:r>
        <w:rPr>
          <w:rFonts w:hint="eastAsia" w:ascii="宋体" w:cs="宋体"/>
          <w:sz w:val="22"/>
          <w:lang w:val="en-US" w:eastAsia="zh-CN"/>
        </w:rPr>
        <w:t>13</w:t>
      </w:r>
      <w:r>
        <w:rPr>
          <w:rFonts w:hint="eastAsia" w:ascii="宋体" w:cs="宋体"/>
          <w:sz w:val="22"/>
        </w:rPr>
        <w:t>日</w:t>
      </w:r>
      <w:bookmarkStart w:id="3" w:name="B28_开标时间"/>
      <w:r>
        <w:rPr>
          <w:rFonts w:hint="eastAsia" w:ascii="宋体" w:cs="宋体"/>
          <w:sz w:val="22"/>
        </w:rPr>
        <w:t xml:space="preserve">  </w:t>
      </w:r>
      <w:r>
        <w:rPr>
          <w:rFonts w:ascii="宋体"/>
          <w:sz w:val="22"/>
        </w:rPr>
        <w:t>上午</w:t>
      </w:r>
      <w:bookmarkEnd w:id="3"/>
      <w:r>
        <w:rPr>
          <w:rFonts w:hint="eastAsia" w:ascii="宋体"/>
          <w:sz w:val="22"/>
        </w:rPr>
        <w:t>9:00</w:t>
      </w:r>
    </w:p>
    <w:p>
      <w:pPr>
        <w:widowControl/>
        <w:snapToGrid w:val="0"/>
        <w:spacing w:line="460" w:lineRule="exact"/>
        <w:jc w:val="left"/>
        <w:rPr>
          <w:rFonts w:ascii="宋体"/>
          <w:sz w:val="22"/>
        </w:rPr>
      </w:pPr>
      <w:r>
        <w:rPr>
          <w:rFonts w:hint="eastAsia" w:ascii="宋体"/>
          <w:b/>
          <w:bCs/>
          <w:sz w:val="22"/>
        </w:rPr>
        <w:t>九</w:t>
      </w:r>
      <w:r>
        <w:rPr>
          <w:rFonts w:ascii="宋体"/>
          <w:b/>
          <w:bCs/>
          <w:sz w:val="22"/>
        </w:rPr>
        <w:t>、开标地点</w:t>
      </w:r>
      <w:r>
        <w:rPr>
          <w:rFonts w:ascii="宋体"/>
          <w:sz w:val="22"/>
        </w:rPr>
        <w:t>：</w:t>
      </w:r>
      <w:r>
        <w:rPr>
          <w:rFonts w:hint="eastAsia" w:ascii="宋体"/>
          <w:sz w:val="22"/>
        </w:rPr>
        <w:t>金华市双龙南街858号财富大厦4楼开标2室（本项目采用在线投标方式，投标供应商无须前往开标现场。）</w:t>
      </w:r>
    </w:p>
    <w:p>
      <w:pPr>
        <w:widowControl/>
        <w:snapToGrid w:val="0"/>
        <w:spacing w:line="460" w:lineRule="exact"/>
        <w:jc w:val="left"/>
        <w:rPr>
          <w:rFonts w:ascii="宋体" w:cs="宋体"/>
          <w:sz w:val="22"/>
        </w:rPr>
      </w:pPr>
      <w:r>
        <w:rPr>
          <w:rFonts w:ascii="宋体"/>
          <w:b/>
          <w:bCs/>
          <w:sz w:val="22"/>
        </w:rPr>
        <w:t>十、</w:t>
      </w:r>
      <w:r>
        <w:rPr>
          <w:rFonts w:hint="eastAsia" w:ascii="宋体"/>
          <w:b/>
          <w:bCs/>
          <w:sz w:val="22"/>
        </w:rPr>
        <w:t>投标保证金</w:t>
      </w:r>
      <w:r>
        <w:rPr>
          <w:rFonts w:hint="eastAsia" w:ascii="宋体"/>
          <w:sz w:val="22"/>
        </w:rPr>
        <w:t>：无</w:t>
      </w:r>
    </w:p>
    <w:p>
      <w:pPr>
        <w:widowControl/>
        <w:snapToGrid w:val="0"/>
        <w:spacing w:line="460" w:lineRule="exact"/>
        <w:jc w:val="left"/>
        <w:rPr>
          <w:rFonts w:ascii="宋体"/>
          <w:b/>
          <w:bCs/>
          <w:sz w:val="22"/>
        </w:rPr>
      </w:pPr>
      <w:r>
        <w:rPr>
          <w:rFonts w:ascii="宋体"/>
          <w:b/>
          <w:bCs/>
          <w:sz w:val="22"/>
        </w:rPr>
        <w:t>十</w:t>
      </w:r>
      <w:r>
        <w:rPr>
          <w:rFonts w:hint="eastAsia" w:ascii="宋体"/>
          <w:b/>
          <w:bCs/>
          <w:sz w:val="22"/>
        </w:rPr>
        <w:t>一</w:t>
      </w:r>
      <w:r>
        <w:rPr>
          <w:rFonts w:ascii="宋体"/>
          <w:b/>
          <w:bCs/>
          <w:sz w:val="22"/>
        </w:rPr>
        <w:t>、</w:t>
      </w:r>
      <w:r>
        <w:rPr>
          <w:rFonts w:hint="eastAsia" w:ascii="宋体"/>
          <w:b/>
          <w:bCs/>
          <w:sz w:val="22"/>
        </w:rPr>
        <w:t>投标方式及说明</w:t>
      </w:r>
    </w:p>
    <w:p>
      <w:pPr>
        <w:spacing w:line="460" w:lineRule="exact"/>
        <w:ind w:firstLine="440" w:firstLineChars="200"/>
        <w:jc w:val="left"/>
        <w:rPr>
          <w:rFonts w:ascii="宋体"/>
          <w:bCs/>
          <w:sz w:val="22"/>
        </w:rPr>
      </w:pPr>
      <w:r>
        <w:rPr>
          <w:rFonts w:hint="eastAsia" w:ascii="宋体"/>
          <w:bCs/>
          <w:sz w:val="22"/>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spacing w:line="460" w:lineRule="exact"/>
        <w:ind w:firstLine="440" w:firstLineChars="200"/>
        <w:jc w:val="left"/>
        <w:rPr>
          <w:rFonts w:ascii="宋体"/>
          <w:bCs/>
          <w:sz w:val="22"/>
        </w:rPr>
      </w:pPr>
      <w:r>
        <w:rPr>
          <w:rFonts w:hint="eastAsia" w:ascii="宋体"/>
          <w:bCs/>
          <w:sz w:val="22"/>
        </w:rPr>
        <w:t>“政采云电子交易客户端”请自行前往“浙江政府采购网-下载专区-电子交易客户端”进行下载；电子投标具体操作流程详见《供应商</w:t>
      </w:r>
      <w:r>
        <w:rPr>
          <w:rFonts w:ascii="宋体"/>
          <w:bCs/>
          <w:sz w:val="22"/>
        </w:rPr>
        <w:t>-政府采购项目电子交易操作指南</w:t>
      </w:r>
      <w:r>
        <w:rPr>
          <w:rFonts w:hint="eastAsia" w:ascii="宋体"/>
          <w:bCs/>
          <w:sz w:val="22"/>
        </w:rPr>
        <w:t>》（</w:t>
      </w:r>
      <w:r>
        <w:rPr>
          <w:rFonts w:ascii="宋体"/>
          <w:bCs/>
          <w:sz w:val="22"/>
        </w:rPr>
        <w:t>https://help.zcygov.cn/web/site_2/2018/12-28/2573.html</w:t>
      </w:r>
      <w:r>
        <w:rPr>
          <w:rFonts w:hint="eastAsia" w:ascii="宋体"/>
          <w:bCs/>
          <w:sz w:val="22"/>
        </w:rPr>
        <w:t>）；通过“政府采购云平台”参与在线投标时如遇平台技术问题详询400-881-7190。</w:t>
      </w:r>
    </w:p>
    <w:p>
      <w:pPr>
        <w:spacing w:line="460" w:lineRule="exact"/>
        <w:ind w:firstLine="440" w:firstLineChars="200"/>
        <w:jc w:val="left"/>
        <w:rPr>
          <w:rFonts w:ascii="宋体"/>
          <w:bCs/>
          <w:sz w:val="22"/>
        </w:rPr>
      </w:pPr>
      <w:r>
        <w:rPr>
          <w:rFonts w:hint="eastAsia" w:ascii="宋体"/>
          <w:bCs/>
          <w:sz w:val="22"/>
        </w:rPr>
        <w:t>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ascii="宋体"/>
          <w:bCs/>
          <w:sz w:val="22"/>
        </w:rPr>
        <w:t>CA驱动和申领流程</w:t>
      </w:r>
      <w:r>
        <w:rPr>
          <w:rFonts w:ascii="宋体"/>
          <w:bCs/>
          <w:sz w:val="22"/>
        </w:rPr>
        <w:fldChar w:fldCharType="end"/>
      </w:r>
      <w:r>
        <w:rPr>
          <w:rFonts w:hint="eastAsia" w:ascii="宋体"/>
          <w:bCs/>
          <w:sz w:val="22"/>
        </w:rPr>
        <w:t>”进行查阅；</w:t>
      </w:r>
    </w:p>
    <w:p>
      <w:pPr>
        <w:spacing w:line="460" w:lineRule="exact"/>
        <w:ind w:firstLine="440" w:firstLineChars="200"/>
        <w:jc w:val="left"/>
        <w:rPr>
          <w:rFonts w:ascii="宋体"/>
          <w:bCs/>
          <w:sz w:val="22"/>
        </w:rPr>
      </w:pPr>
      <w:r>
        <w:rPr>
          <w:rFonts w:hint="eastAsia" w:ascii="宋体"/>
          <w:bCs/>
          <w:sz w:val="22"/>
        </w:rPr>
        <w:t>3、投标供应商应当在投标截止时间前，将生成的“电子加密投标文件”上传递交至“政府采购云平台”。投标截止时间以后上传递交的投标文件将被“政府采购云平台”拒收。</w:t>
      </w:r>
    </w:p>
    <w:p>
      <w:pPr>
        <w:spacing w:line="460" w:lineRule="exact"/>
        <w:ind w:firstLine="440" w:firstLineChars="200"/>
        <w:jc w:val="left"/>
        <w:rPr>
          <w:rFonts w:ascii="宋体" w:cs="宋体"/>
          <w:sz w:val="22"/>
        </w:rPr>
      </w:pPr>
      <w:r>
        <w:rPr>
          <w:rFonts w:hint="eastAsia" w:ascii="宋体"/>
          <w:bCs/>
          <w:sz w:val="22"/>
        </w:rPr>
        <w:t>4、通过“政府采购云平台”成功上传递交的“电子加密投标文件”无法按时解密的，其投标文件按拒收处理。</w:t>
      </w:r>
    </w:p>
    <w:p>
      <w:pPr>
        <w:widowControl/>
        <w:snapToGrid w:val="0"/>
        <w:spacing w:line="460" w:lineRule="exact"/>
        <w:jc w:val="left"/>
        <w:rPr>
          <w:rFonts w:ascii="宋体"/>
          <w:b/>
          <w:bCs/>
          <w:sz w:val="22"/>
        </w:rPr>
      </w:pPr>
      <w:r>
        <w:rPr>
          <w:rFonts w:ascii="宋体"/>
          <w:b/>
          <w:bCs/>
          <w:sz w:val="22"/>
        </w:rPr>
        <w:t>十</w:t>
      </w:r>
      <w:r>
        <w:rPr>
          <w:rFonts w:hint="eastAsia" w:ascii="宋体"/>
          <w:b/>
          <w:bCs/>
          <w:sz w:val="22"/>
        </w:rPr>
        <w:t>二</w:t>
      </w:r>
      <w:r>
        <w:rPr>
          <w:rFonts w:ascii="宋体"/>
          <w:b/>
          <w:bCs/>
          <w:sz w:val="22"/>
        </w:rPr>
        <w:t>、其他事项</w:t>
      </w:r>
    </w:p>
    <w:p>
      <w:pPr>
        <w:widowControl/>
        <w:spacing w:line="460" w:lineRule="exact"/>
        <w:ind w:firstLine="440" w:firstLineChars="200"/>
        <w:jc w:val="left"/>
        <w:rPr>
          <w:rFonts w:ascii="宋体"/>
          <w:sz w:val="22"/>
        </w:rPr>
      </w:pPr>
      <w:r>
        <w:rPr>
          <w:rFonts w:hint="eastAsia" w:ascii="宋体"/>
          <w:sz w:val="22"/>
        </w:rPr>
        <w:t>1、本项目公告期限为公告发布之日次日起五个工作日。</w:t>
      </w:r>
    </w:p>
    <w:p>
      <w:pPr>
        <w:widowControl/>
        <w:spacing w:line="460" w:lineRule="exact"/>
        <w:ind w:firstLine="440" w:firstLineChars="200"/>
        <w:jc w:val="left"/>
        <w:rPr>
          <w:rFonts w:ascii="宋体"/>
          <w:sz w:val="22"/>
        </w:rPr>
      </w:pPr>
      <w:r>
        <w:rPr>
          <w:rFonts w:ascii="宋体"/>
          <w:sz w:val="22"/>
        </w:rPr>
        <w:t>2</w:t>
      </w:r>
      <w:r>
        <w:rPr>
          <w:rFonts w:hint="eastAsia" w:ascii="宋体"/>
          <w:sz w:val="22"/>
        </w:rPr>
        <w:t>、供应商如对招标文件有异议的，应于招标公告期限届满之日起七个工作日内以书面形式向采购代理机构提出。</w:t>
      </w:r>
    </w:p>
    <w:p>
      <w:pPr>
        <w:spacing w:line="460" w:lineRule="exact"/>
        <w:ind w:firstLine="440" w:firstLineChars="200"/>
        <w:jc w:val="left"/>
        <w:rPr>
          <w:rFonts w:ascii="宋体"/>
          <w:sz w:val="22"/>
        </w:rPr>
      </w:pPr>
      <w:r>
        <w:rPr>
          <w:rFonts w:hint="eastAsia" w:ascii="宋体"/>
          <w:sz w:val="22"/>
        </w:rPr>
        <w:t>3、供应商知道或者应知其权益受到损害之日起七个工作日内，以书面形式向采购人（或采购代理机构）提出质疑。供应商应知其权益受到损害之日，是指：对可以质疑的招标文件提出质疑的，为收到招标文件之日（含网上下载招标文件）或者招标公告期限届满之日（招标</w:t>
      </w:r>
      <w:r>
        <w:rPr>
          <w:rFonts w:ascii="宋体"/>
          <w:sz w:val="22"/>
        </w:rPr>
        <w:t>文件在</w:t>
      </w:r>
      <w:r>
        <w:rPr>
          <w:rFonts w:hint="eastAsia" w:ascii="宋体"/>
          <w:sz w:val="22"/>
        </w:rPr>
        <w:t>招标公告期限</w:t>
      </w:r>
      <w:r>
        <w:rPr>
          <w:rFonts w:ascii="宋体"/>
          <w:sz w:val="22"/>
        </w:rPr>
        <w:t>后获得的，自</w:t>
      </w:r>
      <w:r>
        <w:rPr>
          <w:rFonts w:hint="eastAsia" w:ascii="宋体"/>
          <w:sz w:val="22"/>
        </w:rPr>
        <w:t>招标公告期限届满之日</w:t>
      </w:r>
      <w:r>
        <w:rPr>
          <w:rFonts w:ascii="宋体"/>
          <w:sz w:val="22"/>
        </w:rPr>
        <w:t>起计算</w:t>
      </w:r>
      <w:r>
        <w:rPr>
          <w:rFonts w:hint="eastAsia" w:ascii="宋体"/>
          <w:sz w:val="22"/>
        </w:rPr>
        <w:t>）；对采购过程提出质疑的，为各采购程序环节结束之日；对中标或者成交结果提出质疑的，为中标或者成交结果公告期限届满之日。</w:t>
      </w:r>
    </w:p>
    <w:p>
      <w:pPr>
        <w:widowControl/>
        <w:spacing w:line="460" w:lineRule="exact"/>
        <w:ind w:firstLine="440" w:firstLineChars="200"/>
        <w:jc w:val="left"/>
        <w:rPr>
          <w:rFonts w:ascii="宋体"/>
          <w:sz w:val="22"/>
        </w:rPr>
      </w:pPr>
      <w:r>
        <w:rPr>
          <w:rFonts w:hint="eastAsia" w:ascii="宋体"/>
          <w:sz w:val="22"/>
        </w:rPr>
        <w:t>4、供应商质疑应当有明确的请求和必要的证明材料；采购人及采购代理机构按</w:t>
      </w:r>
      <w:r>
        <w:rPr>
          <w:rFonts w:ascii="宋体"/>
          <w:sz w:val="22"/>
        </w:rPr>
        <w:t>《</w:t>
      </w:r>
      <w:r>
        <w:rPr>
          <w:rFonts w:hint="eastAsia" w:ascii="宋体"/>
          <w:sz w:val="22"/>
        </w:rPr>
        <w:t>政府采购质疑和投诉办法</w:t>
      </w:r>
      <w:r>
        <w:rPr>
          <w:rFonts w:ascii="宋体"/>
          <w:sz w:val="22"/>
        </w:rPr>
        <w:t>》</w:t>
      </w:r>
      <w:r>
        <w:rPr>
          <w:rFonts w:hint="eastAsia" w:ascii="宋体"/>
          <w:sz w:val="22"/>
        </w:rPr>
        <w:t>进行处理供应商质疑事项。质疑函范本、投诉书范本请到浙江政府采购网下载专区下载。</w:t>
      </w:r>
    </w:p>
    <w:p>
      <w:pPr>
        <w:widowControl/>
        <w:spacing w:line="460" w:lineRule="exact"/>
        <w:ind w:firstLine="440" w:firstLineChars="200"/>
        <w:jc w:val="left"/>
        <w:rPr>
          <w:rFonts w:ascii="宋体"/>
          <w:sz w:val="22"/>
        </w:rPr>
      </w:pPr>
      <w:r>
        <w:rPr>
          <w:rFonts w:ascii="宋体"/>
          <w:sz w:val="22"/>
        </w:rPr>
        <w:t>5</w:t>
      </w:r>
      <w:r>
        <w:rPr>
          <w:rFonts w:hint="eastAsia" w:ascii="宋体"/>
          <w:sz w:val="22"/>
        </w:rPr>
        <w:t>、潜在供应商可在浙江政府采购网进行免费注册，具体详见浙江政府采购网供应商注册要求。</w:t>
      </w:r>
    </w:p>
    <w:p>
      <w:pPr>
        <w:pStyle w:val="2"/>
        <w:ind w:left="0" w:leftChars="0" w:firstLine="440"/>
        <w:rPr>
          <w:rFonts w:ascii="宋体"/>
          <w:sz w:val="22"/>
        </w:rPr>
      </w:pPr>
      <w:r>
        <w:rPr>
          <w:rFonts w:hint="eastAsia" w:ascii="宋体"/>
          <w:sz w:val="22"/>
          <w:szCs w:val="22"/>
        </w:rPr>
        <w:t>6、</w:t>
      </w:r>
      <w:r>
        <w:rPr>
          <w:rFonts w:hint="eastAsia" w:ascii="宋体"/>
          <w:sz w:val="22"/>
        </w:rPr>
        <w:t>潜在供应商应当按照公告规定的方式获取招标文件，未按照公告规定的方式获取招标文件的，针对招标文件的质疑不予受理。</w:t>
      </w:r>
    </w:p>
    <w:p>
      <w:pPr>
        <w:snapToGrid w:val="0"/>
        <w:spacing w:line="440" w:lineRule="exact"/>
        <w:rPr>
          <w:rFonts w:ascii="仿宋" w:hAnsi="仿宋" w:eastAsia="仿宋" w:cs="Arial"/>
          <w:b/>
          <w:bCs/>
          <w:color w:val="000000"/>
          <w:sz w:val="24"/>
          <w:szCs w:val="24"/>
        </w:rPr>
      </w:pPr>
      <w:r>
        <w:rPr>
          <w:rFonts w:hint="eastAsia" w:ascii="仿宋" w:hAnsi="仿宋" w:eastAsia="仿宋" w:cs="Arial"/>
          <w:b/>
          <w:bCs/>
          <w:color w:val="000000"/>
          <w:sz w:val="24"/>
          <w:szCs w:val="24"/>
        </w:rPr>
        <w:t>十三、业务咨询（</w:t>
      </w:r>
      <w:r>
        <w:rPr>
          <w:rFonts w:hint="eastAsia" w:ascii="宋体" w:hAnsi="宋体" w:cs="Arial"/>
          <w:b/>
          <w:color w:val="000000"/>
          <w:sz w:val="24"/>
        </w:rPr>
        <w:t>招标需求的疑问请向采购人询问或反映）</w:t>
      </w:r>
    </w:p>
    <w:p>
      <w:pPr>
        <w:snapToGrid w:val="0"/>
        <w:ind w:firstLine="440" w:firstLineChars="200"/>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采购单位：金华市</w:t>
      </w:r>
      <w:r>
        <w:rPr>
          <w:rFonts w:hint="eastAsia" w:asciiTheme="minorEastAsia" w:hAnsiTheme="minorEastAsia" w:cstheme="minorEastAsia"/>
          <w:color w:val="000000"/>
          <w:sz w:val="22"/>
          <w:lang w:val="en-US" w:eastAsia="zh-CN"/>
        </w:rPr>
        <w:t>体育</w:t>
      </w:r>
      <w:r>
        <w:rPr>
          <w:rFonts w:hint="eastAsia" w:asciiTheme="minorEastAsia" w:hAnsiTheme="minorEastAsia" w:eastAsiaTheme="minorEastAsia" w:cstheme="minorEastAsia"/>
          <w:color w:val="000000"/>
          <w:sz w:val="22"/>
        </w:rPr>
        <w:t>中心</w:t>
      </w:r>
    </w:p>
    <w:p>
      <w:pPr>
        <w:snapToGrid w:val="0"/>
        <w:ind w:firstLine="440" w:firstLineChars="200"/>
        <w:rPr>
          <w:rFonts w:hint="default" w:asciiTheme="minorEastAsia" w:hAnsiTheme="minorEastAsia" w:eastAsiaTheme="minorEastAsia" w:cstheme="minorEastAsia"/>
          <w:color w:val="000000"/>
          <w:kern w:val="0"/>
          <w:sz w:val="22"/>
          <w:lang w:val="en-US" w:eastAsia="zh-CN"/>
        </w:rPr>
      </w:pPr>
      <w:r>
        <w:rPr>
          <w:rFonts w:hint="eastAsia" w:asciiTheme="minorEastAsia" w:hAnsiTheme="minorEastAsia" w:eastAsiaTheme="minorEastAsia" w:cstheme="minorEastAsia"/>
          <w:color w:val="000000"/>
          <w:kern w:val="0"/>
          <w:sz w:val="22"/>
        </w:rPr>
        <w:t>采购人：</w:t>
      </w:r>
      <w:r>
        <w:rPr>
          <w:rFonts w:hint="eastAsia" w:asciiTheme="minorEastAsia" w:hAnsiTheme="minorEastAsia" w:cstheme="minorEastAsia"/>
          <w:color w:val="000000"/>
          <w:kern w:val="0"/>
          <w:sz w:val="22"/>
          <w:lang w:val="en-US" w:eastAsia="zh-CN"/>
        </w:rPr>
        <w:t>陈先生</w:t>
      </w:r>
    </w:p>
    <w:p>
      <w:pPr>
        <w:snapToGrid w:val="0"/>
        <w:ind w:firstLine="440" w:firstLineChars="200"/>
        <w:rPr>
          <w:rFonts w:hint="default" w:asciiTheme="minorEastAsia" w:hAnsiTheme="minorEastAsia" w:eastAsiaTheme="minorEastAsia" w:cstheme="minorEastAsia"/>
          <w:color w:val="000000"/>
          <w:kern w:val="0"/>
          <w:sz w:val="22"/>
          <w:lang w:val="en-US" w:eastAsia="zh-CN"/>
        </w:rPr>
      </w:pPr>
      <w:r>
        <w:rPr>
          <w:rFonts w:hint="eastAsia" w:asciiTheme="minorEastAsia" w:hAnsiTheme="minorEastAsia" w:eastAsiaTheme="minorEastAsia" w:cstheme="minorEastAsia"/>
          <w:color w:val="000000"/>
          <w:kern w:val="0"/>
          <w:sz w:val="22"/>
        </w:rPr>
        <w:t>联系电话：</w:t>
      </w:r>
      <w:bookmarkStart w:id="4" w:name="联系电话1"/>
      <w:bookmarkEnd w:id="4"/>
      <w:r>
        <w:rPr>
          <w:rFonts w:hint="eastAsia" w:asciiTheme="minorEastAsia" w:hAnsiTheme="minorEastAsia" w:cstheme="minorEastAsia"/>
          <w:color w:val="000000"/>
          <w:kern w:val="0"/>
          <w:sz w:val="22"/>
          <w:lang w:val="en-US" w:eastAsia="zh-CN"/>
        </w:rPr>
        <w:t>13505796589</w:t>
      </w:r>
    </w:p>
    <w:p>
      <w:pPr>
        <w:snapToGrid w:val="0"/>
        <w:ind w:firstLine="440" w:firstLineChars="200"/>
        <w:rPr>
          <w:rFonts w:asciiTheme="minorEastAsia" w:hAnsiTheme="minorEastAsia" w:eastAsiaTheme="minorEastAsia" w:cstheme="minorEastAsia"/>
          <w:kern w:val="0"/>
          <w:sz w:val="22"/>
        </w:rPr>
      </w:pPr>
      <w:r>
        <w:rPr>
          <w:rFonts w:hint="eastAsia" w:asciiTheme="minorEastAsia" w:hAnsiTheme="minorEastAsia" w:eastAsiaTheme="minorEastAsia" w:cstheme="minorEastAsia"/>
          <w:kern w:val="0"/>
          <w:sz w:val="22"/>
        </w:rPr>
        <w:t>采购代理机构：</w:t>
      </w:r>
      <w:r>
        <w:rPr>
          <w:rFonts w:hint="eastAsia" w:asciiTheme="minorEastAsia" w:hAnsiTheme="minorEastAsia" w:eastAsiaTheme="minorEastAsia" w:cstheme="minorEastAsia"/>
          <w:color w:val="000000"/>
          <w:sz w:val="22"/>
        </w:rPr>
        <w:t>金华市政府采购中心</w:t>
      </w:r>
    </w:p>
    <w:p>
      <w:pPr>
        <w:ind w:firstLine="48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联系人：陈女士</w:t>
      </w:r>
    </w:p>
    <w:p>
      <w:pPr>
        <w:pStyle w:val="11"/>
        <w:spacing w:line="240" w:lineRule="auto"/>
        <w:ind w:left="0"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联系电话：0579-83171503</w:t>
      </w:r>
    </w:p>
    <w:p>
      <w:pPr>
        <w:ind w:firstLine="440" w:firstLineChars="200"/>
      </w:pPr>
      <w:r>
        <w:rPr>
          <w:rFonts w:hint="eastAsia" w:asciiTheme="minorEastAsia" w:hAnsiTheme="minorEastAsia" w:eastAsiaTheme="minorEastAsia" w:cstheme="minorEastAsia"/>
          <w:color w:val="000000"/>
          <w:sz w:val="22"/>
        </w:rPr>
        <w:t>地址：</w:t>
      </w:r>
      <w:r>
        <w:rPr>
          <w:rFonts w:hint="eastAsia" w:asciiTheme="minorEastAsia" w:hAnsiTheme="minorEastAsia" w:eastAsiaTheme="minorEastAsia" w:cstheme="minorEastAsia"/>
          <w:color w:val="000000"/>
          <w:kern w:val="0"/>
          <w:sz w:val="22"/>
        </w:rPr>
        <w:t>金华市双龙南街858号财富大厦4楼</w:t>
      </w:r>
    </w:p>
    <w:p>
      <w:pPr>
        <w:pStyle w:val="30"/>
        <w:spacing w:before="156" w:after="156" w:line="240" w:lineRule="auto"/>
        <w:ind w:firstLine="615"/>
        <w:jc w:val="left"/>
        <w:rPr>
          <w:rFonts w:cs="Arial"/>
          <w:color w:val="000000"/>
          <w:sz w:val="21"/>
          <w:szCs w:val="21"/>
        </w:rPr>
      </w:pPr>
      <w:r>
        <w:rPr>
          <w:rFonts w:hint="eastAsia" w:cs="Arial"/>
          <w:color w:val="000000"/>
          <w:sz w:val="21"/>
          <w:szCs w:val="21"/>
        </w:rPr>
        <w:t>政府采购行政监管及投诉受理部分：金华市财政局政府采购监管处；</w:t>
      </w:r>
    </w:p>
    <w:p>
      <w:pPr>
        <w:sectPr>
          <w:pgSz w:w="11906" w:h="16838"/>
          <w:pgMar w:top="1440" w:right="1800" w:bottom="1440" w:left="1800" w:header="851" w:footer="992" w:gutter="0"/>
          <w:cols w:space="425" w:num="1"/>
          <w:docGrid w:type="lines" w:linePitch="312" w:charSpace="0"/>
        </w:sectPr>
      </w:pPr>
      <w:r>
        <w:rPr>
          <w:rFonts w:hint="eastAsia" w:cs="Arial"/>
          <w:color w:val="000000"/>
          <w:sz w:val="21"/>
          <w:szCs w:val="21"/>
        </w:rPr>
        <w:t>联系人：周先生              联系电话：0579-82468735</w:t>
      </w:r>
    </w:p>
    <w:p>
      <w:pPr>
        <w:spacing w:line="540" w:lineRule="exact"/>
        <w:jc w:val="center"/>
        <w:outlineLvl w:val="0"/>
        <w:rPr>
          <w:rFonts w:hint="default" w:ascii="仿宋_GB2312" w:hAnsi="宋体" w:eastAsia="仿宋_GB2312" w:cs="宋体"/>
          <w:b/>
          <w:sz w:val="32"/>
          <w:szCs w:val="32"/>
          <w:lang w:val="en-US" w:eastAsia="zh-CN"/>
        </w:rPr>
      </w:pPr>
      <w:r>
        <w:rPr>
          <w:rFonts w:hint="eastAsia" w:ascii="仿宋_GB2312" w:hAnsi="宋体" w:eastAsia="仿宋_GB2312" w:cs="宋体"/>
          <w:b/>
          <w:sz w:val="32"/>
          <w:szCs w:val="32"/>
          <w:lang w:val="en-US" w:eastAsia="zh-CN"/>
        </w:rPr>
        <w:t>第二章 招标需求</w:t>
      </w:r>
    </w:p>
    <w:p>
      <w:pPr>
        <w:spacing w:line="540" w:lineRule="exact"/>
        <w:jc w:val="center"/>
        <w:outlineLvl w:val="0"/>
        <w:rPr>
          <w:rFonts w:hint="eastAsia" w:ascii="仿宋_GB2312" w:hAnsi="宋体" w:eastAsia="仿宋_GB2312" w:cs="宋体"/>
          <w:b/>
          <w:sz w:val="32"/>
          <w:szCs w:val="32"/>
        </w:rPr>
      </w:pPr>
      <w:r>
        <w:rPr>
          <w:rFonts w:hint="eastAsia" w:ascii="仿宋_GB2312" w:hAnsi="宋体" w:eastAsia="仿宋_GB2312" w:cs="宋体"/>
          <w:b/>
          <w:sz w:val="32"/>
          <w:szCs w:val="32"/>
        </w:rPr>
        <w:t>采购内容及要求</w:t>
      </w:r>
      <w:bookmarkStart w:id="5" w:name="_Toc7419205"/>
      <w:bookmarkStart w:id="6" w:name="_Toc11659882"/>
      <w:bookmarkStart w:id="7" w:name="_Toc241248770"/>
      <w:bookmarkStart w:id="8" w:name="_Toc256066386"/>
    </w:p>
    <w:p>
      <w:pPr>
        <w:pStyle w:val="2"/>
        <w:ind w:left="0" w:leftChars="0" w:firstLine="0" w:firstLineChars="0"/>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cstheme="minorEastAsia"/>
          <w:b w:val="0"/>
          <w:bCs/>
          <w:sz w:val="21"/>
          <w:szCs w:val="21"/>
          <w:lang w:val="en-US" w:eastAsia="zh-CN"/>
        </w:rPr>
        <w:t>采购需求中</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eastAsia="zh-CN"/>
        </w:rPr>
        <w:t>指标为实质性要求，必须满足或优于，否则视为无效投标；</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lang w:eastAsia="zh-CN"/>
        </w:rPr>
        <w:t>指标为重要指标）</w:t>
      </w:r>
    </w:p>
    <w:p>
      <w:pPr>
        <w:spacing w:line="540" w:lineRule="exact"/>
        <w:outlineLvl w:val="0"/>
        <w:rPr>
          <w:rFonts w:ascii="仿宋_GB2312" w:hAnsi="Arial" w:eastAsia="仿宋_GB2312" w:cs="Arial"/>
          <w:b/>
          <w:color w:val="000000"/>
          <w:kern w:val="0"/>
          <w:sz w:val="24"/>
          <w:szCs w:val="24"/>
        </w:rPr>
      </w:pPr>
      <w:r>
        <w:rPr>
          <w:rFonts w:hint="eastAsia" w:ascii="仿宋_GB2312" w:hAnsi="宋体" w:eastAsia="仿宋_GB2312"/>
          <w:b/>
          <w:sz w:val="24"/>
          <w:szCs w:val="24"/>
        </w:rPr>
        <w:t>一、</w:t>
      </w:r>
      <w:bookmarkEnd w:id="5"/>
      <w:bookmarkEnd w:id="6"/>
      <w:r>
        <w:rPr>
          <w:rFonts w:hint="eastAsia" w:ascii="仿宋_GB2312" w:hAnsi="Arial" w:eastAsia="仿宋_GB2312" w:cs="Arial"/>
          <w:b/>
          <w:color w:val="000000"/>
          <w:kern w:val="0"/>
          <w:sz w:val="24"/>
          <w:szCs w:val="24"/>
        </w:rPr>
        <w:t>采购标的需实现的功能和目标</w:t>
      </w:r>
      <w:bookmarkStart w:id="9" w:name="_Toc11659883"/>
      <w:bookmarkStart w:id="10" w:name="_Toc7419206"/>
    </w:p>
    <w:p>
      <w:pPr>
        <w:spacing w:line="540" w:lineRule="exact"/>
        <w:outlineLvl w:val="0"/>
        <w:rPr>
          <w:rFonts w:ascii="仿宋_GB2312" w:hAnsi="宋体" w:eastAsia="仿宋_GB2312" w:cs="宋体"/>
          <w:b/>
          <w:sz w:val="24"/>
          <w:szCs w:val="24"/>
        </w:rPr>
      </w:pPr>
      <w:r>
        <w:rPr>
          <w:rFonts w:hint="eastAsia" w:ascii="仿宋_GB2312" w:hAnsi="Arial" w:eastAsia="仿宋_GB2312" w:cs="Arial"/>
          <w:b/>
          <w:color w:val="000000"/>
          <w:kern w:val="0"/>
          <w:sz w:val="24"/>
          <w:szCs w:val="24"/>
        </w:rPr>
        <w:t>1.1</w:t>
      </w:r>
      <w:r>
        <w:rPr>
          <w:rFonts w:hint="eastAsia" w:ascii="仿宋_GB2312" w:hAnsi="宋体" w:eastAsia="仿宋_GB2312"/>
          <w:b/>
          <w:sz w:val="24"/>
          <w:szCs w:val="24"/>
          <w:lang w:val="zh-CN"/>
        </w:rPr>
        <w:t>项目概况</w:t>
      </w:r>
      <w:bookmarkEnd w:id="9"/>
      <w:bookmarkEnd w:id="10"/>
    </w:p>
    <w:p>
      <w:pPr>
        <w:spacing w:line="360" w:lineRule="auto"/>
        <w:ind w:firstLine="480" w:firstLineChars="200"/>
        <w:rPr>
          <w:rFonts w:hint="eastAsia" w:ascii="仿宋_GB2312" w:hAnsi="宋体" w:eastAsia="仿宋_GB2312" w:cs="宋体"/>
          <w:color w:val="000000"/>
          <w:sz w:val="24"/>
          <w:szCs w:val="24"/>
          <w:lang w:eastAsia="zh-CN"/>
        </w:rPr>
      </w:pPr>
      <w:bookmarkStart w:id="11" w:name="_Toc28106"/>
      <w:bookmarkStart w:id="12" w:name="_Toc11659884"/>
      <w:bookmarkStart w:id="13" w:name="_Toc7419207"/>
      <w:r>
        <w:rPr>
          <w:rFonts w:hint="eastAsia" w:ascii="仿宋_GB2312" w:hAnsi="宋体" w:eastAsia="仿宋_GB2312" w:cs="宋体"/>
          <w:color w:val="000000"/>
          <w:sz w:val="24"/>
          <w:szCs w:val="24"/>
        </w:rPr>
        <w:t>本项目为亚运会金华分赛区体育中心比赛场馆改造提升工程，位于金华市体育中心内，改造内容为将现有体育场改造提升为亚运会足球场，现有体育馆改造提升为亚运会藤球馆。因现有设备不能满足亚运会赛事要求，因此进行提升改造。</w:t>
      </w:r>
      <w:r>
        <w:rPr>
          <w:rFonts w:hint="eastAsia" w:ascii="仿宋_GB2312" w:hAnsi="宋体" w:eastAsia="仿宋_GB2312" w:cs="宋体"/>
          <w:color w:val="000000"/>
          <w:sz w:val="24"/>
          <w:szCs w:val="24"/>
          <w:lang w:eastAsia="zh-CN"/>
        </w:rPr>
        <w:t>采购内容：</w:t>
      </w:r>
      <w:r>
        <w:rPr>
          <w:rFonts w:hint="eastAsia" w:ascii="仿宋_GB2312" w:hAnsi="宋体" w:eastAsia="仿宋_GB2312" w:cs="宋体"/>
          <w:color w:val="000000"/>
          <w:sz w:val="24"/>
          <w:szCs w:val="24"/>
        </w:rPr>
        <w:t>综合布线</w:t>
      </w:r>
      <w:r>
        <w:rPr>
          <w:rFonts w:hint="eastAsia" w:ascii="仿宋_GB2312" w:hAnsi="宋体" w:eastAsia="仿宋_GB2312" w:cs="宋体"/>
          <w:color w:val="000000"/>
          <w:sz w:val="24"/>
          <w:szCs w:val="24"/>
          <w:lang w:eastAsia="zh-CN"/>
        </w:rPr>
        <w:t>系统</w:t>
      </w:r>
      <w:r>
        <w:rPr>
          <w:rFonts w:hint="eastAsia" w:ascii="仿宋_GB2312" w:hAnsi="宋体" w:eastAsia="仿宋_GB2312" w:cs="宋体"/>
          <w:color w:val="000000"/>
          <w:sz w:val="24"/>
          <w:szCs w:val="24"/>
        </w:rPr>
        <w:t>、计算机网络系统、视频监控系统、门禁系统、信息发布系统、新闻发布</w:t>
      </w:r>
      <w:r>
        <w:rPr>
          <w:rFonts w:hint="eastAsia" w:ascii="仿宋_GB2312" w:hAnsi="宋体" w:eastAsia="仿宋_GB2312" w:cs="宋体"/>
          <w:color w:val="000000"/>
          <w:sz w:val="24"/>
          <w:szCs w:val="24"/>
          <w:lang w:eastAsia="zh-CN"/>
        </w:rPr>
        <w:t>系统</w:t>
      </w:r>
      <w:r>
        <w:rPr>
          <w:rFonts w:hint="eastAsia" w:ascii="仿宋_GB2312" w:hAnsi="宋体" w:eastAsia="仿宋_GB2312" w:cs="宋体"/>
          <w:color w:val="000000"/>
          <w:sz w:val="24"/>
          <w:szCs w:val="24"/>
        </w:rPr>
        <w:t xml:space="preserve">、体育馆专项智能化系统、微模块机房、车辆区域引导系统、LED显示屏系统，包括设备、材料的供货、安装、调试、试运行、相关检测、验收、交付使用、技术培训、售后服务以及与第三方集成商的配合。 </w:t>
      </w:r>
    </w:p>
    <w:p>
      <w:pPr>
        <w:spacing w:line="500" w:lineRule="exact"/>
        <w:rPr>
          <w:rFonts w:ascii="仿宋_GB2312" w:hAnsi="宋体" w:eastAsia="仿宋_GB2312"/>
          <w:b/>
          <w:sz w:val="24"/>
          <w:szCs w:val="24"/>
          <w:lang w:val="zh-CN"/>
        </w:rPr>
      </w:pPr>
      <w:r>
        <w:rPr>
          <w:rFonts w:hint="eastAsia" w:ascii="仿宋_GB2312" w:hAnsi="宋体" w:eastAsia="仿宋_GB2312" w:cs="宋体"/>
          <w:b/>
          <w:color w:val="000000"/>
          <w:sz w:val="24"/>
          <w:szCs w:val="24"/>
        </w:rPr>
        <w:t>1.2</w:t>
      </w:r>
      <w:r>
        <w:rPr>
          <w:rFonts w:hint="eastAsia" w:ascii="仿宋_GB2312" w:hAnsi="宋体" w:eastAsia="仿宋_GB2312"/>
          <w:b/>
          <w:sz w:val="24"/>
          <w:szCs w:val="24"/>
          <w:lang w:val="zh-CN"/>
        </w:rPr>
        <w:t>项目技术需求</w:t>
      </w:r>
      <w:bookmarkEnd w:id="11"/>
      <w:bookmarkEnd w:id="12"/>
      <w:bookmarkEnd w:id="13"/>
    </w:p>
    <w:p>
      <w:pPr>
        <w:spacing w:line="360" w:lineRule="auto"/>
        <w:ind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1、总则：</w:t>
      </w:r>
    </w:p>
    <w:p>
      <w:pPr>
        <w:spacing w:line="360" w:lineRule="auto"/>
        <w:ind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1.1 本规范书只是针对主要设备、材料及安装的基本原则性要求，并不是详尽要求，投标人有责任对设备设计符合本技术规范要求负责。</w:t>
      </w:r>
    </w:p>
    <w:p>
      <w:pPr>
        <w:spacing w:line="360" w:lineRule="auto"/>
        <w:ind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1.2 在投标之前，投标人须仔细阅读招标文件，如发现有任何疑问、冲突或技术问题，投标人须向招标人咨询。</w:t>
      </w:r>
    </w:p>
    <w:p>
      <w:pPr>
        <w:spacing w:line="360" w:lineRule="auto"/>
        <w:ind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1.3 投标人须对招标文件中的主要技术要求一一给予实质性答复，并提交技术偏离表。</w:t>
      </w:r>
    </w:p>
    <w:p>
      <w:pPr>
        <w:spacing w:line="360" w:lineRule="auto"/>
        <w:ind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1.4 投标人须对招标文件中涉及到的知识产权负责，并保证不伤害招标人的利益。在法律范围内，所有文字、商标和技术侵犯造成的相关费用，业主概不负责。</w:t>
      </w:r>
    </w:p>
    <w:p>
      <w:pPr>
        <w:spacing w:line="360" w:lineRule="auto"/>
        <w:ind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1.5 投标人提供的</w:t>
      </w:r>
      <w:r>
        <w:rPr>
          <w:rFonts w:hint="eastAsia" w:ascii="仿宋_GB2312" w:hAnsi="宋体" w:eastAsia="仿宋_GB2312" w:cs="宋体"/>
          <w:color w:val="000000"/>
          <w:sz w:val="24"/>
          <w:szCs w:val="24"/>
          <w:lang w:eastAsia="zh-CN"/>
        </w:rPr>
        <w:t>设备</w:t>
      </w:r>
      <w:r>
        <w:rPr>
          <w:rFonts w:hint="eastAsia" w:ascii="仿宋_GB2312" w:hAnsi="宋体" w:eastAsia="仿宋_GB2312" w:cs="宋体"/>
          <w:color w:val="000000"/>
          <w:sz w:val="24"/>
          <w:szCs w:val="24"/>
        </w:rPr>
        <w:t>应是质量一流的主流产品，并且保证采用先进的技术、优质的材料、一流的工艺、严格的质量管理，产品及服务须满足本规格书的要求，质量必须符合本行业标准。</w:t>
      </w:r>
    </w:p>
    <w:p>
      <w:pPr>
        <w:spacing w:line="360" w:lineRule="auto"/>
        <w:ind w:firstLine="480" w:firstLineChars="200"/>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1.6 招标文件中未明确的有关技术参数、技术要求详见设计图纸，如与设计图纸中有冲突的内容以标准高的要求为准。</w:t>
      </w:r>
    </w:p>
    <w:p>
      <w:pPr>
        <w:spacing w:line="360" w:lineRule="auto"/>
        <w:ind w:firstLine="480" w:firstLineChars="200"/>
        <w:rPr>
          <w:rFonts w:hint="eastAsia" w:ascii="仿宋_GB2312" w:hAnsi="宋体" w:eastAsia="仿宋_GB2312" w:cs="宋体"/>
          <w:color w:val="000000"/>
          <w:sz w:val="24"/>
          <w:szCs w:val="24"/>
        </w:rPr>
      </w:pPr>
      <w:r>
        <w:rPr>
          <w:rFonts w:hint="eastAsia" w:ascii="仿宋" w:hAnsi="仿宋" w:eastAsia="仿宋" w:cs="仿宋"/>
          <w:sz w:val="24"/>
          <w:szCs w:val="24"/>
        </w:rPr>
        <w:t>★</w:t>
      </w:r>
      <w:r>
        <w:rPr>
          <w:rFonts w:hint="eastAsia" w:ascii="仿宋_GB2312" w:hAnsi="宋体" w:eastAsia="仿宋_GB2312" w:cs="宋体"/>
          <w:color w:val="000000"/>
          <w:sz w:val="24"/>
          <w:szCs w:val="24"/>
        </w:rPr>
        <w:t>1.7 因不同品牌产品的技术参数不尽相同，故本项目允许投标人在满足设计要求、技术指标和使用需要的前提下，投标人可以根据拟投品牌的技术参数、特点及各自类似项目经验，对招标方案进行合理的深化或优化，并根据上述情况进行投标报价。</w:t>
      </w:r>
    </w:p>
    <w:p>
      <w:pPr>
        <w:spacing w:line="360" w:lineRule="auto"/>
        <w:ind w:firstLine="480" w:firstLineChars="200"/>
        <w:rPr>
          <w:rFonts w:hint="eastAsia" w:ascii="仿宋_GB2312" w:hAnsi="宋体" w:eastAsia="仿宋_GB2312" w:cs="宋体"/>
          <w:color w:val="000000"/>
          <w:sz w:val="24"/>
          <w:szCs w:val="24"/>
          <w:lang w:eastAsia="zh-CN"/>
        </w:rPr>
      </w:pPr>
      <w:r>
        <w:rPr>
          <w:rFonts w:hint="eastAsia" w:ascii="仿宋_GB2312" w:hAnsi="宋体" w:eastAsia="仿宋_GB2312" w:cs="宋体"/>
          <w:color w:val="000000"/>
          <w:sz w:val="24"/>
          <w:szCs w:val="24"/>
        </w:rPr>
        <w:t>本项目为“交钥匙项目”，中标后须方案深化或优化的，则中标人应根据投标报价向设计单位、招标人和亚组委提供详细的深化或优化方案及说明，包括设计图纸，经设计单位、招标人和亚组委审核，书面确认后方可按深化或优化方案进行实施，若深化或优化方案达不到设计单位、招标人和亚组委要求，则中标人将无条件按修改意见直至通过设计单位、招标人和亚组委审核。上述所有工作涉及的相关费用均已包含在投标报价中，中标后不再做调整</w:t>
      </w:r>
      <w:r>
        <w:rPr>
          <w:rFonts w:hint="eastAsia" w:ascii="仿宋_GB2312" w:hAnsi="宋体" w:eastAsia="仿宋_GB2312" w:cs="宋体"/>
          <w:color w:val="000000"/>
          <w:sz w:val="24"/>
          <w:szCs w:val="24"/>
          <w:lang w:eastAsia="zh-CN"/>
        </w:rPr>
        <w:t>。</w:t>
      </w:r>
    </w:p>
    <w:p>
      <w:pPr>
        <w:pStyle w:val="14"/>
        <w:rPr>
          <w:rFonts w:hint="default" w:eastAsia="仿宋_GB2312"/>
          <w:lang w:val="en-US" w:eastAsia="zh-CN"/>
        </w:rPr>
      </w:pPr>
      <w:r>
        <w:rPr>
          <w:rFonts w:hint="eastAsia" w:ascii="仿宋_GB2312" w:hAnsi="宋体" w:eastAsia="仿宋_GB2312" w:cs="宋体"/>
          <w:color w:val="000000"/>
          <w:sz w:val="24"/>
          <w:szCs w:val="24"/>
          <w:lang w:val="en-US" w:eastAsia="zh-CN"/>
        </w:rPr>
        <w:t>1.8本项目须遵照亚运会组委会发布的《亚运会升旗控制系统技术要点指导意见》【亚场建（2020）34号】和《杭州2022年第19届亚运会场馆安防基础设施建设指南》相关技术要求执行（中标后另册提供）。如亚运会组委会有更新或补充要求的，中标人须无条件配合实施。</w:t>
      </w:r>
    </w:p>
    <w:p>
      <w:pPr>
        <w:numPr>
          <w:ilvl w:val="0"/>
          <w:numId w:val="0"/>
        </w:numPr>
        <w:spacing w:line="540" w:lineRule="exact"/>
        <w:outlineLvl w:val="0"/>
        <w:rPr>
          <w:rFonts w:hint="eastAsia" w:ascii="仿宋_GB2312" w:hAnsi="宋体" w:eastAsia="仿宋_GB2312"/>
          <w:b/>
          <w:sz w:val="24"/>
          <w:szCs w:val="24"/>
          <w:lang w:eastAsia="zh-CN"/>
        </w:rPr>
      </w:pPr>
      <w:r>
        <w:rPr>
          <w:rFonts w:hint="eastAsia" w:ascii="仿宋_GB2312" w:hAnsi="宋体" w:eastAsia="仿宋_GB2312"/>
          <w:b/>
          <w:sz w:val="24"/>
          <w:szCs w:val="24"/>
          <w:lang w:eastAsia="zh-CN"/>
        </w:rPr>
        <w:t>二、</w:t>
      </w:r>
      <w:r>
        <w:rPr>
          <w:rFonts w:hint="eastAsia" w:ascii="仿宋_GB2312" w:hAnsi="宋体" w:eastAsia="仿宋_GB2312"/>
          <w:b/>
          <w:color w:val="FF0000"/>
          <w:sz w:val="24"/>
          <w:szCs w:val="24"/>
          <w:lang w:eastAsia="zh-CN"/>
        </w:rPr>
        <w:t>采购清单及要求（另册提供）</w:t>
      </w:r>
    </w:p>
    <w:bookmarkEnd w:id="7"/>
    <w:bookmarkEnd w:id="8"/>
    <w:p>
      <w:pPr>
        <w:spacing w:line="540" w:lineRule="exact"/>
        <w:outlineLvl w:val="0"/>
        <w:rPr>
          <w:rFonts w:hint="eastAsia" w:ascii="仿宋_GB2312" w:hAnsi="宋体" w:eastAsia="仿宋_GB2312"/>
          <w:b/>
          <w:sz w:val="24"/>
          <w:szCs w:val="24"/>
        </w:rPr>
      </w:pPr>
      <w:r>
        <w:rPr>
          <w:rFonts w:hint="eastAsia" w:ascii="仿宋_GB2312" w:hAnsi="宋体" w:eastAsia="仿宋_GB2312"/>
          <w:b/>
          <w:sz w:val="24"/>
          <w:szCs w:val="24"/>
          <w:lang w:eastAsia="zh-CN"/>
        </w:rPr>
        <w:t>三、</w:t>
      </w:r>
      <w:r>
        <w:rPr>
          <w:rFonts w:hint="eastAsia" w:ascii="仿宋_GB2312" w:hAnsi="宋体" w:eastAsia="仿宋_GB2312"/>
          <w:b/>
          <w:sz w:val="24"/>
          <w:szCs w:val="24"/>
        </w:rPr>
        <w:t>采购标的施工安全特性要求</w:t>
      </w:r>
    </w:p>
    <w:tbl>
      <w:tblPr>
        <w:tblStyle w:val="1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70"/>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widowControl/>
              <w:snapToGrid w:val="0"/>
              <w:spacing w:beforeLines="50" w:afterLines="50" w:line="500" w:lineRule="exact"/>
              <w:jc w:val="center"/>
              <w:textAlignment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470" w:type="dxa"/>
            <w:vAlign w:val="center"/>
          </w:tcPr>
          <w:p>
            <w:pPr>
              <w:snapToGrid w:val="0"/>
              <w:spacing w:beforeLines="50" w:afterLines="50" w:line="500" w:lineRule="exact"/>
              <w:rPr>
                <w:rFonts w:ascii="仿宋" w:hAnsi="仿宋" w:eastAsia="仿宋" w:cs="仿宋"/>
                <w:sz w:val="24"/>
                <w:szCs w:val="24"/>
              </w:rPr>
            </w:pPr>
            <w:r>
              <w:rPr>
                <w:rFonts w:hint="eastAsia" w:ascii="仿宋" w:hAnsi="仿宋" w:eastAsia="仿宋" w:cs="仿宋"/>
                <w:sz w:val="24"/>
                <w:szCs w:val="24"/>
              </w:rPr>
              <w:t>安全管理</w:t>
            </w:r>
          </w:p>
        </w:tc>
        <w:tc>
          <w:tcPr>
            <w:tcW w:w="7170" w:type="dxa"/>
            <w:vAlign w:val="center"/>
          </w:tcPr>
          <w:p>
            <w:pPr>
              <w:autoSpaceDE w:val="0"/>
              <w:autoSpaceDN w:val="0"/>
              <w:adjustRightInd w:val="0"/>
              <w:spacing w:line="460" w:lineRule="exact"/>
              <w:rPr>
                <w:rFonts w:hint="default" w:ascii="仿宋" w:hAnsi="仿宋" w:eastAsia="仿宋" w:cs="仿宋"/>
                <w:sz w:val="24"/>
                <w:szCs w:val="24"/>
                <w:lang w:val="en-US" w:eastAsia="zh-CN"/>
              </w:rPr>
            </w:pPr>
            <w:r>
              <w:rPr>
                <w:rFonts w:hint="eastAsia" w:ascii="仿宋" w:hAnsi="仿宋" w:eastAsia="仿宋" w:cs="仿宋"/>
                <w:sz w:val="24"/>
                <w:szCs w:val="24"/>
              </w:rPr>
              <w:t>投标人应当具备施工安全管理能力，提供施工安全管理措施方案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预拟派专职安全管理人员≥1名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widowControl/>
              <w:snapToGrid w:val="0"/>
              <w:spacing w:beforeLines="50" w:afterLines="50" w:line="500" w:lineRule="exact"/>
              <w:jc w:val="center"/>
              <w:textAlignment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470" w:type="dxa"/>
            <w:vAlign w:val="center"/>
          </w:tcPr>
          <w:p>
            <w:pPr>
              <w:snapToGrid w:val="0"/>
              <w:spacing w:beforeLines="50" w:afterLines="50" w:line="500" w:lineRule="exact"/>
              <w:rPr>
                <w:rFonts w:ascii="仿宋" w:hAnsi="仿宋" w:eastAsia="仿宋" w:cs="仿宋"/>
                <w:sz w:val="24"/>
                <w:szCs w:val="24"/>
              </w:rPr>
            </w:pPr>
            <w:r>
              <w:rPr>
                <w:rFonts w:hint="eastAsia" w:ascii="仿宋" w:hAnsi="仿宋" w:eastAsia="仿宋" w:cs="仿宋"/>
                <w:sz w:val="24"/>
                <w:szCs w:val="24"/>
              </w:rPr>
              <w:t>风险承担能力</w:t>
            </w:r>
          </w:p>
        </w:tc>
        <w:tc>
          <w:tcPr>
            <w:tcW w:w="7170" w:type="dxa"/>
            <w:vAlign w:val="center"/>
          </w:tcPr>
          <w:p>
            <w:pPr>
              <w:autoSpaceDE w:val="0"/>
              <w:autoSpaceDN w:val="0"/>
              <w:adjustRightInd w:val="0"/>
              <w:spacing w:line="460" w:lineRule="exact"/>
              <w:rPr>
                <w:rFonts w:ascii="仿宋" w:hAnsi="仿宋" w:eastAsia="仿宋" w:cs="仿宋"/>
                <w:sz w:val="24"/>
                <w:szCs w:val="24"/>
              </w:rPr>
            </w:pPr>
            <w:r>
              <w:rPr>
                <w:rFonts w:hint="eastAsia" w:ascii="仿宋" w:hAnsi="仿宋" w:eastAsia="仿宋" w:cs="仿宋"/>
                <w:sz w:val="24"/>
                <w:szCs w:val="24"/>
              </w:rPr>
              <w:t>投标人承诺具备施工安全风险承担能力，如购买《安装工程一切险》，第三者责任险等措施，有效期能够覆盖本项目</w:t>
            </w:r>
            <w:r>
              <w:rPr>
                <w:rFonts w:hint="eastAsia" w:ascii="仿宋" w:hAnsi="仿宋" w:eastAsia="仿宋" w:cs="仿宋"/>
                <w:sz w:val="24"/>
                <w:szCs w:val="24"/>
                <w:lang w:eastAsia="zh-CN"/>
              </w:rPr>
              <w:t>合同工期</w:t>
            </w:r>
            <w:r>
              <w:rPr>
                <w:rFonts w:hint="eastAsia" w:ascii="仿宋" w:hAnsi="仿宋" w:eastAsia="仿宋" w:cs="仿宋"/>
                <w:sz w:val="24"/>
                <w:szCs w:val="24"/>
              </w:rPr>
              <w:t>。</w:t>
            </w:r>
          </w:p>
        </w:tc>
      </w:tr>
    </w:tbl>
    <w:p>
      <w:pPr>
        <w:spacing w:line="540" w:lineRule="exact"/>
        <w:outlineLvl w:val="0"/>
        <w:rPr>
          <w:rFonts w:hint="eastAsia" w:ascii="仿宋_GB2312" w:hAnsi="宋体" w:eastAsia="仿宋_GB2312"/>
          <w:b/>
          <w:sz w:val="24"/>
          <w:szCs w:val="24"/>
          <w:lang w:eastAsia="zh-CN"/>
        </w:rPr>
      </w:pPr>
    </w:p>
    <w:p>
      <w:pPr>
        <w:spacing w:line="540" w:lineRule="exact"/>
        <w:outlineLvl w:val="0"/>
        <w:rPr>
          <w:rFonts w:hint="eastAsia" w:ascii="仿宋_GB2312" w:hAnsi="宋体" w:eastAsia="仿宋_GB2312"/>
          <w:b/>
          <w:sz w:val="24"/>
          <w:szCs w:val="24"/>
          <w:lang w:val="zh-CN" w:eastAsia="zh-CN"/>
        </w:rPr>
      </w:pPr>
      <w:r>
        <w:rPr>
          <w:rFonts w:hint="eastAsia" w:ascii="仿宋_GB2312" w:hAnsi="宋体" w:eastAsia="仿宋_GB2312"/>
          <w:b/>
          <w:sz w:val="24"/>
          <w:szCs w:val="24"/>
          <w:lang w:eastAsia="zh-CN"/>
        </w:rPr>
        <w:t>四、采购项目交付或者实施的时间和地点</w:t>
      </w:r>
    </w:p>
    <w:tbl>
      <w:tblPr>
        <w:tblStyle w:val="15"/>
        <w:tblW w:w="9192"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7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snapToGrid w:val="0"/>
              <w:spacing w:beforeLines="50" w:afterLines="50" w:line="5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476" w:type="dxa"/>
            <w:vAlign w:val="center"/>
          </w:tcPr>
          <w:p>
            <w:pPr>
              <w:snapToGrid w:val="0"/>
              <w:spacing w:beforeLines="50" w:afterLines="50" w:line="500" w:lineRule="exact"/>
              <w:jc w:val="center"/>
              <w:rPr>
                <w:rFonts w:ascii="仿宋" w:hAnsi="仿宋" w:eastAsia="仿宋" w:cs="仿宋"/>
                <w:sz w:val="24"/>
                <w:szCs w:val="24"/>
              </w:rPr>
            </w:pPr>
            <w:r>
              <w:rPr>
                <w:rFonts w:hint="eastAsia" w:ascii="仿宋" w:hAnsi="仿宋" w:eastAsia="仿宋" w:cs="仿宋"/>
                <w:kern w:val="0"/>
                <w:sz w:val="24"/>
                <w:szCs w:val="24"/>
                <w:lang w:val="zh-CN"/>
              </w:rPr>
              <w:t>交付时间</w:t>
            </w:r>
          </w:p>
        </w:tc>
        <w:tc>
          <w:tcPr>
            <w:tcW w:w="6996" w:type="dxa"/>
            <w:vAlign w:val="center"/>
          </w:tcPr>
          <w:p>
            <w:pPr>
              <w:autoSpaceDE w:val="0"/>
              <w:autoSpaceDN w:val="0"/>
              <w:adjustRightInd w:val="0"/>
              <w:spacing w:line="460" w:lineRule="exact"/>
              <w:jc w:val="left"/>
              <w:rPr>
                <w:rFonts w:ascii="仿宋" w:hAnsi="仿宋" w:eastAsia="仿宋" w:cs="仿宋"/>
                <w:sz w:val="24"/>
                <w:szCs w:val="24"/>
              </w:rPr>
            </w:pPr>
            <w:r>
              <w:rPr>
                <w:rFonts w:hint="eastAsia" w:ascii="仿宋_GB2312" w:hAnsi="宋体" w:eastAsia="仿宋_GB2312"/>
                <w:bCs/>
                <w:sz w:val="24"/>
                <w:szCs w:val="24"/>
              </w:rPr>
              <w:t>合同签订后按招标人要求的供货期起始时间起</w:t>
            </w:r>
            <w:r>
              <w:rPr>
                <w:rFonts w:hint="eastAsia" w:ascii="仿宋_GB2312" w:hAnsi="宋体" w:eastAsia="仿宋_GB2312"/>
                <w:bCs/>
                <w:sz w:val="24"/>
                <w:szCs w:val="24"/>
                <w:u w:val="single"/>
                <w:lang w:val="en-US" w:eastAsia="zh-CN"/>
              </w:rPr>
              <w:t>120</w:t>
            </w:r>
            <w:r>
              <w:rPr>
                <w:rFonts w:hint="eastAsia" w:ascii="仿宋_GB2312" w:hAnsi="宋体" w:eastAsia="仿宋_GB2312"/>
                <w:bCs/>
                <w:sz w:val="24"/>
                <w:szCs w:val="24"/>
              </w:rPr>
              <w:t>日历天内完成改造、供货、安装及调试工作</w:t>
            </w:r>
            <w:r>
              <w:rPr>
                <w:rFonts w:hint="eastAsia" w:ascii="仿宋_GB2312" w:hAnsi="宋体" w:eastAsia="仿宋_GB2312"/>
                <w:bCs/>
                <w:color w:val="0000FF"/>
                <w:sz w:val="24"/>
                <w:szCs w:val="24"/>
                <w:lang w:eastAsia="zh-CN"/>
              </w:rPr>
              <w:t>（其中与装饰装修相关的专业工程须在</w:t>
            </w:r>
            <w:r>
              <w:rPr>
                <w:rFonts w:hint="eastAsia" w:ascii="仿宋_GB2312" w:hAnsi="宋体" w:eastAsia="仿宋_GB2312"/>
                <w:bCs/>
                <w:color w:val="0000FF"/>
                <w:sz w:val="24"/>
                <w:szCs w:val="24"/>
                <w:lang w:val="en-US" w:eastAsia="zh-CN"/>
              </w:rPr>
              <w:t>2020年10月31日前通过初验</w:t>
            </w:r>
            <w:r>
              <w:rPr>
                <w:rFonts w:hint="eastAsia" w:ascii="仿宋_GB2312" w:hAnsi="宋体" w:eastAsia="仿宋_GB2312"/>
                <w:bCs/>
                <w:color w:val="0000FF"/>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snapToGrid w:val="0"/>
              <w:spacing w:beforeLines="50" w:afterLines="50" w:line="5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476" w:type="dxa"/>
            <w:vAlign w:val="bottom"/>
          </w:tcPr>
          <w:p>
            <w:pPr>
              <w:snapToGrid w:val="0"/>
              <w:spacing w:beforeLines="50" w:afterLines="50" w:line="500" w:lineRule="exact"/>
              <w:jc w:val="center"/>
              <w:rPr>
                <w:rFonts w:ascii="仿宋" w:hAnsi="仿宋" w:eastAsia="仿宋" w:cs="仿宋"/>
                <w:sz w:val="24"/>
                <w:szCs w:val="24"/>
              </w:rPr>
            </w:pPr>
            <w:r>
              <w:rPr>
                <w:rFonts w:hint="eastAsia" w:ascii="仿宋" w:hAnsi="仿宋" w:eastAsia="仿宋" w:cs="仿宋"/>
                <w:kern w:val="0"/>
                <w:sz w:val="24"/>
                <w:szCs w:val="24"/>
                <w:lang w:val="zh-CN"/>
              </w:rPr>
              <w:t>交付地点</w:t>
            </w:r>
          </w:p>
        </w:tc>
        <w:tc>
          <w:tcPr>
            <w:tcW w:w="6996" w:type="dxa"/>
            <w:vAlign w:val="bottom"/>
          </w:tcPr>
          <w:p>
            <w:pPr>
              <w:spacing w:line="360" w:lineRule="auto"/>
              <w:jc w:val="left"/>
              <w:rPr>
                <w:rFonts w:ascii="仿宋" w:hAnsi="仿宋" w:eastAsia="仿宋" w:cs="仿宋"/>
                <w:sz w:val="24"/>
                <w:szCs w:val="24"/>
              </w:rPr>
            </w:pPr>
            <w:r>
              <w:rPr>
                <w:rFonts w:hint="eastAsia" w:ascii="仿宋" w:hAnsi="仿宋" w:eastAsia="仿宋" w:cs="仿宋"/>
                <w:kern w:val="0"/>
                <w:sz w:val="24"/>
                <w:szCs w:val="24"/>
              </w:rPr>
              <w:t>金华市公共体育场馆管理中心体育场和体育馆</w:t>
            </w:r>
          </w:p>
        </w:tc>
      </w:tr>
    </w:tbl>
    <w:p>
      <w:pPr>
        <w:rPr>
          <w:rFonts w:ascii="仿宋" w:hAnsi="仿宋" w:eastAsia="仿宋" w:cs="仿宋"/>
          <w:sz w:val="24"/>
          <w:szCs w:val="24"/>
        </w:rPr>
      </w:pPr>
    </w:p>
    <w:p>
      <w:pPr>
        <w:spacing w:line="540" w:lineRule="exact"/>
        <w:outlineLvl w:val="0"/>
        <w:rPr>
          <w:rFonts w:ascii="仿宋" w:hAnsi="仿宋" w:eastAsia="仿宋" w:cs="仿宋"/>
          <w:sz w:val="24"/>
          <w:szCs w:val="24"/>
        </w:rPr>
      </w:pPr>
      <w:r>
        <w:rPr>
          <w:rFonts w:hint="eastAsia" w:ascii="仿宋_GB2312" w:hAnsi="宋体" w:eastAsia="仿宋_GB2312"/>
          <w:b/>
          <w:sz w:val="24"/>
          <w:szCs w:val="24"/>
          <w:lang w:eastAsia="zh-CN"/>
        </w:rPr>
        <w:t>五、采购标的需满足的服务标准、期限、效率等要求</w:t>
      </w:r>
    </w:p>
    <w:tbl>
      <w:tblPr>
        <w:tblStyle w:val="15"/>
        <w:tblW w:w="9192"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560"/>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7" w:type="dxa"/>
            <w:vAlign w:val="center"/>
          </w:tcPr>
          <w:p>
            <w:pPr>
              <w:widowControl/>
              <w:snapToGrid w:val="0"/>
              <w:spacing w:beforeLines="50" w:afterLines="50" w:line="5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560" w:type="dxa"/>
            <w:vAlign w:val="center"/>
          </w:tcPr>
          <w:p>
            <w:pPr>
              <w:snapToGrid w:val="0"/>
              <w:spacing w:beforeLines="50" w:afterLines="50" w:line="500" w:lineRule="exact"/>
              <w:rPr>
                <w:rFonts w:ascii="仿宋" w:hAnsi="仿宋" w:eastAsia="仿宋" w:cs="仿宋"/>
                <w:sz w:val="24"/>
                <w:szCs w:val="24"/>
              </w:rPr>
            </w:pPr>
            <w:r>
              <w:rPr>
                <w:rFonts w:hint="eastAsia" w:ascii="仿宋" w:hAnsi="仿宋" w:eastAsia="仿宋" w:cs="仿宋"/>
                <w:kern w:val="0"/>
                <w:sz w:val="24"/>
                <w:szCs w:val="24"/>
                <w:lang w:val="zh-CN"/>
              </w:rPr>
              <w:t>质保期</w:t>
            </w:r>
          </w:p>
        </w:tc>
        <w:tc>
          <w:tcPr>
            <w:tcW w:w="6945" w:type="dxa"/>
            <w:vAlign w:val="center"/>
          </w:tcPr>
          <w:p>
            <w:pPr>
              <w:autoSpaceDE w:val="0"/>
              <w:autoSpaceDN w:val="0"/>
              <w:adjustRightInd w:val="0"/>
              <w:spacing w:line="460" w:lineRule="exact"/>
              <w:rPr>
                <w:rFonts w:ascii="仿宋" w:hAnsi="仿宋" w:eastAsia="仿宋" w:cs="仿宋"/>
                <w:sz w:val="24"/>
                <w:szCs w:val="24"/>
              </w:rPr>
            </w:pPr>
            <w:r>
              <w:rPr>
                <w:rFonts w:hint="eastAsia" w:ascii="仿宋" w:hAnsi="仿宋" w:eastAsia="仿宋" w:cs="仿宋"/>
                <w:kern w:val="0"/>
                <w:sz w:val="24"/>
                <w:szCs w:val="24"/>
              </w:rPr>
              <w:t>项目质量保证和售后服务期限：2022年杭州亚运会</w:t>
            </w:r>
            <w:r>
              <w:rPr>
                <w:rFonts w:hint="eastAsia" w:ascii="仿宋" w:hAnsi="仿宋" w:eastAsia="仿宋" w:cs="仿宋"/>
                <w:kern w:val="0"/>
                <w:sz w:val="24"/>
                <w:szCs w:val="24"/>
                <w:lang w:eastAsia="zh-CN"/>
              </w:rPr>
              <w:t>（金华分赛区）</w:t>
            </w:r>
            <w:r>
              <w:rPr>
                <w:rFonts w:hint="eastAsia" w:ascii="仿宋" w:hAnsi="仿宋" w:eastAsia="仿宋" w:cs="仿宋"/>
                <w:kern w:val="0"/>
                <w:sz w:val="24"/>
                <w:szCs w:val="24"/>
              </w:rPr>
              <w:t>赛事结束</w:t>
            </w:r>
            <w:r>
              <w:rPr>
                <w:rFonts w:hint="eastAsia" w:ascii="仿宋" w:hAnsi="仿宋" w:eastAsia="仿宋" w:cs="仿宋"/>
                <w:kern w:val="0"/>
                <w:sz w:val="24"/>
                <w:szCs w:val="24"/>
                <w:lang w:eastAsia="zh-CN"/>
              </w:rPr>
              <w:t>和</w:t>
            </w:r>
            <w:r>
              <w:rPr>
                <w:rFonts w:hint="eastAsia" w:ascii="仿宋" w:hAnsi="仿宋" w:eastAsia="仿宋" w:cs="仿宋"/>
                <w:kern w:val="0"/>
                <w:sz w:val="24"/>
                <w:szCs w:val="24"/>
                <w:lang w:val="en-US" w:eastAsia="zh-CN"/>
              </w:rPr>
              <w:t>产品承诺保修期年限两者中较晚期限</w:t>
            </w:r>
            <w:r>
              <w:rPr>
                <w:rFonts w:hint="eastAsia"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Align w:val="center"/>
          </w:tcPr>
          <w:p>
            <w:pPr>
              <w:widowControl/>
              <w:snapToGrid w:val="0"/>
              <w:spacing w:beforeLines="50" w:afterLines="50" w:line="5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560" w:type="dxa"/>
            <w:vAlign w:val="center"/>
          </w:tcPr>
          <w:p>
            <w:pPr>
              <w:snapToGrid w:val="0"/>
              <w:spacing w:beforeLines="50" w:afterLines="50" w:line="500" w:lineRule="exact"/>
              <w:rPr>
                <w:rFonts w:ascii="仿宋" w:hAnsi="仿宋" w:eastAsia="仿宋" w:cs="仿宋"/>
                <w:sz w:val="24"/>
                <w:szCs w:val="24"/>
              </w:rPr>
            </w:pPr>
            <w:r>
              <w:rPr>
                <w:rFonts w:hint="eastAsia" w:ascii="仿宋" w:hAnsi="仿宋" w:eastAsia="仿宋" w:cs="仿宋"/>
                <w:kern w:val="0"/>
                <w:sz w:val="24"/>
                <w:szCs w:val="24"/>
                <w:lang w:val="zh-CN"/>
              </w:rPr>
              <w:t>服务响应</w:t>
            </w:r>
          </w:p>
        </w:tc>
        <w:tc>
          <w:tcPr>
            <w:tcW w:w="6945" w:type="dxa"/>
            <w:vAlign w:val="center"/>
          </w:tcPr>
          <w:p>
            <w:pPr>
              <w:spacing w:line="360" w:lineRule="auto"/>
              <w:rPr>
                <w:rFonts w:ascii="仿宋" w:hAnsi="仿宋" w:eastAsia="仿宋" w:cs="仿宋"/>
                <w:sz w:val="24"/>
                <w:szCs w:val="24"/>
              </w:rPr>
            </w:pPr>
            <w:r>
              <w:rPr>
                <w:rFonts w:hint="eastAsia" w:ascii="仿宋_GB2312" w:hAnsi="宋体" w:eastAsia="仿宋_GB2312"/>
                <w:bCs/>
                <w:color w:val="0000FF"/>
                <w:sz w:val="24"/>
                <w:szCs w:val="24"/>
                <w:lang w:val="en-US" w:eastAsia="zh-CN"/>
              </w:rPr>
              <w:t>半个小时内电话响应，1小时内抵达现场，4小时内解决一般故障，试运行及亚运赛事期间</w:t>
            </w:r>
            <w:r>
              <w:rPr>
                <w:rFonts w:hint="eastAsia" w:ascii="仿宋_GB2312" w:hAnsi="宋体" w:eastAsia="仿宋_GB2312"/>
                <w:bCs/>
                <w:color w:val="FF0000"/>
                <w:sz w:val="24"/>
                <w:szCs w:val="24"/>
                <w:lang w:val="en-US" w:eastAsia="zh-CN"/>
              </w:rPr>
              <w:t>中标单位需提供驻场保障服务，随时提供易损件的备品备件进行更换。</w:t>
            </w:r>
          </w:p>
        </w:tc>
      </w:tr>
    </w:tbl>
    <w:p>
      <w:pPr>
        <w:rPr>
          <w:rFonts w:ascii="仿宋" w:hAnsi="仿宋" w:eastAsia="仿宋" w:cs="仿宋"/>
          <w:sz w:val="24"/>
          <w:szCs w:val="24"/>
        </w:rPr>
      </w:pPr>
    </w:p>
    <w:p>
      <w:pPr>
        <w:spacing w:line="540" w:lineRule="exact"/>
        <w:outlineLvl w:val="0"/>
        <w:rPr>
          <w:rFonts w:hint="eastAsia" w:ascii="仿宋_GB2312" w:hAnsi="宋体" w:eastAsia="仿宋_GB2312"/>
          <w:b/>
          <w:sz w:val="24"/>
          <w:szCs w:val="24"/>
          <w:lang w:eastAsia="zh-CN"/>
        </w:rPr>
      </w:pPr>
      <w:r>
        <w:rPr>
          <w:rFonts w:hint="eastAsia" w:ascii="仿宋_GB2312" w:hAnsi="宋体" w:eastAsia="仿宋_GB2312"/>
          <w:b/>
          <w:sz w:val="24"/>
          <w:szCs w:val="24"/>
          <w:lang w:eastAsia="zh-CN"/>
        </w:rPr>
        <w:t>六、采购标的的验收标准</w:t>
      </w:r>
    </w:p>
    <w:tbl>
      <w:tblPr>
        <w:tblStyle w:val="15"/>
        <w:tblW w:w="9505"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985"/>
        <w:gridCol w:w="6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widowControl/>
              <w:snapToGrid w:val="0"/>
              <w:spacing w:beforeLines="50" w:afterLines="50" w:line="5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985" w:type="dxa"/>
            <w:vAlign w:val="center"/>
          </w:tcPr>
          <w:p>
            <w:pPr>
              <w:snapToGrid w:val="0"/>
              <w:spacing w:beforeLines="50" w:afterLines="50" w:line="500" w:lineRule="exact"/>
              <w:jc w:val="center"/>
              <w:rPr>
                <w:rFonts w:ascii="仿宋" w:hAnsi="仿宋" w:eastAsia="仿宋" w:cs="仿宋"/>
                <w:sz w:val="24"/>
                <w:szCs w:val="24"/>
              </w:rPr>
            </w:pPr>
            <w:r>
              <w:rPr>
                <w:rFonts w:hint="eastAsia" w:ascii="仿宋" w:hAnsi="仿宋" w:eastAsia="仿宋" w:cs="仿宋"/>
                <w:kern w:val="0"/>
                <w:sz w:val="24"/>
                <w:szCs w:val="24"/>
                <w:lang w:val="zh-CN"/>
              </w:rPr>
              <w:t>货清点验收</w:t>
            </w:r>
          </w:p>
        </w:tc>
        <w:tc>
          <w:tcPr>
            <w:tcW w:w="6821" w:type="dxa"/>
            <w:vAlign w:val="center"/>
          </w:tcPr>
          <w:p>
            <w:pPr>
              <w:autoSpaceDE w:val="0"/>
              <w:autoSpaceDN w:val="0"/>
              <w:adjustRightInd w:val="0"/>
              <w:spacing w:line="460" w:lineRule="exact"/>
              <w:rPr>
                <w:rFonts w:ascii="仿宋" w:hAnsi="仿宋" w:eastAsia="仿宋" w:cs="仿宋"/>
                <w:sz w:val="24"/>
                <w:szCs w:val="24"/>
              </w:rPr>
            </w:pPr>
            <w:r>
              <w:rPr>
                <w:rFonts w:hint="eastAsia" w:ascii="仿宋" w:hAnsi="仿宋" w:eastAsia="仿宋" w:cs="仿宋"/>
                <w:kern w:val="0"/>
                <w:sz w:val="24"/>
                <w:szCs w:val="24"/>
                <w:lang w:val="zh-CN"/>
              </w:rPr>
              <w:t>按照招标文件质量、技术、物理特性参数要求和中标人投标响应承诺的标准进行验收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widowControl/>
              <w:snapToGrid w:val="0"/>
              <w:spacing w:beforeLines="50" w:afterLines="50" w:line="5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985" w:type="dxa"/>
            <w:vAlign w:val="center"/>
          </w:tcPr>
          <w:p>
            <w:pPr>
              <w:snapToGrid w:val="0"/>
              <w:spacing w:beforeLines="50" w:afterLines="50" w:line="500" w:lineRule="exact"/>
              <w:jc w:val="center"/>
              <w:rPr>
                <w:rFonts w:ascii="仿宋" w:hAnsi="仿宋" w:eastAsia="仿宋" w:cs="仿宋"/>
                <w:sz w:val="24"/>
                <w:szCs w:val="24"/>
              </w:rPr>
            </w:pPr>
            <w:r>
              <w:rPr>
                <w:rFonts w:hint="eastAsia" w:ascii="仿宋" w:hAnsi="仿宋" w:eastAsia="仿宋" w:cs="仿宋"/>
                <w:kern w:val="0"/>
                <w:sz w:val="24"/>
                <w:szCs w:val="24"/>
                <w:lang w:val="zh-CN"/>
              </w:rPr>
              <w:t>系统集成初验</w:t>
            </w:r>
          </w:p>
        </w:tc>
        <w:tc>
          <w:tcPr>
            <w:tcW w:w="6821" w:type="dxa"/>
            <w:vAlign w:val="center"/>
          </w:tcPr>
          <w:p>
            <w:pPr>
              <w:autoSpaceDE w:val="0"/>
              <w:autoSpaceDN w:val="0"/>
              <w:adjustRightInd w:val="0"/>
              <w:spacing w:line="460" w:lineRule="exact"/>
              <w:rPr>
                <w:rFonts w:ascii="仿宋" w:hAnsi="仿宋" w:eastAsia="仿宋" w:cs="仿宋"/>
                <w:sz w:val="24"/>
                <w:szCs w:val="24"/>
              </w:rPr>
            </w:pPr>
            <w:r>
              <w:rPr>
                <w:rFonts w:hint="eastAsia" w:ascii="仿宋" w:hAnsi="仿宋" w:eastAsia="仿宋" w:cs="仿宋"/>
                <w:kern w:val="0"/>
                <w:sz w:val="24"/>
                <w:szCs w:val="24"/>
                <w:lang w:val="zh-CN"/>
              </w:rPr>
              <w:t>按照招标文件项目需实现的功能和目标进行验收;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widowControl/>
              <w:snapToGrid w:val="0"/>
              <w:spacing w:beforeLines="50" w:afterLines="50" w:line="5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985" w:type="dxa"/>
            <w:vAlign w:val="center"/>
          </w:tcPr>
          <w:p>
            <w:pPr>
              <w:snapToGrid w:val="0"/>
              <w:spacing w:beforeLines="50" w:afterLines="50" w:line="500" w:lineRule="exact"/>
              <w:jc w:val="center"/>
              <w:rPr>
                <w:rFonts w:ascii="仿宋" w:hAnsi="仿宋" w:eastAsia="仿宋" w:cs="仿宋"/>
                <w:sz w:val="24"/>
                <w:szCs w:val="24"/>
              </w:rPr>
            </w:pPr>
            <w:r>
              <w:rPr>
                <w:rFonts w:hint="eastAsia" w:ascii="仿宋" w:hAnsi="仿宋" w:eastAsia="仿宋" w:cs="仿宋"/>
                <w:kern w:val="0"/>
                <w:sz w:val="24"/>
                <w:szCs w:val="24"/>
                <w:lang w:val="zh-CN"/>
              </w:rPr>
              <w:t>项目终验</w:t>
            </w:r>
          </w:p>
        </w:tc>
        <w:tc>
          <w:tcPr>
            <w:tcW w:w="6821" w:type="dxa"/>
            <w:vAlign w:val="center"/>
          </w:tcPr>
          <w:p>
            <w:pPr>
              <w:spacing w:line="360" w:lineRule="auto"/>
              <w:rPr>
                <w:rFonts w:ascii="仿宋" w:hAnsi="仿宋" w:eastAsia="仿宋" w:cs="仿宋"/>
                <w:sz w:val="24"/>
                <w:szCs w:val="24"/>
              </w:rPr>
            </w:pPr>
            <w:r>
              <w:rPr>
                <w:rFonts w:hint="eastAsia" w:ascii="仿宋" w:hAnsi="仿宋" w:eastAsia="仿宋" w:cs="仿宋"/>
                <w:kern w:val="0"/>
                <w:sz w:val="24"/>
                <w:szCs w:val="24"/>
                <w:lang w:val="zh-CN"/>
              </w:rPr>
              <w:t xml:space="preserve">按照满足的相关标准、施工安全特性要求、交付标准、服务标准进行验收，且须通过亚组委指定的专业检测机构检测。 </w:t>
            </w:r>
          </w:p>
        </w:tc>
      </w:tr>
    </w:tbl>
    <w:p>
      <w:pPr>
        <w:rPr>
          <w:rFonts w:ascii="仿宋" w:hAnsi="仿宋" w:eastAsia="仿宋" w:cs="仿宋"/>
          <w:b/>
          <w:sz w:val="24"/>
          <w:szCs w:val="24"/>
        </w:rPr>
      </w:pPr>
    </w:p>
    <w:p>
      <w:pPr>
        <w:spacing w:line="540" w:lineRule="exact"/>
        <w:outlineLvl w:val="0"/>
        <w:rPr>
          <w:rFonts w:hint="eastAsia" w:ascii="仿宋_GB2312" w:hAnsi="宋体" w:eastAsia="仿宋_GB2312"/>
          <w:b/>
          <w:sz w:val="24"/>
          <w:szCs w:val="24"/>
          <w:lang w:eastAsia="zh-CN"/>
        </w:rPr>
      </w:pPr>
    </w:p>
    <w:p>
      <w:pPr>
        <w:spacing w:line="540" w:lineRule="exact"/>
        <w:outlineLvl w:val="0"/>
        <w:rPr>
          <w:rFonts w:ascii="仿宋" w:hAnsi="仿宋" w:eastAsia="仿宋" w:cs="仿宋"/>
          <w:sz w:val="24"/>
          <w:szCs w:val="24"/>
        </w:rPr>
      </w:pPr>
      <w:r>
        <w:rPr>
          <w:rFonts w:hint="eastAsia" w:ascii="仿宋_GB2312" w:hAnsi="宋体" w:eastAsia="仿宋_GB2312"/>
          <w:b/>
          <w:sz w:val="24"/>
          <w:szCs w:val="24"/>
          <w:lang w:eastAsia="zh-CN"/>
        </w:rPr>
        <w:t>七、采购标的的其他技术、服务等要求</w:t>
      </w:r>
    </w:p>
    <w:tbl>
      <w:tblPr>
        <w:tblStyle w:val="1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09" w:type="dxa"/>
            <w:vAlign w:val="center"/>
          </w:tcPr>
          <w:p>
            <w:pPr>
              <w:widowControl/>
              <w:snapToGrid w:val="0"/>
              <w:spacing w:beforeLines="50" w:afterLines="50" w:line="5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418" w:type="dxa"/>
            <w:vAlign w:val="center"/>
          </w:tcPr>
          <w:p>
            <w:pPr>
              <w:snapToGrid w:val="0"/>
              <w:spacing w:beforeLines="50" w:afterLines="50" w:line="500" w:lineRule="exact"/>
              <w:jc w:val="center"/>
              <w:rPr>
                <w:rFonts w:ascii="仿宋" w:hAnsi="仿宋" w:eastAsia="仿宋" w:cs="仿宋"/>
                <w:sz w:val="24"/>
                <w:szCs w:val="24"/>
              </w:rPr>
            </w:pPr>
            <w:r>
              <w:rPr>
                <w:rFonts w:hint="eastAsia" w:ascii="仿宋" w:hAnsi="仿宋" w:eastAsia="仿宋" w:cs="仿宋"/>
                <w:sz w:val="24"/>
                <w:szCs w:val="24"/>
              </w:rPr>
              <w:t>巡检</w:t>
            </w:r>
          </w:p>
        </w:tc>
        <w:tc>
          <w:tcPr>
            <w:tcW w:w="6945" w:type="dxa"/>
            <w:vAlign w:val="center"/>
          </w:tcPr>
          <w:p>
            <w:pPr>
              <w:autoSpaceDE w:val="0"/>
              <w:autoSpaceDN w:val="0"/>
              <w:adjustRightInd w:val="0"/>
              <w:spacing w:line="460" w:lineRule="exact"/>
              <w:rPr>
                <w:rFonts w:ascii="仿宋" w:hAnsi="仿宋" w:eastAsia="仿宋" w:cs="仿宋"/>
                <w:sz w:val="24"/>
                <w:szCs w:val="24"/>
              </w:rPr>
            </w:pPr>
            <w:r>
              <w:rPr>
                <w:rFonts w:hint="eastAsia" w:ascii="仿宋" w:hAnsi="仿宋" w:eastAsia="仿宋" w:cs="仿宋"/>
                <w:kern w:val="0"/>
                <w:sz w:val="24"/>
                <w:szCs w:val="24"/>
                <w:lang w:val="zh-CN"/>
              </w:rPr>
              <w:t>投标人提供定期巡检服务方案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9" w:type="dxa"/>
            <w:vAlign w:val="center"/>
          </w:tcPr>
          <w:p>
            <w:pPr>
              <w:widowControl/>
              <w:snapToGrid w:val="0"/>
              <w:spacing w:beforeLines="50" w:afterLines="50" w:line="5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418" w:type="dxa"/>
            <w:vAlign w:val="center"/>
          </w:tcPr>
          <w:p>
            <w:pPr>
              <w:snapToGrid w:val="0"/>
              <w:spacing w:beforeLines="50" w:afterLines="50" w:line="500" w:lineRule="exact"/>
              <w:jc w:val="center"/>
              <w:rPr>
                <w:rFonts w:ascii="仿宋" w:hAnsi="仿宋" w:eastAsia="仿宋" w:cs="仿宋"/>
                <w:sz w:val="24"/>
                <w:szCs w:val="24"/>
              </w:rPr>
            </w:pPr>
            <w:r>
              <w:rPr>
                <w:rFonts w:hint="eastAsia" w:ascii="仿宋" w:hAnsi="仿宋" w:eastAsia="仿宋" w:cs="仿宋"/>
                <w:sz w:val="24"/>
                <w:szCs w:val="24"/>
              </w:rPr>
              <w:t>培训</w:t>
            </w:r>
          </w:p>
        </w:tc>
        <w:tc>
          <w:tcPr>
            <w:tcW w:w="6945" w:type="dxa"/>
            <w:vAlign w:val="center"/>
          </w:tcPr>
          <w:p>
            <w:pPr>
              <w:autoSpaceDE w:val="0"/>
              <w:autoSpaceDN w:val="0"/>
              <w:adjustRightInd w:val="0"/>
              <w:spacing w:line="460" w:lineRule="exact"/>
              <w:rPr>
                <w:rFonts w:ascii="仿宋" w:hAnsi="仿宋" w:eastAsia="仿宋" w:cs="仿宋"/>
                <w:sz w:val="24"/>
                <w:szCs w:val="24"/>
              </w:rPr>
            </w:pPr>
            <w:r>
              <w:rPr>
                <w:rFonts w:hint="eastAsia" w:ascii="仿宋" w:hAnsi="仿宋" w:eastAsia="仿宋" w:cs="仿宋"/>
                <w:kern w:val="0"/>
                <w:sz w:val="24"/>
                <w:szCs w:val="24"/>
                <w:lang w:val="zh-CN"/>
              </w:rPr>
              <w:t>投标人提供系统培训服务方案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09" w:type="dxa"/>
            <w:vAlign w:val="center"/>
          </w:tcPr>
          <w:p>
            <w:pPr>
              <w:widowControl/>
              <w:snapToGrid w:val="0"/>
              <w:spacing w:beforeLines="50" w:afterLines="50" w:line="5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418" w:type="dxa"/>
            <w:vAlign w:val="center"/>
          </w:tcPr>
          <w:p>
            <w:pPr>
              <w:snapToGrid w:val="0"/>
              <w:spacing w:beforeLines="50" w:afterLines="50" w:line="500" w:lineRule="exact"/>
              <w:jc w:val="center"/>
              <w:rPr>
                <w:rFonts w:ascii="仿宋" w:hAnsi="仿宋" w:eastAsia="仿宋" w:cs="仿宋"/>
                <w:sz w:val="24"/>
                <w:szCs w:val="24"/>
              </w:rPr>
            </w:pPr>
            <w:r>
              <w:rPr>
                <w:rFonts w:hint="eastAsia" w:ascii="仿宋" w:hAnsi="仿宋" w:eastAsia="仿宋" w:cs="仿宋"/>
                <w:sz w:val="24"/>
                <w:szCs w:val="24"/>
              </w:rPr>
              <w:t>售后</w:t>
            </w:r>
          </w:p>
        </w:tc>
        <w:tc>
          <w:tcPr>
            <w:tcW w:w="6945" w:type="dxa"/>
            <w:vAlign w:val="center"/>
          </w:tcPr>
          <w:p>
            <w:pPr>
              <w:autoSpaceDE w:val="0"/>
              <w:autoSpaceDN w:val="0"/>
              <w:adjustRightInd w:val="0"/>
              <w:spacing w:line="460" w:lineRule="exact"/>
              <w:rPr>
                <w:rFonts w:ascii="仿宋" w:hAnsi="仿宋" w:eastAsia="仿宋" w:cs="仿宋"/>
                <w:sz w:val="24"/>
                <w:szCs w:val="24"/>
              </w:rPr>
            </w:pPr>
            <w:r>
              <w:rPr>
                <w:rFonts w:hint="eastAsia" w:ascii="仿宋" w:hAnsi="仿宋" w:eastAsia="仿宋" w:cs="仿宋"/>
                <w:kern w:val="0"/>
                <w:sz w:val="24"/>
                <w:szCs w:val="24"/>
                <w:lang w:val="zh-CN"/>
              </w:rPr>
              <w:t>投标人提供售后服务流程方案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widowControl/>
              <w:snapToGrid w:val="0"/>
              <w:spacing w:beforeLines="50" w:afterLines="50" w:line="5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418" w:type="dxa"/>
            <w:vAlign w:val="center"/>
          </w:tcPr>
          <w:p>
            <w:pPr>
              <w:snapToGrid w:val="0"/>
              <w:spacing w:beforeLines="50" w:afterLines="50" w:line="500" w:lineRule="exact"/>
              <w:jc w:val="center"/>
              <w:rPr>
                <w:rFonts w:ascii="仿宋" w:hAnsi="仿宋" w:eastAsia="仿宋" w:cs="仿宋"/>
                <w:sz w:val="24"/>
                <w:szCs w:val="24"/>
              </w:rPr>
            </w:pPr>
            <w:r>
              <w:rPr>
                <w:rFonts w:hint="eastAsia" w:ascii="仿宋" w:hAnsi="仿宋" w:eastAsia="仿宋" w:cs="仿宋"/>
                <w:sz w:val="24"/>
                <w:szCs w:val="24"/>
              </w:rPr>
              <w:t>★商务</w:t>
            </w:r>
          </w:p>
        </w:tc>
        <w:tc>
          <w:tcPr>
            <w:tcW w:w="6945" w:type="dxa"/>
            <w:vAlign w:val="center"/>
          </w:tcPr>
          <w:p>
            <w:pPr>
              <w:autoSpaceDE w:val="0"/>
              <w:autoSpaceDN w:val="0"/>
              <w:adjustRightInd w:val="0"/>
              <w:spacing w:line="460" w:lineRule="exact"/>
              <w:rPr>
                <w:rFonts w:ascii="仿宋" w:hAnsi="仿宋" w:eastAsia="仿宋" w:cs="仿宋"/>
                <w:kern w:val="0"/>
                <w:sz w:val="24"/>
                <w:szCs w:val="24"/>
                <w:lang w:val="zh-CN"/>
              </w:rPr>
            </w:pPr>
            <w:r>
              <w:rPr>
                <w:rFonts w:hint="eastAsia" w:ascii="仿宋" w:hAnsi="仿宋" w:eastAsia="仿宋" w:cs="仿宋"/>
                <w:kern w:val="0"/>
                <w:sz w:val="24"/>
                <w:szCs w:val="24"/>
                <w:lang w:val="zh-CN"/>
              </w:rPr>
              <w:t>投标人须接受招标文件要求的验收及付款方式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vAlign w:val="center"/>
          </w:tcPr>
          <w:p>
            <w:pPr>
              <w:widowControl/>
              <w:snapToGrid w:val="0"/>
              <w:spacing w:beforeLines="50" w:afterLines="50" w:line="5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418" w:type="dxa"/>
            <w:vMerge w:val="restart"/>
            <w:vAlign w:val="center"/>
          </w:tcPr>
          <w:p>
            <w:pPr>
              <w:snapToGrid w:val="0"/>
              <w:spacing w:beforeLines="50" w:afterLines="50" w:line="500" w:lineRule="exact"/>
              <w:jc w:val="center"/>
              <w:rPr>
                <w:rFonts w:ascii="仿宋" w:hAnsi="仿宋" w:eastAsia="仿宋" w:cs="仿宋"/>
                <w:b/>
                <w:bCs/>
                <w:sz w:val="24"/>
                <w:szCs w:val="24"/>
              </w:rPr>
            </w:pPr>
            <w:r>
              <w:rPr>
                <w:rFonts w:hint="eastAsia" w:ascii="仿宋" w:hAnsi="仿宋" w:eastAsia="仿宋" w:cs="仿宋"/>
                <w:sz w:val="24"/>
                <w:szCs w:val="24"/>
              </w:rPr>
              <w:t>★</w:t>
            </w:r>
            <w:r>
              <w:rPr>
                <w:rFonts w:hint="eastAsia" w:ascii="仿宋" w:hAnsi="仿宋" w:eastAsia="仿宋" w:cs="仿宋"/>
                <w:b/>
                <w:bCs/>
                <w:sz w:val="24"/>
                <w:szCs w:val="24"/>
              </w:rPr>
              <w:t>特别</w:t>
            </w:r>
          </w:p>
          <w:p>
            <w:pPr>
              <w:snapToGrid w:val="0"/>
              <w:spacing w:beforeLines="50" w:afterLines="50" w:line="500" w:lineRule="exact"/>
              <w:jc w:val="center"/>
              <w:rPr>
                <w:rFonts w:ascii="仿宋" w:hAnsi="仿宋" w:eastAsia="仿宋" w:cs="仿宋"/>
                <w:sz w:val="24"/>
                <w:szCs w:val="24"/>
              </w:rPr>
            </w:pPr>
            <w:r>
              <w:rPr>
                <w:rFonts w:hint="eastAsia" w:ascii="仿宋" w:hAnsi="仿宋" w:eastAsia="仿宋" w:cs="仿宋"/>
                <w:b/>
                <w:bCs/>
                <w:sz w:val="24"/>
                <w:szCs w:val="24"/>
              </w:rPr>
              <w:t>说明</w:t>
            </w:r>
          </w:p>
        </w:tc>
        <w:tc>
          <w:tcPr>
            <w:tcW w:w="6945" w:type="dxa"/>
            <w:vAlign w:val="center"/>
          </w:tcPr>
          <w:p>
            <w:pPr>
              <w:autoSpaceDE w:val="0"/>
              <w:autoSpaceDN w:val="0"/>
              <w:adjustRightInd w:val="0"/>
              <w:spacing w:line="460" w:lineRule="exact"/>
              <w:rPr>
                <w:rFonts w:ascii="仿宋" w:hAnsi="仿宋" w:eastAsia="仿宋" w:cs="仿宋"/>
                <w:kern w:val="0"/>
                <w:sz w:val="24"/>
                <w:szCs w:val="24"/>
                <w:lang w:val="zh-CN"/>
              </w:rPr>
            </w:pPr>
            <w:r>
              <w:rPr>
                <w:rFonts w:hint="eastAsia" w:ascii="仿宋" w:hAnsi="仿宋" w:eastAsia="仿宋" w:cs="仿宋"/>
                <w:b/>
                <w:bCs/>
                <w:kern w:val="0"/>
                <w:sz w:val="24"/>
                <w:szCs w:val="24"/>
                <w:lang w:val="zh-CN"/>
              </w:rPr>
              <w:t>本项目为“交钥匙”工程，</w:t>
            </w:r>
            <w:r>
              <w:rPr>
                <w:rFonts w:hint="eastAsia" w:ascii="仿宋" w:hAnsi="仿宋" w:eastAsia="仿宋" w:cs="仿宋"/>
                <w:kern w:val="0"/>
                <w:sz w:val="24"/>
                <w:szCs w:val="24"/>
                <w:lang w:val="zh-CN"/>
              </w:rPr>
              <w:t>从配电室至场地设备安装位置等信号线、电源线、配管、以及墙面破坏配套装修修复等与本项目实施有关所产生的费用</w:t>
            </w:r>
            <w:r>
              <w:rPr>
                <w:rFonts w:hint="eastAsia" w:ascii="仿宋" w:hAnsi="仿宋" w:eastAsia="仿宋" w:cs="仿宋"/>
                <w:color w:val="0070C0"/>
                <w:kern w:val="0"/>
                <w:sz w:val="24"/>
                <w:szCs w:val="24"/>
                <w:lang w:val="zh-CN"/>
              </w:rPr>
              <w:t>（含第三方检测费用，如需）</w:t>
            </w:r>
            <w:r>
              <w:rPr>
                <w:rFonts w:hint="eastAsia" w:ascii="仿宋" w:hAnsi="仿宋" w:eastAsia="仿宋" w:cs="仿宋"/>
                <w:kern w:val="0"/>
                <w:sz w:val="24"/>
                <w:szCs w:val="24"/>
                <w:lang w:val="en-US" w:eastAsia="zh-CN"/>
              </w:rPr>
              <w:t>均由投标人承担</w:t>
            </w:r>
            <w:r>
              <w:rPr>
                <w:rFonts w:hint="eastAsia" w:ascii="仿宋" w:hAnsi="仿宋" w:eastAsia="仿宋" w:cs="仿宋"/>
                <w:kern w:val="0"/>
                <w:sz w:val="24"/>
                <w:szCs w:val="24"/>
                <w:lang w:val="zh-CN"/>
              </w:rPr>
              <w:t>，招标人不再另行结算，请各投标人予以充分考虑。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trPr>
        <w:tc>
          <w:tcPr>
            <w:tcW w:w="709" w:type="dxa"/>
            <w:vMerge w:val="continue"/>
            <w:vAlign w:val="center"/>
          </w:tcPr>
          <w:p>
            <w:pPr>
              <w:widowControl/>
              <w:snapToGrid w:val="0"/>
              <w:spacing w:beforeLines="50" w:afterLines="50" w:line="500" w:lineRule="exact"/>
              <w:jc w:val="center"/>
              <w:textAlignment w:val="center"/>
              <w:rPr>
                <w:rFonts w:hint="eastAsia" w:ascii="仿宋" w:hAnsi="仿宋" w:eastAsia="仿宋" w:cs="仿宋"/>
                <w:color w:val="000000"/>
                <w:kern w:val="0"/>
                <w:sz w:val="24"/>
                <w:szCs w:val="24"/>
              </w:rPr>
            </w:pPr>
          </w:p>
        </w:tc>
        <w:tc>
          <w:tcPr>
            <w:tcW w:w="1418" w:type="dxa"/>
            <w:vMerge w:val="continue"/>
            <w:vAlign w:val="center"/>
          </w:tcPr>
          <w:p>
            <w:pPr>
              <w:snapToGrid w:val="0"/>
              <w:spacing w:beforeLines="50" w:afterLines="50" w:line="500" w:lineRule="exact"/>
              <w:jc w:val="center"/>
              <w:rPr>
                <w:rFonts w:hint="eastAsia" w:ascii="仿宋" w:hAnsi="仿宋" w:eastAsia="仿宋" w:cs="仿宋"/>
                <w:b/>
                <w:bCs/>
                <w:sz w:val="24"/>
                <w:szCs w:val="24"/>
              </w:rPr>
            </w:pPr>
          </w:p>
        </w:tc>
        <w:tc>
          <w:tcPr>
            <w:tcW w:w="6945" w:type="dxa"/>
            <w:vAlign w:val="center"/>
          </w:tcPr>
          <w:p>
            <w:pPr>
              <w:pStyle w:val="28"/>
              <w:jc w:val="both"/>
              <w:rPr>
                <w:rFonts w:hint="eastAsia" w:ascii="仿宋" w:hAnsi="仿宋" w:eastAsia="仿宋" w:cs="仿宋"/>
                <w:color w:val="0070C0"/>
                <w:kern w:val="0"/>
                <w:sz w:val="24"/>
                <w:szCs w:val="24"/>
                <w:lang w:val="zh-CN" w:eastAsia="zh-CN" w:bidi="ar-SA"/>
              </w:rPr>
            </w:pPr>
            <w:r>
              <w:rPr>
                <w:rFonts w:hint="eastAsia" w:ascii="仿宋" w:hAnsi="仿宋" w:eastAsia="仿宋" w:cs="仿宋"/>
                <w:color w:val="0070C0"/>
                <w:kern w:val="0"/>
                <w:sz w:val="24"/>
                <w:szCs w:val="24"/>
                <w:lang w:val="zh-CN" w:eastAsia="zh-CN" w:bidi="ar-SA"/>
              </w:rPr>
              <w:t>招标文件中仅列举主要设备的清单和技术参数要求，其它为满足本项目技术要求所必须配置的软、硬件设备由供应商根据招标文件要求和实际需求进行配置，也必须配齐以构成一套实用系统。如果供应商在中标并签署合同后，在供货或系统集成时出现软、硬件的任何遗漏，均必须由中标供应商免费提供。供应商在投标文件中应提供详细的产品技术规格说明。</w:t>
            </w:r>
          </w:p>
          <w:p>
            <w:pPr>
              <w:pStyle w:val="28"/>
              <w:jc w:val="both"/>
              <w:rPr>
                <w:rFonts w:hint="eastAsia" w:ascii="仿宋" w:hAnsi="仿宋" w:eastAsia="仿宋" w:cs="仿宋"/>
                <w:b/>
                <w:bCs/>
                <w:kern w:val="0"/>
                <w:sz w:val="24"/>
                <w:szCs w:val="24"/>
                <w:lang w:val="zh-CN"/>
              </w:rPr>
            </w:pPr>
            <w:r>
              <w:rPr>
                <w:rFonts w:hint="eastAsia" w:ascii="仿宋" w:hAnsi="仿宋" w:eastAsia="仿宋" w:cs="仿宋"/>
                <w:color w:val="0070C0"/>
                <w:kern w:val="0"/>
                <w:sz w:val="24"/>
                <w:szCs w:val="24"/>
                <w:lang w:val="zh-CN" w:eastAsia="zh-CN" w:bidi="ar-SA"/>
              </w:rPr>
              <w:t>如对系统集成有遗漏，投标方免费提供本项目中系统集成所需要的所有配件和线材并承担项目实施中产生的相关费用。</w:t>
            </w:r>
          </w:p>
        </w:tc>
      </w:tr>
    </w:tbl>
    <w:p/>
    <w:p>
      <w:pPr>
        <w:sectPr>
          <w:pgSz w:w="11906" w:h="16838"/>
          <w:pgMar w:top="1440" w:right="1800" w:bottom="1440" w:left="1800" w:header="851" w:footer="992" w:gutter="0"/>
          <w:cols w:space="425" w:num="1"/>
          <w:docGrid w:type="lines" w:linePitch="312" w:charSpace="0"/>
        </w:sectPr>
      </w:pPr>
    </w:p>
    <w:p>
      <w:pPr>
        <w:jc w:val="center"/>
        <w:rPr>
          <w:sz w:val="44"/>
          <w:szCs w:val="44"/>
        </w:rPr>
      </w:pPr>
      <w:r>
        <w:rPr>
          <w:rFonts w:hint="eastAsia"/>
          <w:sz w:val="44"/>
          <w:szCs w:val="44"/>
        </w:rPr>
        <w:t>目         录</w:t>
      </w:r>
    </w:p>
    <w:p>
      <w:pPr>
        <w:pStyle w:val="33"/>
        <w:numPr>
          <w:ilvl w:val="0"/>
          <w:numId w:val="0"/>
        </w:numPr>
        <w:spacing w:line="560" w:lineRule="exact"/>
        <w:ind w:leftChars="0"/>
        <w:rPr>
          <w:rFonts w:ascii="宋体" w:hAnsi="宋体" w:eastAsia="宋体" w:cs="宋体"/>
          <w:b/>
          <w:color w:val="000000"/>
          <w:kern w:val="0"/>
          <w:sz w:val="30"/>
          <w:szCs w:val="30"/>
        </w:rPr>
      </w:pPr>
      <w:r>
        <w:rPr>
          <w:rFonts w:hint="eastAsia" w:ascii="宋体" w:hAnsi="宋体" w:cs="宋体"/>
          <w:b/>
          <w:color w:val="000000"/>
          <w:kern w:val="0"/>
          <w:sz w:val="30"/>
          <w:szCs w:val="30"/>
          <w:lang w:val="en-US" w:eastAsia="zh-CN"/>
        </w:rPr>
        <w:t>1、</w:t>
      </w:r>
      <w:r>
        <w:rPr>
          <w:rFonts w:hint="eastAsia" w:ascii="宋体" w:hAnsi="宋体" w:eastAsia="宋体" w:cs="宋体"/>
          <w:b/>
          <w:color w:val="000000"/>
          <w:kern w:val="0"/>
          <w:sz w:val="30"/>
          <w:szCs w:val="30"/>
        </w:rPr>
        <w:t>内外网综合布线明细表</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..2</w:t>
      </w:r>
    </w:p>
    <w:p>
      <w:pPr>
        <w:spacing w:line="560" w:lineRule="exact"/>
        <w:rPr>
          <w:rFonts w:ascii="黑体" w:hAnsi="宋体" w:eastAsia="黑体" w:cs="黑体"/>
          <w:color w:val="000000"/>
          <w:kern w:val="0"/>
          <w:sz w:val="30"/>
          <w:szCs w:val="30"/>
        </w:rPr>
      </w:pPr>
      <w:r>
        <w:rPr>
          <w:rFonts w:hint="eastAsia" w:ascii="宋体" w:hAnsi="宋体" w:eastAsia="宋体" w:cs="宋体"/>
          <w:b/>
          <w:color w:val="000000"/>
          <w:kern w:val="0"/>
          <w:sz w:val="30"/>
          <w:szCs w:val="30"/>
        </w:rPr>
        <w:t>2、办公无线网综合布线明细表</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..10</w:t>
      </w:r>
    </w:p>
    <w:p>
      <w:pPr>
        <w:spacing w:line="560" w:lineRule="exact"/>
        <w:rPr>
          <w:rFonts w:ascii="黑体" w:hAnsi="宋体" w:eastAsia="黑体" w:cs="黑体"/>
          <w:color w:val="000000"/>
          <w:kern w:val="0"/>
          <w:sz w:val="30"/>
          <w:szCs w:val="30"/>
        </w:rPr>
      </w:pPr>
      <w:r>
        <w:rPr>
          <w:rFonts w:hint="eastAsia" w:ascii="宋体" w:hAnsi="宋体" w:eastAsia="宋体" w:cs="宋体"/>
          <w:b/>
          <w:color w:val="000000"/>
          <w:kern w:val="0"/>
          <w:sz w:val="30"/>
          <w:szCs w:val="30"/>
        </w:rPr>
        <w:t>3、安防综合布线明细表</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..13</w:t>
      </w:r>
    </w:p>
    <w:p>
      <w:pPr>
        <w:spacing w:line="560" w:lineRule="exact"/>
        <w:rPr>
          <w:rFonts w:ascii="黑体" w:hAnsi="宋体" w:eastAsia="黑体" w:cs="黑体"/>
          <w:color w:val="000000"/>
          <w:kern w:val="0"/>
          <w:sz w:val="30"/>
          <w:szCs w:val="30"/>
        </w:rPr>
      </w:pPr>
      <w:r>
        <w:rPr>
          <w:rFonts w:hint="eastAsia" w:ascii="宋体" w:hAnsi="宋体" w:eastAsia="宋体" w:cs="宋体"/>
          <w:b/>
          <w:color w:val="000000"/>
          <w:kern w:val="0"/>
          <w:sz w:val="30"/>
          <w:szCs w:val="30"/>
        </w:rPr>
        <w:t>4、设备专网综合布线明细表</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..18</w:t>
      </w:r>
    </w:p>
    <w:p>
      <w:pPr>
        <w:spacing w:line="560" w:lineRule="exact"/>
        <w:rPr>
          <w:rFonts w:ascii="黑体" w:hAnsi="宋体" w:eastAsia="黑体" w:cs="黑体"/>
          <w:color w:val="000000"/>
          <w:kern w:val="0"/>
          <w:sz w:val="30"/>
          <w:szCs w:val="30"/>
        </w:rPr>
      </w:pPr>
      <w:r>
        <w:rPr>
          <w:rFonts w:hint="eastAsia" w:ascii="宋体" w:hAnsi="宋体" w:eastAsia="宋体" w:cs="宋体"/>
          <w:b/>
          <w:color w:val="000000"/>
          <w:kern w:val="0"/>
          <w:sz w:val="30"/>
          <w:szCs w:val="30"/>
        </w:rPr>
        <w:t>5、亚运会专网综合布线明细表</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..23</w:t>
      </w:r>
    </w:p>
    <w:p>
      <w:pPr>
        <w:spacing w:line="560" w:lineRule="exact"/>
        <w:rPr>
          <w:rFonts w:ascii="黑体" w:hAnsi="宋体" w:eastAsia="黑体" w:cs="黑体"/>
          <w:color w:val="000000"/>
          <w:kern w:val="0"/>
          <w:sz w:val="30"/>
          <w:szCs w:val="30"/>
        </w:rPr>
      </w:pPr>
      <w:r>
        <w:rPr>
          <w:rFonts w:hint="eastAsia" w:ascii="宋体" w:hAnsi="宋体" w:eastAsia="宋体" w:cs="宋体"/>
          <w:b/>
          <w:color w:val="000000"/>
          <w:kern w:val="0"/>
          <w:sz w:val="30"/>
          <w:szCs w:val="30"/>
        </w:rPr>
        <w:t>6、有线电视系统明细表</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..30</w:t>
      </w:r>
    </w:p>
    <w:p>
      <w:pPr>
        <w:spacing w:line="560" w:lineRule="exact"/>
        <w:rPr>
          <w:rFonts w:ascii="黑体" w:hAnsi="宋体" w:eastAsia="黑体" w:cs="黑体"/>
          <w:color w:val="000000"/>
          <w:kern w:val="0"/>
          <w:sz w:val="30"/>
          <w:szCs w:val="30"/>
        </w:rPr>
      </w:pPr>
      <w:r>
        <w:rPr>
          <w:rFonts w:hint="eastAsia" w:ascii="宋体" w:hAnsi="宋体" w:eastAsia="宋体" w:cs="宋体"/>
          <w:b/>
          <w:color w:val="000000"/>
          <w:kern w:val="0"/>
          <w:sz w:val="30"/>
          <w:szCs w:val="30"/>
        </w:rPr>
        <w:t>7、计算机网络系统明细表</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..33</w:t>
      </w:r>
    </w:p>
    <w:p>
      <w:pPr>
        <w:spacing w:line="560" w:lineRule="exact"/>
        <w:rPr>
          <w:rFonts w:ascii="黑体" w:hAnsi="宋体" w:eastAsia="黑体" w:cs="黑体"/>
          <w:color w:val="000000"/>
          <w:kern w:val="0"/>
          <w:sz w:val="30"/>
          <w:szCs w:val="30"/>
        </w:rPr>
      </w:pPr>
      <w:r>
        <w:rPr>
          <w:rFonts w:hint="eastAsia" w:ascii="宋体" w:hAnsi="宋体" w:eastAsia="宋体" w:cs="宋体"/>
          <w:b/>
          <w:color w:val="000000"/>
          <w:kern w:val="0"/>
          <w:sz w:val="30"/>
          <w:szCs w:val="30"/>
        </w:rPr>
        <w:t>8、视频监控系统明细表</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..54</w:t>
      </w:r>
    </w:p>
    <w:p>
      <w:pPr>
        <w:spacing w:line="560" w:lineRule="exact"/>
        <w:rPr>
          <w:rFonts w:ascii="黑体" w:hAnsi="宋体" w:eastAsia="黑体" w:cs="黑体"/>
          <w:color w:val="000000"/>
          <w:kern w:val="0"/>
          <w:sz w:val="30"/>
          <w:szCs w:val="30"/>
        </w:rPr>
      </w:pPr>
      <w:r>
        <w:rPr>
          <w:rFonts w:hint="eastAsia" w:ascii="宋体" w:hAnsi="宋体" w:eastAsia="宋体" w:cs="宋体"/>
          <w:b/>
          <w:color w:val="000000"/>
          <w:kern w:val="0"/>
          <w:sz w:val="30"/>
          <w:szCs w:val="30"/>
        </w:rPr>
        <w:t>9、门禁系统明细表</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..70</w:t>
      </w:r>
    </w:p>
    <w:p>
      <w:pPr>
        <w:spacing w:line="560" w:lineRule="exact"/>
        <w:rPr>
          <w:rFonts w:ascii="黑体" w:hAnsi="宋体" w:eastAsia="黑体" w:cs="黑体"/>
          <w:color w:val="000000"/>
          <w:kern w:val="0"/>
          <w:sz w:val="30"/>
          <w:szCs w:val="30"/>
        </w:rPr>
      </w:pPr>
      <w:r>
        <w:rPr>
          <w:rFonts w:hint="eastAsia" w:ascii="宋体" w:hAnsi="宋体" w:eastAsia="宋体" w:cs="宋体"/>
          <w:b/>
          <w:color w:val="000000"/>
          <w:kern w:val="0"/>
          <w:sz w:val="30"/>
          <w:szCs w:val="30"/>
        </w:rPr>
        <w:t>10、体育馆及体育场新闻发布厅系统明细表</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...74</w:t>
      </w:r>
    </w:p>
    <w:p>
      <w:pPr>
        <w:spacing w:line="560" w:lineRule="exact"/>
        <w:rPr>
          <w:rFonts w:ascii="黑体" w:hAnsi="宋体" w:eastAsia="黑体" w:cs="黑体"/>
          <w:color w:val="000000"/>
          <w:kern w:val="0"/>
          <w:sz w:val="30"/>
          <w:szCs w:val="30"/>
        </w:rPr>
      </w:pPr>
      <w:r>
        <w:rPr>
          <w:rFonts w:hint="eastAsia" w:ascii="宋体" w:hAnsi="宋体" w:eastAsia="宋体" w:cs="宋体"/>
          <w:b/>
          <w:color w:val="000000"/>
          <w:kern w:val="0"/>
          <w:sz w:val="30"/>
          <w:szCs w:val="30"/>
        </w:rPr>
        <w:t>11、楼宇自控系统明细表</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.95</w:t>
      </w:r>
    </w:p>
    <w:p>
      <w:pPr>
        <w:spacing w:line="560" w:lineRule="exact"/>
        <w:rPr>
          <w:rFonts w:ascii="黑体" w:hAnsi="宋体" w:eastAsia="黑体" w:cs="黑体"/>
          <w:color w:val="000000"/>
          <w:kern w:val="0"/>
          <w:sz w:val="30"/>
          <w:szCs w:val="30"/>
        </w:rPr>
      </w:pPr>
      <w:r>
        <w:rPr>
          <w:rFonts w:hint="eastAsia" w:ascii="黑体" w:hAnsi="宋体" w:eastAsia="黑体" w:cs="黑体"/>
          <w:color w:val="000000"/>
          <w:kern w:val="0"/>
          <w:sz w:val="30"/>
          <w:szCs w:val="30"/>
        </w:rPr>
        <w:t>12、体育场专项智能化系统</w:t>
      </w:r>
      <w:r>
        <w:rPr>
          <w:rFonts w:ascii="黑体" w:hAnsi="宋体" w:eastAsia="黑体" w:cs="黑体"/>
          <w:color w:val="000000"/>
          <w:kern w:val="0"/>
          <w:sz w:val="30"/>
          <w:szCs w:val="30"/>
        </w:rPr>
        <w:t>………………………………………………………………</w:t>
      </w:r>
      <w:r>
        <w:rPr>
          <w:rFonts w:hint="eastAsia" w:ascii="黑体" w:hAnsi="宋体" w:eastAsia="黑体" w:cs="黑体"/>
          <w:color w:val="000000"/>
          <w:kern w:val="0"/>
          <w:sz w:val="30"/>
          <w:szCs w:val="30"/>
        </w:rPr>
        <w:t>..101</w:t>
      </w:r>
    </w:p>
    <w:p>
      <w:pPr>
        <w:spacing w:line="560" w:lineRule="exact"/>
        <w:rPr>
          <w:rFonts w:ascii="黑体" w:hAnsi="宋体" w:eastAsia="黑体" w:cs="黑体"/>
          <w:color w:val="000000"/>
          <w:kern w:val="0"/>
          <w:sz w:val="30"/>
          <w:szCs w:val="30"/>
        </w:rPr>
      </w:pPr>
      <w:r>
        <w:rPr>
          <w:rFonts w:hint="eastAsia" w:ascii="黑体" w:hAnsi="宋体" w:eastAsia="黑体" w:cs="黑体"/>
          <w:color w:val="000000"/>
          <w:kern w:val="0"/>
          <w:sz w:val="30"/>
          <w:szCs w:val="30"/>
        </w:rPr>
        <w:t>13、体育馆专项智能化系统</w:t>
      </w:r>
      <w:r>
        <w:rPr>
          <w:rFonts w:ascii="黑体" w:hAnsi="宋体" w:eastAsia="黑体" w:cs="黑体"/>
          <w:color w:val="000000"/>
          <w:kern w:val="0"/>
          <w:sz w:val="30"/>
          <w:szCs w:val="30"/>
        </w:rPr>
        <w:t>………………………………………………………………</w:t>
      </w:r>
      <w:r>
        <w:rPr>
          <w:rFonts w:hint="eastAsia" w:ascii="黑体" w:hAnsi="宋体" w:eastAsia="黑体" w:cs="黑体"/>
          <w:color w:val="000000"/>
          <w:kern w:val="0"/>
          <w:sz w:val="30"/>
          <w:szCs w:val="30"/>
        </w:rPr>
        <w:t>..105</w:t>
      </w:r>
    </w:p>
    <w:p>
      <w:pPr>
        <w:spacing w:line="560" w:lineRule="exact"/>
        <w:rPr>
          <w:rFonts w:ascii="黑体" w:hAnsi="宋体" w:eastAsia="黑体" w:cs="黑体"/>
          <w:color w:val="000000"/>
          <w:kern w:val="0"/>
          <w:sz w:val="30"/>
          <w:szCs w:val="30"/>
        </w:rPr>
      </w:pPr>
      <w:r>
        <w:rPr>
          <w:rFonts w:hint="eastAsia" w:ascii="宋体" w:hAnsi="宋体" w:eastAsia="宋体" w:cs="宋体"/>
          <w:b/>
          <w:color w:val="000000"/>
          <w:kern w:val="0"/>
          <w:sz w:val="30"/>
          <w:szCs w:val="30"/>
        </w:rPr>
        <w:t>14、微模块机房系统明细表</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..109</w:t>
      </w:r>
    </w:p>
    <w:p>
      <w:pPr>
        <w:spacing w:line="560" w:lineRule="exact"/>
        <w:rPr>
          <w:sz w:val="30"/>
          <w:szCs w:val="30"/>
        </w:rPr>
      </w:pPr>
      <w:r>
        <w:rPr>
          <w:rFonts w:hint="eastAsia" w:ascii="宋体" w:hAnsi="宋体" w:eastAsia="宋体" w:cs="宋体"/>
          <w:b/>
          <w:color w:val="000000"/>
          <w:kern w:val="0"/>
          <w:sz w:val="30"/>
          <w:szCs w:val="30"/>
        </w:rPr>
        <w:t>15、LED显示屏系统明细表</w:t>
      </w:r>
      <w:r>
        <w:rPr>
          <w:rFonts w:ascii="宋体" w:hAnsi="宋体" w:eastAsia="宋体" w:cs="宋体"/>
          <w:b/>
          <w:color w:val="000000"/>
          <w:kern w:val="0"/>
          <w:sz w:val="30"/>
          <w:szCs w:val="30"/>
        </w:rPr>
        <w:t>…………………………………………………………………</w:t>
      </w:r>
      <w:r>
        <w:rPr>
          <w:rFonts w:hint="eastAsia" w:ascii="宋体" w:hAnsi="宋体" w:eastAsia="宋体" w:cs="宋体"/>
          <w:b/>
          <w:color w:val="000000"/>
          <w:kern w:val="0"/>
          <w:sz w:val="30"/>
          <w:szCs w:val="30"/>
        </w:rPr>
        <w:t>.117</w:t>
      </w:r>
    </w:p>
    <w:p/>
    <w:tbl>
      <w:tblPr>
        <w:tblStyle w:val="15"/>
        <w:tblW w:w="14112" w:type="dxa"/>
        <w:tblInd w:w="0" w:type="dxa"/>
        <w:tblLayout w:type="autofit"/>
        <w:tblCellMar>
          <w:top w:w="0" w:type="dxa"/>
          <w:left w:w="0" w:type="dxa"/>
          <w:bottom w:w="0" w:type="dxa"/>
          <w:right w:w="0" w:type="dxa"/>
        </w:tblCellMar>
      </w:tblPr>
      <w:tblGrid>
        <w:gridCol w:w="555"/>
        <w:gridCol w:w="1392"/>
        <w:gridCol w:w="780"/>
        <w:gridCol w:w="915"/>
        <w:gridCol w:w="8445"/>
        <w:gridCol w:w="2025"/>
      </w:tblGrid>
      <w:tr>
        <w:tblPrEx>
          <w:tblCellMar>
            <w:top w:w="0" w:type="dxa"/>
            <w:left w:w="0" w:type="dxa"/>
            <w:bottom w:w="0" w:type="dxa"/>
            <w:right w:w="0" w:type="dxa"/>
          </w:tblCellMar>
        </w:tblPrEx>
        <w:trPr>
          <w:trHeight w:val="560" w:hRule="atLeast"/>
        </w:trPr>
        <w:tc>
          <w:tcPr>
            <w:tcW w:w="1411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32"/>
                <w:szCs w:val="32"/>
              </w:rPr>
              <w:t>内外网综合布线明细表</w:t>
            </w:r>
          </w:p>
        </w:tc>
      </w:tr>
      <w:tr>
        <w:tblPrEx>
          <w:tblCellMar>
            <w:top w:w="0" w:type="dxa"/>
            <w:left w:w="0" w:type="dxa"/>
            <w:bottom w:w="0" w:type="dxa"/>
            <w:right w:w="0" w:type="dxa"/>
          </w:tblCellMar>
        </w:tblPrEx>
        <w:trPr>
          <w:trHeight w:val="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序号</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设备名称</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单位</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数量</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技术参数</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推荐品牌（或同等档次及以上其他品牌）</w:t>
            </w:r>
          </w:p>
        </w:tc>
      </w:tr>
      <w:tr>
        <w:tblPrEx>
          <w:tblCellMar>
            <w:top w:w="0" w:type="dxa"/>
            <w:left w:w="0" w:type="dxa"/>
            <w:bottom w:w="0" w:type="dxa"/>
            <w:right w:w="0" w:type="dxa"/>
          </w:tblCellMar>
        </w:tblPrEx>
        <w:trPr>
          <w:trHeight w:val="63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工作区子系统</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宋体" w:cs="Times New Roman"/>
                <w:color w:val="000000"/>
                <w:sz w:val="24"/>
              </w:rPr>
            </w:pP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94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单口面板</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392</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1、产品规格：标准86型单口信息面板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2、匹配要求：兼容铜缆系列模块和光纤系列模块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3、阻燃级别：符合UL 94V－0阻燃要求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4、标签要求：面板带有透明标签盖板，自带可更换式标签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5、其他要求：自带推拉式透明防尘盖，布线原厂产品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6、安装要求 : 90度直插式设计</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027"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双口面板</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412</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1、产品规格：标准86型双口信息面板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2、匹配要求：兼容铜缆系列模块和光纤系列模块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3、阻燃级别：符合UL 94V－0阻燃要求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4、标签要求：面板带有透明标签盖板，自带可更换式标签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5、其他要求：自带推拉式透明防尘盖，布线原厂产品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6、安装要求 : 90度直插式设计</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9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六类非屏蔽模块</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1216</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2、匹配线规：22－24AWG，打线方式：T568A或T568B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3、卡接次数：RJ45端口接插次数≧750次，IDC端接次数≥200次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4、阻燃级别：满足TSB-155 10GbE要求，通过IEEE 802.3 at PoE电流容量要求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5、安装方式：应可使用快速端接工具，一次性完成8根芯线端接，提高施工效率和可靠性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6、性能要求：满足并超过标准对六类的要求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7、认证要求：产品要求通过第三方认证机构的ETL认证</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9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六类4对UTP非屏蔽跳线， 2米</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412</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2、原厂正品，连接头铜芯接触处镀金设计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3、导体类型：导体采用24AWG多股铜芯线设计的软跳线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4、传输性能：满足并超过标准对六类的要求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5、连接次数：≧750次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6、长度选择：应能提供1-100英尺的不同长度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7、阻燃等级：LSZH阻燃等级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8:插头护套：采用水晶护套，护套应能保护RJ45水晶头弹片</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612"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86型墙装光纤面板</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69</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1、产品规格：标准86型双口信息面板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2、匹配要求：兼容铜缆系列模块和光纤系列模块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3、阻燃级别：符合UL 94V－0阻燃要求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4、标签要求：面板带有透明标签盖板，自带可更换式标签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5、其他要求：自带推拉式透明防尘盖，布线原厂产品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6、安装要求 : 90度直插式设计</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61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工作区面板LC双工单模适配器</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69</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1、标准：满足TIA/EIA-568-B要求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2、接口类型：：桌面LC双工耦合器，支持常规单双口面板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3、规格：LC双工耦合器，支持单/模多光缆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4、阻燃：阻燃等级符合UL-94V－0的要求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5、符合RoHS环保要求</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52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 OS2 单工单模尾纤，1米</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138</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1、符合TIA/EIA-568-B标准；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2、外观：LC单工接头单芯尾纤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3、规格：原厂预制接口，支持单模光缆应用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4、标签管理：跳线标签应符合TIA-568-C.3国际规范要求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5、工作温度范围：-10～60℃</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4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水平子系统</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Times New Roman" w:hAnsi="Times New Roman" w:eastAsia="宋体" w:cs="Times New Roman"/>
                <w:color w:val="000000"/>
                <w:sz w:val="24"/>
              </w:rPr>
            </w:pP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六类4对非屏蔽双绞线，LSZH</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305米/箱</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240</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2、材料：符合ROHS指令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3、线对隔离：线对采用十字骨架隔离结构，使产品性能稳定，同时增加线缆柔软性，消除施工过程中的应力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4、传输性能：最大可支持频率达到250MHz，满足并超过标准对六类的要求，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5、性能认证：产品要求通过第三方认证机构的ETL认证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6、护套材料：高阻燃，低烟无卤（LSZH）外皮，满足IEC 60332-1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7、认证：信息产业部检测报告</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4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2芯单模皮线光缆</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4000</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1、类型：室外单模光缆，铠装结构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2、标准：满足TIA/EIA-568-B要求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3、光纤应采用单模光纤，符合G.652.D要求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4、光纤偏振模色散系数 PMD:≤ 0.10 ps/sqrt (km)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5、单芯光纤外应包覆紧套型保护护套，短期最大拉力最大667N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6、阻燃等级：OFNR阻燃级别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7、应能支持100G网络应用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8、最大纤芯衰耗：0.50dB@1310nm\1383nm\1550nm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9、工作温度范围：-20～70℃</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42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垂直子系统</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Times New Roman" w:hAnsi="Times New Roman" w:eastAsia="宋体" w:cs="Times New Roman"/>
                <w:color w:val="000000"/>
                <w:sz w:val="24"/>
              </w:rPr>
            </w:pP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951"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三类室外非屏蔽25对双绞线</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305米/卷</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1、标准：符合TIA/EIA 568-A Cat.3，ISO/IEC 11801 Class C要求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2、线对数量：25/50/100对均可提供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3、导体规格：26AWG实芯铜导体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4、护套材料：采用高阻燃材料，阻燃等级：PE</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5、温度范围：安装温度0℃～60℃，工作温度-10℃～60℃。</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64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12芯单模轻铠室外光缆</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5600</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1、类型：室外单模光缆，铠装结构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2、标准：满足TIA/EIA-568-B要求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3、光纤应采用单模光纤，符合G.652.D要求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4、光纤偏振模色散系数 PMD:≤ 0.10 ps/sqrt (km)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5、单芯光纤外应包覆紧套型保护护套，短期最大拉力最大667N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6、阻燃等级：OFNR阻燃级别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7、应能支持100G网络应用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8、最大纤芯衰耗：0.50dB@1310nm\1383nm\1550nm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9、工作温度范围：-20～70℃</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管理区子系统</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Times New Roman" w:hAnsi="Times New Roman" w:eastAsia="宋体" w:cs="Times New Roman"/>
                <w:color w:val="000000"/>
                <w:sz w:val="24"/>
              </w:rPr>
            </w:pP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9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24口LC单模光纤配线架含适配器</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光纤配线架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1、标准适配板式光纤配线架，1U，空配架，抽屉式设计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2、光纤配架可以安装3块适配板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3、光配架最大支持0-72芯光缆接入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4、阻水式线缆入线管, 支持线缆直径范围从6.3mm 到12.7mm, 支持室外光缆端接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24芯光纤面板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1、标准：满足TIA/EIA-568-B要求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2、接口类型：：带12个LC双工耦合器接口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3、规格：LC万兆耦合器，单/多模通用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4、阻燃：阻燃等级符合UL-94V－0的要求</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79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六类24口非屏蔽配线架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1、产品结构：模块化设计技术，应可提供1U/2U两种规格，满配24/48口可拆卸式模块组；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2、安装方式：标准19英寸机柜机架安装；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3、管理方式：提供符合T568A和T568B两种端接标准的可互换色标标签；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4、性能要求：所选配线架应满足并超过标准对六类的要求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5、认证要求：产品要求通过第三方认证机构的ETL认证</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179"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100对110语音配线架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1、标准：符合TIA/EIA 568-C.2 Cat5E标准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2、支持导体范围：22-26AWG，可提供4对、5对接线模块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3、可拆卸式透明标签盖板，自带标签保持器和可更换标签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4、110接线块端接次数：不少于200次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5、安装方式：19英寸机柜内安装，配备原厂背板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6、端接方式：通过110型4、5对接线模块进行线缆端接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7、端接色谱：110配线架基座自带线缆端接色谱，便于指导安装</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6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1U 带盖板金属理线器</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109</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1、规格：标准1U高度，支持标准机柜安装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2、外观：黑色，带前置盖板，方便跳线管理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3、结构：封闭式线缆理线器，使配线机柜更整齐美观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4、材料：金属或非金属材料，金属材料时表面涂覆防止氧化的涂层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5:材料：符合ROHS指令。</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4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六类4对UTP非屏蔽跳线， 2米</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824</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2、原厂正品，连接头铜芯接触处镀金设计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3、导体类型：导体采用24AWG多股铜芯线设计的软跳线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4、传输性能：满足并超过标准对六类的要求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5、连接次数：≧750次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6、长度选择：应能提供1-100英尺的不同长度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7、阻燃等级：LSZH阻燃等级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8:插头护套：采用水晶护套，护套应能保护RJ45水晶头弹片</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5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RJ45到110，1对CM，2米</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392</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1、性能：满足TIA/EIA-568-B三类性能要求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2、接口类型：单对RJ45-110跳线，原厂制造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3、导体类型：采用多股软线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4、插拔次数: 大于 200 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5、应用方式：RJ45配线架到主干110语音配线架之间的连接  </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56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 OS2 单工单模尾纤，1米</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752</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1、符合TIA/EIA-568-B标准；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2、外观：LC单工接头单芯尾纤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3、规格：原厂预制接口，支持单模光缆应用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4、标签管理：跳线标签应符合TIA-568-C.3国际规范要求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5、工作温度范围：-10～60℃</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312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LC-LC OS2 双工单模光纤跳线，3米</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112</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规格：9/125µm 连接到光纤配线架及交换设备的光纤跳线应支持万兆以太网，以及应用在骨干网的室外光纤交接箱内的互连，采用单模OS2光纤，采用LC-LC接口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标准:ISO/IEC11801  EN50173-1  ANSI TIA/EIA 568B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线缆属性：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抗压力:（牛）            操作温度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1500                     -10℃到 +70℃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抗冲击（NM）             储存温度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-25℃到+80℃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转矩（旋转/米）          安装温度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0℃到70℃</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52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42U网络机柜 2米</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1、名称：42U机柜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2、规格：600*800*2000mm，前后网孔门，2个8口PDU，2块托盘，自带风扇；前门网孔通风率不低于75%，后门网孔通风率不低于72%；机柜承重不低于1000KG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3、安装方式：落地安装</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31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设备间子系统</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Times New Roman" w:hAnsi="Times New Roman" w:eastAsia="宋体" w:cs="Times New Roman"/>
                <w:color w:val="000000"/>
                <w:sz w:val="24"/>
              </w:rPr>
            </w:pP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1"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24口LC单模光纤配线架含适配器</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光纤配线架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1、标准适配板式光纤配线架，1U，空配架，抽屉式设计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2、光纤配架可以安装3块适配板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3、光配架最大支持0-72芯光缆接入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4、阻水式线缆入线管, 支持线缆直径范围从6.3mm 到12.7mm, 支持室外光缆端接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24芯光纤面板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1、标准：满足TIA/EIA-568-B要求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2、接口类型：：带12个LC双工耦合器接口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3、规格：LC万兆耦合器，单/多模通用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4、阻燃：阻燃等级符合UL-94V－0的要求</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80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100对110语音配线架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1、标准：符合TIA/EIA 568-C.2 Cat5E标准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2、支持导体范围：22-26AWG，可提供4对、5对接线模块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3、可拆卸式透明标签盖板，自带标签保持器和可更换标签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4、110接线块端接次数：不少于200次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5、安装方式：19英寸机柜内安装，配备原厂背板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6、端接方式：通过110型4、5对接线模块进行线缆端接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7、端接色谱：110配线架基座自带线缆端接色谱，便于指导安装</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29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1U 带盖板金属理线器</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1、规格：标准1U高度，支持标准机柜安装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2、外观：黑色，带前置盖板，方便跳线管理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3、结构：封闭式线缆理线器，使配线机柜更整齐美观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4、材料：金属或非金属材料，金属材料时表面涂覆防止氧化的涂层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5:材料：符合ROHS指令。</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52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 OS2 单工单模尾纤，1米</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752</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1、符合TIA/EIA-568-B标准；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2、外观：LC单工接头单芯尾纤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3、规格：原厂预制接口，支持单模光缆应用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4、标签管理：跳线标签应符合TIA-568-C.3国际规范要求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5、工作温度范围：-10～60℃</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302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LC-LC OS2 双工单模光纤跳线，3米</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112</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规格：9/125µm 连接到光纤配线架及交换设备的光纤跳线应支持万兆以太网，以及应用在骨干网的室外光纤交接箱内的互连，采用单模OS2光纤，采用LC-LC接口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标准:ISO/IEC11801  EN50173-1  ANSI TIA/EIA 568B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线缆属性：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抗压力:（牛）            操作温度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1500                     -10℃到 +70℃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抗冲击（NM）             储存温度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-25℃到+80℃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转矩（旋转/米）          安装温度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0℃到70℃</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4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42U网络机柜 2米</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1、名称：42U机柜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2、规格：600*800*2000mm，前后网孔门，2个8口PDU，2块托盘，自带风扇；前门网孔通风率不低于75%，后门网孔通风率不低于72%；机柜承重不低于1000KG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3、安装方式：落地安装</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配管子系统</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桥架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160</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桥架200*100，钢板厚1.2mm，含桥架安装配件 </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KBG20管</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9000</w:t>
            </w:r>
          </w:p>
        </w:tc>
        <w:tc>
          <w:tcPr>
            <w:tcW w:w="84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Φ20KBG管，含KBG成品构件、直节、锁母、套接件等</w:t>
            </w:r>
          </w:p>
        </w:tc>
        <w:tc>
          <w:tcPr>
            <w:tcW w:w="2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bl>
    <w:p/>
    <w:p/>
    <w:p/>
    <w:p/>
    <w:p/>
    <w:p/>
    <w:p/>
    <w:p/>
    <w:p/>
    <w:tbl>
      <w:tblPr>
        <w:tblStyle w:val="15"/>
        <w:tblW w:w="14112" w:type="dxa"/>
        <w:tblInd w:w="0" w:type="dxa"/>
        <w:tblLayout w:type="fixed"/>
        <w:tblCellMar>
          <w:top w:w="0" w:type="dxa"/>
          <w:left w:w="0" w:type="dxa"/>
          <w:bottom w:w="0" w:type="dxa"/>
          <w:right w:w="0" w:type="dxa"/>
        </w:tblCellMar>
      </w:tblPr>
      <w:tblGrid>
        <w:gridCol w:w="634"/>
        <w:gridCol w:w="1376"/>
        <w:gridCol w:w="693"/>
        <w:gridCol w:w="910"/>
        <w:gridCol w:w="971"/>
        <w:gridCol w:w="7730"/>
        <w:gridCol w:w="1798"/>
      </w:tblGrid>
      <w:tr>
        <w:tblPrEx>
          <w:tblCellMar>
            <w:top w:w="0" w:type="dxa"/>
            <w:left w:w="0" w:type="dxa"/>
            <w:bottom w:w="0" w:type="dxa"/>
            <w:right w:w="0" w:type="dxa"/>
          </w:tblCellMar>
        </w:tblPrEx>
        <w:trPr>
          <w:trHeight w:val="480" w:hRule="atLeast"/>
        </w:trPr>
        <w:tc>
          <w:tcPr>
            <w:tcW w:w="14112"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32"/>
                <w:szCs w:val="32"/>
              </w:rPr>
              <w:t>办公无线网综合布线明细表</w:t>
            </w:r>
          </w:p>
        </w:tc>
      </w:tr>
      <w:tr>
        <w:tblPrEx>
          <w:tblCellMar>
            <w:top w:w="0" w:type="dxa"/>
            <w:left w:w="0" w:type="dxa"/>
            <w:bottom w:w="0" w:type="dxa"/>
            <w:right w:w="0" w:type="dxa"/>
          </w:tblCellMar>
        </w:tblPrEx>
        <w:trPr>
          <w:trHeight w:val="758" w:hRule="atLeast"/>
        </w:trPr>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序号</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设备名称</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单位</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数量</w:t>
            </w:r>
          </w:p>
        </w:tc>
        <w:tc>
          <w:tcPr>
            <w:tcW w:w="8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技术参数</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推荐品牌（或同等档次及以上其他品牌）</w:t>
            </w:r>
          </w:p>
        </w:tc>
      </w:tr>
      <w:tr>
        <w:tblPrEx>
          <w:tblCellMar>
            <w:top w:w="0" w:type="dxa"/>
            <w:left w:w="0" w:type="dxa"/>
            <w:bottom w:w="0" w:type="dxa"/>
            <w:right w:w="0" w:type="dxa"/>
          </w:tblCellMar>
        </w:tblPrEx>
        <w:trPr>
          <w:trHeight w:val="480"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工作区子系统</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000000"/>
                <w:sz w:val="24"/>
              </w:rPr>
            </w:pPr>
          </w:p>
        </w:tc>
        <w:tc>
          <w:tcPr>
            <w:tcW w:w="1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1700"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单口面板</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439</w:t>
            </w:r>
          </w:p>
        </w:tc>
        <w:tc>
          <w:tcPr>
            <w:tcW w:w="8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1、产品规格：标准86型单口信息面板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2、匹配要求：兼容铜缆系列模块和光纤系列模块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3、阻燃级别：符合UL 94V－0阻燃要求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4、标签要求：面板带有透明标签盖板，自带可更换式标签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5、其他要求：自带推拉式透明防尘盖，布线原厂产品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6、安装要求 : 90度直插式设计</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90"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六类非屏蔽模块</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439</w:t>
            </w:r>
          </w:p>
        </w:tc>
        <w:tc>
          <w:tcPr>
            <w:tcW w:w="8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2、匹配线规：22－24AWG，打线方式：T568A或T568B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3、卡接次数：RJ45端口接插次数≧750次，IDC端接次数≥200次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4、阻燃级别：满足TSB-155 10GbE要求，通过IEEE 802.3 at PoE电流容量要求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5、安装方式：应可使用快速端接工具，一次性完成8根芯线端接，提高施工效率和可靠性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6、性能要求：满足并超过标准对六类的要求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7、认证要求：产品要求通过第三方认证机构的ETL认证</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515"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水平子系统</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000000"/>
                <w:sz w:val="24"/>
              </w:rPr>
            </w:pPr>
          </w:p>
        </w:tc>
        <w:tc>
          <w:tcPr>
            <w:tcW w:w="1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2581"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六类4对非屏蔽双绞线，LSZH</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305米/箱</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144</w:t>
            </w:r>
          </w:p>
        </w:tc>
        <w:tc>
          <w:tcPr>
            <w:tcW w:w="8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2、材料：符合ROHS指令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3、线对隔离：线对采用十字骨架隔离结构，使产品性能稳定，同时增加线缆柔软性，消除施工过程中的应力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4、传输性能：最大可支持频率达到250MHz，满足并超过标准对六类的要求，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5、性能认证：产品要求通过第三方认证机构的ETL认证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6、护套材料：高阻燃，低烟无卤（LSZH）外皮，满足IEC 60332-1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7、认证：信息产业部检测报告</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480"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管理区子系统</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000000"/>
                <w:sz w:val="24"/>
              </w:rPr>
            </w:pPr>
          </w:p>
        </w:tc>
        <w:tc>
          <w:tcPr>
            <w:tcW w:w="1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1765"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六类24口非屏蔽配线架</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8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1、产品结构：模块化设计技术，应可提供1U/2U两种规格，满配24/48口可拆卸式模块组；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2、安装方式：标准19英寸机柜机架安装；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3、管理方式：提供符合T568A和T568B两种端接标准的可互换色标标签；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4、性能要求：所选配线架应满足并超过标准对六类的要求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5、认证要求：产品要求通过第三方认证机构的ETL认证</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90"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1U 带盖板金属理线器</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8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1、规格：标准1U高度，支持标准机柜安装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2、外观：黑色，带前置盖板，方便跳线管理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3、结构：封闭式线缆理线器，使配线机柜更整齐美观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4、材料：金属或非金属材料，金属材料时表面涂覆防止氧化的涂层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5:材料：符合ROHS指令。</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538"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六类4对UTP非屏蔽跳线， 2米</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439</w:t>
            </w:r>
          </w:p>
        </w:tc>
        <w:tc>
          <w:tcPr>
            <w:tcW w:w="8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2、原厂正品，连接头铜芯接触处镀金设计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3、导体类型：导体采用24AWG多股铜芯线设计的软跳线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4、传输性能：满足并超过标准对六类的要求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5、连接次数：≧750次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6、长度选择：应能提供1-100英尺的不同长度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7、阻燃等级：LSZH阻燃等级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8:插头护套：采用水晶护套，护套应能保护RJ45水晶头弹片</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68"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LC-LC OS2 双工单模光纤跳线，3米</w:t>
            </w:r>
          </w:p>
        </w:tc>
        <w:tc>
          <w:tcPr>
            <w:tcW w:w="6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8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规格：9/125µm 连接到光纤配线架及交换设备的光纤跳线应支持万兆以太网，以及应用在骨干网的室外光纤交接箱内的互连，采用单模OS2光纤，采用LC-LC接口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标准:ISO/IEC11801  EN50173-1  ANSI TIA/EIA 568B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线缆属性：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抗压力:（牛）            操作温度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1500                     -10℃到 +70℃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抗冲击（NM）             储存温度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-25℃到+80℃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转矩（旋转/米）          安装温度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0℃到70℃</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420" w:hRule="atLeast"/>
        </w:trPr>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配管系统</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507" w:hRule="atLeast"/>
        </w:trPr>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KBG20管</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4400</w:t>
            </w:r>
          </w:p>
        </w:tc>
        <w:tc>
          <w:tcPr>
            <w:tcW w:w="8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Φ20KBG管，含KBG成品构件、直节、锁母、套接件等</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400" w:hRule="atLeast"/>
        </w:trPr>
        <w:tc>
          <w:tcPr>
            <w:tcW w:w="14112"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32"/>
                <w:szCs w:val="32"/>
              </w:rPr>
            </w:pPr>
          </w:p>
          <w:p>
            <w:pPr>
              <w:widowControl/>
              <w:jc w:val="center"/>
              <w:textAlignment w:val="center"/>
              <w:rPr>
                <w:rFonts w:hint="eastAsia" w:ascii="宋体" w:hAnsi="宋体" w:eastAsia="宋体" w:cs="宋体"/>
                <w:b/>
                <w:color w:val="000000"/>
                <w:kern w:val="0"/>
                <w:sz w:val="32"/>
                <w:szCs w:val="32"/>
              </w:rPr>
            </w:pPr>
          </w:p>
          <w:p>
            <w:pPr>
              <w:widowControl/>
              <w:jc w:val="center"/>
              <w:textAlignment w:val="center"/>
              <w:rPr>
                <w:rFonts w:hint="eastAsia" w:ascii="宋体" w:hAnsi="宋体" w:eastAsia="宋体" w:cs="宋体"/>
                <w:b/>
                <w:color w:val="000000"/>
                <w:kern w:val="0"/>
                <w:sz w:val="32"/>
                <w:szCs w:val="32"/>
              </w:rPr>
            </w:pPr>
          </w:p>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32"/>
                <w:szCs w:val="32"/>
              </w:rPr>
              <w:t>安防综合布线明细表</w:t>
            </w:r>
          </w:p>
        </w:tc>
      </w:tr>
      <w:tr>
        <w:tblPrEx>
          <w:tblCellMar>
            <w:top w:w="0" w:type="dxa"/>
            <w:left w:w="0" w:type="dxa"/>
            <w:bottom w:w="0" w:type="dxa"/>
            <w:right w:w="0" w:type="dxa"/>
          </w:tblCellMar>
        </w:tblPrEx>
        <w:trPr>
          <w:trHeight w:val="400" w:hRule="atLeast"/>
        </w:trPr>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2E75B5"/>
                <w:sz w:val="20"/>
                <w:szCs w:val="20"/>
              </w:rPr>
            </w:pPr>
            <w:r>
              <w:rPr>
                <w:rFonts w:hint="eastAsia" w:ascii="宋体" w:hAnsi="宋体" w:eastAsia="宋体" w:cs="宋体"/>
                <w:b/>
                <w:color w:val="2E75B5"/>
                <w:kern w:val="0"/>
                <w:sz w:val="20"/>
                <w:szCs w:val="20"/>
              </w:rPr>
              <w:t>序号</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2E75B5"/>
                <w:sz w:val="20"/>
                <w:szCs w:val="20"/>
              </w:rPr>
            </w:pPr>
            <w:r>
              <w:rPr>
                <w:rFonts w:hint="eastAsia" w:ascii="宋体" w:hAnsi="宋体" w:eastAsia="宋体" w:cs="宋体"/>
                <w:b/>
                <w:color w:val="2E75B5"/>
                <w:kern w:val="0"/>
                <w:sz w:val="20"/>
                <w:szCs w:val="20"/>
              </w:rPr>
              <w:t>设备名称</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2E75B5"/>
                <w:sz w:val="20"/>
                <w:szCs w:val="20"/>
              </w:rPr>
            </w:pPr>
            <w:r>
              <w:rPr>
                <w:rFonts w:hint="eastAsia" w:ascii="宋体" w:hAnsi="宋体" w:eastAsia="宋体" w:cs="宋体"/>
                <w:b/>
                <w:color w:val="2E75B5"/>
                <w:kern w:val="0"/>
                <w:sz w:val="20"/>
                <w:szCs w:val="20"/>
              </w:rPr>
              <w:t>单位</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2E75B5"/>
                <w:sz w:val="20"/>
                <w:szCs w:val="20"/>
              </w:rPr>
            </w:pPr>
            <w:r>
              <w:rPr>
                <w:rFonts w:hint="eastAsia" w:ascii="宋体" w:hAnsi="宋体" w:eastAsia="宋体" w:cs="宋体"/>
                <w:b/>
                <w:color w:val="2E75B5"/>
                <w:sz w:val="20"/>
                <w:szCs w:val="20"/>
              </w:rPr>
              <w:t>数量</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2E75B5"/>
                <w:kern w:val="0"/>
                <w:sz w:val="20"/>
                <w:szCs w:val="20"/>
              </w:rPr>
            </w:pPr>
            <w:r>
              <w:rPr>
                <w:rFonts w:hint="eastAsia" w:ascii="宋体" w:hAnsi="宋体" w:eastAsia="宋体" w:cs="宋体"/>
                <w:b/>
                <w:color w:val="2E75B5"/>
                <w:kern w:val="0"/>
                <w:sz w:val="20"/>
                <w:szCs w:val="20"/>
              </w:rPr>
              <w:t>技术参数</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2E75B5"/>
                <w:sz w:val="20"/>
                <w:szCs w:val="20"/>
              </w:rPr>
            </w:pPr>
            <w:r>
              <w:rPr>
                <w:rFonts w:hint="eastAsia" w:ascii="宋体" w:hAnsi="宋体" w:eastAsia="宋体" w:cs="宋体"/>
                <w:b/>
                <w:color w:val="2E75B5"/>
                <w:kern w:val="0"/>
                <w:sz w:val="20"/>
                <w:szCs w:val="20"/>
              </w:rPr>
              <w:t>推荐品牌（或同等档次及以上其他品牌）</w:t>
            </w:r>
          </w:p>
        </w:tc>
      </w:tr>
      <w:tr>
        <w:tblPrEx>
          <w:tblCellMar>
            <w:top w:w="0" w:type="dxa"/>
            <w:left w:w="0" w:type="dxa"/>
            <w:bottom w:w="0" w:type="dxa"/>
            <w:right w:w="0" w:type="dxa"/>
          </w:tblCellMar>
        </w:tblPrEx>
        <w:trPr>
          <w:trHeight w:val="315"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2E75B5"/>
                <w:sz w:val="20"/>
                <w:szCs w:val="20"/>
              </w:rPr>
            </w:pP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2E75B5"/>
                <w:sz w:val="20"/>
                <w:szCs w:val="20"/>
              </w:rPr>
            </w:pPr>
            <w:r>
              <w:rPr>
                <w:rFonts w:hint="eastAsia" w:ascii="宋体" w:hAnsi="宋体" w:eastAsia="宋体" w:cs="宋体"/>
                <w:b/>
                <w:color w:val="2E75B5"/>
                <w:kern w:val="0"/>
                <w:sz w:val="20"/>
                <w:szCs w:val="20"/>
              </w:rPr>
              <w:t>水平子系统</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2E75B5"/>
                <w:sz w:val="20"/>
                <w:szCs w:val="20"/>
              </w:rPr>
            </w:pPr>
          </w:p>
        </w:tc>
        <w:tc>
          <w:tcPr>
            <w:tcW w:w="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Times New Roman" w:hAnsi="Times New Roman" w:eastAsia="宋体" w:cs="Times New Roman"/>
                <w:color w:val="2E75B5"/>
                <w:sz w:val="24"/>
              </w:rPr>
            </w:pPr>
          </w:p>
        </w:tc>
        <w:tc>
          <w:tcPr>
            <w:tcW w:w="7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Times New Roman" w:hAnsi="Times New Roman" w:eastAsia="宋体" w:cs="Times New Roman"/>
                <w:color w:val="2E75B5"/>
                <w:sz w:val="24"/>
              </w:rPr>
            </w:pPr>
          </w:p>
        </w:tc>
        <w:tc>
          <w:tcPr>
            <w:tcW w:w="1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Times New Roman" w:hAnsi="Times New Roman" w:eastAsia="宋体" w:cs="Times New Roman"/>
                <w:color w:val="2E75B5"/>
                <w:sz w:val="24"/>
              </w:rPr>
            </w:pPr>
          </w:p>
        </w:tc>
      </w:tr>
      <w:tr>
        <w:tblPrEx>
          <w:tblCellMar>
            <w:top w:w="0" w:type="dxa"/>
            <w:left w:w="0" w:type="dxa"/>
            <w:bottom w:w="0" w:type="dxa"/>
            <w:right w:w="0" w:type="dxa"/>
          </w:tblCellMar>
        </w:tblPrEx>
        <w:trPr>
          <w:trHeight w:val="2566"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1</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六类4对非屏蔽双绞线，LSZH</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305米/箱</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45</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1、电气性能：满足TIA/EIA-568-C.2性能要求；</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2、材料：符合ROHS指令</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3、线对隔离：线对采用十字骨架隔离结构，使产品性能稳定，同时增加线缆柔软性，消除施工过程中的应力</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4、传输性能：最大可支持频率达到250MHz，满足并超过标准对六类的要求，</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5、性能认证：产品要求通过第三方认证机构的ETL认证</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6、护套材料：高阻燃，低烟无卤（LSZH）外皮，满足IEC 60332-1</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7、认证：信息产业部检测报告</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104"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2</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电源线</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200米/卷</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62</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RVVP2*1mm</w:t>
            </w:r>
          </w:p>
        </w:tc>
        <w:tc>
          <w:tcPr>
            <w:tcW w:w="1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Times New Roman" w:hAnsi="Times New Roman" w:eastAsia="宋体" w:cs="Times New Roman"/>
                <w:color w:val="2E75B5"/>
                <w:sz w:val="24"/>
              </w:rPr>
            </w:pPr>
          </w:p>
        </w:tc>
      </w:tr>
      <w:tr>
        <w:tblPrEx>
          <w:tblCellMar>
            <w:top w:w="0" w:type="dxa"/>
            <w:left w:w="0" w:type="dxa"/>
            <w:bottom w:w="0" w:type="dxa"/>
            <w:right w:w="0" w:type="dxa"/>
          </w:tblCellMar>
        </w:tblPrEx>
        <w:trPr>
          <w:trHeight w:val="315"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2E75B5"/>
                <w:sz w:val="20"/>
                <w:szCs w:val="20"/>
              </w:rPr>
            </w:pP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2E75B5"/>
                <w:sz w:val="20"/>
                <w:szCs w:val="20"/>
              </w:rPr>
            </w:pPr>
            <w:r>
              <w:rPr>
                <w:rFonts w:hint="eastAsia" w:ascii="宋体" w:hAnsi="宋体" w:eastAsia="宋体" w:cs="宋体"/>
                <w:b/>
                <w:color w:val="2E75B5"/>
                <w:kern w:val="0"/>
                <w:sz w:val="20"/>
                <w:szCs w:val="20"/>
              </w:rPr>
              <w:t>垂直子系统</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2E75B5"/>
                <w:sz w:val="20"/>
                <w:szCs w:val="20"/>
              </w:rPr>
            </w:pPr>
          </w:p>
        </w:tc>
        <w:tc>
          <w:tcPr>
            <w:tcW w:w="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Times New Roman" w:hAnsi="Times New Roman" w:eastAsia="宋体" w:cs="Times New Roman"/>
                <w:color w:val="2E75B5"/>
                <w:sz w:val="24"/>
              </w:rPr>
            </w:pPr>
          </w:p>
        </w:tc>
        <w:tc>
          <w:tcPr>
            <w:tcW w:w="7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Times New Roman" w:hAnsi="Times New Roman" w:eastAsia="宋体" w:cs="Times New Roman"/>
                <w:color w:val="2E75B5"/>
                <w:sz w:val="24"/>
              </w:rPr>
            </w:pPr>
          </w:p>
        </w:tc>
        <w:tc>
          <w:tcPr>
            <w:tcW w:w="1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Times New Roman" w:hAnsi="Times New Roman" w:eastAsia="宋体" w:cs="Times New Roman"/>
                <w:color w:val="2E75B5"/>
                <w:sz w:val="24"/>
              </w:rPr>
            </w:pPr>
          </w:p>
        </w:tc>
      </w:tr>
      <w:tr>
        <w:tblPrEx>
          <w:tblCellMar>
            <w:top w:w="0" w:type="dxa"/>
            <w:left w:w="0" w:type="dxa"/>
            <w:bottom w:w="0" w:type="dxa"/>
            <w:right w:w="0" w:type="dxa"/>
          </w:tblCellMar>
        </w:tblPrEx>
        <w:trPr>
          <w:trHeight w:val="619"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1</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12芯单模轻铠室外光缆</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米</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3000</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1、类型：室外单模光缆，铠装结构</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 xml:space="preserve">2、标准：满足TIA/EIA-568-B要求 </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3、光纤应采用单模光纤，符合G.652.D要求</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4、光纤偏振模色散系数 PMD:≤ 0.10 ps/sqrt (km)</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5、单芯光纤外应包覆紧套型保护护套，短期最大拉力最大667N</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6、阻燃等级：OFNR阻燃级别</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 xml:space="preserve">7、应能支持100G网络应用 </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8、最大纤芯衰耗：0.50dB@1310nm\1383nm\1550nm</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9、工作温度范围：-20～70℃</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480"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2E75B5"/>
                <w:sz w:val="20"/>
                <w:szCs w:val="20"/>
              </w:rPr>
            </w:pPr>
          </w:p>
        </w:tc>
        <w:tc>
          <w:tcPr>
            <w:tcW w:w="20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2E75B5"/>
                <w:sz w:val="20"/>
                <w:szCs w:val="20"/>
              </w:rPr>
            </w:pPr>
            <w:r>
              <w:rPr>
                <w:rFonts w:hint="eastAsia" w:ascii="宋体" w:hAnsi="宋体" w:eastAsia="宋体" w:cs="宋体"/>
                <w:b/>
                <w:color w:val="2E75B5"/>
                <w:kern w:val="0"/>
                <w:sz w:val="20"/>
                <w:szCs w:val="20"/>
              </w:rPr>
              <w:t>管理区子系统</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2E75B5"/>
                <w:sz w:val="20"/>
                <w:szCs w:val="20"/>
              </w:rPr>
            </w:pPr>
          </w:p>
        </w:tc>
        <w:tc>
          <w:tcPr>
            <w:tcW w:w="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Times New Roman" w:hAnsi="Times New Roman" w:eastAsia="宋体" w:cs="Times New Roman"/>
                <w:color w:val="2E75B5"/>
                <w:sz w:val="24"/>
              </w:rPr>
            </w:pPr>
          </w:p>
        </w:tc>
        <w:tc>
          <w:tcPr>
            <w:tcW w:w="7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Times New Roman" w:hAnsi="Times New Roman" w:eastAsia="宋体" w:cs="Times New Roman"/>
                <w:color w:val="2E75B5"/>
                <w:sz w:val="24"/>
              </w:rPr>
            </w:pPr>
          </w:p>
        </w:tc>
        <w:tc>
          <w:tcPr>
            <w:tcW w:w="1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Times New Roman" w:hAnsi="Times New Roman" w:eastAsia="宋体" w:cs="Times New Roman"/>
                <w:color w:val="2E75B5"/>
                <w:sz w:val="24"/>
              </w:rPr>
            </w:pPr>
          </w:p>
        </w:tc>
      </w:tr>
      <w:tr>
        <w:tblPrEx>
          <w:tblCellMar>
            <w:top w:w="0" w:type="dxa"/>
            <w:left w:w="0" w:type="dxa"/>
            <w:bottom w:w="0" w:type="dxa"/>
            <w:right w:w="0" w:type="dxa"/>
          </w:tblCellMar>
        </w:tblPrEx>
        <w:trPr>
          <w:trHeight w:val="3246"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1</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24口LC单模光纤配线架含适配器</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个</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15</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光纤配线架</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1、标准适配板式光纤配线架，1U，空配架，抽屉式设计</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2、光纤配架可以安装3块适配板</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3、光配架最大支持0-72芯光缆接入</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 xml:space="preserve">4、阻水式线缆入线管, 支持线缆直径范围从6.3mm 到12.7mm, 支持室外光缆端接 </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24芯光纤面板</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1、标准：满足TIA/EIA-568-B要求</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2、接口类型：：带12个LC双工耦合器接口</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3、规格：LC万兆耦合器，单/多模通用</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4、阻燃：阻燃等级符合UL-94V－0的要求</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1730"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2</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六类24口非屏蔽配线架</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个</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19</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1、产品结构：模块化设计技术，应可提供1U/2U两种规格，满配24/48口可拆卸式模块组；</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2、安装方式：标准19英寸机柜机架安装；</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3、管理方式：提供符合T568A和T568B两种端接标准的可互换色标标签；</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 xml:space="preserve">4、性能要求：所选配线架应满足并超过标准对六类的要求 </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5、认证要求：产品要求通过第三方认证机构的ETL认证</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345"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3</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1U 带盖板金属理线器</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个</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34</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1、规格：标准1U高度，支持标准机柜安装</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2、外观：黑色，带前置盖板，方便跳线管理</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3、结构：封闭式线缆理线器，使配线机柜更整齐美观</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4、材料：金属或非金属材料，金属材料时表面涂覆防止氧化的涂层</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5:材料：符合ROHS指令。</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2533"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4</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六类4对UTP非屏蔽跳线， 2米</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根</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229</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1、电气性能：满足TIA/EIA-568-C.2性能要求；</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2、原厂正品，连接头铜芯接触处镀金设计</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3、导体类型：导体采用24AWG多股铜芯线设计的软跳线</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4、传输性能：满足并超过标准对六类的要求</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5、连接次数：≧750次</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6、长度选择：应能提供1-100英尺的不同长度</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7、阻燃等级：LSZH阻燃等级</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8:插头护套：采用水晶护套，护套应能保护RJ45水晶头弹片</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1687"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5</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LC OS2 单工单模尾纤，1米</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根</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360</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1、符合TIA/EIA-568-B标准；</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2、外观：LC单工接头单芯尾纤</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3、规格：原厂预制接口，支持单模光缆应用</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4、标签管理：跳线标签应符合TIA-568-C.3国际规范要求</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5、工作温度范围：-10～60℃</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425"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6</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LC-LC OS2 双工单模光纤跳线，3米</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根</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27</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规格：9/125µm 连接到光纤配线架及交换设备的光纤跳线应支持万兆以太网，以及应用在骨干网的室外光纤交接箱内的互连，采用单模OS2光纤，采用LC-LC接口</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标准:ISO/IEC11801  EN50173-1  ANSI TIA/EIA 568B</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 xml:space="preserve">线缆属性：                  </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抗压力:（牛）            操作温度</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1500                     -10℃到 +70℃</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抗冲击（NM）             储存温度</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5                        -25℃到+80℃</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转矩（旋转/米）          安装温度</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5                        0℃到70℃</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565"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7</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42U网络机柜 2米</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台</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15</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1、名称：42U机柜</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2、规格：600*800*2000mm，前后网孔门，2个8口PDU，2块托盘，自带风扇；前门网孔通风率不低于75%，后门网孔通风率不低于72%；机柜承重不低于1000KG</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3、安装方式：落地安装</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315"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2E75B5"/>
                <w:sz w:val="20"/>
                <w:szCs w:val="20"/>
              </w:rPr>
            </w:pPr>
          </w:p>
        </w:tc>
        <w:tc>
          <w:tcPr>
            <w:tcW w:w="20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2E75B5"/>
                <w:sz w:val="20"/>
                <w:szCs w:val="20"/>
              </w:rPr>
            </w:pPr>
            <w:r>
              <w:rPr>
                <w:rFonts w:hint="eastAsia" w:ascii="宋体" w:hAnsi="宋体" w:eastAsia="宋体" w:cs="宋体"/>
                <w:b/>
                <w:color w:val="2E75B5"/>
                <w:kern w:val="0"/>
                <w:sz w:val="20"/>
                <w:szCs w:val="20"/>
              </w:rPr>
              <w:t>设备间子系统</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2E75B5"/>
                <w:sz w:val="20"/>
                <w:szCs w:val="20"/>
              </w:rPr>
            </w:pPr>
          </w:p>
        </w:tc>
        <w:tc>
          <w:tcPr>
            <w:tcW w:w="9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Times New Roman" w:hAnsi="Times New Roman" w:eastAsia="宋体" w:cs="Times New Roman"/>
                <w:color w:val="2E75B5"/>
                <w:sz w:val="24"/>
              </w:rPr>
            </w:pPr>
          </w:p>
        </w:tc>
        <w:tc>
          <w:tcPr>
            <w:tcW w:w="7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Times New Roman" w:hAnsi="Times New Roman" w:eastAsia="宋体" w:cs="Times New Roman"/>
                <w:color w:val="2E75B5"/>
                <w:sz w:val="24"/>
              </w:rPr>
            </w:pPr>
          </w:p>
        </w:tc>
        <w:tc>
          <w:tcPr>
            <w:tcW w:w="1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Times New Roman" w:hAnsi="Times New Roman" w:eastAsia="宋体" w:cs="Times New Roman"/>
                <w:color w:val="2E75B5"/>
                <w:sz w:val="24"/>
              </w:rPr>
            </w:pPr>
          </w:p>
        </w:tc>
      </w:tr>
      <w:tr>
        <w:tblPrEx>
          <w:tblCellMar>
            <w:top w:w="0" w:type="dxa"/>
            <w:left w:w="0" w:type="dxa"/>
            <w:bottom w:w="0" w:type="dxa"/>
            <w:right w:w="0" w:type="dxa"/>
          </w:tblCellMar>
        </w:tblPrEx>
        <w:trPr>
          <w:trHeight w:val="2617"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1</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24口LC单模光纤配线架含适配器</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个</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38</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光纤配线架</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1、标准适配板式光纤配线架，1U，空配架，抽屉式设计</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2、光纤配架可以安装3块适配板</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3、光配架最大支持0-72芯光缆接入</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 xml:space="preserve">4、阻水式线缆入线管, 支持线缆直径范围从6.3mm 到12.7mm, 支持室外光缆端接 </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24芯光纤面板</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1、标准：满足TIA/EIA-568-B要求</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2、接口类型：：带12个LC双工耦合器接口</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3、规格：LC万兆耦合器，单/多模通用</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4、阻燃：阻燃等级符合UL-94V－0的要求</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90"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2</w:t>
            </w:r>
          </w:p>
        </w:tc>
        <w:tc>
          <w:tcPr>
            <w:tcW w:w="206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1U 带盖板金属理线器</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个</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38</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1、规格：标准1U高度，支持标准机柜安装</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2、外观：黑色，带前置盖板，方便跳线管理</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3、结构：封闭式线缆理线器，使配线机柜更整齐美观</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4、材料：金属或非金属材料，金属材料时表面涂覆防止氧化的涂层</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5:材料：符合ROHS指令。</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1342"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3</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LC OS2 单工单模尾纤，1米</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根</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380</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1、符合TIA/EIA-568-B标准；</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2、外观：LC单工接头单芯尾纤</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3、规格：原厂预制接口，支持单模光缆应用</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4、标签管理：跳线标签应符合TIA-568-C.3国际规范要求</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5、工作温度范围：-10～60℃</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3350"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4</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LC-LC OS2 双工单模光纤跳线，3米</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根</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27</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规格：9/125µm 连接到光纤配线架及交换设备的光纤跳线应支持万兆以太网，以及应用在骨干网的室外光纤交接箱内的互连，采用单模OS2光纤，采用LC-LC接口</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标准:ISO/IEC11801  EN50173-1  ANSI TIA/EIA 568B</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 xml:space="preserve">线缆属性：                  </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抗压力:（牛）            操作温度</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1500                     -10℃到 +70℃</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抗冲击（NM）             储存温度</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5                        -25℃到+80℃</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转矩（旋转/米）          安装温度</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5                        0℃到70℃</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1395" w:hRule="atLeast"/>
        </w:trPr>
        <w:tc>
          <w:tcPr>
            <w:tcW w:w="6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5</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42U网络机柜 2米</w:t>
            </w: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台</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4</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1、名称：42U机柜</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2、规格：600*800*2000mm，前后网孔门，2个8口PDU，2块托盘，自带风扇；前门网孔通风率不低于75%，后门网孔通风率不低于72%；机柜承重不低于1000KG</w:t>
            </w:r>
            <w:r>
              <w:rPr>
                <w:rFonts w:hint="eastAsia" w:ascii="宋体" w:hAnsi="宋体" w:eastAsia="宋体" w:cs="宋体"/>
                <w:color w:val="2E75B5"/>
                <w:kern w:val="0"/>
                <w:sz w:val="20"/>
                <w:szCs w:val="20"/>
              </w:rPr>
              <w:br w:type="textWrapping"/>
            </w:r>
            <w:r>
              <w:rPr>
                <w:rFonts w:hint="eastAsia" w:ascii="宋体" w:hAnsi="宋体" w:eastAsia="宋体" w:cs="宋体"/>
                <w:color w:val="2E75B5"/>
                <w:kern w:val="0"/>
                <w:sz w:val="20"/>
                <w:szCs w:val="20"/>
              </w:rPr>
              <w:t>3、安装方式：落地安装</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奔瑞、罗森伯格、耐克森</w:t>
            </w:r>
          </w:p>
        </w:tc>
      </w:tr>
      <w:tr>
        <w:tblPrEx>
          <w:tblCellMar>
            <w:top w:w="0" w:type="dxa"/>
            <w:left w:w="0" w:type="dxa"/>
            <w:bottom w:w="0" w:type="dxa"/>
            <w:right w:w="0" w:type="dxa"/>
          </w:tblCellMar>
        </w:tblPrEx>
        <w:trPr>
          <w:trHeight w:val="315" w:hRule="atLeast"/>
        </w:trPr>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2E75B5"/>
                <w:sz w:val="20"/>
                <w:szCs w:val="20"/>
              </w:rPr>
            </w:pP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2E75B5"/>
                <w:sz w:val="20"/>
                <w:szCs w:val="20"/>
              </w:rPr>
            </w:pPr>
            <w:r>
              <w:rPr>
                <w:rFonts w:hint="eastAsia" w:ascii="宋体" w:hAnsi="宋体" w:eastAsia="宋体" w:cs="宋体"/>
                <w:b/>
                <w:color w:val="2E75B5"/>
                <w:kern w:val="0"/>
                <w:sz w:val="20"/>
                <w:szCs w:val="20"/>
              </w:rPr>
              <w:t>配管子系统</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2E75B5"/>
                <w:sz w:val="20"/>
                <w:szCs w:val="20"/>
              </w:rPr>
            </w:pPr>
          </w:p>
        </w:tc>
        <w:tc>
          <w:tcPr>
            <w:tcW w:w="87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2E75B5"/>
                <w:sz w:val="20"/>
                <w:szCs w:val="20"/>
              </w:rPr>
            </w:pP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Times New Roman" w:hAnsi="Times New Roman" w:eastAsia="宋体" w:cs="Times New Roman"/>
                <w:color w:val="2E75B5"/>
                <w:sz w:val="24"/>
              </w:rPr>
            </w:pPr>
          </w:p>
        </w:tc>
      </w:tr>
      <w:tr>
        <w:tblPrEx>
          <w:tblCellMar>
            <w:top w:w="0" w:type="dxa"/>
            <w:left w:w="0" w:type="dxa"/>
            <w:bottom w:w="0" w:type="dxa"/>
            <w:right w:w="0" w:type="dxa"/>
          </w:tblCellMar>
        </w:tblPrEx>
        <w:trPr>
          <w:trHeight w:val="315" w:hRule="atLeast"/>
        </w:trPr>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1</w:t>
            </w:r>
          </w:p>
        </w:tc>
        <w:tc>
          <w:tcPr>
            <w:tcW w:w="20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KBG25管</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kern w:val="0"/>
                <w:sz w:val="20"/>
                <w:szCs w:val="20"/>
              </w:rPr>
              <w:t>米</w:t>
            </w:r>
          </w:p>
        </w:tc>
        <w:tc>
          <w:tcPr>
            <w:tcW w:w="9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2E75B5"/>
                <w:sz w:val="20"/>
                <w:szCs w:val="20"/>
              </w:rPr>
            </w:pPr>
            <w:r>
              <w:rPr>
                <w:rFonts w:hint="eastAsia" w:ascii="宋体" w:hAnsi="宋体" w:eastAsia="宋体" w:cs="宋体"/>
                <w:color w:val="2E75B5"/>
                <w:sz w:val="20"/>
                <w:szCs w:val="20"/>
              </w:rPr>
              <w:t>2300</w:t>
            </w:r>
          </w:p>
        </w:tc>
        <w:tc>
          <w:tcPr>
            <w:tcW w:w="7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2E75B5"/>
                <w:kern w:val="0"/>
                <w:sz w:val="20"/>
                <w:szCs w:val="20"/>
              </w:rPr>
            </w:pPr>
            <w:r>
              <w:rPr>
                <w:rFonts w:hint="eastAsia" w:ascii="宋体" w:hAnsi="宋体" w:eastAsia="宋体" w:cs="宋体"/>
                <w:color w:val="2E75B5"/>
                <w:kern w:val="0"/>
                <w:sz w:val="20"/>
                <w:szCs w:val="20"/>
              </w:rPr>
              <w:t>Φ25KBG管，含KBG成品构件、直节、锁母、套接件等</w:t>
            </w:r>
          </w:p>
        </w:tc>
        <w:tc>
          <w:tcPr>
            <w:tcW w:w="1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Times New Roman" w:hAnsi="Times New Roman" w:eastAsia="宋体" w:cs="Times New Roman"/>
                <w:color w:val="2E75B5"/>
                <w:sz w:val="24"/>
              </w:rPr>
            </w:pPr>
          </w:p>
        </w:tc>
      </w:tr>
    </w:tbl>
    <w:p/>
    <w:p/>
    <w:p>
      <w:pPr>
        <w:rPr>
          <w:rFonts w:hint="eastAsia"/>
        </w:rPr>
      </w:pPr>
    </w:p>
    <w:p>
      <w:pPr>
        <w:rPr>
          <w:rFonts w:hint="eastAsia"/>
        </w:rPr>
      </w:pPr>
    </w:p>
    <w:p>
      <w:pPr>
        <w:rPr>
          <w:rFonts w:hint="eastAsia"/>
        </w:rPr>
      </w:pPr>
    </w:p>
    <w:p/>
    <w:p/>
    <w:p/>
    <w:p/>
    <w:p/>
    <w:tbl>
      <w:tblPr>
        <w:tblStyle w:val="15"/>
        <w:tblW w:w="14127" w:type="dxa"/>
        <w:tblInd w:w="0" w:type="dxa"/>
        <w:tblLayout w:type="autofit"/>
        <w:tblCellMar>
          <w:top w:w="0" w:type="dxa"/>
          <w:left w:w="0" w:type="dxa"/>
          <w:bottom w:w="0" w:type="dxa"/>
          <w:right w:w="0" w:type="dxa"/>
        </w:tblCellMar>
      </w:tblPr>
      <w:tblGrid>
        <w:gridCol w:w="555"/>
        <w:gridCol w:w="1275"/>
        <w:gridCol w:w="1024"/>
        <w:gridCol w:w="1010"/>
        <w:gridCol w:w="8480"/>
        <w:gridCol w:w="1783"/>
      </w:tblGrid>
      <w:tr>
        <w:tblPrEx>
          <w:tblCellMar>
            <w:top w:w="0" w:type="dxa"/>
            <w:left w:w="0" w:type="dxa"/>
            <w:bottom w:w="0" w:type="dxa"/>
            <w:right w:w="0" w:type="dxa"/>
          </w:tblCellMar>
        </w:tblPrEx>
        <w:trPr>
          <w:trHeight w:val="480" w:hRule="atLeast"/>
        </w:trPr>
        <w:tc>
          <w:tcPr>
            <w:tcW w:w="1412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32"/>
                <w:szCs w:val="32"/>
              </w:rPr>
              <w:t>设备专网综合布线明细表</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序号</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设备名称</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单位</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数量</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技术参数</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推荐品牌（或同等档次及以上其他品牌）</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水平子系统</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Times New Roman" w:hAnsi="Times New Roman" w:eastAsia="宋体" w:cs="Times New Roman"/>
                <w:color w:val="000000"/>
                <w:sz w:val="24"/>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2551"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六类4对非屏蔽双绞线，LSZH</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305米/箱</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2、材料：符合ROHS指令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3、线对隔离：线对采用十字骨架隔离结构，使产品性能稳定，同时增加线缆柔软性，消除施工过程中的应力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4、传输性能：最大可支持频率达到250MHz，满足并超过标准对六类的要求，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5、性能认证：产品要求通过第三方认证机构的ETL认证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6、护套材料：高阻燃，低烟无卤（LSZH）外皮，满足IEC 60332-1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7、认证：信息产业部检测报告</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电源线</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200米/卷</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RVV2*1.5mm</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电源线</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200米/卷</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RVVP2*1mm+RVV2*1mm</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电源线</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200米/卷</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RVV4*1.5mm</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31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垂直子系统</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Times New Roman" w:hAnsi="Times New Roman" w:eastAsia="宋体" w:cs="Times New Roman"/>
                <w:color w:val="000000"/>
                <w:sz w:val="24"/>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44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12芯单模轻铠室外光缆</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2400</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1、类型：室外单模光缆，铠装结构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2、标准：满足TIA/EIA-568-B要求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3、光纤应采用单模光纤，符合G.652.D要求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4、光纤偏振模色散系数 PMD:≤ 0.10 ps/sqrt (km)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5、单芯光纤外应包覆紧套型保护护套，短期最大拉力最大667N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6、阻燃等级：OFNR阻燃级别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7、应能支持100G网络应用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8、最大纤芯衰耗：0.50dB@1310nm\1383nm\1550nm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9、工作温度范围：-20～70℃</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管理区子系统</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Times New Roman" w:hAnsi="Times New Roman" w:eastAsia="宋体" w:cs="Times New Roman"/>
                <w:color w:val="000000"/>
                <w:sz w:val="24"/>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3066"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24口LC单模光纤配线架含适配器</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光纤配线架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1、标准适配板式光纤配线架，1U，空配架，抽屉式设计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2、光纤配架可以安装3块适配板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3、光配架最大支持0-72芯光缆接入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4、阻水式线缆入线管, 支持线缆直径范围从6.3mm 到12.7mm, 支持室外光缆端接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24芯光纤面板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1、标准：满足TIA/EIA-568-B要求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2、接口类型：：带12个LC双工耦合器接口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3、规格：LC万兆耦合器，单/多模通用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4、阻燃：阻燃等级符合UL-94V－0的要求</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7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六类24口非屏蔽配线架</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1、产品结构：模块化设计技术，应可提供1U/2U两种规格，满配24/48口可拆卸式模块组；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2、安装方式：标准19英寸机柜机架安装；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3、管理方式：提供符合T568A和T568B两种端接标准的可互换色标标签；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4、性能要求：所选配线架应满足并超过标准对六类的要求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5、认证要求：产品要求通过第三方认证机构的ETL认证</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6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1U 带盖板金属理线器</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1、规格：标准1U高度，支持标准机柜安装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2、外观：黑色，带前置盖板，方便跳线管理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3、结构：封闭式线缆理线器，使配线机柜更整齐美观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4、材料：金属或非金属材料，金属材料时表面涂覆防止氧化的涂层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5:材料：符合ROHS指令。</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571"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六类4对UTP非屏蔽跳线， 2米</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155</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2、原厂正品，连接头铜芯接触处镀金设计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3、导体类型：导体采用24AWG多股铜芯线设计的软跳线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4、传输性能：满足并超过标准对六类的要求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5、连接次数：≧750次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6、长度选择：应能提供1-100英尺的不同长度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7、阻燃等级：LSZH阻燃等级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8:插头护套：采用水晶护套，护套应能保护RJ45水晶头弹片</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72"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 OS2 单工单模尾纤，1米</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288</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1、符合TIA/EIA-568-B标准；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2、外观：LC单工接头单芯尾纤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3、规格：原厂预制接口，支持单模光缆应用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4、标签管理：跳线标签应符合TIA-568-C.3国际规范要求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5、工作温度范围：-10～60℃</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3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LC-LC OS2 双工单模光纤跳线，3米</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规格：9/125µm 连接到光纤配线架及交换设备的光纤跳线应支持万兆以太网，以及应用在骨干网的室外光纤交接箱内的互连，采用单模OS2光纤，采用LC-LC接口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标准:ISO/IEC11801  EN50173-1  ANSI TIA/EIA 568B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线缆属性：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抗压力:（牛）1500              操作温度 -10℃到 +70℃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抗冲击（NM） 5                 储存温度  -25℃到+80℃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转矩（旋转/米）5               安装温度   0℃到70℃</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228"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42U网络机柜 2米</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1、名称：42U机柜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2、规格：600*800*2000mm，前后网孔门，2个8口PDU，2块托盘，自带风扇；前门网孔通风率不低于75%，后门网孔通风率不低于72%；机柜承重不低于1000KG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3、安装方式：落地安装</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设备间子系统</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Times New Roman" w:hAnsi="Times New Roman" w:eastAsia="宋体" w:cs="Times New Roman"/>
                <w:color w:val="000000"/>
                <w:sz w:val="24"/>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9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24口LC单模光纤配线架含适配器</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光纤配线架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1、标准适配板式光纤配线架，1U，空配架，抽屉式设计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2、光纤配架可以安装3块适配板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3、光配架最大支持0-72芯光缆接入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4、阻水式线缆入线管, 支持线缆直径范围从6.3mm 到12.7mm, 支持室外光缆端接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24芯光纤面板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1、标准：满足TIA/EIA-568-B要求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2、接口类型：：带12个LC双工耦合器接口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3、规格：LC万兆耦合器，单/多模通用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4、阻燃：阻燃等级符合UL-94V－0的要求</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65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1U 带盖板金属理线器</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1、规格：标准1U高度，支持标准机柜安装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2、外观：黑色，带前置盖板，方便跳线管理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3、结构：封闭式线缆理线器，使配线机柜更整齐美观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4、材料：金属或非金属材料，金属材料时表面涂覆防止氧化的涂层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5、材料：符合ROHS指令。</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56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 OS2 单工单模尾纤，1米</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288</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1、符合TIA/EIA-568-B标准；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2、外观：LC单工接头单芯尾纤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3、规格：原厂预制接口，支持单模光缆应用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4、标签管理：跳线标签应符合TIA-568-C.3国际规范要求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5、工作温度范围：-10～60℃</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34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LC-LC OS2 双工单模光纤跳线，3米</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规格：9/125µm 连接到光纤配线架及交换设备的光纤跳线应支持万兆以太网，以及应用在骨干网的室外光纤交接箱内的互连，采用单模OS2光纤，采用LC-LC接口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标准:ISO/IEC11801  EN50173-1  ANSI TIA/EIA 568B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线缆属性：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抗压力:（牛）            操作温度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1500                     -10℃到 +70℃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抗冲击（NM）             储存温度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-25℃到+80℃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转矩（旋转/米）          安装温度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0℃到70℃</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078"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42U网络机柜 2米</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1、名称：42U机柜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2、规格：600*800*2000mm，前后网孔门，2个8口PDU，2块托盘，自带风扇；前门网孔通风率不低于75%，后门网孔通风率不低于72%；机柜承重不低于1000KG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3、安装方式：落地安装</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407"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配管子系统</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4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KBG20管</w:t>
            </w:r>
          </w:p>
        </w:tc>
        <w:tc>
          <w:tcPr>
            <w:tcW w:w="10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3000</w:t>
            </w:r>
          </w:p>
        </w:tc>
        <w:tc>
          <w:tcPr>
            <w:tcW w:w="8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Φ20KBG管，含KBG成品构件、直节、锁母、套接件等</w:t>
            </w:r>
          </w:p>
        </w:tc>
        <w:tc>
          <w:tcPr>
            <w:tcW w:w="1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rPr>
                <w:rFonts w:ascii="Times New Roman" w:hAnsi="Times New Roman" w:eastAsia="宋体" w:cs="Times New Roman"/>
                <w:color w:val="000000"/>
                <w:sz w:val="24"/>
              </w:rPr>
            </w:pPr>
          </w:p>
        </w:tc>
      </w:tr>
    </w:tbl>
    <w:p/>
    <w:p/>
    <w:p/>
    <w:p/>
    <w:p/>
    <w:p/>
    <w:p/>
    <w:p/>
    <w:p/>
    <w:p/>
    <w:p/>
    <w:p/>
    <w:p/>
    <w:p/>
    <w:p/>
    <w:tbl>
      <w:tblPr>
        <w:tblStyle w:val="15"/>
        <w:tblW w:w="14127" w:type="dxa"/>
        <w:tblInd w:w="0" w:type="dxa"/>
        <w:tblLayout w:type="autofit"/>
        <w:tblCellMar>
          <w:top w:w="0" w:type="dxa"/>
          <w:left w:w="0" w:type="dxa"/>
          <w:bottom w:w="0" w:type="dxa"/>
          <w:right w:w="0" w:type="dxa"/>
        </w:tblCellMar>
      </w:tblPr>
      <w:tblGrid>
        <w:gridCol w:w="555"/>
        <w:gridCol w:w="1590"/>
        <w:gridCol w:w="795"/>
        <w:gridCol w:w="702"/>
        <w:gridCol w:w="8580"/>
        <w:gridCol w:w="1905"/>
      </w:tblGrid>
      <w:tr>
        <w:tblPrEx>
          <w:tblCellMar>
            <w:top w:w="0" w:type="dxa"/>
            <w:left w:w="0" w:type="dxa"/>
            <w:bottom w:w="0" w:type="dxa"/>
            <w:right w:w="0" w:type="dxa"/>
          </w:tblCellMar>
        </w:tblPrEx>
        <w:trPr>
          <w:trHeight w:val="480" w:hRule="atLeast"/>
        </w:trPr>
        <w:tc>
          <w:tcPr>
            <w:tcW w:w="1412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32"/>
                <w:szCs w:val="32"/>
              </w:rPr>
              <w:t>亚运会专网综合布线明细表</w:t>
            </w:r>
          </w:p>
        </w:tc>
      </w:tr>
      <w:tr>
        <w:tblPrEx>
          <w:tblCellMar>
            <w:top w:w="0" w:type="dxa"/>
            <w:left w:w="0" w:type="dxa"/>
            <w:bottom w:w="0" w:type="dxa"/>
            <w:right w:w="0" w:type="dxa"/>
          </w:tblCellMar>
        </w:tblPrEx>
        <w:trPr>
          <w:trHeight w:val="666"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序号</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设备名称</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单位</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数量</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技术参数</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推荐品牌（或同等档次及以上其他品牌）</w:t>
            </w:r>
          </w:p>
        </w:tc>
      </w:tr>
      <w:tr>
        <w:tblPrEx>
          <w:tblCellMar>
            <w:top w:w="0" w:type="dxa"/>
            <w:left w:w="0" w:type="dxa"/>
            <w:bottom w:w="0" w:type="dxa"/>
            <w:right w:w="0"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工作区子系统</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eastAsia="宋体" w:cs="Times New Roman"/>
                <w:color w:val="000000"/>
                <w:sz w:val="24"/>
              </w:rPr>
            </w:pP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72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双口面板</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391</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1、产品规格：标准86型双口信息面板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2、匹配要求：兼容铜缆系列模块和光纤系列模块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3、阻燃级别：符合UL 94V－0阻燃要求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4、标签要求：面板带有透明标签盖板，自带可更换式标签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5、其他要求：自带推拉式透明防尘盖，布线原厂产品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6、安装要求 : 90度直插式设计</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9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六类非屏蔽模块</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782</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2、匹配线规：22－24AWG，打线方式：T568A或T568B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3、卡接次数：RJ45端口接插次数≧750次，IDC端接次数≥200次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4、阻燃级别：满足TSB-155 10GbE要求，通过IEEE 802.3 at PoE电流容量要求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5、安装方式：应可使用快速端接工具，一次性完成8根芯线端接，提高施工效率和可靠性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6、性能要求：满足并超过标准对六类的要求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7、认证要求：产品要求通过第三方认证机构的ETL认证</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56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六类4对UTP非屏蔽跳线， 2米</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391</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2、原厂正品，连接头铜芯接触处镀金设计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3、导体类型：导体采用24AWG多股铜芯线设计的软跳线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4、传输性能：满足并超过标准对六类的要求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5、连接次数：≧750次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6、长度选择：应能提供1-100英尺的不同长度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7、阻燃等级：LSZH阻燃等级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8:插头护套：采用水晶护套，护套应能保护RJ45水晶头弹片</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282"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86型墙装光纤面板</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1、产品规格：标准86型双口信息面板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2、匹配要求：兼容铜缆系列模块和光纤系列模块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3、阻燃级别：符合UL 94V－0阻燃要求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4、标签要求：面板带有透明标签盖板，自带可更换式标签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5、其他要求：自带推拉式透明防尘盖，布线原厂产品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6、安装要求 : 90度直插式设计</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67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工作区面板LC双工单模适配器</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1、标准：满足TIA/EIA-568-B要求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2、接口类型：：桌面LC双工耦合器，支持常规单双口面板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3、规格：LC双工耦合器，支持单/模多光缆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4、阻燃：阻燃等级符合UL-94V－0的要求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5、符合RoHS环保要求</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67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 OS2 单工单模尾纤，1米</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1、符合TIA/EIA-568-B标准；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2、外观：LC单工接头单芯尾纤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3、规格：原厂预制接口，支持单模光缆应用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4、标签管理：跳线标签应符合TIA-568-C.3国际规范要求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5、工作温度范围：-10～60℃</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42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水平子系统</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Times New Roman" w:hAnsi="Times New Roman" w:eastAsia="宋体" w:cs="Times New Roman"/>
                <w:color w:val="000000"/>
                <w:sz w:val="24"/>
              </w:rPr>
            </w:pP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41"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六类4对非屏蔽双绞线，LSZH</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305米/箱</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154</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2、材料：符合ROHS指令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3、线对隔离：线对采用十字骨架隔离结构，使产品性能稳定，同时增加线缆柔软性，消除施工过程中的应力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4、传输性能：最大可支持频率达到250MHz，满足并超过标准对六类的要求，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5、性能认证：产品要求通过第三方认证机构的ETL认证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6、护套材料：高阻燃，低烟无卤（LSZH）外皮，满足IEC 60332-1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7、认证：信息产业部检测报告</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4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2芯单模皮线光缆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2600</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1、类型：室外单模光缆，铠装结构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2、标准：满足TIA/EIA-568-B要求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3、光纤应采用单模光纤，符合G.652.D要求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4、光纤偏振模色散系数 PMD:≤ 0.10 ps/sqrt (km)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5、单芯光纤外应包覆紧套型保护护套，短期最大拉力最大667N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6、阻燃等级：OFNR阻燃级别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7、应能支持100G网络应用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8、最大纤芯衰耗：0.50dB@1310nm\1383nm\1550nm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9、工作温度范围：-20～70℃</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31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垂直子系统</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Times New Roman" w:hAnsi="Times New Roman" w:eastAsia="宋体" w:cs="Times New Roman"/>
                <w:color w:val="000000"/>
                <w:sz w:val="24"/>
              </w:rPr>
            </w:pP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12芯单模轻铠室外光缆</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2800</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1、类型：室外单模光缆，铠装结构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2、标准：满足TIA/EIA-568-B要求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3、光纤应采用单模光纤，符合G.652.D要求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4、光纤偏振模色散系数 PMD:≤ 0.10 ps/sqrt (km)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5、单芯光纤外应包覆紧套型保护护套，短期最大拉力最大667N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6、阻燃等级：OFNR阻燃级别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7、应能支持100G网络应用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8、最大纤芯衰耗：0.50dB@1310nm\1383nm\1550nm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9、工作温度范围：-20～70℃</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31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管理区子系统</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Times New Roman" w:hAnsi="Times New Roman" w:eastAsia="宋体" w:cs="Times New Roman"/>
                <w:color w:val="000000"/>
                <w:sz w:val="24"/>
              </w:rPr>
            </w:pP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01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24口LC单模光纤配线架含适配器</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光纤配线架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1、标准适配板式光纤配线架，1U，空配架，抽屉式设计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2、光纤配架可以安装3块适配板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3、光配架最大支持0-72芯光缆接入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4、阻水式线缆入线管, 支持线缆直径范围从6.3mm 到12.7mm, 支持室外光缆端接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24芯光纤面板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1、标准：满足TIA/EIA-568-B要求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2、接口类型：：带12个LC双工耦合器接口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3、规格：LC万兆耦合器，单/多模通用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4、阻燃：阻燃等级符合UL-94V－0的要求</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9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六类24口非屏蔽配线架</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1、产品结构：模块化设计技术，应可提供1U/2U两种规格，满配24/48口可拆卸式模块组；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2、安装方式：标准19英寸机柜机架安装；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3、管理方式：提供符合T568A和T568B两种端接标准的可互换色标标签；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4、性能要求：所选配线架应满足并超过标准对六类的要求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5、认证要求：产品要求通过第三方认证机构的ETL认证</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48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1U 带盖板金属理线器</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1、规格：标准1U高度，支持标准机柜安装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2、外观：黑色，带前置盖板，方便跳线管理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3、结构：封闭式线缆理线器，使配线机柜更整齐美观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4、材料：金属或非金属材料，金属材料时表面涂覆防止氧化的涂层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5:材料：符合ROHS指令。</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1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六类4对UTP非屏蔽跳线， 2米</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772</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2、原厂正品，连接头铜芯接触处镀金设计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3、导体类型：导体采用24AWG多股铜芯线设计的软跳线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4、传输性能：满足并超过标准对六类的要求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5、连接次数：≧750次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6、长度选择：应能提供1-100英尺的不同长度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7、阻燃等级：LSZH阻燃等级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8:插头护套：采用水晶护套，护套应能保护RJ45水晶头弹片</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36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 OS2 单工单模尾纤，1米</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388</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1、符合TIA/EIA-568-B标准；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2、外观：LC单工接头单芯尾纤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3、规格：原厂预制接口，支持单模光缆应用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4、标签管理：跳线标签应符合TIA-568-C.3国际规范要求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5、工作温度范围：-10～60℃</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312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LC-LC OS2 双工单模光纤跳线，3米</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规格：9/125µm 连接到光纤配线架及交换设备的光纤跳线应支持万兆以太网，以及应用在骨干网的室外光纤交接箱内的互连，采用单模OS2光纤，采用LC-LC接口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标准:ISO/IEC11801  EN50173-1  ANSI TIA/EIA 568B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线缆属性：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抗压力:（牛）            操作温度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1500                     -10℃到 +70℃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抗冲击（NM）             储存温度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-25℃到+80℃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转矩（旋转/米）          安装温度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0℃到70℃</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5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42U网络机柜 2米</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1、名称：42U机柜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2、规格：600*800*2000mm，前后网孔门，2个8口PDU，2块托盘，自带风扇；前门网孔通风率不低于75%，后门网孔通风率不低于72%；机柜承重不低于1000KG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3、安装方式：落地安装</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42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设备间子系统</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Times New Roman" w:hAnsi="Times New Roman" w:eastAsia="宋体" w:cs="Times New Roman"/>
                <w:color w:val="000000"/>
                <w:sz w:val="24"/>
              </w:rPr>
            </w:pP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7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24口LC单模光纤配线架含适配器</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光纤配线架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1、标准适配板式光纤配线架，1U，空配架，抽屉式设计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2、光纤配架可以安装3块适配板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3、光配架最大支持0-72芯光缆接入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4、阻水式线缆入线管, 支持线缆直径范围从6.3mm 到12.7mm, 支持室外光缆端接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24芯光纤面板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1、标准：满足TIA/EIA-568-B要求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2、接口类型：：带12个LC双工耦合器接口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3、规格：LC万兆耦合器，单/多模通用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4、阻燃：阻燃等级符合UL-94V－0的要求</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54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1U 带盖板金属理线器</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1、规格：标准1U高度，支持标准机柜安装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2、外观：黑色，带前置盖板，方便跳线管理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3、结构：封闭式线缆理线器，使配线机柜更整齐美观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4、材料：金属或非金属材料，金属材料时表面涂覆防止氧化的涂层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5:材料：符合ROHS指令。</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44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 OS2 单工单模尾纤，1米</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388</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1、符合TIA/EIA-568-B标准；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2、外观：LC单工接头单芯尾纤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3、规格：原厂预制接口，支持单模光缆应用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4、标签管理：跳线标签应符合TIA-568-C.3国际规范要求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5、工作温度范围：-10～60℃</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94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LC-LC OS2 双工单模光纤跳线，3米</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规格：9/125µm 连接到光纤配线架及交换设备的光纤跳线应支持万兆以太网，以及应用在骨干网的室外光纤交接箱内的互连，采用单模OS2光纤，采用LC-LC接口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标准:ISO/IEC11801  EN50173-1  ANSI TIA/EIA 568B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线缆属性：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抗压力:（牛）            操作温度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1500                     -10℃到 +70℃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抗冲击（NM）             储存温度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-25℃到+80℃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转矩（旋转/米）          安装温度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0℃到70℃</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166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42U网络机柜 2米</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1、名称：42U机柜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2、规格：600*800*2000mm，前后网孔门，2个8口PDU，2块托盘，自带风扇；前门网孔通风率不低于75%，后门网孔通风率不低于72%；机柜承重不低于1000KG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3、安装方式：落地安装</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配管子系统</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KBG20管</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4000</w:t>
            </w:r>
          </w:p>
        </w:tc>
        <w:tc>
          <w:tcPr>
            <w:tcW w:w="8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Φ20KBG管，含KBG成品构件、直节、锁母、套接件等</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bl>
    <w:p/>
    <w:p/>
    <w:p/>
    <w:p/>
    <w:p/>
    <w:p/>
    <w:p/>
    <w:p/>
    <w:p/>
    <w:p/>
    <w:p/>
    <w:tbl>
      <w:tblPr>
        <w:tblStyle w:val="15"/>
        <w:tblW w:w="14142" w:type="dxa"/>
        <w:tblInd w:w="0" w:type="dxa"/>
        <w:tblLayout w:type="fixed"/>
        <w:tblCellMar>
          <w:top w:w="0" w:type="dxa"/>
          <w:left w:w="0" w:type="dxa"/>
          <w:bottom w:w="0" w:type="dxa"/>
          <w:right w:w="0" w:type="dxa"/>
        </w:tblCellMar>
      </w:tblPr>
      <w:tblGrid>
        <w:gridCol w:w="552"/>
        <w:gridCol w:w="1270"/>
        <w:gridCol w:w="880"/>
        <w:gridCol w:w="910"/>
        <w:gridCol w:w="9270"/>
        <w:gridCol w:w="1260"/>
      </w:tblGrid>
      <w:tr>
        <w:tblPrEx>
          <w:tblCellMar>
            <w:top w:w="0" w:type="dxa"/>
            <w:left w:w="0" w:type="dxa"/>
            <w:bottom w:w="0" w:type="dxa"/>
            <w:right w:w="0" w:type="dxa"/>
          </w:tblCellMar>
        </w:tblPrEx>
        <w:trPr>
          <w:trHeight w:val="420" w:hRule="atLeast"/>
        </w:trPr>
        <w:tc>
          <w:tcPr>
            <w:tcW w:w="14142"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kern w:val="0"/>
                <w:sz w:val="20"/>
                <w:szCs w:val="20"/>
              </w:rPr>
            </w:pPr>
            <w:r>
              <w:rPr>
                <w:rFonts w:hint="eastAsia" w:ascii="宋体" w:hAnsi="宋体" w:eastAsia="宋体" w:cs="宋体"/>
                <w:b/>
                <w:color w:val="000000"/>
                <w:kern w:val="0"/>
                <w:sz w:val="32"/>
                <w:szCs w:val="32"/>
              </w:rPr>
              <w:t>有线电视系统明细表</w:t>
            </w:r>
          </w:p>
        </w:tc>
      </w:tr>
      <w:tr>
        <w:tblPrEx>
          <w:tblCellMar>
            <w:top w:w="0" w:type="dxa"/>
            <w:left w:w="0" w:type="dxa"/>
            <w:bottom w:w="0" w:type="dxa"/>
            <w:right w:w="0" w:type="dxa"/>
          </w:tblCellMar>
        </w:tblPrEx>
        <w:trPr>
          <w:trHeight w:val="420" w:hRule="atLeast"/>
        </w:trPr>
        <w:tc>
          <w:tcPr>
            <w:tcW w:w="55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序号</w:t>
            </w:r>
          </w:p>
        </w:tc>
        <w:tc>
          <w:tcPr>
            <w:tcW w:w="12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设备名称</w:t>
            </w:r>
          </w:p>
        </w:tc>
        <w:tc>
          <w:tcPr>
            <w:tcW w:w="88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单位</w:t>
            </w:r>
          </w:p>
        </w:tc>
        <w:tc>
          <w:tcPr>
            <w:tcW w:w="9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数量</w:t>
            </w:r>
          </w:p>
        </w:tc>
        <w:tc>
          <w:tcPr>
            <w:tcW w:w="92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技术参数</w:t>
            </w:r>
          </w:p>
        </w:tc>
        <w:tc>
          <w:tcPr>
            <w:tcW w:w="126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推荐品牌（或同等档次及以上其他品牌）</w:t>
            </w:r>
          </w:p>
        </w:tc>
      </w:tr>
      <w:tr>
        <w:tblPrEx>
          <w:tblCellMar>
            <w:top w:w="0" w:type="dxa"/>
            <w:left w:w="0" w:type="dxa"/>
            <w:bottom w:w="0" w:type="dxa"/>
            <w:right w:w="0" w:type="dxa"/>
          </w:tblCellMar>
        </w:tblPrEx>
        <w:trPr>
          <w:trHeight w:val="480" w:hRule="atLeast"/>
        </w:trPr>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工作区子系统</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9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720" w:hRule="atLeast"/>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有线电视+网孔复合插座</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110</w:t>
            </w:r>
          </w:p>
        </w:tc>
        <w:tc>
          <w:tcPr>
            <w:tcW w:w="9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材料：所有塑料材料符合UL 94-V0。应采用UV 耐腐塑料。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规格：86 型面板，带防尘盖，颜色：乳白色</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正泰、视贝、德力西</w:t>
            </w:r>
          </w:p>
        </w:tc>
      </w:tr>
      <w:tr>
        <w:tblPrEx>
          <w:tblCellMar>
            <w:top w:w="0" w:type="dxa"/>
            <w:left w:w="0" w:type="dxa"/>
            <w:bottom w:w="0" w:type="dxa"/>
            <w:right w:w="0" w:type="dxa"/>
          </w:tblCellMar>
        </w:tblPrEx>
        <w:trPr>
          <w:trHeight w:val="2520" w:hRule="atLeast"/>
        </w:trPr>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六类非屏蔽模块</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110</w:t>
            </w:r>
          </w:p>
        </w:tc>
        <w:tc>
          <w:tcPr>
            <w:tcW w:w="9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2、匹配线规：22－24AWG，打线方式：T568A或T568B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3、卡接次数：RJ45端口接插次数≧750次，IDC端接次数≥200次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4、阻燃级别：满足TSB-155 10GbE要求，通过IEEE 802.3 at PoE电流容量要求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5、安装方式：应可使用快速端接工具，一次性完成8根芯线端接，提高施工效率和可靠性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6、性能要求：满足并超过标准对六类的要求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7、认证要求：产品要求通过第三方认证机构的ETL认证</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2240" w:hRule="atLeast"/>
        </w:trPr>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六类4对UTP非屏蔽跳线， 2米</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110</w:t>
            </w:r>
          </w:p>
        </w:tc>
        <w:tc>
          <w:tcPr>
            <w:tcW w:w="9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2、原厂正品，连接头铜芯接触处镀金设计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3、导体类型：导体采用24AWG多股铜芯线设计的软跳线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4、传输性能：满足并超过标准对六类的要求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5、连接次数：≧750次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6、长度选择：应能提供1-100英尺的不同长度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7、阻燃等级：LSZH阻燃等级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8:插头护套：采用水晶护套，护套应能保护RJ45水晶头弹片</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315" w:hRule="atLeast"/>
        </w:trPr>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水平子系统</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9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000000"/>
                <w:sz w:val="24"/>
              </w:rPr>
            </w:pPr>
          </w:p>
        </w:tc>
      </w:tr>
      <w:tr>
        <w:tblPrEx>
          <w:tblCellMar>
            <w:top w:w="0" w:type="dxa"/>
            <w:left w:w="0" w:type="dxa"/>
            <w:bottom w:w="0" w:type="dxa"/>
            <w:right w:w="0" w:type="dxa"/>
          </w:tblCellMar>
        </w:tblPrEx>
        <w:trPr>
          <w:trHeight w:val="2460" w:hRule="atLeast"/>
        </w:trPr>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六类4对非屏蔽双绞线，PVC</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305米/箱</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9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1、电气性能：满足TIA/EIA-568-C.2性能要求；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2、材料：符合ROHS指令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3、线对隔离：线对采用十字骨架隔离结构，使产品性能稳定，同时增加线缆柔软性，消除施工过程中的应力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4、传输性能：最大可支持频率达到250MHz，满足并超过标准对六类的要求，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5、性能认证：产品要求通过第三方认证机构的ETL认证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6、护套材料：高阻燃，低烟无卤（LSZH）外皮，满足IEC 60332-1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7、认证：信息产业部检测报告</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奔瑞、罗森伯格、耐克森</w:t>
            </w:r>
          </w:p>
        </w:tc>
      </w:tr>
      <w:tr>
        <w:tblPrEx>
          <w:tblCellMar>
            <w:top w:w="0" w:type="dxa"/>
            <w:left w:w="0" w:type="dxa"/>
            <w:bottom w:w="0" w:type="dxa"/>
            <w:right w:w="0" w:type="dxa"/>
          </w:tblCellMar>
        </w:tblPrEx>
        <w:trPr>
          <w:trHeight w:val="480" w:hRule="atLeast"/>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同轴视频电缆SYV75-5</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200米/卷</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9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同轴视频线SYV75-5 128编铜芯铝网 单股</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正泰、视贝、德力西</w:t>
            </w:r>
          </w:p>
        </w:tc>
      </w:tr>
      <w:tr>
        <w:tblPrEx>
          <w:tblCellMar>
            <w:top w:w="0" w:type="dxa"/>
            <w:left w:w="0" w:type="dxa"/>
            <w:bottom w:w="0" w:type="dxa"/>
            <w:right w:w="0" w:type="dxa"/>
          </w:tblCellMar>
        </w:tblPrEx>
        <w:trPr>
          <w:trHeight w:val="569" w:hRule="atLeast"/>
        </w:trPr>
        <w:tc>
          <w:tcPr>
            <w:tcW w:w="5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垂直子系统</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92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eastAsia="宋体" w:cs="Times New Roman"/>
                <w:color w:val="000000"/>
                <w:sz w:val="24"/>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正泰、视贝、德力西</w:t>
            </w:r>
          </w:p>
        </w:tc>
      </w:tr>
      <w:tr>
        <w:tblPrEx>
          <w:tblCellMar>
            <w:top w:w="0" w:type="dxa"/>
            <w:left w:w="0" w:type="dxa"/>
            <w:bottom w:w="0" w:type="dxa"/>
            <w:right w:w="0" w:type="dxa"/>
          </w:tblCellMar>
        </w:tblPrEx>
        <w:trPr>
          <w:trHeight w:val="480" w:hRule="atLeast"/>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同轴视频电缆SYV75-9</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200米/卷</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9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同轴视频线SYV75-5 128编铜芯铝网 单股</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正泰、视贝、德力西</w:t>
            </w:r>
          </w:p>
        </w:tc>
      </w:tr>
      <w:tr>
        <w:tblPrEx>
          <w:tblCellMar>
            <w:top w:w="0" w:type="dxa"/>
            <w:left w:w="0" w:type="dxa"/>
            <w:bottom w:w="0" w:type="dxa"/>
            <w:right w:w="0" w:type="dxa"/>
          </w:tblCellMar>
        </w:tblPrEx>
        <w:trPr>
          <w:trHeight w:val="480" w:hRule="atLeast"/>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同轴视频电缆SYV75-12</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200米/卷</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9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同轴视频线SYV75-5 128编铜芯铝网 单股</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正泰、视贝、德力西</w:t>
            </w:r>
          </w:p>
        </w:tc>
      </w:tr>
      <w:tr>
        <w:tblPrEx>
          <w:tblCellMar>
            <w:top w:w="0" w:type="dxa"/>
            <w:left w:w="0" w:type="dxa"/>
            <w:bottom w:w="0" w:type="dxa"/>
            <w:right w:w="0" w:type="dxa"/>
          </w:tblCellMar>
        </w:tblPrEx>
        <w:trPr>
          <w:trHeight w:val="495" w:hRule="atLeast"/>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4分配器</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9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输入接口：5-1000MH，输出接口：5-1000MH，功率60W，电压60V，环境条件：-25</w:t>
            </w:r>
            <w:r>
              <w:rPr>
                <w:rStyle w:val="19"/>
                <w:rFonts w:hint="default"/>
              </w:rPr>
              <w:t>0</w:t>
            </w:r>
            <w:r>
              <w:rPr>
                <w:rStyle w:val="20"/>
                <w:rFonts w:hint="default"/>
              </w:rPr>
              <w:t>C-+55</w:t>
            </w:r>
            <w:r>
              <w:rPr>
                <w:rStyle w:val="19"/>
                <w:rFonts w:hint="default"/>
              </w:rPr>
              <w:t>0</w:t>
            </w:r>
            <w:r>
              <w:rPr>
                <w:rStyle w:val="20"/>
                <w:rFonts w:hint="default"/>
              </w:rPr>
              <w:t>C</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正泰、视贝、德力西</w:t>
            </w:r>
          </w:p>
        </w:tc>
      </w:tr>
      <w:tr>
        <w:tblPrEx>
          <w:tblCellMar>
            <w:top w:w="0" w:type="dxa"/>
            <w:left w:w="0" w:type="dxa"/>
            <w:bottom w:w="0" w:type="dxa"/>
            <w:right w:w="0" w:type="dxa"/>
          </w:tblCellMar>
        </w:tblPrEx>
        <w:trPr>
          <w:trHeight w:val="495" w:hRule="atLeast"/>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2分配器</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9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输入接口：5-1000MH，输出接口：5-1000MH，功率60W，电压60V，环境条件：-25</w:t>
            </w:r>
            <w:r>
              <w:rPr>
                <w:rStyle w:val="19"/>
                <w:rFonts w:hint="default"/>
              </w:rPr>
              <w:t>0</w:t>
            </w:r>
            <w:r>
              <w:rPr>
                <w:rStyle w:val="20"/>
                <w:rFonts w:hint="default"/>
              </w:rPr>
              <w:t>C-+55</w:t>
            </w:r>
            <w:r>
              <w:rPr>
                <w:rStyle w:val="19"/>
                <w:rFonts w:hint="default"/>
              </w:rPr>
              <w:t>0</w:t>
            </w:r>
            <w:r>
              <w:rPr>
                <w:rStyle w:val="20"/>
                <w:rFonts w:hint="default"/>
              </w:rPr>
              <w:t>C</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正泰、视贝、德力西</w:t>
            </w:r>
          </w:p>
        </w:tc>
      </w:tr>
      <w:tr>
        <w:tblPrEx>
          <w:tblCellMar>
            <w:top w:w="0" w:type="dxa"/>
            <w:left w:w="0" w:type="dxa"/>
            <w:bottom w:w="0" w:type="dxa"/>
            <w:right w:w="0" w:type="dxa"/>
          </w:tblCellMar>
        </w:tblPrEx>
        <w:trPr>
          <w:trHeight w:val="495" w:hRule="atLeast"/>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4分支器</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9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输入接口：5-1000MH，输出接口：5-1000MH，功率60W，电压60V，环境条件：-25</w:t>
            </w:r>
            <w:r>
              <w:rPr>
                <w:rStyle w:val="19"/>
                <w:rFonts w:hint="default"/>
              </w:rPr>
              <w:t>0</w:t>
            </w:r>
            <w:r>
              <w:rPr>
                <w:rStyle w:val="20"/>
                <w:rFonts w:hint="default"/>
              </w:rPr>
              <w:t>C-+55</w:t>
            </w:r>
            <w:r>
              <w:rPr>
                <w:rStyle w:val="19"/>
                <w:rFonts w:hint="default"/>
              </w:rPr>
              <w:t>0</w:t>
            </w:r>
            <w:r>
              <w:rPr>
                <w:rStyle w:val="20"/>
                <w:rFonts w:hint="default"/>
              </w:rPr>
              <w:t>C</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正泰、视贝、德力西</w:t>
            </w:r>
          </w:p>
        </w:tc>
      </w:tr>
      <w:tr>
        <w:tblPrEx>
          <w:tblCellMar>
            <w:top w:w="0" w:type="dxa"/>
            <w:left w:w="0" w:type="dxa"/>
            <w:bottom w:w="0" w:type="dxa"/>
            <w:right w:w="0" w:type="dxa"/>
          </w:tblCellMar>
        </w:tblPrEx>
        <w:trPr>
          <w:trHeight w:val="2092" w:hRule="atLeast"/>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双向放大器</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9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频率范围：45-860MHz；标承增益：30dB；带内平坦度±0.75dB；标称输入电平：72dBμV;标称输出电平:102dBμV;增益调节范围：0-15dB；斜率调节范围：0-24dB；噪声系数：≤12dB；C/CTB(59CH）≥60dB；C/CSO(59CH）≥55dB；温度补偿范围：±2.5（±30℃）；反射损耗≥14dB；电源电压（50Hz）220V±10%；功耗：12VA</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正泰、视贝、德力西</w:t>
            </w:r>
          </w:p>
        </w:tc>
      </w:tr>
      <w:tr>
        <w:tblPrEx>
          <w:tblCellMar>
            <w:top w:w="0" w:type="dxa"/>
            <w:left w:w="0" w:type="dxa"/>
            <w:bottom w:w="0" w:type="dxa"/>
            <w:right w:w="0" w:type="dxa"/>
          </w:tblCellMar>
        </w:tblPrEx>
        <w:trPr>
          <w:trHeight w:val="315" w:hRule="atLeast"/>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配管系统</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455" w:hRule="atLeast"/>
        </w:trPr>
        <w:tc>
          <w:tcPr>
            <w:tcW w:w="5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KBG25管</w:t>
            </w:r>
          </w:p>
        </w:tc>
        <w:tc>
          <w:tcPr>
            <w:tcW w:w="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9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1200</w:t>
            </w:r>
          </w:p>
        </w:tc>
        <w:tc>
          <w:tcPr>
            <w:tcW w:w="92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Φ25KBG管，含KBG成品构件、直节、锁母、套接件等</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bl>
    <w:p/>
    <w:p/>
    <w:p/>
    <w:p/>
    <w:p/>
    <w:p/>
    <w:p/>
    <w:p/>
    <w:p/>
    <w:p/>
    <w:p/>
    <w:p/>
    <w:p/>
    <w:p/>
    <w:p/>
    <w:p/>
    <w:p/>
    <w:p/>
    <w:tbl>
      <w:tblPr>
        <w:tblStyle w:val="15"/>
        <w:tblW w:w="14157" w:type="dxa"/>
        <w:tblInd w:w="0" w:type="dxa"/>
        <w:tblLayout w:type="fixed"/>
        <w:tblCellMar>
          <w:top w:w="0" w:type="dxa"/>
          <w:left w:w="0" w:type="dxa"/>
          <w:bottom w:w="0" w:type="dxa"/>
          <w:right w:w="0" w:type="dxa"/>
        </w:tblCellMar>
      </w:tblPr>
      <w:tblGrid>
        <w:gridCol w:w="672"/>
        <w:gridCol w:w="1140"/>
        <w:gridCol w:w="870"/>
        <w:gridCol w:w="810"/>
        <w:gridCol w:w="8640"/>
        <w:gridCol w:w="525"/>
        <w:gridCol w:w="1500"/>
      </w:tblGrid>
      <w:tr>
        <w:tblPrEx>
          <w:tblCellMar>
            <w:top w:w="0" w:type="dxa"/>
            <w:left w:w="0" w:type="dxa"/>
            <w:bottom w:w="0" w:type="dxa"/>
            <w:right w:w="0" w:type="dxa"/>
          </w:tblCellMar>
        </w:tblPrEx>
        <w:trPr>
          <w:trHeight w:val="500" w:hRule="atLeast"/>
        </w:trPr>
        <w:tc>
          <w:tcPr>
            <w:tcW w:w="14157" w:type="dxa"/>
            <w:gridSpan w:val="7"/>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32"/>
                <w:szCs w:val="32"/>
              </w:rPr>
              <w:t>计算机网络系统明细表</w:t>
            </w:r>
          </w:p>
        </w:tc>
      </w:tr>
      <w:tr>
        <w:tblPrEx>
          <w:tblCellMar>
            <w:top w:w="0" w:type="dxa"/>
            <w:left w:w="0" w:type="dxa"/>
            <w:bottom w:w="0" w:type="dxa"/>
            <w:right w:w="0" w:type="dxa"/>
          </w:tblCellMar>
        </w:tblPrEx>
        <w:trPr>
          <w:trHeight w:val="500" w:hRule="atLeast"/>
        </w:trPr>
        <w:tc>
          <w:tcPr>
            <w:tcW w:w="67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11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名称</w:t>
            </w:r>
          </w:p>
        </w:tc>
        <w:tc>
          <w:tcPr>
            <w:tcW w:w="8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单位</w:t>
            </w:r>
          </w:p>
        </w:tc>
        <w:tc>
          <w:tcPr>
            <w:tcW w:w="81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数量</w:t>
            </w:r>
          </w:p>
        </w:tc>
        <w:tc>
          <w:tcPr>
            <w:tcW w:w="9165"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参数</w:t>
            </w:r>
          </w:p>
        </w:tc>
        <w:tc>
          <w:tcPr>
            <w:tcW w:w="15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推荐品牌（或同等档次及以上其他品牌）</w:t>
            </w:r>
          </w:p>
        </w:tc>
      </w:tr>
      <w:tr>
        <w:tblPrEx>
          <w:tblCellMar>
            <w:top w:w="0" w:type="dxa"/>
            <w:left w:w="0" w:type="dxa"/>
            <w:bottom w:w="0" w:type="dxa"/>
            <w:right w:w="0" w:type="dxa"/>
          </w:tblCellMar>
        </w:tblPrEx>
        <w:trPr>
          <w:trHeight w:val="440" w:hRule="atLeast"/>
        </w:trPr>
        <w:tc>
          <w:tcPr>
            <w:tcW w:w="14157"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一、办公有线网(内网、外网)</w:t>
            </w:r>
          </w:p>
        </w:tc>
      </w:tr>
      <w:tr>
        <w:tblPrEx>
          <w:tblCellMar>
            <w:top w:w="0" w:type="dxa"/>
            <w:left w:w="0" w:type="dxa"/>
            <w:bottom w:w="0" w:type="dxa"/>
            <w:right w:w="0" w:type="dxa"/>
          </w:tblCellMar>
        </w:tblPrEx>
        <w:trPr>
          <w:trHeight w:val="1303" w:hRule="atLeast"/>
        </w:trPr>
        <w:tc>
          <w:tcPr>
            <w:tcW w:w="67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4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防火墙</w:t>
            </w:r>
          </w:p>
        </w:tc>
        <w:tc>
          <w:tcPr>
            <w:tcW w:w="8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916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1、硬件架构：采用非X86多核架构，冗余电源；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2、★性能要求接口要求：配置千兆电口≥4个，千兆光口≥4个，万兆光口≥2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3、严格前后风道（提供官网链接和官网产品文档说明）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4、★性能要求：吞吐量≥4Gbps，最大并发连接数≥500万，每秒新建连接数≥8万；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5、部署模式：实现路由模式、透明（网桥）模式、混合模式；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6、NAT功能：支持全面NAT功能，对多种应用层协议支持ALG功能，包括ILS、DNS、PPTP、SIP、FTP、ICQ、RTSP、QQ、MSN、MMS等；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7、VPN：实现高性能IPSec、L2TP、GRE VPN、SSL VPN等功能；支持IPsec VPN隧道自动建立，无需流量触发；支持IPsec VPN智能选路，根据应用和隧道质量调度流量；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8、支持基于地理位置的流量和威胁分析；（提供功能截图）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9、支持将基于端口的安全策略转换为基于应用的安全策略，分析设备策略风险，及冗余策略，提供安全策略优化建议；（提供功能截图）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10、支持加密流量解密后镜像给第三方设备做审计，安全检测（提供功能截图）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11、防病毒：可基于病毒特征进行检测，实现病毒库手动和自动升级，报文流处理模式，实现病毒日志和报表；支持超过37000条病毒规则；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12、数据安全：支持数据防泄露，对传输的文件和内容进行识别过滤，对内容与身份证、信用卡、银行卡、社会安全卡号等类型进行匹配；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13、支持对常见应用服务（HTTP、FTP、SSH、SMTP、IMAP）和数据库软件（MySQL、Oracle、MSSQL）的口令暴力破解防护功能；（提供功能截图）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14、加密流量检测：支持HTTPS加密流量的安全检测；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15、IPv6：实现IPV6动态路由协议、IPV6对象及策略、IPV6状态防火墙、IPV6攻击防范、IPV6 GRE/IPSEC VPN、IPV6日志审计、IPV6会话热备等功能；支持IPV6下的访问控制、IPSec VPN、DDoS防护等安全功能；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16、DDoS防护：能够防范DOS/DDOS攻击： Land、Smurf、Fraggle、WinNuke、Ping of Death、Tear Drop、IP Spoofing、SYN Flood、ICMP Flood、UDP Flood、HTTP Flood（cc）攻击、ARP欺骗、TCP报文标志位不合法、超大ICMP报文、地址扫描的防范、端口扫描的防范、DNS Flood、ACK Flood、FIN Flood、分片Flood、Tiny-Fragment；支持流量自学习功能，可设置自学习时间，并自动生成DDoS防范策略；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17、可根据目的地址智能优选运营商链路，支持主备接口配置以及按比例分配的负载分担方式；支持智能DNS功能、透明DNS功能、动态DNS功能，支持会话保持，满足多链路出口场景下的负载均衡（提供功能截图）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18、虚拟防火墙：所投设备须支持虚拟防火墙功能：支持虚拟防火墙的创建、启动、关闭、删除功能；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19、★产品资质：所投产品须具备公安部监制的计算机信息系统安全专用产品销售许可证；具备中国信息安全认证中心颁发的国家信息安全产品认证证书（ISCCC）；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20、▲本项目需要提供原厂3年质保，中标后须出具原厂质保函并原厂盖章； </w:t>
            </w:r>
          </w:p>
        </w:tc>
        <w:tc>
          <w:tcPr>
            <w:tcW w:w="15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770" w:hRule="atLeast"/>
        </w:trPr>
        <w:tc>
          <w:tcPr>
            <w:tcW w:w="67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入侵检测</w:t>
            </w:r>
          </w:p>
        </w:tc>
        <w:tc>
          <w:tcPr>
            <w:tcW w:w="8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9165"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1、★基本要求：基于专业多核硬件平台，非X86硬件平台；实配冗余电源，配置千兆电口≥4个，千兆光口≥4，万兆光口≥2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2、★性能要求：吞吐量≥2G，并发连接数≥250万，新建连接数≥7万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3、功能要求：攻击特征库数量≥7500、支持的协议识别数量≥3500 ；支持URL过滤功能；IPS检测到攻击报文或攻击流量后，支持阻断、限流、捕获原始报文等常规响应方式；IPS检测到攻击报文或攻击流量后，支持Web重定向、黑名单等响应方式，以实现第一时间隔离有安全威胁的主机；IPS支持对不同的网段运用不同的入侵防御策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4、★支持静态路由、策略路由，OSFP、BGP、ISIS等路由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5、部署方式需灵活，必须支持透明直路部署模式、旁路部署模式；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单台设备必须支持IDS/IPS混合部署方式，实现部分接口旁路检测，部分接口对直路防护，设备支持单臂部署方式，可以旁挂在二层或者三层设备上进行入侵防御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6、支持双机热备，支持主主部署模式、主备部署模式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7、支持与沙箱，云沙箱混合联动，对含有未知威胁的文件进行检测，并能阻断。（提供截图）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8、系统支持除了基于攻击事件本身进行严重级别划分，还可以根据攻击与资产相关性关联进行风险级别定义，协助管理员关注实际环境中需要紧急处理的安全告警，提升安全事件响应效率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9、支持安全威胁的分析报表，提供基于威胁趋势、排行等呈现方式，支持接口流量、应用流量的分析报表，支持按日、周、月、导出报表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10、▲本项目需要提供原厂3年质保，中标后出具原厂质保函并原厂盖章；</w:t>
            </w:r>
          </w:p>
        </w:tc>
        <w:tc>
          <w:tcPr>
            <w:tcW w:w="15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202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行为管理</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1、产品结构：机架式独立硬件设备，系统硬件为全内置封闭式结构，稳定可靠，加电即可运行，启动过程无须人工干预；多核架构设计，不允许采用X86架构，功能采用模块化结构设计，实配双电源；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2、★基本要求：千兆电口≥12，千兆光口≥12，万兆光口≥2，要求提供产品正面照片；吞吐量≥10G，最大新建连接数≥12万，最大并发连接数≥400万；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3、IPv6：支持接入IPv6网络；支持配置基于用户和应用均为任意的7元组的IPv6策略；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4、支持路由模式、透明（网桥）模式、混合模式，支持镜像接口，部署模式切换无需重启设备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5、应用协议识别：支持主流P2P、IM、在线视频、网络游戏、网络炒股等应用识别；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支持BYOD特征库，可识别ios版和安卓版移动互联网软件如微博、微信等特征，并提供web界面配置截图；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用户行为控制：支持自定义关键字对象，提供基于关键的邮件、http等相关内容的关键字过滤功能；支持用户应用的精细化控制；支持邮件详细控制，针对smtp发邮件方式，支持针对发件人、收件人黑白名单过滤，针对标题正文支持关键字控制，针对邮件大小和附件个数支持相关控制；支持针对web相关行为的关键字过滤，支持针对web搜索引擎、web http上传、web网页内容的关键字控制；支持针对虚拟账号的黑白名单控制；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7、用户行为审计：支持一键化快速审计策略配置；支持http、邮件、即时通讯、基础协议、娱乐股票、网络应用六个大类维度的用户应用审计；http类审计支持网页访问、网络社区（微博、论坛）、网页搜索、http外发文件、http文件下载、web网盘上传文件、web网盘下载文件等细粒度的审计；邮件类审计支持smtp的发邮件，imap&amp;pop3收邮件、外发的web mail邮件内容、外发的web mail邮件附件、接受的webmail邮件内容、接受的webmail邮件附件等细粒度的审计；即时通讯类审计支持IM聊天行为审计、网页版微信审计、移动飞信审计、其他即时通讯类软件审计等细粒度的审计；基础协议类审计支持FTP的账号和文件名相关审计；娱乐股票类审计，支持娱乐类的账号和评论审计，支持股票类的账号审计；其他应用行为审计，支持管理员选择相关审计的应用大类；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8、SSL加密内容审计：支持HTTPS解密功能，支持配置解密策略，包括入接口、源地址对象、目的地址对象、https对象、域名排除等；支持HTTPS域名库，预定义域名以及自定义域名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9、流量管理：支持通道化的QoS，支持基于源地址、用户、服务、应用、时间进行带宽控制，并支持配置保障带宽、限制带宽、带宽借用、每IP带宽、流量限额、带宽优先级等QoS动作，时间选择支持基于日计划、周计划、单次计划等。支持流量限额以日、月为单位配置，并提供web界面配置截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10、链路负载均衡：支持7元组的链路负载均衡策略；支持基于域名的负载均衡策略；基于支持直连网段和特定网段的负载均衡排除；负载均衡接口支持pppoe，dhcp，链路聚合，物理接口等三层接口；基于源地址hash的链路负载均衡；支持给予优先级的链路负载均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11、★资质要求：公安部公共信息网络安全监察局颁发的《计算机信息系统安全专用产品销售许可证》；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12、▲本项目需要提供原厂3年质保，中标后须出具原厂质保函并原厂盖章； </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507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rPr>
              <w:t>核心交换机</w:t>
            </w:r>
            <w:r>
              <w:rPr>
                <w:rFonts w:hint="eastAsia" w:ascii="宋体" w:hAnsi="宋体" w:cs="宋体"/>
                <w:b/>
                <w:bCs/>
                <w:color w:val="0000FF"/>
                <w:kern w:val="0"/>
                <w:sz w:val="22"/>
                <w:szCs w:val="22"/>
                <w:lang w:eastAsia="zh-CN"/>
              </w:rPr>
              <w:t>（</w:t>
            </w:r>
            <w:r>
              <w:rPr>
                <w:rFonts w:hint="eastAsia"/>
                <w:b/>
                <w:bCs/>
                <w:color w:val="0000FF"/>
                <w:lang w:eastAsia="zh-CN"/>
              </w:rPr>
              <w:t>核心产品</w:t>
            </w:r>
            <w:r>
              <w:rPr>
                <w:rFonts w:hint="eastAsia" w:ascii="宋体" w:hAnsi="宋体" w:cs="宋体"/>
                <w:b/>
                <w:bCs/>
                <w:color w:val="0000FF"/>
                <w:kern w:val="0"/>
                <w:sz w:val="22"/>
                <w:szCs w:val="22"/>
                <w:lang w:eastAsia="zh-CN"/>
              </w:rPr>
              <w:t>）</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1、★产品架构：支持多级交换架构，能够配置独立的交换网板与独立的主控板，交换网板与主控板硬件槽位分离；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性能要求：交换容量≥500Tbps，包转发率≥20000Mpps，以上指标均以官网最小值为准，提供官网截图及链接证明；主控槽位≥2，主控槽位与业务线卡槽位宽度相同的全宽槽位，提供更好的扩展性和可靠性，业务槽位≥8，支持独立交换网板（非主控集成）≥4，支持主控，电源，风扇，交换网版冗余；实际配置双主控，双交换网板，交流电源模块≥3，千兆电口≥48个，万兆光口≥48个，3m SFP+堆叠线缆（含模块）≥1根；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3、关键部件热插拔：主控交换卡、电源、接口模块、风扇、网板等关键部件可热插拔；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4、为保证设备散热效果和可靠性，要求设备支持模块化风扇框，可热插拔，当单个风扇框发生故障时，有其他风扇正常运行，保证设备散热，独立风扇框数≥2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链路聚合：聚合组数≥128组，每组成员≥8个；支持跨设备链路聚合；支持对广播、组播、单播报文的均匀分担；支持链路聚合+ECMP情况也可以对报文均匀分担，即等价路由的链路是由聚合链路组成情况下的报文分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6、ACL：支持双向ACL；支持端口ACL；支持VLAN ACL；</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7、QOS：每端口支持8个优先级队列，3个丢弃优先级，支持SP、WRR、SP+WRR三种队列调度算法；支持精细化的流量监管，粒度可达8K；支持流量整形Shapping；支持WRED拥塞避免；支持802.1p、TOS、DSCP、EXP优先级映射；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8、可靠性：双引擎快速倒换，主备切换时候板内转发无丢包 ；支持NSF/GR for OSFP/BGP/IS-IS；支持热补丁功能，可在线进行补丁升级；支持BFD，BFD for VRRP/BGP/IS-IS/OSPF/RSVP/LDP/RIP/静态路由；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9、MAC：MAC表≥512K；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10、支持静态路由、RIP、RIPng、OSPF、OSPFv3、BGP、BGP4+、ISIS、ISISv6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11、支持ARP表项≥256K，提供权威第三方测试报告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12、支持横向虚拟化技术，将多台设备虚拟为一台，支持长距离集群；支持纵向虚拟化技术，支持把交换机和AP虚拟为一台设备，方便管理与维护，提供权威第三方测试报告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13、★为了适配模块化机房机柜部署与散热要求，采用机箱（包括业务板卡区）后出风风道设计，提供设备散热气流流向截图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14、支持数据业务流的实时检测技术，可以实现对IP网络的精确丢包监控和快速故障定界能力，提供权威第三方测试报告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15、MPLS：支持L3 VPN；支持VLL；支持VLPS；支持MCE；</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16、管理和维护：支持SNMP V1/V2/V3、RMON、SSHV2；管理特性：为了方便国内使用环境，需要支持中文WEB网管，提供用户手册说明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17、SDN/OPENFLOW：支持OPENFLOW 1.3 ；支持普通模式和Openflow 模式切换；支持多控制器（EQUAL模式、主备模式）；支持多表流水线；支持Group table；支持Meter；</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18、支持硬件BFD/OAM，3.3ms稳定均匀发包检测，提高设备的可靠性，提供权威第三方测试报告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19、支持VxLAN功能，支持VxLAN二层网关、三层网关，支持BGP EVPN，支持分布式 网关，支持VxLAN Fabric 的自动化部署，提供权威第三方测试报告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20、资质要求：提供设备工信部入网证和进网检测报告；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21、▲本项目需要提供原厂3年质保，中标后须出具原厂质保函并原厂盖章；</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1445"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汇聚交换机</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1、★性能要求基本要求：交换容量≥2.56Tbps，转发性能≥1080Mpps（以上指标均以官网最小值为准，提供官网截图及链接证明）；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2、★实际配置：≥48个10G/1G SFP+端口, ≥2个40G QSFP+端口 ，配置模块化双电源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3、VxLAN：支持VxLAN二层网关；支持VxLAN三层网关，后期保留测试权利；支持EVPN；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4、支持整机MAC地址≥250K，提供官网截图与链接证明；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5、支持横向虚拟化技术，将多台设备虚拟为一台，支持长距离集群；支持纵向虚拟化技术，支持把交换机和AP虚拟为一台设备，方便管理与维护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6、VLAN特性：支持基于端口的VLAN，支持基于协议的VLAN；支持基于MAC的VLAN；最大VLAN数(不是VLAN ID)≥4094；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7、路由协议：支持IPv4静态路由、RIP V1/V2、OSPF、BGP、ISIS；支持IPv6静态路由、RIPng、OSPFv3、BGP4+；支持IPv4和IPv6环境下的策略路由；支持IPv6手动隧道、6to4隧道和ISATAP隧道；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8、可靠性：支持VRRPv2/v3（虚拟路由冗余协议)；支持RRPP（快速环网保护协议）；支持802.1x认证，支持集中式MAC地址认证；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9、资质认证：要求提供工信部入网证和进网检测报告；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10、其他要求：与核心交换机为同一品牌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11、▲本项目需要提供原厂3年质保，中标后须出具原厂质保函并原厂盖章；</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1845"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24口交换机</w:t>
            </w:r>
            <w:r>
              <w:rPr>
                <w:rFonts w:hint="eastAsia" w:ascii="宋体" w:hAnsi="宋体" w:cs="宋体"/>
                <w:b/>
                <w:bCs/>
                <w:color w:val="0000FF"/>
                <w:kern w:val="0"/>
                <w:sz w:val="22"/>
                <w:szCs w:val="22"/>
                <w:lang w:eastAsia="zh-CN"/>
              </w:rPr>
              <w:t>（</w:t>
            </w:r>
            <w:r>
              <w:rPr>
                <w:rFonts w:hint="eastAsia"/>
                <w:b/>
                <w:bCs/>
                <w:color w:val="0000FF"/>
                <w:lang w:eastAsia="zh-CN"/>
              </w:rPr>
              <w:t>核心产品</w:t>
            </w:r>
            <w:r>
              <w:rPr>
                <w:rFonts w:hint="eastAsia" w:ascii="宋体" w:hAnsi="宋体" w:cs="宋体"/>
                <w:b/>
                <w:bCs/>
                <w:color w:val="0000FF"/>
                <w:kern w:val="0"/>
                <w:sz w:val="22"/>
                <w:szCs w:val="22"/>
                <w:lang w:eastAsia="zh-CN"/>
              </w:rPr>
              <w:t>）</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1、★性能要求：交换容量≥336Gbps,包转发率≥108Mpps（以上指标均以以官网最小值为准）10/100/1000Base-T自适应以太网端口≥24个，万兆光口≥4个，提供官网截图及链接证明；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2、性能指标：MAC地址表≥16K；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3、堆叠：支持只能堆叠，堆叠后支持跨设备链路聚合，单一IP管理。支持纵向虚拟化，作为纵向子节点零配置即插即用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4、★支持RIP、RIPng、OSPF、OSPFv3路由协议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5、CPU防护：实现CPU保护功能，能限制非法报文对CPU的攻击，保护交换机在各种环境下稳定工作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6、VLAN特性：支持基于端口的VLAN，支持基于协议的VLAN；支持基于MAC的VLAN；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7、链路聚合：支持最多8个端口聚合；支持LACP；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8、防雷：要求端口防雷等级≥10KV，提供官网截图链接证明；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9、镜像功能：支持本地端口镜像和远程端口镜像RSPAN；支持流镜像；同时支持N：M的端口镜像（M大于1）；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10、组播协议：支持IGMP v1/v2/v3，MLD v1/v2；支持IGMP Snooping v1/v2/v3，MLD Snooping v1/v2；支持PIM Snooping；支持MLD Proxy；支持组播VLAN；支持PIM-DM，PIM-SM，PIM-SSM；支持MSDP，MSDP for IPv6；支持MBGP，MBGP for Ipv6；</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11、管理和维护：支持SNMP V1/V2/V3、RMON、SSHV2；管理特性：为了方便国内使用环境，需要支持中文WEB网管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12、其他要求：与核心交换机为同一品牌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13、▲本项目需要提供原厂3年质保，中标后须出具原厂质保函并原厂盖章；</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8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堆叠线缆</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SFP+电缆1m</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80" w:hRule="atLeast"/>
        </w:trPr>
        <w:tc>
          <w:tcPr>
            <w:tcW w:w="67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万兆光模块</w:t>
            </w:r>
          </w:p>
        </w:tc>
        <w:tc>
          <w:tcPr>
            <w:tcW w:w="8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128</w:t>
            </w:r>
          </w:p>
        </w:tc>
        <w:tc>
          <w:tcPr>
            <w:tcW w:w="916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SFP+ 万兆模块(1310nm,10km,LC)</w:t>
            </w:r>
          </w:p>
        </w:tc>
        <w:tc>
          <w:tcPr>
            <w:tcW w:w="15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40" w:hRule="atLeast"/>
        </w:trPr>
        <w:tc>
          <w:tcPr>
            <w:tcW w:w="14157" w:type="dxa"/>
            <w:gridSpan w:val="7"/>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二、无线网</w:t>
            </w:r>
          </w:p>
        </w:tc>
      </w:tr>
      <w:tr>
        <w:tblPrEx>
          <w:tblCellMar>
            <w:top w:w="0" w:type="dxa"/>
            <w:left w:w="0" w:type="dxa"/>
            <w:bottom w:w="0" w:type="dxa"/>
            <w:right w:w="0" w:type="dxa"/>
          </w:tblCellMar>
        </w:tblPrEx>
        <w:trPr>
          <w:trHeight w:val="4385" w:hRule="atLeast"/>
        </w:trPr>
        <w:tc>
          <w:tcPr>
            <w:tcW w:w="67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无线网核心</w:t>
            </w:r>
          </w:p>
        </w:tc>
        <w:tc>
          <w:tcPr>
            <w:tcW w:w="8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9165"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1、★产品架构：支持多级交换架构，能够配置独立的交换网板与独立的主控板，交换网板与主控板硬件槽位分离；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性能要求：交换容量≥200Tbps，包转发率≥12000Mpps，以上指标均以官网最小值为准，提供官网截图及链接证明；主控槽位≥2，主控槽位与业务线卡槽位宽度相同的全宽槽位，提供更好的扩展性和可靠性，业务槽位≥4，支持独立交换网板（非主控集成）≥2，支持主控，电源，风扇，交换网版冗余；实际配置双主控，双交换网板，冗余交流电源，千兆电口≥48个，万兆光口≥48个，3m SFP+堆叠线缆（含模块）≥1根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3、关键部件热插拔：主控交换卡、电源、接口模块、风扇、网板等关键部件可热插拔；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4、为保证设备散热效果和可靠性，要求设备支持模块化风扇框，可热插拔，当单个风扇框发生故障时，有其他风扇正常运行，保证设备散热，独立风扇框数≥2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链路聚合：聚合组数≥128组，每组成员≥8个；支持跨设备链路聚合；支持对广播、组播、单播报文的均匀分担；支持链路聚合+ECMP情况也可以对报文均匀分担，即等价路由的链路是由聚合链路组成情况下的报文分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6、ACL：支持双向ACL；支持端口ACL；支持VLAN ACL；</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7、QOS：每端口支持8个优先级队列，3个丢弃优先级，支持SP、WRR、SP+WRR三种队列调度算法；支持精细化的流量监管，粒度可达8K；支持流量整形Shapping；支持WRED拥塞避免；支持802.1p、TOS、DSCP、EXP优先级映射；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8、可靠性：双引擎快速倒换，主备切换时候板内转发无丢包 ；支持NSF/GR for OSFP/BGP/IS-IS；支持热补丁功能，可在线进行补丁升级；支持BFD，BFD for VRRP/BGP/IS-IS/OSPF/RSVP/LDP/RIP/静态路由；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9、MAC：MAC表≥512K；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10、支持静态路由、RIP、RIPng、OSPF、OSPFv3、BGP、BGP4+、ISIS、ISISv6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11、支持ARP表项≥256K，提供权威第三方测试报告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12、支持横向虚拟化技术，将多台设备虚拟为一台，支持长距离集群；支持纵向虚拟化技术，支持把交换机和AP虚拟为一台设备，方便管理与维护，提供权威第三方测试报告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13、★为了适配模块化机房机柜部署与散热要求，采用机箱（包括业务板卡区）后出风风道设计，提供设备散热气流流向截图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14、支持数据业务流的实时检测技术，可以实现对IP网络的精确丢包监控和快速故障定界能力，提供权威第三方测试报告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15、MPLS：支持L3 VPN；支持VLL； 支持VLPS；支持MCE；</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16、管理和维护：支持SNMP V1/V2/V3、RMON、SSHV2；管理特性：为了方便国内使用环境，需要支持中文WEB网管，提供用户手册说明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17、SDN/OPENFLOW：支持OPENFLOW 1.3 ；支持普通模式和Openflow 模式切换；支持多控制器（EQUAL模式、主备模式）；支持多表流水线；支持Group table；支持Meter；</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18、支持硬件BFD/OAM，3.3ms稳定均匀发包检测，提高设备的可靠性，提供权威第三方测试报告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19、支持VxLAN功能，支持VxLAN二层网关、三层网关，支持BGP EVPN，支持分布式 网关，支持VxLAN Fabric 的自动化部署，提供权威第三方测试报告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20、无线控制管理: 单台核心配置一套高性能无线控制器板卡或者核心配置无线控制器功能，要求与无线核心交换机联动使用。无线管理设备性能要求：AP管理能力≥2K，提供官网截图和链接，本次要求单台核心配置无线AP管理授权≥200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21、资质要求：提供设备工信部入网证和进网检测报告；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22、▲本项目需要提供原厂3年质保，中标后须出具原厂质保函并原厂盖章；</w:t>
            </w:r>
          </w:p>
        </w:tc>
        <w:tc>
          <w:tcPr>
            <w:tcW w:w="15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80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汇聚交换机</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1、★性能要求基本要求：交换容量≥2.56Tbps，转发性能≥1080Mpps（以上指标均以官网最小值为准，提供官网截图及链接证明）；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2、★实际配置：≥48个10G/1G SFP+端口, ≥2个40G QSFP+端口 ，配置模块化双电源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3、VxLAN：支持VxLAN二层网关；支持VxLAN三层网关，后期保留测试权利；支持EVPN；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4、支持整机MAC地址≥250K，提供官网截图与链接证明；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5、支持横向虚拟化技术，将多台设备虚拟为一台，支持长距离集群；支持纵向虚拟化技术，支持把交换机和AP虚拟为一台设备，方便管理与维护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6、VLAN特性：支持基于端口的VLAN，支持基于协议的VLAN；支持基于MAC的VLAN；最大VLAN数(不是VLAN ID)≥4094；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7、路由协议：支持IPv4静态路由、RIP V1/V2、OSPF、BGP、ISIS；支持IPv6静态路由、RIPng、OSPFv3、BGP4+；支持IPv4和IPv6环境下的策略路由；支持IPv6手动隧道、6to4隧道和ISATAP隧道；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8、可靠性：支持VRRPv2/v3（虚拟路由冗余协议)；支持RRPP（快速环网保护协议）；支持802.1x认证，支持集中式MAC地址认证；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9、资质认证：要求提供工信部入网证和进网检测报告；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10、其他要求：与核心交换机为同一品牌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11、▲本项目需要提供原厂3年质保，中标后须出具原厂质保函并原厂盖章；</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668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24口POE交换机</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1、★性能要求：交换容量≥336Gbps,包转发率≥108Mpps（以上指标均以以官网最小值为准）千兆电口≥24个，万兆光口≥4个，提供官网截图及链接证明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2、性能指标：MAC地址表≥16K；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3、POE：支持802.3at/POE+供电标准；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4、★整机功耗：AC供电，整机POE功耗为≥360W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5、堆叠：支持只能堆叠，堆叠后支持跨设备链路聚合，单一IP管理。支持纵向虚拟化，作为纵向子节点零配置即插即用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6、★支持RIP、RIPng、OSPF、OSPFv3路由协议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7、CPU防护：实现CPU保护功能，能限制非法报文对CPU的攻击，保护交换机在各种环境下稳定工作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8、VLAN特性：支持基于端口的VLAN，支持基于协议的VLAN；支持基于MAC的VLAN；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9、链路聚合：支持最多8个端口聚合；支持LACP；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10、防雷：要求端口防雷等级≥10KV，提供官网截图链接证明；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11、镜像功能：支持本地端口镜像和远程端口镜像RSPAN；支持流镜像；同时支持N：M的端口镜像（M大于1）；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12、组播协议：支持IGMP v1/v2/v3，MLD v1/v2；支持IGMP Snooping v1/v2/v3，MLD Snooping v1/v2；支持PIM Snooping；支持MLD Proxy；支持组播VLAN；支持PIM-DM，PIM-SM，PIM-SSM；支持MSDP，MSDP for IPv6；支持MBGP，MBGP for Ipv6；</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13、管理和维护：支持SNMP V1/V2/V3、RMON、SSHV2；管理特性：为了方便国内使用环境，需要支持中文WEB网管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14、其他要求：与核心交换机为同一品牌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15、▲本项目需要提供原厂3年质保，中标后须出具原厂质保函并原厂盖章；</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80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高密AP</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172</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1、工作模式：可支持胖/瘦AP两种工作模式，支持802.11ac Wave2协议，支持MU-MIMO，提供官网截图及链接证明；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2、协议支持：同时支持802.11a/n/ac/ac Wave2和802.11b/g/n工作；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3、工作温度：温度：-10~50度范围；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4、工作湿度：湿度：10%~95%；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5、接口：≥2个10/100/1000Mbps(RJ45)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6、★协商速率：整机协商速率不低于3Gbps，提供官网截图及链接证明；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7、天线：内置天线；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8、供电：RJ45网线供电或本地电源适配器；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9、IPv6支持：支持IPv4/IPv6双协议栈、Native原生，特别支持IPv6 Portal、IPv6 SAVI；</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10、加密：支持64、128位WEP加密，WPA，802.11i和WAPI；</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11、用户隔离：支持AP上二层转发抑制；支持虚拟AP(多SSID)之间的隔离；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12、基于802.11k和802.11v协议的智能漫游技术，使终端接入到信号质量最好的AP，提供官网截图及链接证明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13、提供无线设备的型号核准证书；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14、★其他要求：与核心交换机为同一品牌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15、▲本项目需要提供原厂3年质保，中标后须出具原厂质保函并原厂盖章；</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32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面板AP</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122</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1、工作模式：支持802.11ac Wave2协议，提供官网截图及链接证明；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2、尺寸：支持面板式（86盒）等安装方式；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3、协议支持：同时支持802.11a/n/ac和802.11b/g/n工作；802.11ac/n/a : 5.725GHz-5.850GHz ; 5.15~5.35GHz (中国)；802.11b/g/n : 2.4GHz-2.483GHz (中国), 2.4GHz/5GHz双频段同时工作；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4、MU-MIMO：支持；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5、★LAN接口：≥4个10/100/1000Mbps(RJ45)下行口；≥1个10/100/1000Mbps(RJ45)透传口；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6、WAN接口：≥1个10/100/1000Mbps(RJ45)；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7、接口要求：在设备断电状态下，可传输数据接口≥1个；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8、★协商速率：整机协商速率要求≥1267Mbps，提供官网截图及链接证明；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9、天线：内置全向天线；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10、供电：支持Poe供电，且支持本地电源适配器供电；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11、IPv6支持：支持IPv4/IPv6双协议栈、Native原生，特别支持IPv6 Portal、IPv6 SAVI；</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12、用户隔离：支持AP上二层转发抑制；支持虚拟AP(多SSID)之间的隔离；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13、基于802.11k和802.11v协议的智能漫游技术，使终端接入到信号质量最好的AP，提供官网截图及链接证明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14、提供无线设备的型号核准证书；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15、★其他要求：与核心交换机为同一品牌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16、▲本项目需要提供原厂3年质保，中标后须出具原厂质保函并原厂盖章；</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521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普通吸顶AP</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145</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1、工作模式：必须支持瘦AP工作模式或独立工作模式；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2、协议标准：支持802.11ac Wave2协议，支持MU-MIMO，提供官网截图及链接证明；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3、协议支持：同时支持802.11a/n/ac和802.11b/g/n工作；802.11ac/n/a : 5.725GHz-5.850GHz ; 5.15~5.35GHz (中国)；802.11b/g/n : 2.4GHz-2.483GHz (中国), 2.4GHz/5GHz双频段同时工作；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4、★协商速率：整机协商速率要求≥1267Mbps，提供官网截图及链接证明；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5、网络接口数量：≥1个10/100/1000Mbps(RJ45)；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6、发射功率：可达到20dBm；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7、天线：内置全向天线；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8、供电：支持Poe供电，且支持本地电源适配器供电；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9、IPv6支持：支持IPv4/IPv6双协议栈、Native原生，特别支持IPv6 Portal、IPv6 SAVI；</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10、用户隔离：支持AP上二层转发抑制；支持虚拟AP(多SSID)之间的隔离；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11、基于802.11k和802.11v协议的智能漫游技术，使终端接入到信号质量最好的AP，提供官网截图及链接证明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12、提供无线设备的型号核准证书；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13、★其他要求：与核心交换机为同一品牌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14、▲本项目需要提供原厂3年质保，中标后须出具原厂质保函并原厂盖章；</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56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7</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堆叠线缆</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SFP+电缆1m</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8</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万兆光模块</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SFP+ 万兆模块(1310nm,10km,LC)</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1715" w:hRule="atLeast"/>
        </w:trPr>
        <w:tc>
          <w:tcPr>
            <w:tcW w:w="67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w:t>
            </w:r>
          </w:p>
        </w:tc>
        <w:tc>
          <w:tcPr>
            <w:tcW w:w="11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网管软件</w:t>
            </w:r>
          </w:p>
        </w:tc>
        <w:tc>
          <w:tcPr>
            <w:tcW w:w="8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8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916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分布式部署：要求资源拓扑、告警、性能等功能模块支持多服务器分布式虚拟化部署，可实现负载分担，满足大规模网络环境的统一管理。单套软件可管理的节点数可达15000个。本次实际配置基础网络设备管理授权125个，无线管理组件授权500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2、用户分权管理：可以为不同的管理员设置不同的用户名、密码，并限制管理员的管理权限和管理范围，实现用户分权管理；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3、多平台支持：支持Windows、Linux平台、麒麟等国产优质操作系统，及MS SQL、Oracle、达梦等数据库，支持B/S架构；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4、支持自定义用户主页：管理员可以首页中通过拖拽，自定义需要在首页展示页面，同时支持Widget扩展；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5、自动发现拓扑：自动发现网络中的所有网络设备，并在拓扑中显示出来，支持拓扑图自定义修改，包括设备、链路等；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6、拓扑功能：支持IP拓扑、二层拓扑、自定义拓扑视图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7、故障管理：支持对全网设备告警的实时监控和统一浏览；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8、性能管理：支持基于任务的性能监控，可定制监控任务，长期监控网络性能，可以形成日报、周报、月报等报表。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提供直观的设备的面板视图：支持设备面板的显示、定时刷新、面板缩放功能，通过面板管理，网络管理人员可以直观地看到设备、板卡、端口的工作状态；并提供基于设备面板的设备、单板、端口配置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10、资源管理：支持虚拟网络资源管理、虚拟网络拓扑展示、虚拟网络告警管理、虚拟网络性能监控、虚拟交换机配置管理、虚拟网络配置迁移管理；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11、IPv6管理：支持IPv6环境下的资源、性能、告警、拓扑、面板管理，包括纯IPv6组网和双栈组网；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支持设备配置集中管理：配置库包括配置文件和配置片断，配置内容可带有参数，在部署时根据设备的差异设置不同的值；配置文件可部署到设备的启动配置或者运行配置；配置片断只能部署到设备的运行配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13、支持批量的设备配置备份和恢复：支持向导方式或者任务方式（周期性任务、一次性任务或立即任务）批量的备份、恢复完整的配置文件，也可以批量的下发配置片断；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14、多厂商设备配置及软件管理：支持H3C/HUAWEI/3COM/CISCO/HP设备的批量配置和软件管理，包括的软件版本和软件库中最新可用的软件，更新设备的软件。</w:t>
            </w:r>
          </w:p>
        </w:tc>
        <w:tc>
          <w:tcPr>
            <w:tcW w:w="15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500" w:hRule="atLeast"/>
        </w:trPr>
        <w:tc>
          <w:tcPr>
            <w:tcW w:w="14157" w:type="dxa"/>
            <w:gridSpan w:val="7"/>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eastAsia="宋体" w:cs="宋体"/>
                <w:b/>
                <w:color w:val="000000"/>
                <w:sz w:val="22"/>
                <w:szCs w:val="22"/>
              </w:rPr>
            </w:pPr>
            <w:r>
              <w:rPr>
                <w:rFonts w:hint="eastAsia" w:ascii="宋体" w:hAnsi="宋体" w:eastAsia="宋体" w:cs="宋体"/>
                <w:b/>
                <w:color w:val="000000"/>
                <w:kern w:val="0"/>
                <w:sz w:val="22"/>
                <w:szCs w:val="22"/>
              </w:rPr>
              <w:t>三、安防网</w:t>
            </w:r>
          </w:p>
        </w:tc>
      </w:tr>
      <w:tr>
        <w:tblPrEx>
          <w:tblCellMar>
            <w:top w:w="0" w:type="dxa"/>
            <w:left w:w="0" w:type="dxa"/>
            <w:bottom w:w="0" w:type="dxa"/>
            <w:right w:w="0" w:type="dxa"/>
          </w:tblCellMar>
        </w:tblPrEx>
        <w:trPr>
          <w:trHeight w:val="90" w:hRule="atLeast"/>
        </w:trPr>
        <w:tc>
          <w:tcPr>
            <w:tcW w:w="67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安防网核心</w:t>
            </w:r>
          </w:p>
        </w:tc>
        <w:tc>
          <w:tcPr>
            <w:tcW w:w="8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9165"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1、★性能要求：交换容量≥19.2Tbps，包转发率≥2880Mpps，以官网最小值为准，提供官网截图及链接证明；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2、★硬件要求：主控槽位≥2，业务槽位≥6；主控引擎模块≥2，电源模块≥2，满足1+1冗余；实配双主控，冗余电源，千兆电口≥48个，千兆光口≥16个，万兆光口≥16个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3、支持横向虚拟化技术，将多台设备虚拟为一台，支持长距离集群；支持纵向虚拟化，作为纵向子节点零配置即插即用，提供权威第三方测试报告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4、为保证设备散热效果和可靠性，要求设备支持模块化风扇框，可热插拔，独立风扇框数≥2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5、关键部件热插拔：主控交换卡、电源、接口模块、风扇、网板等关键部件可热插拔；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链路聚合：聚合组数≥128组，每组成员≥8个；支持跨设备链路聚合；支持对广播、组播、单播报文的均匀分担；支持链路聚合+ECMP情况也可以对报文均匀分担，即等价路由的链路是由聚合链路组成情况下的报文分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7、数据中心特性：支持FCOE，openflow ,Trill</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8、★为了适配模块化机房机柜部署与散热要求，采用机箱（包括业务板卡区）后出风风道设计，提供设备散热气流流向截图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9、支持整机MAC地址≥1M；MAC学习速率&gt;8000/s，提供权威第三方测试报告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10、支持整机ARP表项≥256K；ARP学习速率≥1000/s，提供权威第三方测试报告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11、支持IPv4路由转发FIB表项≥1M，提供权威第三方测试报告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11、组播协议：支持IGMP Snooping V1,V2,V3；支持PIM V2 SM，SSM，MSDP，IGMP V2，V3；</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12、MPLS：支持MPLS-VPN，MPLS QAM，VLL，VLPS，MCE；</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13、支持GE/10GE端口200ms大缓存，提供权威第三方测试报告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14、QoS协议：每端口支持8个优先级队列，3个丢弃优先级，支持SP、WRR、SP+WRR三种队列调度算法；支持精细化的流量监管，粒度可达8K；支持流量整形Shapping；支持WRED拥塞避免；支持802.1p、TOS、DSCP、EXP优先级映射；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15、可靠性：支持主控板1+1冗余备份；支持电源1+1冗余备份；所有单板支持热插拔；支持CPU保护技术，提供权威第三方测试报告证明；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16、安全特性：支持IPv4 uRPF；支持DHCP Snooping；支持ARP防攻击；支持IP Source Guard；支持CoPP；支持广播风暴抑制；支持EAD；支持端口隔离；支持IP+MAC+VLAN+PORT的绑定；支持报文过滤功能，黑洞路由、黑洞MAC；支持IEEE 802.1ae介质访问控制安全技术；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17、支持硬件BFD/OAM，3.3ms稳定均匀发包检测，提高设备的可靠性，提供权威第三方测试报告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18、管理特性：为了方便国内使用环境，需要支持中文WEB网管，提供用户手册说明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19、资质要求：要求提供工信部颁发的入网证与进网检测报告；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21、▲本项目需要提供原厂3年质保，中标后须出具原厂质保函并原厂盖章；</w:t>
            </w:r>
          </w:p>
        </w:tc>
        <w:tc>
          <w:tcPr>
            <w:tcW w:w="15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安防网汇聚</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1、★整机性能：整机交换容量≥5.98Tbps，整机包转发能力≥222Mpps，以官网最小值为准，提供官网截图及链接证明；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2、★端口要求：≥24个SFP端口，≥4个万兆SFP+口；网管RJ45口（Console口）≥1个；要求设备为标准1U尺寸，符合弱电间机柜预留空间设计；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3、支持64K MAC地址容量，提供权威第三方测试报告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4、堆叠：最大堆叠台数≥9台；支持堆叠后跨设备链路聚合，单一IP管理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5、VLAN特性：支持基于端口的VLAN，支持基于协议的VLAN；支持基于MAC的VLAN；最大VLAN数(不是VLAN ID)≥4094；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6、SDN：支持OpenFlow 1.3标准，支持Group table，支持Meter；</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7、路由功能：支持静态路由、RIP、RIPng、OSPF、OSPFv3、BGP、BGP4+、ISIS、ISISv6</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8、支持纵向虚拟化，作为纵向子节点零配置即插即用，提供权威第三方测试报告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9、组播协议：支持PIM Snooping， MLD Proxy，组播VLAN， PIM-DM/SM/SSM，MSDP，MSDP for IPv6支持MBGP，MBGP for Ipv6；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10、SDN/OPENFLOW：支持OPENFLOW 1.3标准支持普通模式和Openflow 模式切换 ；支持多表流水线；支持Group table；支持Meter；</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11、管理特性：为了方便国内使用环境，需要支持中文WEB网管，提供用户手册说明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12、资质要求：要求提供工信部颁发的入网证与进网检测报告；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14、▲本项目需要提供原厂3年质保，中标后出具原厂质保函并原厂盖章；</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25"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24口POE交换机</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1、★性能要求：交换容量≥336Gbps,包转发率≥108Mpps（以上指标均以以官网最小值为准）千兆电口≥24个，万兆光口≥4个，提供官网截图及链接证明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2、性能指标：MAC地址表≥16K；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3、POE：支持802.3at/POE+供电标准；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4、★整机功耗：AC供电，整机POE功耗为≥360W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5、堆叠：支持只能堆叠，堆叠后支持跨设备链路聚合，单一IP管理。支持纵向虚拟化，作为纵向子节点零配置即插即用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6、★支持RIP、RIPng、OSPF、OSPFv3路由协议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7、CPU防护：实现CPU保护功能，能限制非法报文对CPU的攻击，保护交换机在各种环境下稳定工作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8、VLAN特性：支持基于端口的VLAN，支持基于协议的VLAN；支持基于MAC的VLAN；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9、链路聚合：支持最多8个端口聚合；支持LACP；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10、防雷：要求端口防雷等级≥10KV，提供官网截图链接证明；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11、镜像功能：支持本地端口镜像和远程端口镜像RSPAN；支持流镜像；同时支持N：M的端口镜像（M大于1）；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12、组播协议：支持IGMP v1/v2/v3，MLD v1/v2；支持IGMP Snooping v1/v2/v3，MLD Snooping v1/v2；支持PIM Snooping；支持MLD Proxy；支持组播VLAN；支持PIM-DM，PIM-SM，PIM-SSM；支持MSDP，MSDP for IPv6；支持MBGP，MBGP for Ipv6；</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13、管理和维护：支持SNMP V1/V2/V3、RMON、SSHV2；管理特性：为了方便国内使用环境，需要支持中文WEB网管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14、其他要求：与核心交换机为同一品牌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15、▲本项目需要提供原厂3年质保，中标后须出具原厂质保函并原厂盖章；</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8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堆叠线缆</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SFP+电缆1m</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8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千兆光模块</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光模块-SFP-GE-单模模块-(1310nm,10km,LC)</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80" w:hRule="atLeast"/>
        </w:trPr>
        <w:tc>
          <w:tcPr>
            <w:tcW w:w="67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4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万兆光模块</w:t>
            </w:r>
          </w:p>
        </w:tc>
        <w:tc>
          <w:tcPr>
            <w:tcW w:w="87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9165"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SFP+ 万兆模块(1310nm,10km,LC)</w:t>
            </w:r>
          </w:p>
        </w:tc>
        <w:tc>
          <w:tcPr>
            <w:tcW w:w="150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575" w:hRule="atLeast"/>
        </w:trPr>
        <w:tc>
          <w:tcPr>
            <w:tcW w:w="14157" w:type="dxa"/>
            <w:gridSpan w:val="7"/>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四、设备网</w:t>
            </w:r>
          </w:p>
        </w:tc>
      </w:tr>
      <w:tr>
        <w:tblPrEx>
          <w:tblCellMar>
            <w:top w:w="0" w:type="dxa"/>
            <w:left w:w="0" w:type="dxa"/>
            <w:bottom w:w="0" w:type="dxa"/>
            <w:right w:w="0" w:type="dxa"/>
          </w:tblCellMar>
        </w:tblPrEx>
        <w:trPr>
          <w:trHeight w:val="2265" w:hRule="atLeast"/>
        </w:trPr>
        <w:tc>
          <w:tcPr>
            <w:tcW w:w="67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4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设备网核心</w:t>
            </w:r>
          </w:p>
        </w:tc>
        <w:tc>
          <w:tcPr>
            <w:tcW w:w="8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9165"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1、★性能要求：交换容量≥19.2Tbps，包转发率≥2880Mpps，以官网最小值为准，提供官网截图及链接证明；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硬件要求：主控槽位≥2，业务槽位≥6；主控引擎模块≥2，电源模块≥2，满足1+1冗余；实配双主控，冗余电源，千兆电口≥48个，千兆光口≥16个，万兆光口≥16个，配置虚拟化万兆光接口≥8，配置对应的堆叠线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3、支持横向虚拟化技术，将多台设备虚拟为一台，支持长距离集群；支持纵向虚拟化，作为纵向子节点零配置即插即用，提供权威第三方测试报告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4、为保证设备散热效果和可靠性，要求设备支持模块化风扇框，可热插拔，独立风扇框数≥2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5、关键部件热插拔：主控交换卡、电源、接口模块、风扇、网板等关键部件可热插拔；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链路聚合：聚合组数≥128组，每组成员≥8个；支持跨设备链路聚合；支持对广播、组播、单播报文的均匀分担；支持链路聚合情况也可以对报文均匀分担，即等价路由的链路是由聚合链路组成情况下的报文分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7、数据中心特性：支持FCOE，openflow ,Trill</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8、★为了适配模块化机房机柜部署与散热要求，采用机箱（包括业务板卡区）后出风风道设计，提供设备散热气流流向截图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9、支持整机MAC地址≥1M；MAC学习速率&gt;8000/s，提供权威第三方测试报告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10、支持整机ARP表项≥256K；ARP学习速率≥1000/s，提供权威第三方测试报告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11、支持IPv4路由转发FIB表项≥1M，提供权威第三方测试报告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10、单播路由协议：支持静态路由；支持IP V4：支持静态路由，RIP V2，OSPF V2，SIS,BGP,PBR；</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11、组播协议：支持IGMP Snooping V1,V2,V3；支持PIM V2 SM，SSM，MSDP，IGMP V2，V3；</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12、MPLS：支持MPLS-VPN，MPLS QAM，VLL，VLPS，MCE；</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13、支持GE/10GE端口200ms大缓存，提供权威第三方测试报告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14、QoS协议：每端口支持8个优先级队列，3个丢弃优先级，支持SP、WRR、SP+WRR三种队列调度算法；支持精细化的流量监管，粒度可达8K；支持流量整形Shapping；支持WRED拥塞避免；支持802.1p、TOS、DSCP、EXP优先级映射；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15、可靠性：支持主控板1+1冗余备份；支持电源1+1冗余备份；所有单板支持热插拔；支持CPU保护技术，提供权威第三方测试报告证明；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16、安全特性：支持IPv4 uRPF；支持DHCP Snooping；支持ARP防攻击；支持IP Source Guard；支持CoPP；支持广播风暴抑制；支持EAD；支持端口隔离；支持IP+MAC+VLAN+PORT的绑定；支持报文过滤功能，黑洞路由、黑洞MAC；支持IEEE 802.1ae介质访问控制安全技术；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17、支持硬件BFD/OAM，3.3ms稳定均匀发包检测，提高设备的可靠性，提供权威第三方测试报告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18、管理特性：为了方便国内使用环境，需要支持中文WEB网管，提供用户手册说明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19、资质要求：要求提供工信部颁发的入网证与进网检测报告；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21、▲本项目需要提供原厂3年质保，中标后须出具原厂质保函并原厂盖章；</w:t>
            </w:r>
          </w:p>
        </w:tc>
        <w:tc>
          <w:tcPr>
            <w:tcW w:w="150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560" w:hRule="atLeast"/>
        </w:trPr>
        <w:tc>
          <w:tcPr>
            <w:tcW w:w="67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设备网汇聚</w:t>
            </w:r>
          </w:p>
        </w:tc>
        <w:tc>
          <w:tcPr>
            <w:tcW w:w="8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9165"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1、★整机性能：整机交换容量≥5.98Tbps，整机包转发能力≥222Mpps，以官网最小值为准，提供官网截图及链接证明；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2、★端口要求：≥24个SFP端口，≥4个万兆SFP+口；网管RJ45口（Console口）≥1个；要求设备为标准1U尺寸，符合弱电间机柜预留空间设计；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3、支持64K MAC地址容量，提供权威第三方测试报告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4、堆叠：最大堆叠台数≥9台；支持堆叠后跨设备链路聚合，单一IP管理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5、VLAN特性：支持基于端口的VLAN，支持基于协议的VLAN；支持基于MAC的VLAN；最大VLAN数(不是VLAN ID)≥4094；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6、SDN：支持OpenFlow 1.3标准，支持Group table，支持Meter；</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7、路由功能：支持静态路由、RIP、RIPng、OSPF、OSPFv3、BGP、BGP4+、ISIS、ISISv6</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8、支持纵向虚拟化，作为纵向子节点零配置即插即用，提供权威第三方测试报告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9、组播协议：支持PIM Snooping， MLD Proxy，组播VLAN， PIM-DM/SM/SSM，MSDP，MSDP for IPv6支持MBGP，MBGP for Ipv6；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10、SDN/OPENFLOW：支持OPENFLOW 1.3标准支持普通模式和Openflow 模式切换 ；支持多表流水线；支持Group table；支持Meter；</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11、管理特性：为了方便国内使用环境，需要支持中文WEB网管，提供用户手册说明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12、资质要求：要求提供工信部颁发的入网证与进网检测报告；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14、▲本项目需要提供原厂3年质保，中标后出具原厂质保函并原厂盖章；</w:t>
            </w:r>
          </w:p>
        </w:tc>
        <w:tc>
          <w:tcPr>
            <w:tcW w:w="15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6977"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24口POE交换机</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1、★性能要求：交换容量≥336Gbps,包转发率≥108Mpps（以上指标均以以官网最小值为准）千兆电口≥24个，万兆光口≥4个，提供官网截图及链接证明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2、性能指标：MAC地址表≥16K；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3、POE：支持802.3at/POE+供电标准；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4、★整机功耗：AC供电，整机POE功耗为≥360W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5、堆叠：支持只能堆叠，堆叠后支持跨设备链路聚合，单一IP管理。支持纵向虚拟化，作为纵向子节点零配置即插即用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6、★支持RIP、RIPng、OSPF、OSPFv3路由协议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7、CPU防护：实现CPU保护功能，能限制非法报文对CPU的攻击，保护交换机在各种环境下稳定工作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8、VLAN特性：支持基于端口的VLAN，支持基于协议的VLAN；支持基于MAC的VLAN；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9、链路聚合：支持最多8个端口聚合；支持LACP；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10、防雷：要求端口防雷等级≥10KV，提供官网截图链接证明；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11、镜像功能：支持本地端口镜像和远程端口镜像RSPAN；支持流镜像；同时支持N：M的端口镜像（M大于1）；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12、组播协议：支持IGMP v1/v2/v3，MLD v1/v2；支持IGMP Snooping v1/v2/v3，MLD Snooping v1/v2；支持PIM Snooping；支持MLD Proxy；支持组播VLAN；支持PIM-DM，PIM-SM，PIM-SSM；支持MSDP，MSDP for IPv6；支持MBGP，MBGP for Ipv6；</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13、管理和维护：支持SNMP V1/V2/V3、RMON、SSHV2；管理特性：为了方便国内使用环境，需要支持中文WEB网管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14、其他要求：与核心交换机为同一品牌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15、▲本项目需要提供原厂3年质保，中标后须出具原厂质保函并原厂盖章；</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8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堆叠线缆</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SFP+电缆1m</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8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千兆光模块</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91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光模块-SFP-GE-单模模块-(1310nm,10km,LC)</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80" w:hRule="atLeast"/>
        </w:trPr>
        <w:tc>
          <w:tcPr>
            <w:tcW w:w="67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w:t>
            </w:r>
          </w:p>
        </w:tc>
        <w:tc>
          <w:tcPr>
            <w:tcW w:w="11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万兆光模块</w:t>
            </w:r>
          </w:p>
        </w:tc>
        <w:tc>
          <w:tcPr>
            <w:tcW w:w="8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916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SFP+ 万兆模块(1310nm,10km,LC)</w:t>
            </w:r>
          </w:p>
        </w:tc>
        <w:tc>
          <w:tcPr>
            <w:tcW w:w="15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40" w:hRule="atLeast"/>
        </w:trPr>
        <w:tc>
          <w:tcPr>
            <w:tcW w:w="14157" w:type="dxa"/>
            <w:gridSpan w:val="7"/>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五、亚组委专网与运动会专网</w:t>
            </w:r>
          </w:p>
        </w:tc>
      </w:tr>
      <w:tr>
        <w:tblPrEx>
          <w:tblCellMar>
            <w:top w:w="0" w:type="dxa"/>
            <w:left w:w="0" w:type="dxa"/>
            <w:bottom w:w="0" w:type="dxa"/>
            <w:right w:w="0" w:type="dxa"/>
          </w:tblCellMar>
        </w:tblPrEx>
        <w:trPr>
          <w:trHeight w:val="5760" w:hRule="atLeast"/>
        </w:trPr>
        <w:tc>
          <w:tcPr>
            <w:tcW w:w="67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11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rPr>
              <w:t>24口交换机</w:t>
            </w:r>
            <w:r>
              <w:rPr>
                <w:rFonts w:hint="eastAsia" w:ascii="宋体" w:hAnsi="宋体" w:cs="宋体"/>
                <w:b/>
                <w:bCs/>
                <w:color w:val="0000FF"/>
                <w:kern w:val="0"/>
                <w:sz w:val="22"/>
                <w:szCs w:val="22"/>
                <w:lang w:eastAsia="zh-CN"/>
              </w:rPr>
              <w:t>（</w:t>
            </w:r>
            <w:r>
              <w:rPr>
                <w:rFonts w:hint="eastAsia"/>
                <w:b/>
                <w:bCs/>
                <w:color w:val="0000FF"/>
                <w:lang w:eastAsia="zh-CN"/>
              </w:rPr>
              <w:t>核心产品</w:t>
            </w:r>
            <w:r>
              <w:rPr>
                <w:rFonts w:hint="eastAsia" w:ascii="宋体" w:hAnsi="宋体" w:cs="宋体"/>
                <w:b/>
                <w:bCs/>
                <w:color w:val="0000FF"/>
                <w:kern w:val="0"/>
                <w:sz w:val="22"/>
                <w:szCs w:val="22"/>
                <w:lang w:eastAsia="zh-CN"/>
              </w:rPr>
              <w:t>）</w:t>
            </w:r>
          </w:p>
        </w:tc>
        <w:tc>
          <w:tcPr>
            <w:tcW w:w="8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86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1、★性能要求：交换容量≥336Gbps,包转发率≥51Mpps（以上指标均以以官网最小值为准）10/100/1000Base-T自适应以太网端口≥24个，千兆光口≥4个，提供官网截图及链接证明；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2、性能指标：MAC地址表≥16K；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3、堆叠：支持只能堆叠，堆叠后支持跨设备链路聚合，单一IP管理。支持纵向虚拟化，作为纵向子节点零配置即插即用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4、★支持RIP、RIPng、OSPF、OSPFv3路由协议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5、CPU防护：实现CPU保护功能，能限制非法报文对CPU的攻击，保护交换机在各种环境下稳定工作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6、VLAN特性：支持基于端口的VLAN，支持基于协议的VLAN；支持基于MAC的VLAN；</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7、链路聚合：支持最多8个端口聚合；支持LACP；</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8、防雷：要求端口防雷等级≥10KV，提供官网截图链接证明；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9、镜像功能：支持本地端口镜像和远程端口镜像RSPAN；支持流镜像；同时支持N：M的端口镜像（M大于1）；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10、组播协议：支持IGMP v1/v2/v3，MLD v1/v2；支持IGMP Snooping v1/v2/v3，MLD Snooping v1/v2；支持PIM Snooping；支持MLD Proxy；支持组播VLAN；支持PIM-DM，PIM-SM，PIM-SSM；支持MSDP，MSDP for IPv6；支持MBGP，MBGP for Ipv6；</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11、管理和维护：支持SNMP V1/V2/V3、RMON、SSHV2；管理特性：为了方便国内使用环境，需要支持中文WEB网管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12、其他要求：与核心交换机为同一品牌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13、▲本项目需要提供原厂3年质保，中标后出具原厂质保函并原厂盖章；</w:t>
            </w:r>
          </w:p>
        </w:tc>
        <w:tc>
          <w:tcPr>
            <w:tcW w:w="2025"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8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堆叠线缆</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8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SFP+电缆1m</w:t>
            </w:r>
          </w:p>
        </w:tc>
        <w:tc>
          <w:tcPr>
            <w:tcW w:w="2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80"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千兆光模块</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w:t>
            </w:r>
          </w:p>
        </w:tc>
        <w:tc>
          <w:tcPr>
            <w:tcW w:w="8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光模块-SFP-GE-单模模块-(1310nm,10km,LC)</w:t>
            </w:r>
          </w:p>
        </w:tc>
        <w:tc>
          <w:tcPr>
            <w:tcW w:w="2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r>
        <w:tblPrEx>
          <w:tblCellMar>
            <w:top w:w="0" w:type="dxa"/>
            <w:left w:w="0" w:type="dxa"/>
            <w:bottom w:w="0" w:type="dxa"/>
            <w:right w:w="0" w:type="dxa"/>
          </w:tblCellMar>
        </w:tblPrEx>
        <w:trPr>
          <w:trHeight w:val="459" w:hRule="atLeast"/>
        </w:trPr>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万兆光模块</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86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SFP+ 万兆模块(1310nm,10km,LC)</w:t>
            </w:r>
          </w:p>
        </w:tc>
        <w:tc>
          <w:tcPr>
            <w:tcW w:w="2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华为、华三、思科</w:t>
            </w:r>
          </w:p>
        </w:tc>
      </w:tr>
    </w:tbl>
    <w:p/>
    <w:p/>
    <w:tbl>
      <w:tblPr>
        <w:tblStyle w:val="15"/>
        <w:tblW w:w="14142" w:type="dxa"/>
        <w:tblInd w:w="0" w:type="dxa"/>
        <w:tblLayout w:type="fixed"/>
        <w:tblCellMar>
          <w:top w:w="0" w:type="dxa"/>
          <w:left w:w="0" w:type="dxa"/>
          <w:bottom w:w="0" w:type="dxa"/>
          <w:right w:w="0" w:type="dxa"/>
        </w:tblCellMar>
      </w:tblPr>
      <w:tblGrid>
        <w:gridCol w:w="555"/>
        <w:gridCol w:w="1275"/>
        <w:gridCol w:w="852"/>
        <w:gridCol w:w="945"/>
        <w:gridCol w:w="8730"/>
        <w:gridCol w:w="1785"/>
      </w:tblGrid>
      <w:tr>
        <w:tblPrEx>
          <w:tblCellMar>
            <w:top w:w="0" w:type="dxa"/>
            <w:left w:w="0" w:type="dxa"/>
            <w:bottom w:w="0" w:type="dxa"/>
            <w:right w:w="0" w:type="dxa"/>
          </w:tblCellMar>
        </w:tblPrEx>
        <w:trPr>
          <w:trHeight w:val="285" w:hRule="atLeast"/>
        </w:trPr>
        <w:tc>
          <w:tcPr>
            <w:tcW w:w="14142"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32"/>
                <w:szCs w:val="32"/>
              </w:rPr>
              <w:t>视频监控系统明细表</w:t>
            </w:r>
          </w:p>
        </w:tc>
      </w:tr>
      <w:tr>
        <w:tblPrEx>
          <w:tblCellMar>
            <w:top w:w="0" w:type="dxa"/>
            <w:left w:w="0" w:type="dxa"/>
            <w:bottom w:w="0" w:type="dxa"/>
            <w:right w:w="0" w:type="dxa"/>
          </w:tblCellMar>
        </w:tblPrEx>
        <w:trPr>
          <w:trHeight w:val="285" w:hRule="atLeast"/>
        </w:trPr>
        <w:tc>
          <w:tcPr>
            <w:tcW w:w="55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2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设备名称</w:t>
            </w:r>
          </w:p>
        </w:tc>
        <w:tc>
          <w:tcPr>
            <w:tcW w:w="85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单位</w:t>
            </w:r>
          </w:p>
        </w:tc>
        <w:tc>
          <w:tcPr>
            <w:tcW w:w="9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数量</w:t>
            </w:r>
          </w:p>
        </w:tc>
        <w:tc>
          <w:tcPr>
            <w:tcW w:w="873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技术参数</w:t>
            </w:r>
          </w:p>
        </w:tc>
        <w:tc>
          <w:tcPr>
            <w:tcW w:w="178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推荐品牌（或同等档次及以上其他品牌）</w:t>
            </w:r>
          </w:p>
        </w:tc>
      </w:tr>
      <w:tr>
        <w:tblPrEx>
          <w:tblCellMar>
            <w:top w:w="0" w:type="dxa"/>
            <w:left w:w="0" w:type="dxa"/>
            <w:bottom w:w="0" w:type="dxa"/>
            <w:right w:w="0" w:type="dxa"/>
          </w:tblCellMar>
        </w:tblPrEx>
        <w:trPr>
          <w:trHeight w:val="107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彩色半球摄像机</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具有400万像素 CMOS传感器。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变焦镜头:2.7-12mm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最低照度彩色：0.01 lx，黑白:0.001 lx</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红外补光距离不小于50米。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支持H.264、H.265、MJPEG视频编码格式，且具有High Profile编码能力。</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信噪比不小于55dB。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内置GPU芯片和图形图像优化芯片，输出画质更优的图像效果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需具有黑白名单功能，其中白名单可添加不小于12个IP地址。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需具备人脸检测、区域入侵检测、越界检测、虚焦检测、进入区域、离开区域、徘徊、人员聚集、逆行、音频异常、场景变更等功能。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需具有电子防抖、ROI感兴趣区域、SVC可伸缩编码、自动增益、背光补偿、数字降噪、强光抑制、防红外过曝、走廊模式、视频水印等功能。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摄像机能够在-30~60摄氏度，湿度小于93%环境下稳定工作。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★需具有2路报警输入、2路报警输出、1个音频输入、1个音频输出接口，特殊供电布线复杂的区域，设备与客户端之间可采用100米远距离网线传输，数据包丢包率小于0.2%。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不低于IP67防尘防水等级、IK10防暴等级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需支持DC12V/POE供电，且在不小于DC12V±30%范围内变化时可以正常工作。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需支持本地SD卡存储，最大支持128G。</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设备与客户端之间可支持100米网线进行传输，数据包丢包率小于0.1%，部署复杂的位置可采用100米网线进行传输，画面不卡顿，图像不丢帧，若投标人中标后，使用单位有权利要求投标人提供原厂商的技术指标确认函，未符合本次招标文件要求不予签订合同，并追究虚假应标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同一静止场景相同图像质量下，设备在国际标准的H.265编码方式时，开启智能编码功能和不开启智能编码相比，码率节约95%，若投标人中标后，使用单位有权利要求投标人提供样机测试和原厂商的技术指标确认函，未符合本次招标文件要求不予签订合同，并追究虚假应标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投标设备制造厂商诚实守信，具有国家重合同守信用公示企业，提供证明文件复印件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要求能够接入原有的存储设备和管理平台，减少成本降低管理复杂度，要求本次选用的投标产品应能够无缝对接，投标人的报价应包含原有设备的接入技术方案和接入成本，若无法对接不予验收且追究虚假应标责任</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43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人脸识别半球摄像机</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101</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具有400万像素CMOS传感器。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具有不小于1/3"靶面尺寸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像元尺寸不小于2.9um×2.9um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内置GPU芯片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最低照度彩色不大于0.0001 lx，黑白不大于0.0001 lx</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宽动态能力不小于121dB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红外补光距离不小于50米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支持自动变焦、自动调节光圈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支持检出两眼瞳距40像素点以上的人脸图片。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支持单场景同时检出不少于30张人脸图片，并支持面部跟踪</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人脸检出率不小于99%</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支持人脸区域自动曝光功能，可根据外部不同场景和光照变化自动调节人脸区域曝光参数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需支持IK10防暴等级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★需具有1个RJ-45 10M/100M/1000M自适应网络接口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需支持本地SD卡存储，最大支持128G。</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设备与客户端之间可支持100米网线进行传输，数据包丢包率小于0.1%，部署复杂的位置可采用100米网线进行传输，画面不卡顿，图像不丢帧，若投标人中标后，使用单位有权利要求投标人提供原厂商技术指标确认函，未符合本次招标文件要求不予签订合同，并追究虚假应标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具有信息技术安全评估通用准则认证，提供证明文件复印件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同一静止场景相同图像质量下，设备在国际标准的H.265编码方式时，开启智能编码功能和不开启智能编码相比，码率节约95%，若投标人中标后，使用单位有权利要求投标人提供样机测试和原厂商的技术指标确认函，未符合本次招标文件要求不予签订合同，并追究虚假应标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投标设备制造厂商诚实守信，具有国家重合同守信用公示企业，提供证明文件复印件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要求采用的产品技术先进为确保投标产品安全可靠，具备国家地方联合工程研究中心，提供证明文件复印件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★要求能够接入原有的存储设备和管理平台，要求无缝对接，投标人的报价应包含原有设备的接入技术方案和接入成本，若无法对接不予验收且追究虚假应标责任</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194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室内彩色固定摄像机</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
              </w:numPr>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具有400万像素 CMOS传感器，镜头:2.7-12mm；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2、最低照度彩色：0.01 lx，黑白:0.003lx，红外补光距离不小于55米。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3、支持H.264、H.265、MJPEG视频编码格式，且具有High Profile编码能力。信噪比不小于55dB。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4、需具有黑白名单功能，其中白名单可添加不小于10个IP地址。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5、需具备人脸检测、区域入侵检测、越界检测、虚焦检测、进入区域、离开区域、徘徊、人员聚集、逆行、音频异常、场景变更等功能。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6、需具有电子防抖、ROI感兴趣区域、SVC可伸缩编码、自动增益、背光补偿、数字降噪、强光抑制、防红外过曝、走廊模式、视频水印等功能。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7、摄像机能够在-30~60摄氏度，湿度小于93%环境下稳定工作。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需具有2路报警输入、2路报警输出、1个音频输入、1个音频输出接口，可扩展1个FC光纤接口直接连接光纤存储设备，同一静止场景相同图像质量下，设备在国际标准的H.265编码方式时，开启智能编码功能和不开启智能编码相比，码率节约95%，设备与客户端之间用100米网线进行传输，数据包丢包率小于0.2%。</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9、不低于IP67防尘防水等级。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10、需支持DC12V/POE供电，且在不小于DC12V±30%范围内变化时可以正常工作。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11、需支持本地SD卡存储，最大支持128G。</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设备与客户端之间可支持100米网线进行传输，数据包丢包率小于0.1%，部署复杂的位置可采用100米网线进行传输，画面不卡顿，图像不丢帧，若投标人中标后，使用单位有权利要求投标人提供原厂商的技术指标确认函，未符合本次招标文件要求不予签订合同，并追究虚假应标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具有信息技术安全评估通用准则认证，提供证明文件复印件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同一静止场景相同图像质量下，设备在国际标准的H.265编码方式时，开启智能编码功能和不开启智能编码相比，码率节约90%，若投标人中标后，使用单位有权利要求投标人提供样机测试和原厂商的技术指标确认函，未符合本次招标文件要求不予签订合同，并追究虚假应标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投标设备制造厂商诚实守信，具有国家重合同守信用公示企业，提供证明文件复印件</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12、要求能够接入原有的存储设备和管理平台，减少成本降低管理复杂度，要求本次选用的投标产品应能够无缝对接，投标人的报价应包含原有设备的接入技术方案和接入成本</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252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室外彩色固定摄像机</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1、具有400万像素 CMOS传感器，镜头:2.7-12mm；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2、最低照度彩色：0.01 lx，黑白:0.003lx，红外补光距离不小于55米。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3、支持H.264、H.265、MJPEG视频编码格式，且具有High Profile编码能力。信噪比不小于55dB。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4、需具有黑白名单功能，其中白名单可添加不小于10个IP地址。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5、需具备人脸检测、区域入侵检测、越界检测、虚焦检测、进入区域、离开区域、徘徊、人员聚集、逆行、音频异常、场景变更等功能。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6、需具有电子防抖、ROI感兴趣区域、SVC可伸缩编码、自动增益、背光补偿、数字降噪、强光抑制、防红外过曝、走廊模式、视频水印等功能。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7、摄像机能够在-30~60摄氏度，湿度小于93%环境下稳定工作。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需具有2路报警输入、2路报警输出、1个音频输入、1个音频输出接口，可扩展1个FC光纤接口直接连接光纤存储设备，同一静止场景相同图像质量下，设备在国际标准的H.265编码方式时，开启智能编码功能和不开启智能编码相比，码率节约95%，设备与客户端之间用100米网线进行传输，数据包丢包率小于0.2%。</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9、不低于IP67防尘防水等级。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10、需支持DC12V/POE供电，且在不小于DC12V±30%范围内变化时可以正常工作。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11、需支持本地SD卡存储，最大支持128G。</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设备与客户端之间可支持100米网线进行传输，数据包丢包率小于0.1%，部署复杂的位置可采用100米网线进行传输，画面不卡顿，图像不丢帧，若投标人中标后，使用单位有权利要求投标人提供原厂商的技术指标确认函，未符合本次招标文件要求不予签订合同，并追究虚假应标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具有信息技术安全评估通用准则认证，提供证明文件复印件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同一静止场景相同图像质量下，设备在国际标准的H.265编码方式时，开启智能编码功能和不开启智能编码相比，码率节约90%，若投标人中标后，使用单位有权利要求投标人提供样机测试和原厂商技术指标确认函，未符合本次招标文件要求不予签订合同，并追究虚假应标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投标设备制造厂商诚实守信，具有国家重合同守信用公示企业，提供证明文件复印件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12、要求能够接入原有的存储设备和管理平台，减少成本降低管理复杂度，要求本次选用的投标产品应能够无缝对接，投标人的报价应包含原有设备的接入技术方案和接入成本</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165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室内彩色球型摄像机</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摄像机靶面尺寸不小于1/1.8英寸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内置GPU芯片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视频输出支持2048×1536@25fps，分辨力不小于600TVL</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支持32倍光学变倍，红外距离不小于550米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★支持最低照度可达彩色0.0001 lx，黑白0.0001 lx</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支持快速聚焦功能，当设备跟踪行人或机动车等移动目标并录像时，单帧回放录像文件，每1帧画面均应清晰可见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可通过IE浏览器设置8个场景进行人脸抓拍，可设置每个场景的布防时间。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支持水平手控速度不小于800°/S，垂直手控速度不小于300°/s。水平旋转范围为360°连续旋转，垂直旋转范围为-20°~90°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具有三种滤光片，在白天、夜晚及有雾情况下可自动切换不同的滤光片进行成像。滤光片透过率不小于95%。</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支持7路报警输入接口，2路报警输出接口，支持1路音频输入和输出接口。最大支持512GB的SD卡。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支持区域入侵、越界入侵、徘徊、物品遗留、物品移除、人员聚集、快速移动、进入区域、离开区域等行为分析功能；人脸检测功能；音频异常侦测功能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具有自动、关闭、开启光学透雾设置选项，透雾等级0-100可调。当检测到雾的浓度达到设定的阈值时，可自动在算法透雾和光学透雾之间进行切换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球机应具备较好防护性能，支持IP67；具备较好的电磁兼容性，支持空气放电20KV，接触放电10KV，15KV防浪涌。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同一静止场景相同图像质量下，设备在国际标准的H.265编码方式时，开启智能编码功能和不开启智能编码相比，码率节约95%，若投标人中标后，使用单位有权利要求投标人提供样机测试和原厂商的技术指标确认函，未符合本次招标文件要求不予签订合同，并追究虚假应标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设备与客户端之间可支持100米网线进行传输，数据包丢包率小于0.1%，部署复杂的位置可采用100米网线进行传输，画面不卡顿，图像不丢帧，若投标人中标后，使用单位有权利要求投标人提供原厂商的技术指标确认函，未符合本次招标文件要求不予签订合同，并追究虚假应标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投标设备制造厂商诚实守信，具有国家重合同守信用公示企业，提供证明文件复印件</w:t>
            </w:r>
            <w:r>
              <w:rPr>
                <w:rFonts w:hint="eastAsia" w:ascii="宋体" w:hAnsi="宋体" w:eastAsia="宋体" w:cs="宋体"/>
                <w:strike/>
                <w:color w:val="FF0000"/>
                <w:kern w:val="0"/>
                <w:sz w:val="18"/>
                <w:szCs w:val="18"/>
              </w:rPr>
              <w:br w:type="textWrapping"/>
            </w:r>
            <w:r>
              <w:rPr>
                <w:rFonts w:hint="eastAsia" w:ascii="宋体" w:hAnsi="宋体" w:eastAsia="宋体" w:cs="宋体"/>
                <w:color w:val="000000"/>
                <w:kern w:val="0"/>
                <w:sz w:val="18"/>
                <w:szCs w:val="18"/>
              </w:rPr>
              <w:t>要求采用的产品技术先进，投标人或投标产品制造厂商具备国家地方联合工程研究中心，提供证明文件复印件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★要求能够接入原有的存储设备和管理平台，减少成本降低管理复杂度，要求本次选用的投标产品应能够无缝对接，投标人的报价应包含原有设备的接入技术方案和接入成本</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185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人脸识别筒型摄像机</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具有400万像素 CMOS传感器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具有不小于1/1.8"靶面尺寸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像元尺寸不小于2.9um×2.9um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内置GPU芯片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内置混合补光灯，可对红外灯及白光灯功率进行调节。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最低照度彩色不大于0.0001 lx，黑白不大于0.0001 lx</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宽动态能力不小于120dB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支持检出两眼瞳距40像素点以上的人脸图片。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支持单场景同时检出不少于30张人脸图片，并支持面部跟踪</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人脸检出率不小于99%</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★支持侧脸过滤功能，可过滤上下、左右角度达到预设值的人脸。（公安部检验报告证明）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需支持IP67防尘防水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需同时支持DC12V和POE供电，且在不小于DC12V±30%范围内变化时可以正常工作。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需支持本地SD卡存储，最大支持128G。</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设备与客户端之间可支持100米网线进行传输，数据包丢包率小于0.1%，部署复杂的位置可采用100米网线进行传输，画面不卡顿，图像不丢帧，若投标人中标后，使用单位有权利要求投标人提供原厂商的技术指标确认函，未符合本次招标文件要求不予签订合同，并追究虚假应标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具有信息技术安全评估通用准则认证，提供证明文件复印件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同一静止场景相同图像质量下，设备在国际标准的H.265编码方式时，开启智能编码功能和不开启智能编码相比，码率节约90%，若投标人中标后，使用单位有权利要求投标人提供样机测试和原厂商的技术指标确认函，未符合本次招标文件要求不予签订合同，并追究虚假应标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投标设备制造厂商诚实守信，具有国家重合同守信用公示企业，提供证明文件复印件</w:t>
            </w:r>
            <w:r>
              <w:rPr>
                <w:rFonts w:hint="eastAsia" w:ascii="宋体" w:hAnsi="宋体" w:eastAsia="宋体" w:cs="宋体"/>
                <w:strike/>
                <w:color w:val="FF0000"/>
                <w:kern w:val="0"/>
                <w:sz w:val="18"/>
                <w:szCs w:val="18"/>
              </w:rPr>
              <w:br w:type="textWrapping"/>
            </w:r>
            <w:r>
              <w:rPr>
                <w:rFonts w:hint="eastAsia" w:ascii="宋体" w:hAnsi="宋体" w:eastAsia="宋体" w:cs="宋体"/>
                <w:color w:val="000000"/>
                <w:kern w:val="0"/>
                <w:sz w:val="18"/>
                <w:szCs w:val="18"/>
              </w:rPr>
              <w:t>★要求能够接入原有的存储设备和管理平台，减少成本降低管理复杂度，要求本次选用的投标产品应能够无缝对接，投标人的报价应包含原有设备的接入技术方案和接入成本</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人脸识别筒型摄像机支架</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个</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铂晶灰/铝合金/70×97.1×173.4mm</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枪机支架</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个</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48</w:t>
            </w:r>
          </w:p>
        </w:tc>
        <w:tc>
          <w:tcPr>
            <w:tcW w:w="87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壁装支架/白色/铝合金/尺寸70×97.1×173.4mm</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球机支架</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个</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壁装支架/铂晶灰/铝合金/311×97.3×182.6mm</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257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全局摄像机一（室外智能球机）</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传感器 1/1.8” Progressive Scan CMOS</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★拼接方式支持8K分辨率拼接编码，最大分辨率 7680×3840，支持网络输出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最低照度 彩色:0.01 Lux@(F1.2,AGC ON);黑白:0.001 Lux@(F1.2,AGC ON)</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镜头 1.85mm/F2.0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视场角 水平360º，垂直360º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3D降噪 支持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信噪比 ≥59dB</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图像处理 自动白平衡，自动增益，自动快门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视频压缩标准 H.264，H.264编码支持Baseline/Main Profile/High Profile；H265 Main Profile</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网络协议 RTMP、TCP/IP、HTTP、HTTPS、DHCP、UDP、RTP、RTCP、RTSP、SNMP、802.1x、UPnP、DDNS、SMTP, Bonjour</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电源/功耗 DC12V,功耗最大15W;</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电源接口 12V</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网络接口 内置RJ45网口，支持10M/100M/1000M网络数据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工作温度和湿度 -30℃~60℃/95%RH</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防护等级 IP66,防雷、防浪涌、防静电、防水、防尘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底部固定接口 3/8"英寸螺纹口；监控用鸭嘴支架接口；用户自定义接口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相机分辨率可设置 支持7860*3840、6000*3000、4000*2000、1280*640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参数控制方式 可通过IE浏览器插件进行参数设置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底部logo导入 支持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帧速设置 1~30fps可调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全景相机接口 电源网络一体线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监控系统接入 支持rtsp onvif协议，接入NVR、监控系统平台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备VR视频直播功能，可展示直播名称；直播类型（手持终端直播、编码器直播、摄像机直播、客户端直播）；直播码率统计；播放流量统计；在线人数统计；直播时长统计；直播控制（播放、暂停、声音控制、全屏、多窗口），具备该功能予以验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支持直播列表与分页；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可支持VR视频直播回看，回看列表；回看搜索；视频回看；设备分页；时间检索；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支持VR视频输入协议支持rtmp视频流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支持VR视频输出协议rtmp视频流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支持基于TOKEN的鉴权技术；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支持三方鉴权服务；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具备直播流发布安全鉴权；直播流播出安全鉴权；点播流播出安全鉴权；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支持广播级7*24不间断稳定播出；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支持重启自动恢复服务；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投标产品安全可靠，符合国家信息安全技术标准和规范，应提供具有国家信息安全漏洞库CNNVD标识的技术支撑证书复印件</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161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全局摄像机二</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局摄像机集合定点看全景、动点看细节的优势，采用一体化设计，由双镜头相机与高性能GPU模块组成，内嵌深度学习算法，以海量图片及视频资源为路基，通过机器自身提取目标特征，形成深层可供学习的人脸、人体、车辆图像，极大的提升了目标人脸、人体、车辆的检出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支持人员自动检测并联动动点镜头进行快速锁定抓拍，提供满足人脸比对的图片，并进行人体人脸关联。</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人体最远检测距离可达40米，人脸最远检测距离可达30米，车辆最远检测距离15米。</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支持三种智能资源模式切换：混合目标检测-全结构化模式（全景）、混合目标检测-人脸+人体模式（细节）、人脸抓拍（细节）。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传感器类型: 【全景】1/1.8＂ progressive scan CMOS；【细节】1/1.8＂ progressive scan CMOS</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最低照度: 【全景】彩色：0.0005 Lux @（F1.0，AGC ON），黑白：0.0001Lux @（F1.0，AGC ON）；【细节】彩色：0.001Lux @ （F1.6，AGC ON），黑白：0.0005Lux @（F1.6，AGC ON）</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宽动态: 120dB超宽动态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焦距: 【全景】定焦6mm，【细节】变焦13-52mm，4倍光学变倍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设备具有1个RJ45网络接口，可输出两路视频图像：通道1、通道2。（以公安部检验报告为准）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摄像机定焦镜头、变焦镜头靶面尺寸均不小于1/1.8英寸。（以公安部检验报告为准）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内置不少于2个GPU芯片。（以公安部检验报告为准）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支持最低照度可达彩色0.0002Lux，黑白0.0001Lux。（以公安部检验报告为准）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★设备一共有8个补光灯，其中特写摄像机的每个补光灯均包含红外补光模块和白光补光模块。（以公安部检验报告为准）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支持快速聚焦功能，设备对监控区域内的移动目标进行跟踪录像，录像通过单帧回放时应能保证每帧画面清晰稳定。（以公安部检验报告为准）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★设备可对30米处的行人进行人脸抓拍，并可生成分辨率不小于110×120的人脸图片,图片中人脸两眼瞳距应≥40像素。（以公安部检验报告为准）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★设备可将细节通道中抓拍的人脸图片和全景通道中的人体图片进行关联比对，可对同一目标进行双画面关联显示。（以公安部检验报告为准）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投标产品安全可靠，符合国家信息安全技术标准和规范，应提供具有国家信息安全漏洞库CNNVD标识的技术支撑证书复印件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▲支持接入金华市公安局智慧内保平台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要求能够接入原有的存储设备和管理平台，减少成本降低管理复杂度，要求本次选用的投标产品应能够无缝对接，投标人的报价应包含原有设备的接入技术方案和接入成本，若无法对接不予验收且追究虚假应标责任</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全局摄像机支架</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只</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长壁装，铂晶灰，铝合金</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视频云存储管理服务器</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18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1、64位CPU，核数≧12/32GB ECC内存/3颗SSD硬盘/热插拔/以太网口1Gx2/冗余电源/2U/操作系统：CentOS7 64位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2、要求能够接入原有的管理平台，要求无缝对接，投标人的报价应包含原有设备的接入技术方案和接入成本</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114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视频云存储运维服务器</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after="18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1、64位CPU，核数≧12/16GB ECC内存/1颗SSD硬盘/热插拔/以太网口1Gx2/冗余电源/2U/操作系统：CentOS7 64位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2、要求能够接入原有的管理平台，要求无缝对接，投标人的报价应包含原有设备的接入技术方案和接入成本</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2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视频云存储存储主机</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18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1、内置36块4TB企业级硬盘；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2、单设备应配置≥64位多核处理器，≥4GB内存，内存支持扩展到≥64GB，需配置冗余金牌电源，支持双系统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3、★单设备应标配≥2个千兆网口，可增扩≥4个万兆口或≥8个光纤接口或增配≥4个HDMI接口或≥2个SAS3.0接口，可扩展2个SSD固态硬盘，可扩展1个FC光纤接口和1个eSATA接口，以提供国家权威机构的检测报告为准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4、可接入2T/3T/4T/6T/8T/10TSATA磁盘，支持磁盘交错启动和漫游，并支持在线热插拔；</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5、可接入硬盘≥36块，支持SATA和SAS混插，并支持≥15级扩展柜级联扩展；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6、★支持聚合下载，即并发从多台存储节点中下载某一个时间段录像、图片、智能结构化数据、文件（以公安部检测报告为准）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7、支持多网域地址映射，可从多个网域访问云存储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8、支持按照设备可用容量实现负载均衡，各存储节点上存储的数据量在稳定状态下保持均衡，差距小于5%；（以公安部检测报告为准）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9、支持按照接入任务数实现自动负载均衡，支持前端设备自动分配到存储节点。各节点间读写任务数差距±1。（以公安部检测报告为准）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10、支持实时录像路数、录像回放路数、录像下载路数统计及展示（以公安部检测报告为准）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11、支持进行2、4、6、8、16、32、64倍速全帧快进及倒退；进度条拖动视频画面毫秒级（50ms内）响应，不黑屏；快进及倒退相互切换毫秒级(50ms内)响应，不黑屏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12、支持录像正放切换为倒放，及倒放切换为正放；支持正放1/16、1/8、1/4、1/2、2、4、8、16、32、64、128、256倍速切换为倒放的对应倍速（以公安部检测报告为准）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13、支持同一个资源池中创建不同的存储级别，可根据业务类别不同分别创建视频池、图片池、通用池、文件池;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14、支持图片云间灾备时，可保证图片在主备云中URL一致，实现图片无缝提取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15、支持视频点位监控录像出现异常时及时告警，设备支持以分钟为精度对录像完整性监控，当录像连续丢失1分钟及以上时，自动判定该小时录像为异常。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16、支持对频繁上报的同一个告警信息进行分析过滤，经过告警分析规则的过滤后，支持在指定时间后再一次上报到运维平台。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17、★支持N+M、纠删码、快照、克隆、多重备份等数据存储备份功能，支持VMWARE、HyperV虚拟化接入等功能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18、要求能够接入原有的管理平台，要求无缝对接，投标人的报价应包含原有设备的接入技术方案和接入成本</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52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视频云存储软件</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套</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集成容量虚拟化管理功能、集群化管理功能；负责视频录像资源分配、计划管理、索引管理，负载均衡调度；提供数据查询、回放、下载、锁定等功能。支持录像计划从前端取流直存到虚拟化容量空间，提供视频、图片的统一存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★云存储系统支持由管理节点和存储节点两部分组成，支持控制流与数据流分离，数据的存储或读取由存储节点并行读写。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★支持分布式对称架构与非对称架构自由切换，对称架构可升级为非对称架构。（以公安部检测报告为准）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理节点支持单机、HA主备、集群3种工作模式，管理节点支持2N+1个节点构成的All-Active集群方式，最大可支持9个节点，管理节点和存储节点都为对等工作模式对外提供服务，支持元数据（管理节点）最多10个副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★支持最少1台存储节点即可构建云存储系统。（以公安部检测报告为准）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支持前端设备和存储设备之间直接存储，采用块级存储，不生成文件（即不使用文件系统），无碎片。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支持不同类型数据分层存储到云存储系统的不同介质中：支持热数据以高速SSD为介质进行存储，温数据以SATA/SAS为介质进行存储，冷数据以磁带为介质进行存储。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支持存储空间虚拟化管理。支持多存储设备容量整合，形成录像池；可根据用户业务分配通用、文件、视频、图片等类型存储空间；支持在线弹性伸缩录像池的容量空间，不影响业务继续读写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支持视频直存技术，能够直接接入支持GB/T28181、ONVIF、Ehome、RTSP、PSIA标准的前端设备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对多种协议：TCP\UDP\HTTP\SIP\SNMP\FTP\iSCSI\REST进行支持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支持SVAC流、H.264流、H.265流、MPEG-4流直接存入到云存储设备，并从云存储中提取出来，进行回放、下载。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存储空间利用率可以达到70%以上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集成容量虚拟化管理功能、集群化管理功能；负责视频录像资源分配、计划管理、索引管理，负载均衡调度；提供数据查询、回放、下载、锁定等功能。支持录像计划从前端取流直存到虚拟化容量空间，提供视频、图片的统一存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★云存储系统支持由管理节点和存储节点两部分组成，支持控制流与数据流分离，数据的存储或读取由存储节点并行读写。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★支持分布式对称架构与非对称架构自由切换，对称架构可升级为非对称架构。（以公安部检测报告为准）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管理节点支持单机、HA主备、集群3种工作模式，管理节点支持2N+1个节点构成的All-Active集群方式，最大可支持9个节点，管理节点和存储节点都为对等工作模式对外提供服务，支持元数据（管理节点）最多10个副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★支持最少1台存储节点即可构建云存储系统。（以公安部检测报告为准）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支持前端设备和存储设备之间直接存储，采用块级存储，不生成文件（即不使用文件系统），无碎片。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集成容量虚拟化管理功能、集群化管理功能；负责视频录像资源分配、计划管理、索引管理，负载均衡调度；提供数据查询、回放、下载、锁定等功能。支持录像计划从前端取流直存到虚拟化容量空间，提供视频、图片的统一存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★要求能够接入原有的管理平台，要求无缝对接，投标人的报价应包含原有设备的接入技术方案和接入成本</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视频云存储运维软件</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套</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集成容量虚拟化管理功能、集群化管理功能；负责视频录像资源分配、计划管理、索引管理，负载均衡调度；提供数据查询、回放、下载、锁定等功能。支持录像计划从前端取流直存到虚拟化容量空间，提供视频、图片的统一存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★要求能够接入原有的管理平台，要求无缝对接，投标人的报价应包含原有设备的接入技术方案和接入成本</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405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46寸LCD液晶显示单元</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块</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18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 LCD液晶显示单元:尺寸：46英寸；分辨率：1920 × 1080@60 Hz（向下兼容）；视角：178°(水平)/ 178°(垂直)；响应时间：8ms(G to G)；对比度：4000:1；</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亮度：700cd/㎡；物理拼缝：1.7mm；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 输入接口：HDMI × 1, DVI × 1, VGA × 1, CVBS × 1, USB × 1；</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 输出接口：DVI × 1, VGA × 1, CVBS × 1；</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 控制接口：RS232 IN × 1, RS232 OUT × 1；</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 可选配接口 :3G SDI(输入×1、输出×1)、DP、HDbaseT、TVI(输入×1、输出×1)、网络源;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 功耗：≤139W；</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 电源要求：100～240 VAC, 50/60 Hz；</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 寿命：≥60000 小时；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 工作温度和湿度：0℃～40℃，20%～90% RH（无冷凝水）；液晶显示单元的风扇具备良好的散热效果，风扇散热性能≥30%。（提供封面具有CMA、ilac-MRA、CNAS标志的权威检测机构的检测报告）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 液晶显示单元客户端具备能力集收集、设备工作状态展示功能。（提供封面具有CMA、ilac-MRA、CNAS标志的权威检测机构的检测报告）</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46寸LCD拼接屏框架</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个</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根据现场情况定制</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46寸LCD拼接屏底座</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个</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根据现场情况定制</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HDMI线缆</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根</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HDMI电缆,15m,黑色</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65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视频综合平台</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 11U标准机箱，满足各种规模的监控需求；标准机架式设计，运营级ATCA机箱系统；插拔式模块化设计，可根据需求灵活扩展；7槽位机箱，双电源适配器，单主控板；业务模块支持热插拔、双电源冗余、智能风扇自动调温，确保系统稳定可靠；双高速无阻塞背板设计，满足大容量视频数据高速交换的需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 投标产品支持手动视频切换功能，支持将选定的视频输入切换到选定的视频输出，支持视音频同步切换、异步切换，画面切换时不出现黑屏。（提供公安部出具的型式检验报告复印件）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 投标产品支持视音频同步输出，支持多组轮巡同步切换。（提供公安部出具的型式检验报告复印件）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 投标产品音频编码功能：具备G.722、G.711u、G.711A、PCM格式编码选项。（提供公安部出具的型式检验报告复印件）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 投标产品支持多个视频输出拼接画面上编辑字符信息功能。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 投标产品支持视频输入通道参数设置功能，可对单个视频输入通道进行分辨率、帧率、码率、亮度、对比度、饱和度、色调、去噪等参数设置，图像显示模式可设定标准、室内、室外、弱光等显示模式进行设置。（提供公安部出具的型式检验报告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 通过光纤级联交换机和多块光纤级联板进行总线扩容，实现多台设备之间数据调用和跨设备拼接。（提供公安部出具的型式检验报告复印件）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 投标产品具有同一输入通道的视频图像在不同输出端口显示的失步误差小于1ms。（提供公安部出具的型式检验报告复印件）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 投标产品可在视频输出通道叠加图片LOGO，且LOGO位置可以调整。（提供公安部出具的型式检验报告复印件）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 ★要求能够接入原有的管理平台，要求无缝对接，投标人的报价应包含原有设备的接入技术方案和接入成本</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 输入板：视频输入口：8路视频输入，HDMI口（HDMI音频内嵌，实现HDMI视音频信号通过HDMI线接入）；编码标准：标准H.264；编码能力：8路，支持的编码分辨率为：1080P/720P/4CIF/CIF/QCIF；</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 输出板：视频输出接口：4路视频输出，HDMI接口；音频输出接口：1个DB15接口，转4路BNC（线性电平，阻抗：600Ω）；解码通道数：64个；解码能力：解码16路1080P，或32路720P，或64路4CIF及以下分辨率；画面分割数：1/4/6/8/9/16画面分割。</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382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视频综合平台</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1、5U机箱，4路DVI输入（支持转VGA或HDMI），12路HDMI输出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2、采用嵌入式非X86架构，主控板不具备X86架构特征元件（CPU、内存条、硬盘、VGA接口）；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3、投标产品主控板具有4个串口，每个串口挂载8个RS485控制设备，可将IP数据发送给串口。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4、投标产品解码显示视频无卡顿，编码预览视频无卡顿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5、投标产品单板支持128个漫游窗口叠加，支持窗口置顶或置底设置。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6、投标产品支持1、2、4、6、8、9、12、16、32、36、48画面分割显示。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7、投标产品支持将25帧或30帧的视频转换为50或60帧。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8、投标产品支持走廊模式显示功能。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9、投标产品对录像文件解码延时≤115ms。</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10、投标产品具有同一输入通道的视频图像在不同输出端口显示的失步误差小于1.5ms。</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11、★投标产品的信号源采集后经过高速背板总线到输出显示所用平均时间应≤35ms；（提供公安部出具的封面具有CNAS标志的报告复印件）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12、★投标产品的图像切换时间＜20ms。（提供公安部出具的封面具有CNAS标志的报告复印件）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13、★投标产品支持解码中断时保留最后一帧的功能，解码板不同输出口以及跨解码板的输出口之间输出色彩无色差。（提供公安部出具的封面具有CNAS标志的报告复印件）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14、★要求能够接入原有的管理平台，要求无缝对接，投标人的报价应包含原有设备的接入技术方案和接入成本</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472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控制键盘</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1、Android操作系统（需在公安部检验报告复印件中体现）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2、屏幕尺寸≥10.2英寸，屏幕类型：触控屏，分辨率要求：1280*720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3、屏幕区和摇杆区采用可拆分结构，摇杆和触控屏可分离使用。（需在公安部检验报告复印件中体现）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4、支持添加设备数量≥8000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5、两级用户权限，支持32个用户，1个admin管理员用户和31个操作员用户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6、支持DC12V±25%供电，支持POE供电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7、支持4路1080P视频解码显示，最大16画面分割显示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8、支持在触摸屏幕上预览前端图像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9、支持DVI和HDMI接口外接显示设备实现图像预览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10、支持接入DVR、DVS、NVR、网络摄像机、球机设备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11、支持切换前端输入通道或输入组到解码器、视频综合平台等设备，支持画面分割、场景切换、轮巡显示、开/关显示窗口、窗口漫游、放到/缩小等功能。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12、支持在键盘显示屏上显示电视墙当前整体布局。（需在公安部检验报告复印件中体现)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13、连接云台设备时，可通过摇杆或触控屏实现云台设备控制功能，支持预置位、自动巡航、模式路径、光圈调节、变焦、雨刷、灯光等功能。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14、支持语音对讲</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15、开机时间≤35秒，延时≤190毫秒；</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16、要求能够接入原有的管理平台，要求无缝对接，投标人的报价应包含原有设备的接入技术方案和接入成本</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585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视频综合管理平台</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一、系统管理功能要求：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1. 要求支持对用户、角色、组织、区域、人员、车辆、卡片、设备等基础资源进行管理调配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2. 要求最大支持用户10000个，最大支持并发登陆500个用户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 ★系统要求支持软授权方式，可以部署在服务器或虚拟机上；（需提供公安部检验报告复印件）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 系统要求支持BS、CS客户端以及IOS、Android移动端应用；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 系统要求具有高兼容性，支持ONVIF、国标协议设备接入；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二、视频监控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 ★要求监控点最多管理容量为10000路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 要求支持对平台内管理的视频设备的在线状态进行检查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 要求支持视频质量诊断，接收信号丢失、图像黑白等异常情况的报警信息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 要求支持对设备在线率、录像状态、视频质量等运维状态进行统计，生成报表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 要求预览画面支持监控点信息、语音对讲、开关声音、云台与镜头控制、抓图、多图抓拍等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6. 要求支持录像标签功能，支持搜索、修改、删除标签，并可通过标签定位录像并回放；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 ★要求支持人员事件查询，并按照性别、年龄、是否戴眼镜进行筛选（需提供公安部检验报告复印件）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三、电视墙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 要求支持电视墙场景管理和场景切换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 大屏控制：要求可对大屏进行1/4/9/16/25分屏、拼接、开窗、窗口漫游的操作，通过客户端支持电视墙开窗后支持分割，并可将大屏分屏配置另保存为场景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 iPad大屏客户端：要求支持在iPad上操作监控点上墙、拼接、分屏、漫游、预案切换等操作（需提供公安部检验报告复印件）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 要求通过客户端支持预览上墙、回放上墙、轮巡上墙、报警联动上墙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★要求能够接入原有的管理平台，减少成本降低管理复杂度，要求本次选用的投标产品应能够无缝对接，投标人的报价应包含原有设备的接入技术方案和接入成本</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流媒体服务器</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4114(10核2.2GHz)×1/32G DDR4/1TB 7.2K  SATA×2/SAS_HBA/1GbE×2/Win Svr 2016 简中标版/550W(1+1)/2U/16DIMM</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海康、大华、宇视</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立杆</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根</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定制</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辅材</w:t>
            </w:r>
          </w:p>
        </w:tc>
        <w:tc>
          <w:tcPr>
            <w:tcW w:w="8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套</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87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摄像机电源、安防箱、线缆等</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8"/>
                <w:szCs w:val="18"/>
              </w:rPr>
            </w:pPr>
          </w:p>
        </w:tc>
      </w:tr>
    </w:tbl>
    <w:p/>
    <w:p/>
    <w:tbl>
      <w:tblPr>
        <w:tblStyle w:val="15"/>
        <w:tblW w:w="14142" w:type="dxa"/>
        <w:tblInd w:w="0" w:type="dxa"/>
        <w:tblLayout w:type="fixed"/>
        <w:tblCellMar>
          <w:top w:w="0" w:type="dxa"/>
          <w:left w:w="0" w:type="dxa"/>
          <w:bottom w:w="0" w:type="dxa"/>
          <w:right w:w="0" w:type="dxa"/>
        </w:tblCellMar>
      </w:tblPr>
      <w:tblGrid>
        <w:gridCol w:w="555"/>
        <w:gridCol w:w="1275"/>
        <w:gridCol w:w="867"/>
        <w:gridCol w:w="945"/>
        <w:gridCol w:w="8820"/>
        <w:gridCol w:w="1680"/>
      </w:tblGrid>
      <w:tr>
        <w:tblPrEx>
          <w:tblCellMar>
            <w:top w:w="0" w:type="dxa"/>
            <w:left w:w="0" w:type="dxa"/>
            <w:bottom w:w="0" w:type="dxa"/>
            <w:right w:w="0" w:type="dxa"/>
          </w:tblCellMar>
        </w:tblPrEx>
        <w:trPr>
          <w:trHeight w:val="400" w:hRule="atLeast"/>
        </w:trPr>
        <w:tc>
          <w:tcPr>
            <w:tcW w:w="14142"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32"/>
                <w:szCs w:val="32"/>
              </w:rPr>
              <w:t>门禁系统明细表</w:t>
            </w:r>
          </w:p>
        </w:tc>
      </w:tr>
      <w:tr>
        <w:tblPrEx>
          <w:tblCellMar>
            <w:top w:w="0" w:type="dxa"/>
            <w:left w:w="0" w:type="dxa"/>
            <w:bottom w:w="0" w:type="dxa"/>
            <w:right w:w="0" w:type="dxa"/>
          </w:tblCellMar>
        </w:tblPrEx>
        <w:trPr>
          <w:trHeight w:val="400" w:hRule="atLeast"/>
        </w:trPr>
        <w:tc>
          <w:tcPr>
            <w:tcW w:w="55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2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名称</w:t>
            </w:r>
          </w:p>
        </w:tc>
        <w:tc>
          <w:tcPr>
            <w:tcW w:w="86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单位</w:t>
            </w:r>
          </w:p>
        </w:tc>
        <w:tc>
          <w:tcPr>
            <w:tcW w:w="9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数量</w:t>
            </w:r>
          </w:p>
        </w:tc>
        <w:tc>
          <w:tcPr>
            <w:tcW w:w="882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参数</w:t>
            </w:r>
          </w:p>
        </w:tc>
        <w:tc>
          <w:tcPr>
            <w:tcW w:w="168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推荐品牌（或同等档次及以上其他品牌）</w:t>
            </w:r>
          </w:p>
        </w:tc>
      </w:tr>
      <w:tr>
        <w:tblPrEx>
          <w:tblCellMar>
            <w:top w:w="0" w:type="dxa"/>
            <w:left w:w="0" w:type="dxa"/>
            <w:bottom w:w="0" w:type="dxa"/>
            <w:right w:w="0" w:type="dxa"/>
          </w:tblCellMar>
        </w:tblPrEx>
        <w:trPr>
          <w:trHeight w:val="157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出门按钮</w:t>
            </w: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只</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76</w:t>
            </w:r>
          </w:p>
        </w:tc>
        <w:tc>
          <w:tcPr>
            <w:tcW w:w="8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1、结构：塑料面板；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2、性能：最大耐电流1.25A，电压250V；</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3、输出：常开；</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4、类型：适合埋入式电器盒使用；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5、尺寸：86*86mm；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6、重量：0.07kg；</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海康威视、汉军、博世</w:t>
            </w:r>
          </w:p>
        </w:tc>
      </w:tr>
      <w:tr>
        <w:tblPrEx>
          <w:tblCellMar>
            <w:top w:w="0" w:type="dxa"/>
            <w:left w:w="0" w:type="dxa"/>
            <w:bottom w:w="0" w:type="dxa"/>
            <w:right w:w="0" w:type="dxa"/>
          </w:tblCellMar>
        </w:tblPrEx>
        <w:trPr>
          <w:trHeight w:val="247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双门磁力锁</w:t>
            </w: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只</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76</w:t>
            </w:r>
          </w:p>
        </w:tc>
        <w:tc>
          <w:tcPr>
            <w:tcW w:w="8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1、上锁时NO输出，开锁时NC输出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2、最大拉力280kg*2静态直线拉力</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3、锁体长480x宽48.5x厚26.5(mm)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4、吸板180x38x11mm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5、适用于木门、金属门、防火门/国内标配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6、输入电压 DC12V或DC24V</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7、支持门磁输出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8、使用环境：室内</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9、工作电流  12V/500mA x2 ;24V/250mAx2</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10、功耗：12W</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海康威视、汉军、博世</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磁力锁LZ支架</w:t>
            </w: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只</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152</w:t>
            </w:r>
          </w:p>
        </w:tc>
        <w:tc>
          <w:tcPr>
            <w:tcW w:w="8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1、磁力锁250LZ支架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2、L型支架长240*宽47*厚28.5mm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3、Z型支架长180*宽50*厚50mm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4、90度开门,适用内开式木门/金属门/窄框门</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海康威视、汉军、博世</w:t>
            </w:r>
          </w:p>
        </w:tc>
      </w:tr>
      <w:tr>
        <w:tblPrEx>
          <w:tblCellMar>
            <w:top w:w="0" w:type="dxa"/>
            <w:left w:w="0" w:type="dxa"/>
            <w:bottom w:w="0" w:type="dxa"/>
            <w:right w:w="0" w:type="dxa"/>
          </w:tblCellMar>
        </w:tblPrEx>
        <w:trPr>
          <w:trHeight w:val="255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人脸识别一体机</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76</w:t>
            </w:r>
          </w:p>
        </w:tc>
        <w:tc>
          <w:tcPr>
            <w:tcW w:w="8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1、设备支持指纹/蓝牙模块自由拼接，用户可自行扩展；设备屏幕防爆等级不低于IK03</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2、设备应具备不少于以下硬件接口及能力： LAN*1，10M/100M/1000M自适应 ； RS485*1； 韦根*1，支持双向韦根通信；USB *2； 喇叭扬声器； I/O输出*2； I/O输入*4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3、设备采用7英寸LCD触摸显示屏，屏幕应支持多点触控操作；分辨率不小于1024*600；屏幕流明度不低于350cd/m2。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4、设备采用200w高清双目相机宽动态相机，1路可见光摄像头，1路红外摄像头；最大分辨率为1920×1080，帧率30fps；支持红外及白光灯补光；支持设置红外及可见光补光灯亮度。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5、设备摄像头采用 F1.6大光圈，最大视场角120°；使用星光级CMOS感光元件。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6、设备支持IP65防水等级。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7、设备应支持比对结果图文提示功能； 支持本地视频预览、人脸动态捕捉；支持查看人员信息、设备状态、设备模式。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8、设备应支持根据比对结果输出开关量信号联动门禁等其他设备；支持通过RS485协议或wiegand接口外接读卡器，实现刷卡功能；支持通过RS485协议或wiegand接口外接门禁主机等设备。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9、设备支持局域网、互联网环境的网络通信；支持云平台通信，实现视频、对讲及权限管控功能；在线状态下实时上传比对记录。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10、设备支持活体检测（视频防假）功能；无需用户配合（眨眼、点头、摇头等动作），即可完成真人检测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11、设备应支持支持中心下发黑名单信息；支持本地黑名单信息比对；支持本地黑名单报警功能，报警信息可上传平台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设备支持人脸识别功能，现场抓拍人脸照片与本地人脸库照片进行比对，进行人员身份核验；支持人脸在画面内持续动态跟踪；支持断网离线运行，实现单机人脸比对功能，最大人脸容量20000张；支持联网与后端平台对接，实现人脸比对功能；支持侧脸，遮挡，模糊，表情，戴眼镜及帽子等实际场景识别；人脸识别距离：0.1~2.6m；人脸识别高度：1.2~2m；人脸识别水平区域范围：0~110°可设置；人脸比对时间：＜0.2秒；刷人脸时，设备可抓拍图片并实时上传平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13、设备支持500个以上关键点位置定位识别目标人脸；支持在0.001lux低照度及全黑无补光环境下正常实现人脸识别； 支持用户人脸数据下载及人脸识别双线程同步工作；人脸比对准确率：＞99.7%；人脸比对误识率：＜0.01%。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14、支持通过APP采集人脸并注册下发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15、设备支持平台或客户端中心远程视频对讲功能。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16、设备支持与室内机、管理机可视对讲功能，支持手机APP对讲功能。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17、设备支持在没有用户使用时自动切换到屏保或息屏待机状态；支持物体靠近自动唤醒待机设备，唤醒距离可调节；支持人脸移动侦测，实现设备唤醒；支持不开启白光补光灯实现人脸识别，减少功耗及光污染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18、系统应能对门的开启方式，对人脸、刷卡、指纹、 二维码、密码认证方式进行组合设置，支持反潜回（防跟随）功能，多重卡认证开门，多重卡+中心远程认证开门，多重卡+超级密码开门，多重卡+超级卡开门， 首卡开门， 超级权限开门，管理中心远程开门，以实现不同场景的权限管理；支持按时间分时段管控门禁权限，支持255组时段计划模板；支持本地20000张人脸库，50000张卡片容量，100000笔记录存储，5000枚指纹。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19、设备应支持以下开门方式以及权限设置：APP远程开门；室内机及管理机远程开门；支持普通卡、来宾卡、胁迫卡、超级卡、残疾人卡、巡更卡、黑名单卡等多种类型用户权限设置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当设备被拆除、胁迫卡刷卡、胁迫码输入、黑名单卡刷卡时，系统应报警；设备具有2路输入接口，能联动报警输出；具有防拆功能，强力拆除时，可上传报警事件到中心；接入系统平台后可支持视频联动报警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★要求能够接入原有的管理平台，减少成本降低管理复杂度，要求本次选用的投标产品应能够无缝对接，投标人的报价应包含原有设备的接入技术方案和接入成本</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海康威视、汉军、博世</w:t>
            </w:r>
          </w:p>
        </w:tc>
      </w:tr>
      <w:tr>
        <w:tblPrEx>
          <w:tblCellMar>
            <w:top w:w="0" w:type="dxa"/>
            <w:left w:w="0" w:type="dxa"/>
            <w:bottom w:w="0" w:type="dxa"/>
            <w:right w:w="0" w:type="dxa"/>
          </w:tblCellMar>
        </w:tblPrEx>
        <w:trPr>
          <w:trHeight w:val="225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开关电源</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76</w:t>
            </w:r>
          </w:p>
        </w:tc>
        <w:tc>
          <w:tcPr>
            <w:tcW w:w="8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1、输入电压：100-240VAC；</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2、输出电压：12VDC；</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3、输出电流：4.17A；</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4、输出功率：50W；</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5、支持蓄电池（0T7-12）接入（设备本身不含蓄电池）；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6、工作温度：-10℃-+70℃；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7、工作湿度：＜95%；</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8、带机箱，机箱尺寸：237*285*85mm；</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9、用于给一体机和电锁供电使用。</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海康威视、汉军、博世</w:t>
            </w:r>
          </w:p>
        </w:tc>
      </w:tr>
      <w:tr>
        <w:tblPrEx>
          <w:tblCellMar>
            <w:top w:w="0" w:type="dxa"/>
            <w:left w:w="0" w:type="dxa"/>
            <w:bottom w:w="0" w:type="dxa"/>
            <w:right w:w="0" w:type="dxa"/>
          </w:tblCellMar>
        </w:tblPrEx>
        <w:trPr>
          <w:trHeight w:val="247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门禁读卡器</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只</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76</w:t>
            </w:r>
          </w:p>
        </w:tc>
        <w:tc>
          <w:tcPr>
            <w:tcW w:w="8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读卡频率：13.56MHz</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按键方式：无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可识别卡：Mifare卡号、Mifare卡内容、CPU卡序列号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通讯方式：RS485+Wiegand</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工作电压：DC 12V</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功耗：≤2W</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安装方式：预埋120或86底盒安装</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工作环境：室内，IP64</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外型尺寸:121mm(高)x86.5mm（宽）x14mm（厚）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注意：默认出货为金属背板，如果现场需要刷异形卡，则需将背板更换为塑料背板</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海康威视、汉军、博世</w:t>
            </w:r>
          </w:p>
        </w:tc>
      </w:tr>
      <w:tr>
        <w:tblPrEx>
          <w:tblCellMar>
            <w:top w:w="0" w:type="dxa"/>
            <w:left w:w="0" w:type="dxa"/>
            <w:bottom w:w="0" w:type="dxa"/>
            <w:right w:w="0" w:type="dxa"/>
          </w:tblCellMar>
        </w:tblPrEx>
        <w:trPr>
          <w:trHeight w:val="180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发卡器</w:t>
            </w: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1、支持发卡类型：ID卡、Mifare卡号、Mifare卡内容、CPU卡号、CPU卡内容、身份证序列号；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2、USB2.0接口；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3、具有2个Sim卡尺寸的SAM卡座；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4、工作电压：DC 5V；</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5、工作电流：0.2A；</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6、尺寸：117*67.5*14.3mm</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海康威视、汉军、博世</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IC卡</w:t>
            </w: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张</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1000</w:t>
            </w:r>
          </w:p>
        </w:tc>
        <w:tc>
          <w:tcPr>
            <w:tcW w:w="8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标准白卡外形，mifare1卡，感应频率为13.56MHZ，16个扇区，容量1K，PVC材质</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海康威视、汉军、博世</w:t>
            </w:r>
          </w:p>
        </w:tc>
      </w:tr>
      <w:tr>
        <w:tblPrEx>
          <w:tblCellMar>
            <w:top w:w="0" w:type="dxa"/>
            <w:left w:w="0" w:type="dxa"/>
            <w:bottom w:w="0" w:type="dxa"/>
            <w:right w:w="0" w:type="dxa"/>
          </w:tblCellMar>
        </w:tblPrEx>
        <w:trPr>
          <w:trHeight w:val="112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门禁管理工作站</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1、安装门禁管理软件，支持门禁统一管理和联网管理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2、要求能够接入原有的存储设备和管理平台，减少成本降低管理复杂度，要求本次选用的投标产品应能够无缝对接，投标人的报价应包含原有设备的接入技术方案和接入成本</w:t>
            </w:r>
          </w:p>
        </w:tc>
        <w:tc>
          <w:tcPr>
            <w:tcW w:w="16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门禁管理软件</w:t>
            </w:r>
          </w:p>
        </w:tc>
        <w:tc>
          <w:tcPr>
            <w:tcW w:w="8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套</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门禁管理</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海康威视、汉军、博世</w:t>
            </w:r>
          </w:p>
        </w:tc>
      </w:tr>
      <w:tr>
        <w:tblPrEx>
          <w:tblCellMar>
            <w:top w:w="0" w:type="dxa"/>
            <w:left w:w="0" w:type="dxa"/>
            <w:bottom w:w="0" w:type="dxa"/>
            <w:right w:w="0" w:type="dxa"/>
          </w:tblCellMar>
        </w:tblPrEx>
        <w:trPr>
          <w:trHeight w:val="450"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门禁管理服务器</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64位CPU，核数≧12/16GB ECC内存/1颗SSD硬盘/热插拔/以太网口1Gx2/冗余电源/2U/操作系统：CentOS7 64位</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海康威视、汉军、博世</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数据库</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套</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8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SQL Server2008</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SQL Server2008</w:t>
            </w:r>
          </w:p>
        </w:tc>
      </w:tr>
      <w:tr>
        <w:tblPrEx>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辅材</w:t>
            </w:r>
          </w:p>
        </w:tc>
        <w:tc>
          <w:tcPr>
            <w:tcW w:w="8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套</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88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安防箱、线缆等</w:t>
            </w:r>
          </w:p>
        </w:tc>
        <w:tc>
          <w:tcPr>
            <w:tcW w:w="1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18"/>
                <w:szCs w:val="18"/>
              </w:rPr>
            </w:pPr>
          </w:p>
        </w:tc>
      </w:tr>
    </w:tbl>
    <w:p/>
    <w:tbl>
      <w:tblPr>
        <w:tblStyle w:val="15"/>
        <w:tblW w:w="14020" w:type="dxa"/>
        <w:jc w:val="center"/>
        <w:tblLayout w:type="fixed"/>
        <w:tblCellMar>
          <w:top w:w="0" w:type="dxa"/>
          <w:left w:w="0" w:type="dxa"/>
          <w:bottom w:w="0" w:type="dxa"/>
          <w:right w:w="0" w:type="dxa"/>
        </w:tblCellMar>
      </w:tblPr>
      <w:tblGrid>
        <w:gridCol w:w="1183"/>
        <w:gridCol w:w="1382"/>
        <w:gridCol w:w="855"/>
        <w:gridCol w:w="810"/>
        <w:gridCol w:w="8458"/>
        <w:gridCol w:w="1332"/>
      </w:tblGrid>
      <w:tr>
        <w:tblPrEx>
          <w:tblCellMar>
            <w:top w:w="0" w:type="dxa"/>
            <w:left w:w="0" w:type="dxa"/>
            <w:bottom w:w="0" w:type="dxa"/>
            <w:right w:w="0" w:type="dxa"/>
          </w:tblCellMar>
        </w:tblPrEx>
        <w:trPr>
          <w:trHeight w:val="270" w:hRule="atLeast"/>
          <w:jc w:val="center"/>
        </w:trPr>
        <w:tc>
          <w:tcPr>
            <w:tcW w:w="14020" w:type="dxa"/>
            <w:gridSpan w:val="6"/>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b/>
                <w:color w:val="000000"/>
                <w:kern w:val="0"/>
                <w:sz w:val="32"/>
                <w:szCs w:val="32"/>
              </w:rPr>
              <w:t>体育馆及体育场新闻发布厅系统明细表</w:t>
            </w:r>
          </w:p>
        </w:tc>
      </w:tr>
      <w:tr>
        <w:tblPrEx>
          <w:tblCellMar>
            <w:top w:w="0" w:type="dxa"/>
            <w:left w:w="0" w:type="dxa"/>
            <w:bottom w:w="0" w:type="dxa"/>
            <w:right w:w="0" w:type="dxa"/>
          </w:tblCellMar>
        </w:tblPrEx>
        <w:trPr>
          <w:trHeight w:val="821" w:hRule="atLeast"/>
          <w:jc w:val="center"/>
        </w:trPr>
        <w:tc>
          <w:tcPr>
            <w:tcW w:w="118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138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名称</w:t>
            </w:r>
          </w:p>
        </w:tc>
        <w:tc>
          <w:tcPr>
            <w:tcW w:w="85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w:t>
            </w:r>
          </w:p>
        </w:tc>
        <w:tc>
          <w:tcPr>
            <w:tcW w:w="81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数量 </w:t>
            </w:r>
          </w:p>
        </w:tc>
        <w:tc>
          <w:tcPr>
            <w:tcW w:w="845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技术参数</w:t>
            </w:r>
          </w:p>
        </w:tc>
        <w:tc>
          <w:tcPr>
            <w:tcW w:w="133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推荐品牌（或同等档次及以上其他品牌）</w:t>
            </w:r>
          </w:p>
        </w:tc>
      </w:tr>
      <w:tr>
        <w:tblPrEx>
          <w:tblCellMar>
            <w:top w:w="0" w:type="dxa"/>
            <w:left w:w="0" w:type="dxa"/>
            <w:bottom w:w="0" w:type="dxa"/>
            <w:right w:w="0" w:type="dxa"/>
          </w:tblCellMar>
        </w:tblPrEx>
        <w:trPr>
          <w:trHeight w:val="340" w:hRule="atLeast"/>
          <w:jc w:val="center"/>
        </w:trPr>
        <w:tc>
          <w:tcPr>
            <w:tcW w:w="1402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b/>
                <w:color w:val="000000"/>
                <w:kern w:val="0"/>
                <w:sz w:val="20"/>
                <w:szCs w:val="20"/>
              </w:rPr>
              <w:t>一、扩声系统</w:t>
            </w:r>
          </w:p>
        </w:tc>
      </w:tr>
      <w:tr>
        <w:tblPrEx>
          <w:tblCellMar>
            <w:top w:w="0" w:type="dxa"/>
            <w:left w:w="0" w:type="dxa"/>
            <w:bottom w:w="0" w:type="dxa"/>
            <w:right w:w="0" w:type="dxa"/>
          </w:tblCellMar>
        </w:tblPrEx>
        <w:trPr>
          <w:trHeight w:val="19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二分频音箱</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1、★低频：12cm圆锥形喇叭*4，高频：圆锥形喇叭*12。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2、额定功率/峰值功率：200W/600W；标称阻抗：8Ω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3、★灵敏度：≥99dB；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4、指向性角度：水平:100°垂直：15°\30°\45°\60°可调，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5、频率响应：70Hz-20kHz；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6、▲产品需提供原厂声学数据或EASE数据，可出具声场分析图或EASE声场分析图；</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19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两分频宽音域天顶喇叭</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1、★高频：平衡式拱形喇叭，低频：12cm锥形喇叭，可定阻模式，可定压模式驱动；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2、额定功率：RMS 60W/MAX 120W，阻抗：8Ω。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3、★最大声压级：≥90dB。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4、频率响应：50-20KHz，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5、▲产品需提供原厂声学数据或EASE数据，可出具声场分析图或EASE声场分析图；</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7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数字功放</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1、额定功率: 2x400W/8Ω, 2x600W/4Ω,桥接输出功率：1000W/桥接8Ω, 1200W/桥接4Ω；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2、电平增益：29dB；频率响应：20-20KHz  +0/-1dB；失真率：0.5%,20Hz-20KHz；互调失真：-0.0035；转换速率：&gt;10V/us；阻尼系数：&gt;500 @1KHz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3、信噪比：&gt;100dB（20Hz-20kHz，A计权；串扰：-75dB@1KHz,-59dB@20KHz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4、输入灵敏度：0.775V or 1.4V  ；输入阻抗：非平衡10KΩ，平衡20KΩ；输入连接器：2×平衡XLR，2×非平衡RCA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5、★双通道功率放大器，选配可编程数字模块，可接入网络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6、中标通知书发出后7个工作日内提供3年原厂服务承诺函原件并加盖原厂商公章</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16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数字音频处理器</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1、模块化设计数字音频矩阵，8路总线；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2、★最多12进8出（12×8矩阵）配置；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3、集成数字处理、反馈抑制、自动调音、参量均衡、压缩器、延时、回音功能，只能mic开放数量（NOM）衰减功能，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4、最多和预存16种播放模式，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5、可通过扩展模块实现远程调音功能。</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2通道输入模块</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2通道输入模块,XLR-3-31接口，模拟/数字转换器：24位，频率响应：20-20,000Hz,±1dB(+4dB输入)，采样频率:48kHz</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914"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4通道线性输出模块</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4通道输出模块，XLR-3-32接口，数字/模拟转换器：24位，采样频率：48kHz，频率响应：20-20,000Hz,±1dB</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30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无线手持话筒</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after="200"/>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 xml:space="preserve">1、采用UHF频率传输，天线分集接收；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2、动圈话筒:心形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3、频率范围：576–865 MHz, UHF；</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4、信道选择：64个信道；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5、最大输入电平：142 dB SPL</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6、★中标通知书发出后7个工作日内提供3年原厂服务承诺函原件并加盖原厂商公章</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TOA、SHURE、KLOTZ</w:t>
            </w:r>
          </w:p>
        </w:tc>
      </w:tr>
      <w:tr>
        <w:tblPrEx>
          <w:tblCellMar>
            <w:top w:w="0" w:type="dxa"/>
            <w:left w:w="0" w:type="dxa"/>
            <w:bottom w:w="0" w:type="dxa"/>
            <w:right w:w="0" w:type="dxa"/>
          </w:tblCellMar>
        </w:tblPrEx>
        <w:trPr>
          <w:trHeight w:val="1895"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无线接收机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AC主电源(必须使用所提供的AC-DC适配器)，频率范围：576–865 MHz, UHF(WTU-4800)，信道选择：64个可选频率，混合输出：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MIC:-60dB*2,600,平衡,XLR-3-31型连接器，LINE:-20dB*2,600,不平衡,听筒塞孔。混合输入：-20dB*2,10k,不平衡,听筒塞孔，天线：棒状天线，接收灵敏度：超过90dB，信噪比：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超过110dB，谐波失真率：低于1%(典型)，频率响应：100-15,000 Hz,3dB</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TOA、SHURE、KLOTZ</w:t>
            </w:r>
          </w:p>
        </w:tc>
      </w:tr>
      <w:tr>
        <w:tblPrEx>
          <w:tblCellMar>
            <w:top w:w="0" w:type="dxa"/>
            <w:left w:w="0" w:type="dxa"/>
            <w:bottom w:w="0" w:type="dxa"/>
            <w:right w:w="0" w:type="dxa"/>
          </w:tblCellMar>
        </w:tblPrEx>
        <w:trPr>
          <w:trHeight w:val="9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广播级音频分配器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1进16出视音频分配器，音频双声道非平衡，视音频RCA接口</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TOA、SHURE、KLOTZ</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DVD机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兼容DVD/CD/VCD</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cs="宋体"/>
                <w:color w:val="000000"/>
                <w:kern w:val="0"/>
                <w:sz w:val="20"/>
                <w:szCs w:val="20"/>
                <w:highlight w:val="none"/>
              </w:rPr>
              <w:t>PIONEER、SONY、PHILIPS</w:t>
            </w:r>
          </w:p>
        </w:tc>
      </w:tr>
      <w:tr>
        <w:tblPrEx>
          <w:tblCellMar>
            <w:top w:w="0" w:type="dxa"/>
            <w:left w:w="0" w:type="dxa"/>
            <w:bottom w:w="0" w:type="dxa"/>
            <w:right w:w="0" w:type="dxa"/>
          </w:tblCellMar>
        </w:tblPrEx>
        <w:trPr>
          <w:trHeight w:val="16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八路时序电源器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1、8路智能电源系统，整机容量40A（8.8KVA）；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2、每路延时1秒，每路输出AC220V/13A，适用各种类型插头；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3、MCU控制，真正智能化设计，具有外部电平控制级连口和标准RS232串行数控接口。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4、开放控制协议，既可满足中央控制器控制，又可连接各种控制面板。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cs="宋体"/>
                <w:color w:val="000000"/>
                <w:kern w:val="0"/>
                <w:sz w:val="20"/>
                <w:szCs w:val="20"/>
                <w:highlight w:val="none"/>
              </w:rPr>
              <w:t>DESFINE、COVCA、得胜（TAKSTAR</w:t>
            </w:r>
            <w:r>
              <w:rPr>
                <w:rFonts w:ascii="宋体" w:hAnsi="宋体" w:cs="宋体"/>
                <w:color w:val="000000"/>
                <w:kern w:val="0"/>
                <w:sz w:val="20"/>
                <w:szCs w:val="20"/>
                <w:highlight w:val="none"/>
              </w:rPr>
              <w:t>）</w:t>
            </w:r>
          </w:p>
        </w:tc>
      </w:tr>
      <w:tr>
        <w:tblPrEx>
          <w:tblCellMar>
            <w:top w:w="0" w:type="dxa"/>
            <w:left w:w="0" w:type="dxa"/>
            <w:bottom w:w="0" w:type="dxa"/>
            <w:right w:w="0" w:type="dxa"/>
          </w:tblCellMar>
        </w:tblPrEx>
        <w:trPr>
          <w:trHeight w:val="365" w:hRule="atLeast"/>
          <w:jc w:val="center"/>
        </w:trPr>
        <w:tc>
          <w:tcPr>
            <w:tcW w:w="1402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b/>
                <w:color w:val="000000"/>
                <w:kern w:val="0"/>
                <w:sz w:val="20"/>
                <w:szCs w:val="20"/>
              </w:rPr>
              <w:t>二、显示系统</w:t>
            </w:r>
          </w:p>
        </w:tc>
      </w:tr>
      <w:tr>
        <w:tblPrEx>
          <w:tblCellMar>
            <w:top w:w="0" w:type="dxa"/>
            <w:left w:w="0" w:type="dxa"/>
            <w:bottom w:w="0" w:type="dxa"/>
            <w:right w:w="0" w:type="dxa"/>
          </w:tblCellMar>
        </w:tblPrEx>
        <w:trPr>
          <w:trHeight w:val="3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激光投影机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1、DLP投影系统，DLP芯片×1, DMD芯片0.65’’；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2、分辨率：≥1920×1080；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3、亮度≥5000流明；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4、对比度≥10000:1；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5、镜头支持手动位移及变焦，≥H:+/-5% , V: +/-30%；变焦比≥1.6倍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投射比在≥1.2~1.92；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6、扩音≥2×10W高保真立体声音频系统；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7、支持7*24小时不间断连续工作、激光光源，使用寿命≥20000小时；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8、ECO节能环保显示模式；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9、支持HDMI无线信号传输，且此接口兼容MHL有线传输；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10、4S(RGBY) brilliant color极致色轮;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11、色彩管理系统（色相、色度、饱和度）调整；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12、支持数码功能，数码方式调整画面大小；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13、支持时钟频率调节功能，可解决输入信号微弱出现的闪烁问题；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14、支持动态黑功能，提升动态图像的黑位表现，提升黑色细节；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15、自定义开机logo、信号源自动搜索；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16、支持几何校正及梯形校正功能；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17、可选择禁用输入信号源，投影机将不会搜索为选择的输入信号源；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18、全中文遥控器贴心设计；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19、支持HDBaseT ，可实现长距离传输的需求；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20、3D VESA 、DLP-LINK两种立体显示方式，支持蓝光3D,即3D倍频；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21、支持PIP和PBP显示模式；可同屏显示双数字信号；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22、输入端口：15-pin Mini-Dsubx1、HDBaseTx1、HDMI 1.4(支持HDCP)x2、HDMI(支持HDCP)x1（兼容MHL,可用于无线投影）、audio3.5mm接口x1、Microphonex1、Wired Remote x1  3.5毫米（用于有线遥控器）、miniUSBx1（用于软件升级）、USB-A x2、RJ45×1（用于网络控制）、RS232(D-sub 9pin)x1；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23、输出端口：15-pin Mini-Dsubx1、12V Triggerx1  3.5毫米、audio3.5mm接口x1、VESAx1（用于3D 环出）；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24、支持多角度安装,支持垂直安装；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25、产品认证：CECP、3C、检测证书、CB、等国际认证；</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cs="宋体"/>
                <w:color w:val="000000"/>
                <w:kern w:val="0"/>
                <w:sz w:val="20"/>
                <w:szCs w:val="20"/>
                <w:highlight w:val="none"/>
              </w:rPr>
              <w:t>SONNOC、EPSON</w:t>
            </w:r>
            <w:r>
              <w:rPr>
                <w:rFonts w:hint="eastAsia" w:ascii="宋体" w:hAnsi="宋体" w:cs="宋体"/>
                <w:color w:val="000000"/>
                <w:kern w:val="0"/>
                <w:sz w:val="20"/>
                <w:szCs w:val="20"/>
              </w:rPr>
              <w:t>、Panasonic</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投影机固定吊架</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投影机固定吊架</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电动投影幕</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玻珠幕：16：9</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cs="宋体"/>
                <w:color w:val="000000"/>
                <w:kern w:val="0"/>
                <w:sz w:val="20"/>
                <w:szCs w:val="20"/>
                <w:highlight w:val="none"/>
              </w:rPr>
              <w:t>红叶、</w:t>
            </w:r>
            <w:r>
              <w:rPr>
                <w:rFonts w:hint="eastAsia" w:ascii="宋体" w:hAnsi="宋体" w:cs="宋体"/>
                <w:color w:val="000000"/>
                <w:kern w:val="0"/>
                <w:sz w:val="20"/>
                <w:szCs w:val="20"/>
              </w:rPr>
              <w:t>得力（deli）、极米（XGIMI</w:t>
            </w:r>
            <w:r>
              <w:rPr>
                <w:rFonts w:ascii="宋体" w:hAnsi="宋体" w:cs="宋体"/>
                <w:color w:val="000000"/>
                <w:kern w:val="0"/>
                <w:sz w:val="20"/>
                <w:szCs w:val="20"/>
              </w:rPr>
              <w:t>）</w:t>
            </w:r>
          </w:p>
        </w:tc>
      </w:tr>
      <w:tr>
        <w:tblPrEx>
          <w:tblCellMar>
            <w:top w:w="0" w:type="dxa"/>
            <w:left w:w="0" w:type="dxa"/>
            <w:bottom w:w="0" w:type="dxa"/>
            <w:right w:w="0" w:type="dxa"/>
          </w:tblCellMar>
        </w:tblPrEx>
        <w:trPr>
          <w:trHeight w:val="7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8路按键型混插主机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8进8出高清数字混合矩阵,单路卡配置，模块化结构，支持4KX2K分辨率。内置3.5寸液晶显示屏,可在液晶屏上进行矩阵的切换，状态的查询及信号分辨率的设置等操作。</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HDMI输入卡（变换+音频）</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单路HDMI输入卡，带音频，输入分辨率支持上下变换。视频DB15接口，音频3.5mm接口。</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3G-SDI输入卡(变换+音频)</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单路3G-SDI输入卡，带均衡，带 环出，带音频，兼容SD/HD-SDI，输入分辨率支持上下变换。视频BNC接口，音频3.5mm接口。</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7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HDBaseT输入卡(带POD供电+音频+RS232)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单路HDBaeT输入卡，带POD供电、232数据传输、音频提取功能，可与墙插、桌插、地插配合使用，传输距离可达100米。视频RJ45接口，音频3.5mm接口。</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7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HDBaseT地插</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地面安装，视频支持VGA和HDMI输入，音频支持HDMI内嵌音频和3.5mm接口模拟音频，通过CAT6网线将信号发送至100m的距离，采用POD供电，安装布线方便。</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HDMI输出卡(变换+音频)</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单路HDMI输出卡，带音频，输出分辨率支持上下变换。视频DB15接口，音频3.5mm接口。</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7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HDBaseT输出卡(带POD供电+RS232)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单路HDBaseT输出卡，传输距离可达100米。视频RJ45接口，音频3.5mm接口，带POD供电。</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转换器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HDBaseT转HDMI接口转换器，RJ45接口输入，用网线进行非压缩传输距离为100米。配合T-HD05使用，带音频提起功能、PoL供电、232数据通讯。</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55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高清摄像头</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最高支持HD 1080P 50/60，并向下兼容所有格式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240倍放大（20倍光学变焦，12倍数码变焦）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1/2.7” CMOS传感器，500万像素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HD-SDI数字非编码、HDMI高清接口、IP网络接口等输出接口可选,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且HDMI、SDI、网络三路视频可同时输出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内置多语言OSD菜单，方便用户使用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机身自带OLED显示屏和机身独创触摸按键，能通过机身面板上的触摸按键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调节摄像机参数信息，与传统拨码方式相比操作更加直观明了，简易维护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支持RS232接口远程升级维护功能，可通过升级包远程对摄像机固件升级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行业领先的超静音云台转动技术，使摄像机转动无任何声音，让用户在使用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中完全不被打扰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内置IP网口，支持10M/100M网络数据，支持3.5音频输入输出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支持ONVIF、GB/T28181、RTSP、RTMP协议，同时可根据用户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需求进行扩展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高端合金底部结构，降低摄像机温度，使图像效果更稳定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在1080P/60的情况下，支持高、标清信号同时输出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255个预置位可编程功能，可设置254地址,可自动识别协议等信息(255以后的预置位需使用我司专用控制软件实现)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RS232和RS485控制信号为不同接口，可同时使用，无须拨码调节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产品提供企业须提供产品外观专利，软件著作权证书，证明是自主知识产权产品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产品提供企业须通过ISO9001：2008国际质量体系认证</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海康、大华、宇视</w:t>
            </w:r>
          </w:p>
        </w:tc>
      </w:tr>
      <w:tr>
        <w:tblPrEx>
          <w:tblCellMar>
            <w:top w:w="0" w:type="dxa"/>
            <w:left w:w="0" w:type="dxa"/>
            <w:bottom w:w="0" w:type="dxa"/>
            <w:right w:w="0" w:type="dxa"/>
          </w:tblCellMar>
        </w:tblPrEx>
        <w:trPr>
          <w:trHeight w:val="384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高清硬盘录像机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硬件规格：</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2U标准机架式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2个HDMI，2个VGA,HDMI+VGA组内同源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8盘位，可满配6TB硬盘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2个千兆网口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2个USB2.0接口、1个USB3.0接口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1个eSATA接口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支持RAID0、1、5、10，支持全局热备盘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软件性能：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输入带宽：256M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16路H.264、H.265混合接入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最大支持16×1080P解码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支持H.265、H.264解码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Smart 2.0/整机热备/ANR/智能检索/智能回放/车牌检索/人脸检索/热度图/客流量统计/分时段回放/超高倍速回放/双系统备份</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海康、大华、宇视</w:t>
            </w:r>
          </w:p>
        </w:tc>
      </w:tr>
      <w:tr>
        <w:tblPrEx>
          <w:tblCellMar>
            <w:top w:w="0" w:type="dxa"/>
            <w:left w:w="0" w:type="dxa"/>
            <w:bottom w:w="0" w:type="dxa"/>
            <w:right w:w="0" w:type="dxa"/>
          </w:tblCellMar>
        </w:tblPrEx>
        <w:trPr>
          <w:trHeight w:val="350" w:hRule="atLeast"/>
          <w:jc w:val="center"/>
        </w:trPr>
        <w:tc>
          <w:tcPr>
            <w:tcW w:w="1402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b/>
                <w:color w:val="000000"/>
                <w:kern w:val="0"/>
                <w:sz w:val="20"/>
                <w:szCs w:val="20"/>
              </w:rPr>
              <w:t>三、中控系统</w:t>
            </w:r>
          </w:p>
        </w:tc>
      </w:tr>
      <w:tr>
        <w:tblPrEx>
          <w:tblCellMar>
            <w:top w:w="0" w:type="dxa"/>
            <w:left w:w="0" w:type="dxa"/>
            <w:bottom w:w="0" w:type="dxa"/>
            <w:right w:w="0" w:type="dxa"/>
          </w:tblCellMar>
        </w:tblPrEx>
        <w:trPr>
          <w:trHeight w:val="725"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可编程主机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可编程中央控制系统，提供可编程逻辑和时序控制功能：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8路红外发射端口，每路互相独立（任何时间只有一个红外端口有效）；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8路独立数字输入输出I/O口，输入输出电压范围DC 0~5V，电流0-10mA；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8路独立弱电继电器接口；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8路双向可编程RS-232/422/485通讯接口；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1个程序传输接口；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一个以太网接口用于连接IPAD等WIFI设备。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110-240VAC自适应电源；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具有系统复位功能；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电源及状态指示功能；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红外自学习功能；</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彩色无线触摸屏</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cs="宋体"/>
                <w:color w:val="000000"/>
                <w:kern w:val="0"/>
                <w:sz w:val="20"/>
                <w:szCs w:val="20"/>
                <w:highlight w:val="none"/>
              </w:rPr>
              <w:t>APPLE、</w:t>
            </w:r>
            <w:r>
              <w:rPr>
                <w:rFonts w:hint="eastAsia" w:ascii="宋体" w:hAnsi="宋体" w:cs="宋体"/>
                <w:color w:val="000000"/>
                <w:kern w:val="0"/>
                <w:sz w:val="20"/>
                <w:szCs w:val="20"/>
              </w:rPr>
              <w:t>三星、联想</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无线AP</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无线WIFI收发设备。</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cs="宋体"/>
                <w:color w:val="000000"/>
                <w:kern w:val="0"/>
                <w:sz w:val="20"/>
                <w:szCs w:val="20"/>
                <w:highlight w:val="none"/>
              </w:rPr>
              <w:t>TP-LINK、华</w:t>
            </w:r>
            <w:r>
              <w:rPr>
                <w:rFonts w:hint="eastAsia" w:ascii="宋体" w:hAnsi="宋体" w:cs="宋体"/>
                <w:color w:val="000000"/>
                <w:kern w:val="0"/>
                <w:sz w:val="20"/>
                <w:szCs w:val="20"/>
              </w:rPr>
              <w:t>为、华三(H3C)</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红外发射棒</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8路继电器模块</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8个独立通道，最大20A/通道</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软件授权</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次</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cs="宋体"/>
                <w:color w:val="000000"/>
                <w:kern w:val="0"/>
                <w:sz w:val="20"/>
                <w:szCs w:val="20"/>
                <w:highlight w:val="none"/>
              </w:rPr>
              <w:t>APPLE、</w:t>
            </w:r>
            <w:r>
              <w:rPr>
                <w:rFonts w:hint="eastAsia" w:ascii="宋体" w:hAnsi="宋体" w:cs="宋体"/>
                <w:color w:val="000000"/>
                <w:kern w:val="0"/>
                <w:sz w:val="20"/>
                <w:szCs w:val="20"/>
              </w:rPr>
              <w:t>三星、联想</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软件编程</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根据使用要确定定制软件</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270" w:hRule="atLeast"/>
          <w:jc w:val="center"/>
        </w:trPr>
        <w:tc>
          <w:tcPr>
            <w:tcW w:w="1402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b/>
                <w:color w:val="000000"/>
                <w:kern w:val="0"/>
                <w:sz w:val="20"/>
                <w:szCs w:val="20"/>
              </w:rPr>
              <w:t>四、灯光系统</w:t>
            </w:r>
          </w:p>
        </w:tc>
      </w:tr>
      <w:tr>
        <w:tblPrEx>
          <w:tblCellMar>
            <w:top w:w="0" w:type="dxa"/>
            <w:left w:w="0" w:type="dxa"/>
            <w:bottom w:w="0" w:type="dxa"/>
            <w:right w:w="0" w:type="dxa"/>
          </w:tblCellMar>
        </w:tblPrEx>
        <w:trPr>
          <w:trHeight w:val="360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LED白光成像灯</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电源输入：POWER CON电源插 输入/输出 ，AC100-240V50-60HZ                     </w:t>
            </w:r>
          </w:p>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信号输入/输出：3P-XLP输入/出，DMX512信号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电源消耗功率：最大200W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超高亮度白光200W ，COB集成光源LED，色温3200K（6500K）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显色性指数：CRI&gt;90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控制：3DMX通道，LCD显示屏，4种调光曲线，可选择，主从机同步，单独自走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光束角度：10度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刷新频率：2000HZ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散热处理：铜管导热+静音风扇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外壳材料：铁+塑料，防水等级：IP20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工作时温度：LED中心温度&gt;40度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尺寸：58*28*21CM   重量：8KG</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鑫耀、锐星、CKC</w:t>
            </w:r>
          </w:p>
        </w:tc>
      </w:tr>
      <w:tr>
        <w:tblPrEx>
          <w:tblCellMar>
            <w:top w:w="0" w:type="dxa"/>
            <w:left w:w="0" w:type="dxa"/>
            <w:bottom w:w="0" w:type="dxa"/>
            <w:right w:w="0" w:type="dxa"/>
          </w:tblCellMar>
        </w:tblPrEx>
        <w:trPr>
          <w:trHeight w:val="19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三基色柔光灯</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型     号：XY-4X55W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包装尺寸：680×300×150（mm）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光     源：4×55W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功     率：220W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显色指数：90-100灯管型号：H管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色      温：3200K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反光效率：70-80流明/瓦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重      量：6.8kg</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鑫耀、锐星、CKC</w:t>
            </w:r>
          </w:p>
        </w:tc>
      </w:tr>
      <w:tr>
        <w:tblPrEx>
          <w:tblCellMar>
            <w:top w:w="0" w:type="dxa"/>
            <w:left w:w="0" w:type="dxa"/>
            <w:bottom w:w="0" w:type="dxa"/>
            <w:right w:w="0" w:type="dxa"/>
          </w:tblCellMar>
        </w:tblPrEx>
        <w:trPr>
          <w:trHeight w:val="120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DMX512信号放大器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DMX512/1990信号输出 4路DMX信号分配器，二进八出 采用抗高压保护措施，极不容易损坏 输入与输出信号（包括信号地线）完全隔离 宽电压输入,适应不同国家的电压输入 可匹配3针的卡侬插座 各路均有独立的放大器及信号指示灯 电源输入: AC 100V-240V  50/ 60Hz 外形尺寸: 314mmX147mmX75mm 重量 : 1.5kg </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鑫耀、锐星、CKC</w:t>
            </w:r>
          </w:p>
        </w:tc>
      </w:tr>
      <w:tr>
        <w:tblPrEx>
          <w:tblCellMar>
            <w:top w:w="0" w:type="dxa"/>
            <w:left w:w="0" w:type="dxa"/>
            <w:bottom w:w="0" w:type="dxa"/>
            <w:right w:w="0" w:type="dxa"/>
          </w:tblCellMar>
        </w:tblPrEx>
        <w:trPr>
          <w:trHeight w:val="16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512控制台</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DMX512/1990信号输出,504个控制通道LCD液晶显示屏,LED指示灯可同时控制20台24通道电脑灯+24调光通道8个通道的控制推子一个可设置的摇杆装置可提灯操作24个走灯程序,每个程序最大40步共960个电脑灯走灯程序步0.1-25.5秒的场景渐变时间(Cross)调节范围0.1-25.5秒的走灯速度 (Speed) 调节范围各程序速度.渐变值自动记忆128K 大容量记忆关机数据保存DMX信号输出连接器: XLR-D3F电源输入: DC9V 10 00mA 外形尺寸: 485mmX250mmX91mm重量 : 5kg</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鑫耀、锐星、CKC</w:t>
            </w:r>
          </w:p>
        </w:tc>
      </w:tr>
      <w:tr>
        <w:tblPrEx>
          <w:tblCellMar>
            <w:top w:w="0" w:type="dxa"/>
            <w:left w:w="0" w:type="dxa"/>
            <w:bottom w:w="0" w:type="dxa"/>
            <w:right w:w="0" w:type="dxa"/>
          </w:tblCellMar>
        </w:tblPrEx>
        <w:trPr>
          <w:trHeight w:val="31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直通电源箱</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性能特点：12路开关输出；每路功率：3KW; 规格：482X140X50MM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直通开关箱是鑫誉公司开发的一种调光系统的辅助设备，主要为各种电脑灯供电，共有十二路。电源插座也方便其它无须调光工作照明配套设备的供电使用。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技术参数：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1：输入电压：单相或三相四线制供电。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2：每路输出电压等于输入电压。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3：每路最大输出电流：20A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4：整机绝缘度：大于或等于100M欧姆。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5：开关路数：12路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6：过流保护：20A空气开关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7：输出接口：10A胶木插座。</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鑫耀、锐星、CKC</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灯钩</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铸铝</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保险链</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条</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定制</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固定灯杆</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现场制作</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五、附件</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会议插座</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话筒插座</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现场录音插座</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机柜</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32U</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线缆及辅助材料</w:t>
            </w:r>
          </w:p>
        </w:tc>
        <w:tc>
          <w:tcPr>
            <w:tcW w:w="85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批</w:t>
            </w:r>
          </w:p>
        </w:tc>
        <w:tc>
          <w:tcPr>
            <w:tcW w:w="81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4020" w:type="dxa"/>
            <w:gridSpan w:val="6"/>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b/>
                <w:color w:val="000000"/>
                <w:kern w:val="0"/>
                <w:sz w:val="20"/>
                <w:szCs w:val="20"/>
              </w:rPr>
              <w:t>体育馆裁判会议室</w:t>
            </w:r>
          </w:p>
        </w:tc>
      </w:tr>
      <w:tr>
        <w:tblPrEx>
          <w:tblCellMar>
            <w:top w:w="0" w:type="dxa"/>
            <w:left w:w="0" w:type="dxa"/>
            <w:bottom w:w="0" w:type="dxa"/>
            <w:right w:w="0" w:type="dxa"/>
          </w:tblCellMar>
        </w:tblPrEx>
        <w:trPr>
          <w:trHeight w:val="270" w:hRule="atLeast"/>
          <w:jc w:val="center"/>
        </w:trPr>
        <w:tc>
          <w:tcPr>
            <w:tcW w:w="118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138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名称</w:t>
            </w:r>
          </w:p>
        </w:tc>
        <w:tc>
          <w:tcPr>
            <w:tcW w:w="85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w:t>
            </w:r>
          </w:p>
        </w:tc>
        <w:tc>
          <w:tcPr>
            <w:tcW w:w="81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数量 </w:t>
            </w:r>
          </w:p>
        </w:tc>
        <w:tc>
          <w:tcPr>
            <w:tcW w:w="845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技术参数</w:t>
            </w:r>
          </w:p>
        </w:tc>
        <w:tc>
          <w:tcPr>
            <w:tcW w:w="133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推荐品牌（或同等档次及以上其他品牌）</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一、扩声系统</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9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两分频宽音域天顶喇叭</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1、★高频：平衡式拱形喇叭，低频：12cm锥形喇叭，可定阻模式，可定压模式驱动；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2、额定功率：RMS 60W/MAX 120W，阻抗：8Ω。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3、★最大声压级：≥90dB。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4、频率响应：50-20KHz，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5、▲产品需提供原厂声学数据或EASE数据，可出具声场分析图或EASE声场分析图；</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2525"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数字功放</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1、额定功率: 2 x 200W/8</w:t>
            </w:r>
            <w:r>
              <w:rPr>
                <w:rStyle w:val="21"/>
                <w:rFonts w:eastAsia="宋体"/>
              </w:rPr>
              <w:t>Ω</w:t>
            </w:r>
            <w:r>
              <w:rPr>
                <w:rFonts w:hint="eastAsia" w:ascii="宋体" w:hAnsi="宋体" w:eastAsia="宋体" w:cs="宋体"/>
                <w:color w:val="000000"/>
                <w:kern w:val="0"/>
                <w:sz w:val="20"/>
                <w:szCs w:val="20"/>
              </w:rPr>
              <w:t>, 2 x 300W/4</w:t>
            </w:r>
            <w:r>
              <w:rPr>
                <w:rStyle w:val="21"/>
                <w:rFonts w:eastAsia="宋体"/>
              </w:rPr>
              <w:t>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2、电平增益：29dB；频率响应：20-20KHz  +0/-1dB；失真率：0.5%,20Hz-20KHz；互调失真：-0.0035；转换速率：&gt;10V/us；阻尼系数：&gt;500 @1KHz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3、信噪比：&gt;100dB（20Hz-20kHz，A计权；串扰：-75dB@1KHz,-59dB@20KHz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4、输入灵敏度：0.775V or 1.4V  ；输入阻抗：非平衡10K</w:t>
            </w:r>
            <w:r>
              <w:rPr>
                <w:rStyle w:val="21"/>
                <w:rFonts w:eastAsia="宋体"/>
              </w:rPr>
              <w:t>Ω</w:t>
            </w:r>
            <w:r>
              <w:rPr>
                <w:rFonts w:hint="eastAsia" w:ascii="宋体" w:hAnsi="宋体" w:eastAsia="宋体" w:cs="宋体"/>
                <w:color w:val="000000"/>
                <w:kern w:val="0"/>
                <w:sz w:val="20"/>
                <w:szCs w:val="20"/>
              </w:rPr>
              <w:t>，平衡20K</w:t>
            </w:r>
            <w:r>
              <w:rPr>
                <w:rStyle w:val="21"/>
                <w:rFonts w:eastAsia="宋体"/>
              </w:rPr>
              <w:t>Ω</w:t>
            </w:r>
            <w:r>
              <w:rPr>
                <w:rFonts w:hint="eastAsia" w:ascii="宋体" w:hAnsi="宋体" w:eastAsia="宋体" w:cs="宋体"/>
                <w:color w:val="000000"/>
                <w:kern w:val="0"/>
                <w:sz w:val="20"/>
                <w:szCs w:val="20"/>
              </w:rPr>
              <w:t>；输入连接器：2×平衡XLR，2×非平衡RCA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5、★H类双通道功率放大器，选配可编程数字模块，可接入网络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6、中标通知书发出后7个工作日内提供3年原厂服务承诺函原件并加盖原厂商公章</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16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数字音频处理器</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1、模块化设计数字音频矩阵，8路总线；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2、★最多12进8出（12×8矩阵）配置；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3、集成数字处理、反馈抑制、自动调音、参量均衡、压缩器、延时、回音功能，只能mic开放数量（NOM）衰减功能，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4、最多和预存16种播放模式，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5、可通过扩展模块实现远程调音功能。</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2通道输入模块</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2通道输入模块,XLR-3-31接口，模拟/数字转换器：24位，频率响应：20-20,000Hz,±1dB(+4dB输入)，采样频率:48kHz</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4通道线性输出模块</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4通道输出模块，XLR-3-32接口，数字/模拟转换器：24位，采样频率：48kHz，频率响应：20-20,000Hz,±1dB</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19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无线手持话筒</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 xml:space="preserve">1、采用UHF频率传输，天线分集接收；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2、动圈话筒:心形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3、频率范围：576–865 MHz, UHF；</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4、信道选择：64个信道；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5、最大输入电平：142 dB SPL</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6、★中标通知书发出后7个工作日内提供3年原厂服务承诺函原件并加盖原厂商公章</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TOA、SHURE、KLOTZ</w:t>
            </w:r>
          </w:p>
        </w:tc>
      </w:tr>
      <w:tr>
        <w:tblPrEx>
          <w:tblCellMar>
            <w:top w:w="0" w:type="dxa"/>
            <w:left w:w="0" w:type="dxa"/>
            <w:bottom w:w="0" w:type="dxa"/>
            <w:right w:w="0" w:type="dxa"/>
          </w:tblCellMar>
        </w:tblPrEx>
        <w:trPr>
          <w:trHeight w:val="16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无线接收机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AC主电源(必须使用所提供的AC-DC适配器)，频率范围：576–865 MHz, UHF(WTU-4800)，信道选择：64个可选频率，混合输出：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MIC:-60dB*2,600,平衡,XLR-3-31型连接器，LINE:-20dB*2,600,不平衡,听筒塞孔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混合输入，-20dB*2,10k,不平衡,听筒塞孔，天线：杆状天线，接收灵敏度：超过90dB，抑制灵敏度：18-40dBV可变，信噪比：超过104dB，谐波失真率：低于1%，频率响应：100-15,000 Hz,3dB</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TOA、SHURE、KLOTZ</w:t>
            </w:r>
          </w:p>
        </w:tc>
      </w:tr>
      <w:tr>
        <w:tblPrEx>
          <w:tblCellMar>
            <w:top w:w="0" w:type="dxa"/>
            <w:left w:w="0" w:type="dxa"/>
            <w:bottom w:w="0" w:type="dxa"/>
            <w:right w:w="0" w:type="dxa"/>
          </w:tblCellMar>
        </w:tblPrEx>
        <w:trPr>
          <w:trHeight w:val="16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高品质鹅颈会议话筒</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元件:驻极体电容型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指向性:心形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额定阻抗:120Ω，平衡式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额定敏感度:-35dB(1kHz 0 dB=1 V/Pa)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幻象供电:9-52V DC</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频率响应:60~20,000Hz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话筒配套底座</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TOA、SHURE、KLOTZ</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DVD机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兼容DVD/CD/VCD</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cs="宋体"/>
                <w:color w:val="000000"/>
                <w:kern w:val="0"/>
                <w:sz w:val="20"/>
                <w:szCs w:val="20"/>
                <w:highlight w:val="none"/>
              </w:rPr>
              <w:t>PIONEER、SONY、PHILIPS</w:t>
            </w:r>
          </w:p>
        </w:tc>
      </w:tr>
      <w:tr>
        <w:tblPrEx>
          <w:tblCellMar>
            <w:top w:w="0" w:type="dxa"/>
            <w:left w:w="0" w:type="dxa"/>
            <w:bottom w:w="0" w:type="dxa"/>
            <w:right w:w="0" w:type="dxa"/>
          </w:tblCellMar>
        </w:tblPrEx>
        <w:trPr>
          <w:trHeight w:val="335"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八路时序电源器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1、8路智能电源系统，整机容量40A（8.8KVA）；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2、每路延时1秒，每路输出AC220V/13A，适用各种类型插头；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3、MCU控制，真正智能化设计，具有外部电平控制级连口和标准RS232串行数控接口。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4、开放控制协议，既可满足中央控制器控制，又可连接各种控制面板。</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cs="宋体"/>
                <w:color w:val="000000"/>
                <w:kern w:val="0"/>
                <w:sz w:val="20"/>
                <w:szCs w:val="20"/>
                <w:highlight w:val="none"/>
              </w:rPr>
              <w:t>DESFINE、COVCA、得胜（TAKSTAR</w:t>
            </w:r>
            <w:r>
              <w:rPr>
                <w:rFonts w:ascii="宋体" w:hAnsi="宋体" w:cs="宋体"/>
                <w:color w:val="000000"/>
                <w:kern w:val="0"/>
                <w:sz w:val="20"/>
                <w:szCs w:val="20"/>
                <w:highlight w:val="none"/>
              </w:rPr>
              <w:t>）</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二、显示系统</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145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激光投影机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1、DLP投影系统，DLP芯片×1, DMD芯片0.65’’；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2、分辨率：≥1920×1080；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3、亮度≥5000流明；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4、对比度≥10000:1；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5、镜头支持手动位移及变焦，≥H:+/-5% , V: +/-30%；变焦比≥1.6倍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投射比在≥1.2~1.92；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6、扩音≥2×10W高保真立体声音频系统；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7、支持7*24小时不间断连续工作、激光光源，使用寿命≥20000小时；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8、ECO节能环保显示模式；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9、支持HDMI无线信号传输，且此接口兼容MHL有线传输；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10、4S(RGBY) brilliant color极致色轮;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11、色彩管理系统（色相、色度、饱和度）调整；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12、支持数码功能，数码方式调整画面大小；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13、支持时钟频率调节功能，可解决输入信号微弱出现的闪烁问题；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14、支持动态黑功能，提升动态图像的黑位表现，提升黑色细节；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15、自定义开机logo、信号源自动搜索；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16、支持几何校正及梯形校正功能；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17、可选择禁用输入信号源，投影机将不会搜索为选择的输入信号源；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18、全中文遥控器贴心设计；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19、支持HDBaseT ，可实现长距离传输的需求；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20、3D VESA 、DLP-LINK两种立体显示方式，支持蓝光3D,即3D倍频；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21、支持PIP和PBP显示模式；可同屏显示双数字信号；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22、输入端口：15-pin Mini-Dsubx1、HDBaseTx1、HDMI 1.4(支持HDCP)x2、HDMI(支持HDCP)x1（兼容MHL,可用于无线投影）、audio3.5mm接口x1、Microphonex1、Wired Remote x1  3.5毫米（用于有线遥控器）、miniUSBx1（用于软件升级）、USB-A x2、RJ45×1（用于网络控制）、RS232(D-sub 9pin)x1；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23、输出端口：15-pin Mini-Dsubx1、12V Triggerx1  3.5毫米、audio3.5mm接口x1、VESAx1（用于3D 环出）；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24、支持多角度安装,支持垂直安装；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25、产品认证：CECP、3C、检测证书、CB、等国际认证；</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cs="宋体"/>
                <w:color w:val="000000"/>
                <w:kern w:val="0"/>
                <w:sz w:val="20"/>
                <w:szCs w:val="20"/>
                <w:highlight w:val="none"/>
              </w:rPr>
              <w:t>SONNOC、EPSON、Panasonic</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投影机固定吊架</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投影机固定吊架</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电动投影幕</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玻珠幕：16：9</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cs="宋体"/>
                <w:color w:val="000000"/>
                <w:kern w:val="0"/>
                <w:sz w:val="20"/>
                <w:szCs w:val="20"/>
                <w:highlight w:val="none"/>
              </w:rPr>
              <w:t>红叶</w:t>
            </w:r>
            <w:r>
              <w:rPr>
                <w:rFonts w:hint="eastAsia" w:ascii="宋体" w:hAnsi="宋体" w:cs="宋体"/>
                <w:color w:val="000000"/>
                <w:kern w:val="0"/>
                <w:sz w:val="20"/>
                <w:szCs w:val="20"/>
              </w:rPr>
              <w:t>、得力（deli）、极米（XGIMI</w:t>
            </w:r>
            <w:r>
              <w:rPr>
                <w:rFonts w:ascii="宋体" w:hAnsi="宋体" w:cs="宋体"/>
                <w:color w:val="000000"/>
                <w:kern w:val="0"/>
                <w:sz w:val="20"/>
                <w:szCs w:val="20"/>
              </w:rPr>
              <w:t>）</w:t>
            </w:r>
          </w:p>
        </w:tc>
      </w:tr>
      <w:tr>
        <w:tblPrEx>
          <w:tblCellMar>
            <w:top w:w="0" w:type="dxa"/>
            <w:left w:w="0" w:type="dxa"/>
            <w:bottom w:w="0" w:type="dxa"/>
            <w:right w:w="0" w:type="dxa"/>
          </w:tblCellMar>
        </w:tblPrEx>
        <w:trPr>
          <w:trHeight w:val="9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HDMI高清矩阵</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4路输入，4路输出，HDMI高清矩阵</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HDMI音频分离器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一进一出HDMI音频分离器</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三、附件</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话筒插座</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多媒体插座</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机柜</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20U</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线缆及辅助材料</w:t>
            </w:r>
          </w:p>
        </w:tc>
        <w:tc>
          <w:tcPr>
            <w:tcW w:w="85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批</w:t>
            </w:r>
          </w:p>
        </w:tc>
        <w:tc>
          <w:tcPr>
            <w:tcW w:w="81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4020" w:type="dxa"/>
            <w:gridSpan w:val="6"/>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b/>
                <w:color w:val="000000"/>
                <w:kern w:val="0"/>
                <w:sz w:val="20"/>
                <w:szCs w:val="20"/>
              </w:rPr>
              <w:t>体育场新闻发布室</w:t>
            </w:r>
          </w:p>
        </w:tc>
      </w:tr>
      <w:tr>
        <w:tblPrEx>
          <w:tblCellMar>
            <w:top w:w="0" w:type="dxa"/>
            <w:left w:w="0" w:type="dxa"/>
            <w:bottom w:w="0" w:type="dxa"/>
            <w:right w:w="0" w:type="dxa"/>
          </w:tblCellMar>
        </w:tblPrEx>
        <w:trPr>
          <w:trHeight w:val="270" w:hRule="atLeast"/>
          <w:jc w:val="center"/>
        </w:trPr>
        <w:tc>
          <w:tcPr>
            <w:tcW w:w="118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138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名称</w:t>
            </w:r>
          </w:p>
        </w:tc>
        <w:tc>
          <w:tcPr>
            <w:tcW w:w="85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w:t>
            </w:r>
          </w:p>
        </w:tc>
        <w:tc>
          <w:tcPr>
            <w:tcW w:w="81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数量 </w:t>
            </w:r>
          </w:p>
        </w:tc>
        <w:tc>
          <w:tcPr>
            <w:tcW w:w="845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技术参数</w:t>
            </w:r>
          </w:p>
        </w:tc>
        <w:tc>
          <w:tcPr>
            <w:tcW w:w="133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推荐品牌（或同等档次及以上其他品牌）</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一、扩声系统</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64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可变扩散线阵列扬声器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1、★低频:13cm(5.5")圆锥型×8，高频:压缩驱动器波前控制号角×4。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2、额定功率/峰值功率：250W/750W；标称阻抗：8Ω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3、★不少于4个阵列模块单元,采用全新SYNC-Drive波导技术的可变扩散线阵列扬声器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4、★灵敏度：≥100dB；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5、指向性角度：水平:100°垂直：0°\15°\30°\45°可调，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6、频率响应：75Hz-20kHz；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7、▲产品需提供原厂软件声场分析图或EASE声场分析图；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8、中标通知书发出后7个工作日内提供3年原厂服务承诺函原件并加盖原厂商公章</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407"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音箱安装支架</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副</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原装配套(室内安装用索具框架)</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25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数字功放</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1、额定功率: 2x400W/8Ω, 2x600W/4Ω,桥接输出功率：1000W/桥接8Ω, 1200W/桥接4Ω；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2、电平增益：29dB；频率响应：20-20KHz  +0/-1dB；失真率：0.5%,20Hz-20KHz；互调失真：-0.0035；转换速率：&gt;10V/us；阻尼系数：&gt;500 @1KHz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3、信噪比：&gt;100dB（20Hz-20kHz，A计权；串扰：-75dB@1KHz,-59dB@20KHz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4、输入灵敏度：0.775V or 1.4V  ；输入阻抗：非平衡10KΩ，平衡20KΩ；输入连接器：2×平衡XLR，2×非平衡RCA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5、★双通道功率放大器，选配可编程数字模块，可接入网络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6、中标通知书发出后7个工作日内提供3年原厂服务承诺函原件并加盖原厂商公章</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16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数字音频处理器</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1、模块化设计数字音频矩阵，8路总线；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2、★最多12进8出（12×8矩阵）配置；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3、集成数字处理、反馈抑制、自动调音、参量均衡、压缩器、延时、回音功能，只能mic开放数量（NOM）衰减功能，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4、最多和预存16种播放模式，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5、可通过扩展模块实现远程调音功能。</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2通道输入模块</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2通道输入模块,XLR-3-31接口，模拟/数字转换器：24位，频率响应：20-20,000Hz,±1dB(+4dB输入)，采样频率:48kHz</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4通道线性输出模块</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4通道输出模块，XLR-3-32接口，数字/模拟转换器：24位，采样频率：48kHz，频率响应：20-20,000Hz,±1dB</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TOA、KLOTZ、EV</w:t>
            </w:r>
          </w:p>
        </w:tc>
      </w:tr>
      <w:tr>
        <w:tblPrEx>
          <w:tblCellMar>
            <w:top w:w="0" w:type="dxa"/>
            <w:left w:w="0" w:type="dxa"/>
            <w:bottom w:w="0" w:type="dxa"/>
            <w:right w:w="0" w:type="dxa"/>
          </w:tblCellMar>
        </w:tblPrEx>
        <w:trPr>
          <w:trHeight w:val="16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无线手持话筒</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 xml:space="preserve">1、采用UHF频率传输，天线分集接收；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2、动圈话筒:心形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3、频率范围：576–865 MHz, UHF；</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4、信道选择：64个信道；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5、最大输入电平：142 dB SPL</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6、★中标通知书发出后7个工作日内提供3年原厂服务承诺函原件并加盖原厂商公章</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TOA、SHURE、KLOTZ</w:t>
            </w:r>
          </w:p>
        </w:tc>
      </w:tr>
      <w:tr>
        <w:tblPrEx>
          <w:tblCellMar>
            <w:top w:w="0" w:type="dxa"/>
            <w:left w:w="0" w:type="dxa"/>
            <w:bottom w:w="0" w:type="dxa"/>
            <w:right w:w="0" w:type="dxa"/>
          </w:tblCellMar>
        </w:tblPrEx>
        <w:trPr>
          <w:trHeight w:val="16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无线接收机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AC主电源(必须使用所提供的AC-DC适配器)，频率范围：576–865 MHz, UHF(WTU-4800)，信道选择：64个可选频率，混合输出：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MIC:-60dB*2,600,平衡,XLR-3-31型连接器，LINE:-20dB*2,600,不平衡,听筒塞孔。混合输入：-20dB*2,10k,不平衡,听筒塞孔，天线：棒状天线，接收灵敏度：超过90dB，信噪比：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超过110dB，谐波失真率：低于1%(典型)，频率响应：100-15,000 Hz,3dB</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TOA、SHURE、KLOTZ</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广播级音频分配器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1进16出视音频分配器，音频双声道非平衡，视音频RCA接口</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TOA、SHURE、KLOTZ</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DVD机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兼容DVD/CD/VCD</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cs="宋体"/>
                <w:color w:val="000000"/>
                <w:kern w:val="0"/>
                <w:sz w:val="20"/>
                <w:szCs w:val="20"/>
                <w:highlight w:val="none"/>
              </w:rPr>
              <w:t>PIONEER、SONY、PHILIPS</w:t>
            </w:r>
          </w:p>
        </w:tc>
      </w:tr>
      <w:tr>
        <w:tblPrEx>
          <w:tblCellMar>
            <w:top w:w="0" w:type="dxa"/>
            <w:left w:w="0" w:type="dxa"/>
            <w:bottom w:w="0" w:type="dxa"/>
            <w:right w:w="0" w:type="dxa"/>
          </w:tblCellMar>
        </w:tblPrEx>
        <w:trPr>
          <w:trHeight w:val="1445"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八路时序电源器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1、8路智能电源系统，整机容量40A（8.8KVA）；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2、每路延时1秒，每路输出AC220V/13A，适用各种类型插头；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3、MCU控制，真正智能化设计，具有外部电平控制级连口和标准RS232串行数控接口。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4、开放控制协议，既可满足中央控制器控制，又可连接各种控制面板。</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cs="宋体"/>
                <w:color w:val="000000"/>
                <w:kern w:val="0"/>
                <w:sz w:val="20"/>
                <w:szCs w:val="20"/>
                <w:highlight w:val="none"/>
              </w:rPr>
              <w:t>DESFINE、COVCA、得胜（TAKSTAR</w:t>
            </w:r>
            <w:r>
              <w:rPr>
                <w:rFonts w:ascii="宋体" w:hAnsi="宋体" w:cs="宋体"/>
                <w:color w:val="000000"/>
                <w:kern w:val="0"/>
                <w:sz w:val="20"/>
                <w:szCs w:val="20"/>
                <w:highlight w:val="none"/>
              </w:rPr>
              <w:t>）</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二、显示系统</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33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激光投影机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1、DLP投影系统，DLP芯片×1, DMD芯片0.65’’；</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2、分辨率：≥1920×1080；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3、亮度≥5000流明；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4、对比度≥10000:1；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5、镜头支持手动位移及变焦，≥H:+/-5% , V: +/-30%；变焦比≥1.6倍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投射比在≥1.2~1.92；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6、扩音≥2×10W高保真立体声音频系统；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7、支持7*24小时不间断连续工作、激光光源，使用寿命≥20000小时；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8、ECO节能环保显示模式；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9、支持HDMI无线信号传输，且此接口兼容MHL有线传输；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10、4S(RGBY) brilliant color极致色轮;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11、色彩管理系统（色相、色度、饱和度）调整；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12、支持数码功能，数码方式调整画面大小；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13、支持时钟频率调节功能，可解决输入信号微弱出现的闪烁问题；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14、支持动态黑功能，提升动态图像的黑位表现，提升黑色细节；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15、自定义开机logo、信号源自动搜索；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16、支持几何校正及梯形校正功能；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17、可选择禁用输入信号源，投影机将不会搜索为选择的输入信号源；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18、全中文遥控器贴心设计；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19、支持HDBaseT ，可实现长距离传输的需求；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20、3D VESA 、DLP-LINK两种立体显示方式，支持蓝光3D,即3D倍频；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21、支持PIP和PBP显示模式；可同屏显示双数字信号；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22、输入端口：15-pin Mini-Dsubx1、HDBaseTx1、HDMI 1.4(支持HDCP)x2、HDMI(支持HDCP)x1（兼容MHL,可用于无线投影）、audio3.5mm接口x1、Microphonex1、Wired Remote x1  3.5毫米（用于有线遥控器）、miniUSBx1（用于软件升级）、USB-A x2、RJ45×1（用于网络控制）、RS232(D-sub 9pin)x1；</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23、输出端口：15-pin Mini-Dsubx1、12V Triggerx1  3.5毫米、audio3.5mm接口x1、VESAx1（用于3D 环出）；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24、支持多角度安装,支持垂直安装；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25、产品认证：CECP、3C、检测证书、CB、等国际认证；</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cs="宋体"/>
                <w:color w:val="000000"/>
                <w:kern w:val="0"/>
                <w:sz w:val="20"/>
                <w:szCs w:val="20"/>
                <w:highlight w:val="none"/>
              </w:rPr>
              <w:t>SONNOC、EPSON、Panasonic</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投影机固定吊架</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投影机固定吊架</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电动投影幕</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玻珠幕：16：9</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cs="宋体"/>
                <w:color w:val="000000"/>
                <w:kern w:val="0"/>
                <w:sz w:val="20"/>
                <w:szCs w:val="20"/>
                <w:highlight w:val="none"/>
              </w:rPr>
              <w:t>红叶</w:t>
            </w:r>
            <w:r>
              <w:rPr>
                <w:rFonts w:hint="eastAsia" w:ascii="宋体" w:hAnsi="宋体" w:cs="宋体"/>
                <w:color w:val="000000"/>
                <w:kern w:val="0"/>
                <w:sz w:val="20"/>
                <w:szCs w:val="20"/>
              </w:rPr>
              <w:t>、得力（deli）、极米（XGIMI</w:t>
            </w:r>
            <w:r>
              <w:rPr>
                <w:rFonts w:ascii="宋体" w:hAnsi="宋体" w:cs="宋体"/>
                <w:color w:val="000000"/>
                <w:kern w:val="0"/>
                <w:sz w:val="20"/>
                <w:szCs w:val="20"/>
              </w:rPr>
              <w:t>）</w:t>
            </w:r>
          </w:p>
        </w:tc>
      </w:tr>
      <w:tr>
        <w:tblPrEx>
          <w:tblCellMar>
            <w:top w:w="0" w:type="dxa"/>
            <w:left w:w="0" w:type="dxa"/>
            <w:bottom w:w="0" w:type="dxa"/>
            <w:right w:w="0" w:type="dxa"/>
          </w:tblCellMar>
        </w:tblPrEx>
        <w:trPr>
          <w:trHeight w:val="7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8路按键型混插主机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8进8出高清数字混合矩阵,单路卡配置，模块化结构，支持4KX2K分辨率。内置3.5寸液晶显示屏,可在液晶屏上进行矩阵的切换，状态的查询及信号分辨率的设置等操作。</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HDMI输入卡（变换+音频）</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单路HDMI输入卡，带音频，输入分辨率支持上下变换。视频DB15接口，音频3.5mm接口。</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3G-SDI输入卡(变换+音频)</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单路3G-SDI输入卡，带均衡，带 环出，带音频，兼容SD/HD-SDI，输入分辨率支持上下变换。视频BNC接口，音频3.5mm接口。</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7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HDBaseT输入卡(带POD供电+音频+RS232)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单路HDBaeT输入卡，带POD供电、232数据传输、音频提取功能，可与墙插、桌插、地插配合使用，传输距离可达100米。视频RJ45接口，音频3.5mm接口。</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7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HDBaseT地插</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地面安装，视频支持VGA和HDMI输入，音频支持HDMI内嵌音频和3.5mm接口模拟音频，通过CAT6网线将信号发送至100m的距离，采用POD供电，安装布线方便。</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HDMI输出卡(变换+音频)</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单路HDMI输出卡，带音频，输出分辨率支持上下变换。视频DB15接口，音频3.5mm接口。</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7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HDBaseT输出卡(带POD供电+RS232)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单路HDBaseT输出卡，传输距离可达100米。视频RJ45接口，音频3.5mm接口，带POD供电。</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4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转换器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HDBaseT转HDMI接口转换器，RJ45接口输入，用网线进行非压缩传输距离为100米。配合T-HD05使用，带音频提起功能、PoL供电、232数据通讯。</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65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高清摄像头</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最高支持HD 1080P 50/60，并向下兼容所有格式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240倍放大（20倍光学变焦，12倍数码变焦）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1/2.7” CMOS传感器，500万像素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HD-SDI数字非编码、HDMI高清接口、IP网络接口等输出接口可选,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且HDMI、SDI、网络三路视频可同时输出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内置多语言OSD菜单，方便用户使用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机身自带OLED显示屏和机身独创触摸按键，能通过机身面板上的触摸按键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调节摄像机参数信息，与传统拨码方式相比操作更加直观明了，简易维护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支持RS232接口远程升级维护功能，可通过升级包远程对摄像机固件升级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行业领先的超静音云台转动技术，使摄像机转动无任何声音，让用户在使用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中完全不被打扰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内置IP网口，支持10M/100M网络数据，支持3.5音频输入输出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支持ONVIF、GB/T28181、RTSP、RTMP协议，同时可根据用户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需求进行扩展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高端合金底部结构，降低摄像机温度，使图像效果更稳定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在1080P/60的情况下，支持高、标清信号同时输出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255个预置位可编程功能，可设置254地址,可自动识别协议等信息(255以后的预置位需使用我司专用控制软件实现)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RS232和RS485控制信号为不同接口，可同时使用，无须拨码调节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产品提供企业须提供产品外观专利，软件著作权证书，证明是自主知识产权产品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产品提供企业须通过ISO9001：2008国际质量体系认证</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cs="宋体"/>
                <w:color w:val="000000"/>
                <w:kern w:val="0"/>
                <w:sz w:val="20"/>
                <w:szCs w:val="20"/>
              </w:rPr>
              <w:t>海康、大华、宇视</w:t>
            </w:r>
          </w:p>
        </w:tc>
      </w:tr>
      <w:tr>
        <w:tblPrEx>
          <w:tblCellMar>
            <w:top w:w="0" w:type="dxa"/>
            <w:left w:w="0" w:type="dxa"/>
            <w:bottom w:w="0" w:type="dxa"/>
            <w:right w:w="0" w:type="dxa"/>
          </w:tblCellMar>
        </w:tblPrEx>
        <w:trPr>
          <w:trHeight w:val="384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高清硬盘录像机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硬件规格：</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2U标准机架式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2个HDMI，2个VGA,HDMI+VGA组内同源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8盘位，可满配6TB硬盘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2个千兆网口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2个USB2.0接口、1个USB3.0接口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1个eSATA接口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支持RAID0、1、5、10，支持全局热备盘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软件性能：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输入带宽：256M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16路H.264、H.265混合接入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最大支持16×1080P解码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支持H.265、H.264解码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Smart 2.0/整机热备/ANR/智能检索/智能回放/车牌检索/人脸检索/热度图/客流量统计/分时段回放/超高倍速回放/双系统备份</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海康、大华、宇视</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四、中控系统</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655"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可编程主机</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可编程中央控制系统，提供可编程逻辑和时序控制功能：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8路红外发射端口，每路互相独立（任何时间只有一个红外端口有效）；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8路独立数字输入输出I/O口，输入输出电压范围DC 0~5V，电流0-10mA；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8路独立弱电继电器接口；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8路双向可编程RS-232/422/485通讯接口；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1个程序传输接口；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一个以太网接口用于连接IPAD等WIFI设备。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110-240VAC自适应电源；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具有系统复位功能；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电源及状态指示功能；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红外自学习功能；</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彩色无线触摸屏</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cs="宋体"/>
                <w:color w:val="000000"/>
                <w:kern w:val="0"/>
                <w:sz w:val="20"/>
                <w:szCs w:val="20"/>
                <w:highlight w:val="none"/>
              </w:rPr>
              <w:t>APPLE、三星、联想</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无线AP</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无线WIFI收发设备。</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cs="宋体"/>
                <w:color w:val="000000"/>
                <w:kern w:val="0"/>
                <w:sz w:val="20"/>
                <w:szCs w:val="20"/>
                <w:highlight w:val="none"/>
              </w:rPr>
              <w:t>TP-LINK、华为、华三(H3C)</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红外发射棒</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8路继电器模块</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8个独立通道，最大20A/通道</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软件授权</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次</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highlight w:val="none"/>
              </w:rPr>
            </w:pPr>
            <w:r>
              <w:rPr>
                <w:rFonts w:hint="eastAsia" w:ascii="宋体" w:hAnsi="宋体" w:cs="宋体"/>
                <w:color w:val="000000"/>
                <w:kern w:val="0"/>
                <w:sz w:val="20"/>
                <w:szCs w:val="20"/>
                <w:highlight w:val="none"/>
              </w:rPr>
              <w:t>APPLE、三星、联想</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软件编程</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根据使用要确定定制软件</w:t>
            </w:r>
          </w:p>
        </w:tc>
        <w:tc>
          <w:tcPr>
            <w:tcW w:w="1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TANE、V-TIC、EXTRON</w:t>
            </w:r>
          </w:p>
        </w:tc>
      </w:tr>
      <w:tr>
        <w:tblPrEx>
          <w:tblCellMar>
            <w:top w:w="0" w:type="dxa"/>
            <w:left w:w="0" w:type="dxa"/>
            <w:bottom w:w="0" w:type="dxa"/>
            <w:right w:w="0" w:type="dxa"/>
          </w:tblCellMar>
        </w:tblPrEx>
        <w:trPr>
          <w:trHeight w:val="270" w:hRule="atLeast"/>
          <w:jc w:val="center"/>
        </w:trPr>
        <w:tc>
          <w:tcPr>
            <w:tcW w:w="1402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b/>
                <w:color w:val="000000"/>
                <w:kern w:val="0"/>
                <w:sz w:val="20"/>
                <w:szCs w:val="20"/>
              </w:rPr>
              <w:t>五、灯光系统</w:t>
            </w:r>
          </w:p>
        </w:tc>
      </w:tr>
      <w:tr>
        <w:tblPrEx>
          <w:tblCellMar>
            <w:top w:w="0" w:type="dxa"/>
            <w:left w:w="0" w:type="dxa"/>
            <w:bottom w:w="0" w:type="dxa"/>
            <w:right w:w="0" w:type="dxa"/>
          </w:tblCellMar>
        </w:tblPrEx>
        <w:trPr>
          <w:trHeight w:val="336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LED白光成像灯</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电源输入：POWER CON电源插 输入/输出 ，AC100-240V50-60HZ                     信号输入/输出：3P-XLP输入/出，DMX512信号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电源消耗功率：最大200W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超高亮度白光200W ，COB集成光源LED，色温3200K（6500K）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显色性指数：CRI&gt;90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控制：3DMX通道，LCD显示屏，4种调光曲线                                     可选择，主从机同步，单独自走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光束角度：10度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刷新频率：2000HZ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散热处理：铜管导热+静音风扇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外壳材料：铁+塑料，防水等级：IP20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工作时温度：LED中心温度&gt;40度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尺寸：58*28*21CM   重量：8KG</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鑫耀、锐星、CKC</w:t>
            </w:r>
          </w:p>
        </w:tc>
      </w:tr>
      <w:tr>
        <w:tblPrEx>
          <w:tblCellMar>
            <w:top w:w="0" w:type="dxa"/>
            <w:left w:w="0" w:type="dxa"/>
            <w:bottom w:w="0" w:type="dxa"/>
            <w:right w:w="0" w:type="dxa"/>
          </w:tblCellMar>
        </w:tblPrEx>
        <w:trPr>
          <w:trHeight w:val="9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三基色柔光灯</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型     号：XY-4X55W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包装尺寸：680×300×150（mm）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光     源：4×55W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功     率：220W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显色指数：90-100灯管型号：H管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色      温：3200K</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反光效率：70-80流明/瓦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重      量：6.8kg</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鑫耀、锐星、CKC</w:t>
            </w:r>
          </w:p>
        </w:tc>
      </w:tr>
      <w:tr>
        <w:tblPrEx>
          <w:tblCellMar>
            <w:top w:w="0" w:type="dxa"/>
            <w:left w:w="0" w:type="dxa"/>
            <w:bottom w:w="0" w:type="dxa"/>
            <w:right w:w="0" w:type="dxa"/>
          </w:tblCellMar>
        </w:tblPrEx>
        <w:trPr>
          <w:trHeight w:val="120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DMX512信号放大器</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DMX512/1990信号输出 4路DMX信号分配器，二进八出 采用抗高压保护措施，极不容易损坏 输入与输出信号（包括信号地线）完全隔离 宽电压输入,适应不同国家的电压输入 可匹配3针的卡侬插座 各路均有独立的放大器及信号指示灯 电源输入: AC 100V-240V  50/ 60Hz 外形尺寸: 314mmX147mmX75mm 重量 : 1.5kg </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鑫耀、锐星、CKC</w:t>
            </w:r>
          </w:p>
        </w:tc>
      </w:tr>
      <w:tr>
        <w:tblPrEx>
          <w:tblCellMar>
            <w:top w:w="0" w:type="dxa"/>
            <w:left w:w="0" w:type="dxa"/>
            <w:bottom w:w="0" w:type="dxa"/>
            <w:right w:w="0" w:type="dxa"/>
          </w:tblCellMar>
        </w:tblPrEx>
        <w:trPr>
          <w:trHeight w:val="168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512控制台</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DMX512/1990信号输出,504个控制通道LCD液晶显示屏,LED指示灯可同时控制20台24通道电脑灯+24调光通道8个通道的控制推子一个可设置的摇杆装置可提灯操作24个走灯程序,每个程序最大40步共960个电脑灯走灯程序步0.1-25.5秒的场景渐变时间(Cross)调节范围0.1-25.5秒的走灯速度 (Speed) 调节范围各程序速度.渐变值自动记忆128K 大容量记忆关机数据保存DMX信号输出连接器: XLR-D3F电源输入: DC9V 10 00mA 外形尺寸: 485mmX250mmX91mm重量 : 5kg</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鑫耀、锐星、CKC</w:t>
            </w:r>
          </w:p>
        </w:tc>
      </w:tr>
      <w:tr>
        <w:tblPrEx>
          <w:tblCellMar>
            <w:top w:w="0" w:type="dxa"/>
            <w:left w:w="0" w:type="dxa"/>
            <w:bottom w:w="0" w:type="dxa"/>
            <w:right w:w="0" w:type="dxa"/>
          </w:tblCellMar>
        </w:tblPrEx>
        <w:trPr>
          <w:trHeight w:val="312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直通电源箱</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性能特点：12路开关输出；每路功率：3KW; 规格：482X140X50MM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直通开关箱是鑫誉公司开发的一种调光系统的辅助设备，主要为各种电脑灯供电，共有十二路。电源插座也方便其它无须调光工作照明配套设备的供电使用。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技术参数：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1：输入电压：单相或三相四线制供电。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2：每路输出电压等于输入电压。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3：每路最大输出电流：20A</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4：整机绝缘度：大于或等于100M欧姆。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5：开关路数：12路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6：过流保护：20A空气开关</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7：输出接口：10A胶木插座。</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鑫耀、锐星、CKC</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灯钩</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铸铝</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保险链</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条</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定制</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3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固定灯杆</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现场制作</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六、附件</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会议插座</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话筒插座</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现场录音插座</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机柜</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32U</w:t>
            </w: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r>
        <w:tblPrEx>
          <w:tblCellMar>
            <w:top w:w="0" w:type="dxa"/>
            <w:left w:w="0" w:type="dxa"/>
            <w:bottom w:w="0" w:type="dxa"/>
            <w:right w:w="0" w:type="dxa"/>
          </w:tblCellMar>
        </w:tblPrEx>
        <w:trPr>
          <w:trHeight w:val="270" w:hRule="atLeast"/>
          <w:jc w:val="center"/>
        </w:trPr>
        <w:tc>
          <w:tcPr>
            <w:tcW w:w="11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线缆及辅助材料</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批</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r>
    </w:tbl>
    <w:p/>
    <w:tbl>
      <w:tblPr>
        <w:tblStyle w:val="15"/>
        <w:tblW w:w="14007" w:type="dxa"/>
        <w:tblInd w:w="0" w:type="dxa"/>
        <w:tblLayout w:type="fixed"/>
        <w:tblCellMar>
          <w:top w:w="0" w:type="dxa"/>
          <w:left w:w="0" w:type="dxa"/>
          <w:bottom w:w="0" w:type="dxa"/>
          <w:right w:w="0" w:type="dxa"/>
        </w:tblCellMar>
      </w:tblPr>
      <w:tblGrid>
        <w:gridCol w:w="1002"/>
        <w:gridCol w:w="1686"/>
        <w:gridCol w:w="729"/>
        <w:gridCol w:w="780"/>
        <w:gridCol w:w="8670"/>
        <w:gridCol w:w="1140"/>
      </w:tblGrid>
      <w:tr>
        <w:tblPrEx>
          <w:tblCellMar>
            <w:top w:w="0" w:type="dxa"/>
            <w:left w:w="0" w:type="dxa"/>
            <w:bottom w:w="0" w:type="dxa"/>
            <w:right w:w="0" w:type="dxa"/>
          </w:tblCellMar>
        </w:tblPrEx>
        <w:trPr>
          <w:trHeight w:val="285" w:hRule="atLeast"/>
        </w:trPr>
        <w:tc>
          <w:tcPr>
            <w:tcW w:w="14007"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32"/>
                <w:szCs w:val="32"/>
              </w:rPr>
              <w:t>楼宇自控系统明细表</w:t>
            </w:r>
          </w:p>
        </w:tc>
      </w:tr>
      <w:tr>
        <w:tblPrEx>
          <w:tblCellMar>
            <w:top w:w="0" w:type="dxa"/>
            <w:left w:w="0" w:type="dxa"/>
            <w:bottom w:w="0" w:type="dxa"/>
            <w:right w:w="0" w:type="dxa"/>
          </w:tblCellMar>
        </w:tblPrEx>
        <w:trPr>
          <w:trHeight w:val="285" w:hRule="atLeast"/>
        </w:trPr>
        <w:tc>
          <w:tcPr>
            <w:tcW w:w="100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68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设备名称</w:t>
            </w:r>
          </w:p>
        </w:tc>
        <w:tc>
          <w:tcPr>
            <w:tcW w:w="72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单位</w:t>
            </w:r>
          </w:p>
        </w:tc>
        <w:tc>
          <w:tcPr>
            <w:tcW w:w="78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数量</w:t>
            </w:r>
          </w:p>
        </w:tc>
        <w:tc>
          <w:tcPr>
            <w:tcW w:w="86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技术参数</w:t>
            </w:r>
          </w:p>
        </w:tc>
        <w:tc>
          <w:tcPr>
            <w:tcW w:w="11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推荐品牌（或同等档次及以上其他品牌）</w:t>
            </w:r>
          </w:p>
        </w:tc>
      </w:tr>
      <w:tr>
        <w:tblPrEx>
          <w:tblCellMar>
            <w:top w:w="0" w:type="dxa"/>
            <w:left w:w="0" w:type="dxa"/>
            <w:bottom w:w="0" w:type="dxa"/>
            <w:right w:w="0" w:type="dxa"/>
          </w:tblCellMar>
        </w:tblPrEx>
        <w:trPr>
          <w:trHeight w:val="285" w:hRule="atLeast"/>
        </w:trPr>
        <w:tc>
          <w:tcPr>
            <w:tcW w:w="2688" w:type="dxa"/>
            <w:gridSpan w:val="2"/>
            <w:tcBorders>
              <w:top w:val="single" w:color="000000" w:sz="4" w:space="0"/>
              <w:left w:val="single" w:color="000000" w:sz="4" w:space="0"/>
              <w:bottom w:val="nil"/>
              <w:right w:val="single" w:color="000000" w:sz="4" w:space="0"/>
            </w:tcBorders>
            <w:noWrap/>
            <w:tcMar>
              <w:top w:w="15" w:type="dxa"/>
              <w:left w:w="15" w:type="dxa"/>
              <w:right w:w="15" w:type="dxa"/>
            </w:tcMar>
            <w:vAlign w:val="bottom"/>
          </w:tcPr>
          <w:p>
            <w:pPr>
              <w:widowControl/>
              <w:jc w:val="center"/>
              <w:textAlignment w:val="bottom"/>
              <w:rPr>
                <w:rFonts w:ascii="宋体" w:hAnsi="宋体" w:eastAsia="宋体" w:cs="宋体"/>
                <w:b/>
                <w:color w:val="000000"/>
                <w:sz w:val="20"/>
                <w:szCs w:val="20"/>
              </w:rPr>
            </w:pPr>
            <w:r>
              <w:rPr>
                <w:rFonts w:hint="eastAsia" w:ascii="宋体" w:hAnsi="宋体" w:eastAsia="宋体" w:cs="宋体"/>
                <w:b/>
                <w:color w:val="000000"/>
                <w:kern w:val="0"/>
                <w:sz w:val="20"/>
                <w:szCs w:val="20"/>
              </w:rPr>
              <w:t>监控中心</w:t>
            </w:r>
          </w:p>
        </w:tc>
        <w:tc>
          <w:tcPr>
            <w:tcW w:w="729" w:type="dxa"/>
            <w:tcBorders>
              <w:top w:val="nil"/>
              <w:left w:val="single" w:color="000000" w:sz="4" w:space="0"/>
              <w:bottom w:val="nil"/>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c>
          <w:tcPr>
            <w:tcW w:w="780" w:type="dxa"/>
            <w:tcBorders>
              <w:top w:val="nil"/>
              <w:left w:val="single" w:color="000000" w:sz="4" w:space="0"/>
              <w:bottom w:val="nil"/>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c>
          <w:tcPr>
            <w:tcW w:w="867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c>
          <w:tcPr>
            <w:tcW w:w="11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960"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管理电脑</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1.操作系统：Windows 7以上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2.CPU 型号：i3以上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4.硬盘容量≥1TB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5.显卡类型：独立显卡1G</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惠普、联想、戴尔</w:t>
            </w:r>
          </w:p>
        </w:tc>
      </w:tr>
      <w:tr>
        <w:tblPrEx>
          <w:tblCellMar>
            <w:top w:w="0" w:type="dxa"/>
            <w:left w:w="0" w:type="dxa"/>
            <w:bottom w:w="0" w:type="dxa"/>
            <w:right w:w="0" w:type="dxa"/>
          </w:tblCellMar>
        </w:tblPrEx>
        <w:trPr>
          <w:trHeight w:val="285"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打印机</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惠普、爱普生、三星</w:t>
            </w:r>
          </w:p>
        </w:tc>
      </w:tr>
      <w:tr>
        <w:tblPrEx>
          <w:tblCellMar>
            <w:top w:w="0" w:type="dxa"/>
            <w:left w:w="0" w:type="dxa"/>
            <w:bottom w:w="0" w:type="dxa"/>
            <w:right w:w="0" w:type="dxa"/>
          </w:tblCellMar>
        </w:tblPrEx>
        <w:trPr>
          <w:trHeight w:val="960"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监控软件</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▲图形化的工程设计界面，通过标准Web浏览器进行系统登录，可以得到报警、记录、日程表和配置等数据信息，包含动态绘图仪，系统活动日志，程序编辑及数据库等标准组件。</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285" w:hRule="atLeast"/>
        </w:trPr>
        <w:tc>
          <w:tcPr>
            <w:tcW w:w="2688" w:type="dxa"/>
            <w:gridSpan w:val="2"/>
            <w:tcBorders>
              <w:top w:val="single" w:color="000000" w:sz="4" w:space="0"/>
              <w:left w:val="single" w:color="000000" w:sz="4" w:space="0"/>
              <w:bottom w:val="nil"/>
              <w:right w:val="single" w:color="000000" w:sz="4" w:space="0"/>
            </w:tcBorders>
            <w:noWrap/>
            <w:tcMar>
              <w:top w:w="15" w:type="dxa"/>
              <w:left w:w="15" w:type="dxa"/>
              <w:right w:w="15" w:type="dxa"/>
            </w:tcMar>
            <w:vAlign w:val="bottom"/>
          </w:tcPr>
          <w:p>
            <w:pPr>
              <w:widowControl/>
              <w:jc w:val="center"/>
              <w:textAlignment w:val="bottom"/>
              <w:rPr>
                <w:rFonts w:ascii="宋体" w:hAnsi="宋体" w:eastAsia="宋体" w:cs="宋体"/>
                <w:b/>
                <w:color w:val="000000"/>
                <w:sz w:val="20"/>
                <w:szCs w:val="20"/>
              </w:rPr>
            </w:pPr>
            <w:r>
              <w:rPr>
                <w:rFonts w:hint="eastAsia" w:ascii="宋体" w:hAnsi="宋体" w:eastAsia="宋体" w:cs="宋体"/>
                <w:b/>
                <w:color w:val="000000"/>
                <w:kern w:val="0"/>
                <w:sz w:val="20"/>
                <w:szCs w:val="20"/>
              </w:rPr>
              <w:t>足球场</w:t>
            </w:r>
          </w:p>
        </w:tc>
        <w:tc>
          <w:tcPr>
            <w:tcW w:w="72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78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50"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串口服务器</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支持2个独立的RS-422或RS-485串口/TCP/IP</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350"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网络控制器</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▲CPU:32位CPU，333MHz处理器；不低于256MB SDRAM和4GB Flash</w:t>
            </w:r>
            <w:r>
              <w:rPr>
                <w:rFonts w:hint="eastAsia" w:ascii="宋体" w:hAnsi="宋体" w:eastAsia="宋体" w:cs="宋体"/>
                <w:color w:val="000000"/>
                <w:kern w:val="0"/>
                <w:sz w:val="20"/>
                <w:szCs w:val="20"/>
              </w:rPr>
              <w:br w:type="textWrapping"/>
            </w:r>
            <w:r>
              <w:rPr>
                <w:rStyle w:val="22"/>
                <w:rFonts w:hint="default"/>
              </w:rPr>
              <w:t xml:space="preserve"> 通讯接口：以太网接口、2路RS485接口</w:t>
            </w:r>
            <w:r>
              <w:rPr>
                <w:rStyle w:val="22"/>
                <w:rFonts w:hint="default"/>
              </w:rPr>
              <w:br w:type="textWrapping"/>
            </w:r>
            <w:r>
              <w:rPr>
                <w:rStyle w:val="22"/>
                <w:rFonts w:hint="default"/>
              </w:rPr>
              <w:t xml:space="preserve">  通讯协议:支持BACNET、Modbus</w:t>
            </w:r>
            <w:r>
              <w:rPr>
                <w:rStyle w:val="22"/>
                <w:rFonts w:hint="default"/>
              </w:rPr>
              <w:br w:type="textWrapping"/>
            </w:r>
            <w:r>
              <w:rPr>
                <w:rStyle w:val="22"/>
                <w:rFonts w:hint="default"/>
              </w:rPr>
              <w:t xml:space="preserve"> 功能：具备现场编程功能,内置编程器、嵌入式控制器/服务器平台,WEB组态监控用户界面，带支持网络通信，上位机脱机时，能够保持独立运行，内置实时操作系统</w:t>
            </w:r>
            <w:r>
              <w:rPr>
                <w:rStyle w:val="22"/>
                <w:rFonts w:hint="default"/>
              </w:rPr>
              <w:br w:type="textWrapping"/>
            </w:r>
            <w:r>
              <w:rPr>
                <w:rStyle w:val="22"/>
                <w:rFonts w:hint="default"/>
              </w:rPr>
              <w:t>▲I/O点位支持：不低于16通用输入输出点，4路数字输入点，4路数字输出点</w:t>
            </w:r>
            <w:r>
              <w:rPr>
                <w:rStyle w:val="22"/>
                <w:rFonts w:hint="default"/>
              </w:rPr>
              <w:br w:type="textWrapping"/>
            </w:r>
            <w:r>
              <w:rPr>
                <w:rStyle w:val="22"/>
                <w:rFonts w:hint="default"/>
              </w:rPr>
              <w:t>▲电源模块：24VDC，设备原厂配套</w:t>
            </w:r>
            <w:r>
              <w:rPr>
                <w:rStyle w:val="22"/>
                <w:rFonts w:hint="default"/>
              </w:rPr>
              <w:br w:type="textWrapping"/>
            </w:r>
            <w:r>
              <w:rPr>
                <w:rStyle w:val="22"/>
                <w:rFonts w:hint="default"/>
              </w:rPr>
              <w:t>▲时钟备份：10天</w:t>
            </w:r>
            <w:r>
              <w:rPr>
                <w:rStyle w:val="22"/>
                <w:rFonts w:hint="default"/>
              </w:rPr>
              <w:br w:type="textWrapping"/>
            </w:r>
            <w:r>
              <w:rPr>
                <w:rStyle w:val="22"/>
                <w:rFonts w:hint="default"/>
              </w:rPr>
              <w:t>▲内存备份：无电池，免维护</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446"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连接组件</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接线端子等</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581"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DDC控制箱(含变压器等)</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根据配置，非标订制，内含：继电器、空开、变压器等，W*H*D=700*500*200</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806"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室外温湿度传感器</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湿度输出（精度2%，0-10V或4-20mA）+温度输出（1.8K欧）</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2160"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空气质量传感器</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1、供电24V AC/DC，输出：RS485/Modbus，无显示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2、温度测量范围：0～65℃，测量精度：±0.2℃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3、湿度测量范围：0-100%，测量精度：±2%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4、CO2测量范围：0-5000ppm，测量精度：±75ppm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5、PM2.5测量范围：0-1000μg/m3，颗粒精度：0.3um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6、PM10测量范围：0-1000μg/m3，颗粒精度：0.3um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7、VOC测量范围：125~600ppb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8、甲醛测量范围：0-2ppm</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285" w:hRule="atLeast"/>
        </w:trPr>
        <w:tc>
          <w:tcPr>
            <w:tcW w:w="2688" w:type="dxa"/>
            <w:gridSpan w:val="2"/>
            <w:tcBorders>
              <w:top w:val="single" w:color="000000" w:sz="4" w:space="0"/>
              <w:left w:val="single" w:color="000000" w:sz="4" w:space="0"/>
              <w:bottom w:val="nil"/>
              <w:right w:val="single" w:color="000000" w:sz="4" w:space="0"/>
            </w:tcBorders>
            <w:noWrap/>
            <w:tcMar>
              <w:top w:w="15" w:type="dxa"/>
              <w:left w:w="15" w:type="dxa"/>
              <w:right w:w="15" w:type="dxa"/>
            </w:tcMar>
            <w:vAlign w:val="bottom"/>
          </w:tcPr>
          <w:p>
            <w:pPr>
              <w:widowControl/>
              <w:jc w:val="center"/>
              <w:textAlignment w:val="bottom"/>
              <w:rPr>
                <w:rFonts w:ascii="宋体" w:hAnsi="宋体" w:eastAsia="宋体" w:cs="宋体"/>
                <w:b/>
                <w:color w:val="000000"/>
                <w:sz w:val="20"/>
                <w:szCs w:val="20"/>
              </w:rPr>
            </w:pPr>
            <w:r>
              <w:rPr>
                <w:rFonts w:hint="eastAsia" w:ascii="宋体" w:hAnsi="宋体" w:eastAsia="宋体" w:cs="宋体"/>
                <w:b/>
                <w:color w:val="000000"/>
                <w:kern w:val="0"/>
                <w:sz w:val="20"/>
                <w:szCs w:val="20"/>
              </w:rPr>
              <w:t>藤球馆</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50"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串口服务器</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支持2个独立的RS-422或RS-485串口/TCP/IP</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450"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串口服务器</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支持4个独立的RS-422或RS-485串口/TCP/IP</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3125"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网络控制器</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★CPU:32位CPU，300MHz处理器；不低于256MB SDRAM和2GB Flash</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▲通讯接口：以太网接口、1路RS485接口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★通讯协议:同时支持BACNET IP、BACNET MS/TP、MODBUS RTU</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▲功能：具备现场编程功能,内置编程器、嵌入式控制器/服务器平台,WEB组态监控用户界面，带支持网络通信，上位机脱机时，能够保持独立运行，内置实时操作系统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★I/O点位支持：不低于16通用输入输出点，4路数字输入点，4路数字输出点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★电源模块：24VDC，设备原厂配套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▲时钟备份：10天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▲内存备份：无电池，免维护</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686"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连接组件</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接线端子等</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90"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DDC控制箱(含变压器等)</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根据配置，非标订制，内含：继电器、空开、变压器等，W*H*D=700*500*200</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480" w:hRule="atLeast"/>
        </w:trPr>
        <w:tc>
          <w:tcPr>
            <w:tcW w:w="1002"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室外温湿度传感器</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湿度输出（精度2%，0-10V或4-20mA）+温度输出（1.8K欧）</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2160" w:hRule="atLeast"/>
        </w:trPr>
        <w:tc>
          <w:tcPr>
            <w:tcW w:w="1002" w:type="dxa"/>
            <w:tcBorders>
              <w:top w:val="single" w:color="000000" w:sz="4" w:space="0"/>
              <w:left w:val="single" w:color="000000" w:sz="4" w:space="0"/>
              <w:bottom w:val="single" w:color="auto" w:sz="4" w:space="0"/>
              <w:right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空气质量传感器</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1、供电24V AC/DC，输出：RS485/Modbus，无显示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2、温度测量范围：0～65℃，测量精度：±0.2℃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3、湿度测量范围：0-100%，测量精度：±2%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4、CO2测量范围：0-5000ppm，测量精度：±75ppm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5、PM2.5测量范围：0-1000μg/m3，颗粒精度：0.3um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6、PM10测量范围：0-1000μg/m3，颗粒精度：0.3um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7、VOC测量范围：125~600ppb</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8、甲醛测量范围：0-2ppm</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施耐德EBO、ABB、霍尼韦尔WEBS</w:t>
            </w:r>
          </w:p>
        </w:tc>
      </w:tr>
      <w:tr>
        <w:tblPrEx>
          <w:tblCellMar>
            <w:top w:w="0" w:type="dxa"/>
            <w:left w:w="0" w:type="dxa"/>
            <w:bottom w:w="0" w:type="dxa"/>
            <w:right w:w="0" w:type="dxa"/>
          </w:tblCellMar>
        </w:tblPrEx>
        <w:trPr>
          <w:trHeight w:val="285" w:hRule="atLeast"/>
        </w:trPr>
        <w:tc>
          <w:tcPr>
            <w:tcW w:w="100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widowControl/>
              <w:jc w:val="center"/>
              <w:textAlignment w:val="bottom"/>
              <w:rPr>
                <w:rFonts w:ascii="仿宋" w:hAnsi="仿宋" w:eastAsia="仿宋" w:cs="仿宋"/>
                <w:b/>
                <w:color w:val="000000"/>
                <w:sz w:val="24"/>
              </w:rPr>
            </w:pPr>
          </w:p>
        </w:tc>
        <w:tc>
          <w:tcPr>
            <w:tcW w:w="168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r>
              <w:rPr>
                <w:rFonts w:hint="eastAsia" w:ascii="仿宋" w:hAnsi="仿宋" w:eastAsia="仿宋" w:cs="仿宋"/>
                <w:b/>
                <w:color w:val="000000"/>
                <w:kern w:val="0"/>
                <w:sz w:val="24"/>
              </w:rPr>
              <w:t>报警系统</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0"/>
                <w:szCs w:val="20"/>
              </w:rPr>
            </w:pPr>
          </w:p>
        </w:tc>
        <w:tc>
          <w:tcPr>
            <w:tcW w:w="86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0"/>
                <w:szCs w:val="20"/>
              </w:rPr>
            </w:pPr>
          </w:p>
        </w:tc>
        <w:tc>
          <w:tcPr>
            <w:tcW w:w="114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1680" w:hRule="atLeast"/>
        </w:trPr>
        <w:tc>
          <w:tcPr>
            <w:tcW w:w="100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壁装红外微波双鉴探测器</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壁挂式，12米×12米，90度，防宠物35KG，含专用支架，工作电压:DC9-16V，工作电流: 35mA(DC12V)</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★微波探测范围可调节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自动温度补偿专利技术，超强抗误报能力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抗白光专利技术，强度高达20000Lux</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★采用SMT技术，超强抗电磁干扰，射频干扰能力</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霍尼韦尔、海康、大华</w:t>
            </w:r>
          </w:p>
        </w:tc>
      </w:tr>
      <w:tr>
        <w:tblPrEx>
          <w:tblCellMar>
            <w:top w:w="0" w:type="dxa"/>
            <w:left w:w="0" w:type="dxa"/>
            <w:bottom w:w="0" w:type="dxa"/>
            <w:right w:w="0" w:type="dxa"/>
          </w:tblCellMar>
        </w:tblPrEx>
        <w:trPr>
          <w:trHeight w:val="1001" w:hRule="atLeast"/>
        </w:trPr>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探测器电源</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"探测器开关电源；直流电压：12V；额定电流：3A；电流范围：0~3A；额定功率：36w；电压调整范围：10.2~13.8V；</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工作温度：-30~+70℃；工作湿度：20~90%RH，无冷凝；"</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霍尼韦尔、海康、大华</w:t>
            </w:r>
          </w:p>
        </w:tc>
      </w:tr>
      <w:tr>
        <w:tblPrEx>
          <w:tblCellMar>
            <w:top w:w="0" w:type="dxa"/>
            <w:left w:w="0" w:type="dxa"/>
            <w:bottom w:w="0" w:type="dxa"/>
            <w:right w:w="0" w:type="dxa"/>
          </w:tblCellMar>
        </w:tblPrEx>
        <w:trPr>
          <w:trHeight w:val="720" w:hRule="atLeast"/>
        </w:trPr>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紧急开关按钮</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紧急按钮（凸出墙面），53.6*53.6*27（mm）/钥匙复位/防火ABS阻燃外壳/不适合86盒安装,工作电压: ≤250V,工作电流≤300ma</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霍尼韦尔、海康、大华</w:t>
            </w:r>
          </w:p>
        </w:tc>
      </w:tr>
      <w:tr>
        <w:tblPrEx>
          <w:tblCellMar>
            <w:top w:w="0" w:type="dxa"/>
            <w:left w:w="0" w:type="dxa"/>
            <w:bottom w:w="0" w:type="dxa"/>
            <w:right w:w="0" w:type="dxa"/>
          </w:tblCellMar>
        </w:tblPrEx>
        <w:trPr>
          <w:trHeight w:val="494" w:hRule="atLeast"/>
        </w:trPr>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八防区模块</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总线网络报警主机八防区扩展模块/8个扩展防区数/31最大级联数/2.7mA</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霍尼韦尔、海康、大华</w:t>
            </w:r>
          </w:p>
        </w:tc>
      </w:tr>
      <w:tr>
        <w:tblPrEx>
          <w:tblCellMar>
            <w:top w:w="0" w:type="dxa"/>
            <w:left w:w="0" w:type="dxa"/>
            <w:bottom w:w="0" w:type="dxa"/>
            <w:right w:w="0" w:type="dxa"/>
          </w:tblCellMar>
        </w:tblPrEx>
        <w:trPr>
          <w:trHeight w:val="1070" w:hRule="atLeast"/>
        </w:trPr>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总线式报警主机</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专业级总线制网络报警主机，自带8防区，可扩展至256防区/自带4路继电器，可扩展至256路继电器输出/串口输出/电话/网络上报/8个独立子系统/总线可达2400米/8.2K 线尾组，支持本地8路防区/2线制防区防拆/支持定时撤布防/时控输出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支持防区报警、系统状态事件联动输出，发生/恢复事件和时间可灵活配置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支持4个独立中心组，可灵活配置报警数据上传策略、冗余备份策略</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霍尼韦尔、海康、大华</w:t>
            </w:r>
          </w:p>
        </w:tc>
      </w:tr>
      <w:tr>
        <w:tblPrEx>
          <w:tblCellMar>
            <w:top w:w="0" w:type="dxa"/>
            <w:left w:w="0" w:type="dxa"/>
            <w:bottom w:w="0" w:type="dxa"/>
            <w:right w:w="0" w:type="dxa"/>
          </w:tblCellMar>
        </w:tblPrEx>
        <w:trPr>
          <w:trHeight w:val="960" w:hRule="atLeast"/>
        </w:trPr>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主机电源</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充电后备电池（12V7AH）</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标准电压 12V</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额定容量 7.0Ah</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霍尼韦尔、海康、大华</w:t>
            </w:r>
          </w:p>
        </w:tc>
      </w:tr>
      <w:tr>
        <w:tblPrEx>
          <w:tblCellMar>
            <w:top w:w="0" w:type="dxa"/>
            <w:left w:w="0" w:type="dxa"/>
            <w:bottom w:w="0" w:type="dxa"/>
            <w:right w:w="0" w:type="dxa"/>
          </w:tblCellMar>
        </w:tblPrEx>
        <w:trPr>
          <w:trHeight w:val="3875" w:hRule="atLeast"/>
        </w:trPr>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报警控制键盘</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LCD报警键盘；连接到报警主机，可以对报警主机进行操作和编程，通过指示灯和报警音提示报警；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主机状态指示灯：系统故障（橙色），网络链接状态（绿色），报警（红色），布撤防（蓝色），配置状态（红绿双色）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功能键：8个，工程、查询，旁路，一键，火警，紧急，左键，右键；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防拆功能：支持；与主机通讯：485；键盘警情输出：蜂鸣器；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功能特性：对主机编程、撤布防、消警、旁路/旁路恢复、工程测试、子系统操作、继电器操作、主机状态查询；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支持刷卡布撤防，但刷卡不支持消警功能，卡片数量由主机限制，目前网络主机最大可添加32张卡片；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支持连接遥控器进行远程布撤防，键盘最多所能支持的无线遥控器数量由主机决定，最多支持32个遥控器；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支持双向遥控器，遥控器LED显示操作结果；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功耗：1.8W</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霍尼韦尔、海康、大华</w:t>
            </w:r>
          </w:p>
        </w:tc>
      </w:tr>
      <w:tr>
        <w:tblPrEx>
          <w:tblCellMar>
            <w:top w:w="0" w:type="dxa"/>
            <w:left w:w="0" w:type="dxa"/>
            <w:bottom w:w="0" w:type="dxa"/>
            <w:right w:w="0" w:type="dxa"/>
          </w:tblCellMar>
        </w:tblPrEx>
        <w:trPr>
          <w:trHeight w:val="480" w:hRule="atLeast"/>
        </w:trPr>
        <w:tc>
          <w:tcPr>
            <w:tcW w:w="10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警号警灯</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声光报警器(红/白双色外观),12VDC 压电警号,防火ABS阻燃外壳,声压(VDC)：110±3</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霍尼韦尔、海康、大华</w:t>
            </w:r>
          </w:p>
        </w:tc>
      </w:tr>
      <w:tr>
        <w:tblPrEx>
          <w:tblCellMar>
            <w:top w:w="0" w:type="dxa"/>
            <w:left w:w="0" w:type="dxa"/>
            <w:bottom w:w="0" w:type="dxa"/>
            <w:right w:w="0" w:type="dxa"/>
          </w:tblCellMar>
        </w:tblPrEx>
        <w:trPr>
          <w:trHeight w:val="487" w:hRule="atLeast"/>
        </w:trPr>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巡更子系统</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trPr>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巡更管理软件</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1、全中文软件界面，支持win8/win10平台；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2、提供详细的巡检分析报表（巡检记录，漏点记录，异常记录，统计报表等）；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3、提供巡更人员到达各巡更点的日期、时间、班次，漏检巡更点和异常信息报表；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4、支持时间查询，路线查询，地点查询，班次查询，人员查询等多种查询方式；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5、支持对巡检路线，班次，人员，次序可随时进行方便的设置、修改;</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海康、大华、中控</w:t>
            </w:r>
          </w:p>
        </w:tc>
      </w:tr>
      <w:tr>
        <w:tblPrEx>
          <w:tblCellMar>
            <w:top w:w="0" w:type="dxa"/>
            <w:left w:w="0" w:type="dxa"/>
            <w:bottom w:w="0" w:type="dxa"/>
            <w:right w:w="0" w:type="dxa"/>
          </w:tblCellMar>
        </w:tblPrEx>
        <w:trPr>
          <w:trHeight w:val="960" w:hRule="atLeast"/>
        </w:trPr>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巡更点</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1、2、4G低功耗供电；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2、IP68、防水结构设计；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3、工作寿命&gt;=3年；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4、促发距离15米可调</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海康、大华、中控</w:t>
            </w:r>
          </w:p>
        </w:tc>
      </w:tr>
      <w:tr>
        <w:tblPrEx>
          <w:tblCellMar>
            <w:top w:w="0" w:type="dxa"/>
            <w:left w:w="0" w:type="dxa"/>
            <w:bottom w:w="0" w:type="dxa"/>
            <w:right w:w="0" w:type="dxa"/>
          </w:tblCellMar>
        </w:tblPrEx>
        <w:trPr>
          <w:trHeight w:val="1200" w:hRule="atLeast"/>
        </w:trPr>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定位读写器</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1、全向识别；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2、内置天线；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3、IP68防水结构；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4、识别距离10米可调；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5、支持POE供电</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海康、大华、中控</w:t>
            </w:r>
          </w:p>
        </w:tc>
      </w:tr>
      <w:tr>
        <w:tblPrEx>
          <w:tblCellMar>
            <w:top w:w="0" w:type="dxa"/>
            <w:left w:w="0" w:type="dxa"/>
            <w:bottom w:w="0" w:type="dxa"/>
            <w:right w:w="0" w:type="dxa"/>
          </w:tblCellMar>
        </w:tblPrEx>
        <w:trPr>
          <w:trHeight w:val="1200" w:hRule="atLeast"/>
        </w:trPr>
        <w:tc>
          <w:tcPr>
            <w:tcW w:w="10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6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巡更机</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6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1、远距离自动读卡；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2、不小于5.2寸IPS屏；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3、GPS/GPRS通讯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4、震动提示及蜂鸣器提示；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5、挂绳设计</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海康、大华、中控</w:t>
            </w:r>
          </w:p>
        </w:tc>
      </w:tr>
    </w:tbl>
    <w:p/>
    <w:p/>
    <w:p/>
    <w:p/>
    <w:p/>
    <w:p/>
    <w:p/>
    <w:p/>
    <w:p/>
    <w:p/>
    <w:p/>
    <w:p/>
    <w:p/>
    <w:p/>
    <w:p/>
    <w:p/>
    <w:p/>
    <w:p/>
    <w:tbl>
      <w:tblPr>
        <w:tblStyle w:val="15"/>
        <w:tblW w:w="14247" w:type="dxa"/>
        <w:jc w:val="center"/>
        <w:tblLayout w:type="fixed"/>
        <w:tblCellMar>
          <w:top w:w="0" w:type="dxa"/>
          <w:left w:w="0" w:type="dxa"/>
          <w:bottom w:w="0" w:type="dxa"/>
          <w:right w:w="0" w:type="dxa"/>
        </w:tblCellMar>
      </w:tblPr>
      <w:tblGrid>
        <w:gridCol w:w="587"/>
        <w:gridCol w:w="1858"/>
        <w:gridCol w:w="915"/>
        <w:gridCol w:w="1020"/>
        <w:gridCol w:w="7335"/>
        <w:gridCol w:w="1125"/>
        <w:gridCol w:w="1407"/>
      </w:tblGrid>
      <w:tr>
        <w:tblPrEx>
          <w:tblCellMar>
            <w:top w:w="0" w:type="dxa"/>
            <w:left w:w="0" w:type="dxa"/>
            <w:bottom w:w="0" w:type="dxa"/>
            <w:right w:w="0" w:type="dxa"/>
          </w:tblCellMar>
        </w:tblPrEx>
        <w:trPr>
          <w:trHeight w:val="375" w:hRule="atLeast"/>
          <w:jc w:val="center"/>
        </w:trPr>
        <w:tc>
          <w:tcPr>
            <w:tcW w:w="14247" w:type="dxa"/>
            <w:gridSpan w:val="7"/>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体育场专项智能化系统</w:t>
            </w:r>
          </w:p>
        </w:tc>
      </w:tr>
      <w:tr>
        <w:tblPrEx>
          <w:tblCellMar>
            <w:top w:w="0" w:type="dxa"/>
            <w:left w:w="0" w:type="dxa"/>
            <w:bottom w:w="0" w:type="dxa"/>
            <w:right w:w="0" w:type="dxa"/>
          </w:tblCellMar>
        </w:tblPrEx>
        <w:trPr>
          <w:trHeight w:val="38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序号</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产品名称</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数量</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单位</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详细参数</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宋体" w:hAnsi="宋体" w:eastAsia="宋体" w:cs="宋体"/>
                <w:b/>
                <w:color w:val="000000"/>
                <w:kern w:val="0"/>
                <w:sz w:val="18"/>
                <w:szCs w:val="18"/>
              </w:rPr>
              <w:t>推荐品牌（或同等档次及以上其他品牌）</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备注</w:t>
            </w:r>
          </w:p>
        </w:tc>
      </w:tr>
      <w:tr>
        <w:tblPrEx>
          <w:tblCellMar>
            <w:top w:w="0" w:type="dxa"/>
            <w:left w:w="0" w:type="dxa"/>
            <w:bottom w:w="0" w:type="dxa"/>
            <w:right w:w="0" w:type="dxa"/>
          </w:tblCellMar>
        </w:tblPrEx>
        <w:trPr>
          <w:trHeight w:val="360" w:hRule="atLeast"/>
          <w:jc w:val="center"/>
        </w:trPr>
        <w:tc>
          <w:tcPr>
            <w:tcW w:w="14247"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kern w:val="0"/>
                <w:sz w:val="20"/>
                <w:szCs w:val="20"/>
              </w:rPr>
            </w:pPr>
            <w:r>
              <w:rPr>
                <w:rFonts w:hint="eastAsia" w:ascii="黑体" w:hAnsi="宋体" w:eastAsia="黑体" w:cs="黑体"/>
                <w:color w:val="000000"/>
                <w:kern w:val="0"/>
                <w:sz w:val="20"/>
                <w:szCs w:val="20"/>
              </w:rPr>
              <w:t>一、自动升旗控制系统（立杆式）</w:t>
            </w:r>
          </w:p>
        </w:tc>
      </w:tr>
      <w:tr>
        <w:tblPrEx>
          <w:tblCellMar>
            <w:top w:w="0" w:type="dxa"/>
            <w:left w:w="0" w:type="dxa"/>
            <w:bottom w:w="0" w:type="dxa"/>
            <w:right w:w="0" w:type="dxa"/>
          </w:tblCellMar>
        </w:tblPrEx>
        <w:trPr>
          <w:trHeight w:val="165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升旗同步控制器</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Style w:val="23"/>
                <w:rFonts w:hint="default"/>
              </w:rPr>
              <w:t>具有实用新型专利证书；</w:t>
            </w:r>
            <w:r>
              <w:rPr>
                <w:rStyle w:val="23"/>
                <w:rFonts w:hint="default"/>
              </w:rPr>
              <w:br w:type="textWrapping"/>
            </w:r>
            <w:r>
              <w:rPr>
                <w:rStyle w:val="24"/>
                <w:rFonts w:hint="default"/>
              </w:rPr>
              <w:t>最大功率：250W</w:t>
            </w:r>
            <w:r>
              <w:rPr>
                <w:rStyle w:val="24"/>
                <w:rFonts w:hint="default"/>
              </w:rPr>
              <w:br w:type="textWrapping"/>
            </w:r>
            <w:r>
              <w:rPr>
                <w:rStyle w:val="24"/>
                <w:rFonts w:hint="default"/>
              </w:rPr>
              <w:t>电源：220V/50HZ</w:t>
            </w:r>
            <w:r>
              <w:rPr>
                <w:rStyle w:val="24"/>
                <w:rFonts w:hint="default"/>
              </w:rPr>
              <w:br w:type="textWrapping"/>
            </w:r>
            <w:r>
              <w:rPr>
                <w:rStyle w:val="24"/>
                <w:rFonts w:hint="default"/>
              </w:rPr>
              <w:t>同步精度：0.1秒</w:t>
            </w:r>
            <w:r>
              <w:rPr>
                <w:rStyle w:val="24"/>
                <w:rFonts w:hint="default"/>
              </w:rPr>
              <w:br w:type="textWrapping"/>
            </w:r>
            <w:r>
              <w:rPr>
                <w:rStyle w:val="24"/>
                <w:rFonts w:hint="default"/>
              </w:rPr>
              <w:t>接口：标准RS-485/232接口</w:t>
            </w:r>
            <w:r>
              <w:rPr>
                <w:rStyle w:val="24"/>
                <w:rFonts w:hint="default"/>
              </w:rPr>
              <w:br w:type="textWrapping"/>
            </w:r>
            <w:r>
              <w:rPr>
                <w:rStyle w:val="24"/>
                <w:rFonts w:hint="default"/>
              </w:rPr>
              <w:t>控制方式：手动/自动一体切换</w:t>
            </w:r>
            <w:r>
              <w:rPr>
                <w:rStyle w:val="24"/>
                <w:rFonts w:hint="default"/>
              </w:rPr>
              <w:br w:type="textWrapping"/>
            </w:r>
            <w:r>
              <w:rPr>
                <w:rStyle w:val="24"/>
                <w:rFonts w:hint="default"/>
              </w:rPr>
              <w:t>连续工作时间：&gt;5小时</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color w:val="FF0000"/>
                <w:kern w:val="0"/>
                <w:sz w:val="20"/>
                <w:szCs w:val="20"/>
              </w:rPr>
              <w:t>★</w:t>
            </w:r>
            <w:r>
              <w:rPr>
                <w:rStyle w:val="23"/>
                <w:rFonts w:hint="default"/>
              </w:rPr>
              <w:t>自动升旗控制系统在大型综合性国际赛事中（如：奥运会、亚运会、军运会）多次稳定成功使用，没有出现过重大事故，提供有效的运行服务证明；技术保障团队必须具有丰富经验，可以在赛前提供技术指导、赛时提供技术保障、赛后提供维保服务。</w:t>
            </w:r>
          </w:p>
        </w:tc>
      </w:tr>
      <w:tr>
        <w:tblPrEx>
          <w:tblCellMar>
            <w:top w:w="0" w:type="dxa"/>
            <w:left w:w="0" w:type="dxa"/>
            <w:bottom w:w="0" w:type="dxa"/>
            <w:right w:w="0" w:type="dxa"/>
          </w:tblCellMar>
        </w:tblPrEx>
        <w:trPr>
          <w:trHeight w:val="71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升旗变频控制器</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同步精度：0.1秒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提升力≥6kg（每根旗杆）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连续工作时间：&gt;5小时</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126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机械部件(含手动装置）</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不锈钢锥形杆3根，含上下限位，具备冲顶（上）、坠地（下）保护。9米旗杆1根，8.57米旗杆2根。速率：手摇装置速率不低于0.5米/秒；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保护：含上下限位，具备冲顶（上）、坠地（下）保护。</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126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自动升旗控制系统</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套</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Style w:val="23"/>
                <w:rFonts w:hint="default"/>
              </w:rPr>
              <w:t>具有国家软件著作权登记证书；</w:t>
            </w:r>
            <w:r>
              <w:rPr>
                <w:rStyle w:val="24"/>
                <w:rFonts w:hint="default"/>
              </w:rPr>
              <w:br w:type="textWrapping"/>
            </w:r>
            <w:r>
              <w:rPr>
                <w:rStyle w:val="24"/>
                <w:rFonts w:hint="default"/>
              </w:rPr>
              <w:t>升旗同步中央控制系统功能，控制升旗与国歌播放同步，实时通讯监测功能，具有与中央控制系统集成接口；</w:t>
            </w:r>
            <w:r>
              <w:rPr>
                <w:rStyle w:val="24"/>
                <w:rFonts w:hint="default"/>
              </w:rPr>
              <w:br w:type="textWrapping"/>
            </w:r>
            <w:r>
              <w:rPr>
                <w:rStyle w:val="24"/>
                <w:rFonts w:hint="default"/>
              </w:rPr>
              <w:t>运行平台：Windows XP以上中文版；</w:t>
            </w:r>
            <w:r>
              <w:rPr>
                <w:rStyle w:val="24"/>
                <w:rFonts w:hint="default"/>
              </w:rPr>
              <w:br w:type="textWrapping"/>
            </w:r>
            <w:r>
              <w:rPr>
                <w:rStyle w:val="24"/>
                <w:rFonts w:hint="default"/>
              </w:rPr>
              <w:t>通讯协议：RS485/RS232通讯协议。</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325"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电脑</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四核/4G</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38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UPS</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1000VA稳压</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25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机柜</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19"1M</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0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电源线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220V/BVV(BYJ)3×2.5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34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JDG32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375"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信号线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RVVP3×1.0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15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JDG20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30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信号线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b/>
                <w:color w:val="000000"/>
                <w:sz w:val="20"/>
                <w:szCs w:val="20"/>
              </w:rPr>
            </w:pPr>
            <w:r>
              <w:rPr>
                <w:rFonts w:hint="eastAsia" w:ascii="宋体" w:hAnsi="宋体" w:eastAsia="宋体" w:cs="宋体"/>
                <w:color w:val="000000"/>
                <w:kern w:val="0"/>
                <w:sz w:val="20"/>
                <w:szCs w:val="20"/>
              </w:rPr>
              <w:t>RVVP8×1.5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397" w:hRule="atLeast"/>
          <w:jc w:val="center"/>
        </w:trPr>
        <w:tc>
          <w:tcPr>
            <w:tcW w:w="14247"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kern w:val="0"/>
                <w:sz w:val="20"/>
                <w:szCs w:val="20"/>
              </w:rPr>
            </w:pPr>
            <w:r>
              <w:rPr>
                <w:rFonts w:hint="eastAsia" w:ascii="黑体" w:hAnsi="宋体" w:eastAsia="黑体" w:cs="黑体"/>
                <w:color w:val="000000"/>
                <w:kern w:val="0"/>
                <w:sz w:val="20"/>
                <w:szCs w:val="20"/>
              </w:rPr>
              <w:t>二、球类计时记分系统</w:t>
            </w:r>
          </w:p>
        </w:tc>
      </w:tr>
      <w:tr>
        <w:tblPrEx>
          <w:tblCellMar>
            <w:top w:w="0" w:type="dxa"/>
            <w:left w:w="0" w:type="dxa"/>
            <w:bottom w:w="0" w:type="dxa"/>
            <w:right w:w="0" w:type="dxa"/>
          </w:tblCellMar>
        </w:tblPrEx>
        <w:trPr>
          <w:trHeight w:val="9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电源线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220V/BVV（BYJ）3×2.5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172"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JDG32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77"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信号线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RVVP4×1.0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62"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JDG25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432"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信号线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超五类/六类双绞线</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382"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JDG20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462" w:hRule="atLeast"/>
          <w:jc w:val="center"/>
        </w:trPr>
        <w:tc>
          <w:tcPr>
            <w:tcW w:w="14247"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kern w:val="0"/>
                <w:sz w:val="20"/>
                <w:szCs w:val="20"/>
              </w:rPr>
            </w:pPr>
            <w:r>
              <w:rPr>
                <w:rFonts w:hint="eastAsia" w:ascii="黑体" w:hAnsi="宋体" w:eastAsia="黑体" w:cs="黑体"/>
                <w:color w:val="000000"/>
                <w:kern w:val="0"/>
                <w:sz w:val="20"/>
                <w:szCs w:val="20"/>
              </w:rPr>
              <w:t>三、标准时钟系统</w:t>
            </w:r>
          </w:p>
        </w:tc>
      </w:tr>
      <w:tr>
        <w:tblPrEx>
          <w:tblCellMar>
            <w:top w:w="0" w:type="dxa"/>
            <w:left w:w="0" w:type="dxa"/>
            <w:bottom w:w="0" w:type="dxa"/>
            <w:right w:w="0" w:type="dxa"/>
          </w:tblCellMar>
        </w:tblPrEx>
        <w:trPr>
          <w:trHeight w:val="72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GPS标准信号接收单元</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并行12通道/SNTP协议/L1波段，C/A码＋载波跟踪/T- RAIM/中心频率1575.42MHz±3/驻波比1.5:1/带宽±5MHz </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color w:val="FF0000"/>
                <w:kern w:val="0"/>
                <w:sz w:val="20"/>
                <w:szCs w:val="20"/>
              </w:rPr>
              <w:t>★</w:t>
            </w:r>
            <w:r>
              <w:rPr>
                <w:rFonts w:hint="eastAsia" w:ascii="宋体" w:hAnsi="宋体" w:eastAsia="宋体" w:cs="宋体"/>
                <w:b/>
                <w:color w:val="000000"/>
                <w:kern w:val="0"/>
                <w:sz w:val="20"/>
                <w:szCs w:val="20"/>
              </w:rPr>
              <w:t>具有与本项目同级别赛事的（A类国际体育赛事）使用证明或2010亚运会产品供应及赛事保障品牌。</w:t>
            </w:r>
          </w:p>
        </w:tc>
      </w:tr>
      <w:tr>
        <w:tblPrEx>
          <w:tblCellMar>
            <w:top w:w="0" w:type="dxa"/>
            <w:left w:w="0" w:type="dxa"/>
            <w:bottom w:w="0" w:type="dxa"/>
            <w:right w:w="0" w:type="dxa"/>
          </w:tblCellMar>
        </w:tblPrEx>
        <w:trPr>
          <w:trHeight w:val="72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中心高稳母钟控制器    </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Style w:val="23"/>
                <w:rFonts w:hint="default"/>
              </w:rPr>
              <w:t>具有国家体育用品质量监督检验中心的检验报告；</w:t>
            </w:r>
            <w:r>
              <w:rPr>
                <w:rStyle w:val="23"/>
                <w:rFonts w:hint="default"/>
              </w:rPr>
              <w:br w:type="textWrapping"/>
            </w:r>
            <w:r>
              <w:rPr>
                <w:rStyle w:val="24"/>
                <w:rFonts w:hint="default"/>
              </w:rPr>
              <w:t>输出标准时间信号包括公历(年、月、日、星期、时、分、秒）</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72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NTP时间服务控制器</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Style w:val="23"/>
                <w:rFonts w:hint="default"/>
              </w:rPr>
              <w:t>具有国家体育用品质量监督检验中心的检验报告；</w:t>
            </w:r>
            <w:r>
              <w:rPr>
                <w:rStyle w:val="23"/>
                <w:rFonts w:hint="default"/>
              </w:rPr>
              <w:br w:type="textWrapping"/>
            </w:r>
            <w:r>
              <w:rPr>
                <w:rStyle w:val="24"/>
                <w:rFonts w:hint="default"/>
              </w:rPr>
              <w:t>客户终端同步精度：1-10ms；NTP请求响应：不小于8000次/秒</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35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高清数显指针式子钟</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规格：D=480MM,内嵌VFD高清晰度数显屏；RS422/485接口、、可扩展RJ45接口</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72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5"单面数字子钟</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740*200*70MM；接口方式：RS485接口、可扩展RJ45接口</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72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5"双面数字子钟</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740×200×100MM双面；接口方式：RS485接口、可扩展RJ45接口</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72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综合时码分配器</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Style w:val="23"/>
                <w:rFonts w:hint="default"/>
              </w:rPr>
              <w:t>具有国家体育用品质量监督检验中心的检验报告；</w:t>
            </w:r>
            <w:r>
              <w:rPr>
                <w:rStyle w:val="23"/>
                <w:rFonts w:hint="default"/>
              </w:rPr>
              <w:br w:type="textWrapping"/>
            </w:r>
            <w:r>
              <w:rPr>
                <w:rStyle w:val="24"/>
                <w:rFonts w:hint="default"/>
              </w:rPr>
              <w:t>CAN总线接口，RS232/485接口；平均无故障时间：≥6万小时；隔离：有效隔离母钟与子钟</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120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时钟网管系统</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Style w:val="23"/>
                <w:rFonts w:hint="default"/>
              </w:rPr>
              <w:t>国家软件著作权登记证书；</w:t>
            </w:r>
            <w:r>
              <w:rPr>
                <w:rStyle w:val="24"/>
                <w:rFonts w:hint="default"/>
              </w:rPr>
              <w:br w:type="textWrapping"/>
            </w:r>
            <w:r>
              <w:rPr>
                <w:rStyle w:val="24"/>
                <w:rFonts w:hint="default"/>
              </w:rPr>
              <w:t>时钟系统网络后台管理软件，完成对时钟系统设备的监测管理，检测收集网络时间服务器、子钟及其他的运行状态信息，对时钟系统的工作状态、故障状态进行显示，并对全系统时钟进行点对点的控制</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5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时钟管理工作站</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四核/4G</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惠普、联想、戴尔</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机柜</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19"2M</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45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UPS</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1000VA/稳压</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伊顿、华为、施耐德</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497"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电源线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220V/BVV（BYJ）3×1.5</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497"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JDG25</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622"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信号线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RVVP3×1.5</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497"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JDG20</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542" w:hRule="atLeast"/>
          <w:jc w:val="center"/>
        </w:trPr>
        <w:tc>
          <w:tcPr>
            <w:tcW w:w="14247"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0"/>
                <w:szCs w:val="20"/>
              </w:rPr>
            </w:pPr>
            <w:r>
              <w:rPr>
                <w:rFonts w:hint="eastAsia" w:ascii="黑体" w:hAnsi="宋体" w:eastAsia="黑体" w:cs="黑体"/>
                <w:color w:val="000000"/>
                <w:kern w:val="0"/>
                <w:sz w:val="20"/>
                <w:szCs w:val="20"/>
              </w:rPr>
              <w:t>四、信息发布系统</w:t>
            </w:r>
          </w:p>
        </w:tc>
      </w:tr>
      <w:tr>
        <w:tblPrEx>
          <w:tblCellMar>
            <w:top w:w="0" w:type="dxa"/>
            <w:left w:w="0" w:type="dxa"/>
            <w:bottom w:w="0" w:type="dxa"/>
            <w:right w:w="0" w:type="dxa"/>
          </w:tblCellMar>
        </w:tblPrEx>
        <w:trPr>
          <w:trHeight w:val="1121"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比赛实时显示系统</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体育场馆专用实时显示比赛信息系统</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具有国家体育用品质量监督检验中心的检验报告；</w:t>
            </w:r>
            <w:r>
              <w:rPr>
                <w:rFonts w:hint="eastAsia" w:ascii="宋体" w:hAnsi="宋体" w:eastAsia="宋体" w:cs="宋体"/>
                <w:b/>
                <w:color w:val="000000"/>
                <w:kern w:val="0"/>
                <w:sz w:val="20"/>
                <w:szCs w:val="20"/>
              </w:rPr>
              <w:br w:type="textWrapping"/>
            </w:r>
            <w:r>
              <w:rPr>
                <w:rFonts w:hint="eastAsia" w:ascii="宋体" w:hAnsi="宋体" w:eastAsia="宋体" w:cs="宋体"/>
                <w:color w:val="FF0000"/>
                <w:kern w:val="0"/>
                <w:sz w:val="20"/>
                <w:szCs w:val="20"/>
              </w:rPr>
              <w:t>★</w:t>
            </w:r>
            <w:r>
              <w:rPr>
                <w:rFonts w:hint="eastAsia" w:ascii="宋体" w:hAnsi="宋体" w:eastAsia="宋体" w:cs="宋体"/>
                <w:b/>
                <w:color w:val="000000"/>
                <w:kern w:val="0"/>
                <w:sz w:val="20"/>
                <w:szCs w:val="20"/>
              </w:rPr>
              <w:t>具有与本项目同级别赛事的（A类国际体育赛事）使用证明或2010亚运会产品供应及赛事保障品牌。</w:t>
            </w:r>
          </w:p>
        </w:tc>
      </w:tr>
      <w:tr>
        <w:tblPrEx>
          <w:tblCellMar>
            <w:top w:w="0" w:type="dxa"/>
            <w:left w:w="0" w:type="dxa"/>
            <w:bottom w:w="0" w:type="dxa"/>
            <w:right w:w="0" w:type="dxa"/>
          </w:tblCellMar>
        </w:tblPrEx>
        <w:trPr>
          <w:trHeight w:val="1211"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信息发布系统</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Style w:val="23"/>
                <w:rFonts w:hint="default"/>
              </w:rPr>
              <w:t>国家软件著作权登记证书；</w:t>
            </w:r>
            <w:r>
              <w:rPr>
                <w:rStyle w:val="23"/>
                <w:rFonts w:hint="default"/>
              </w:rPr>
              <w:br w:type="textWrapping"/>
            </w:r>
            <w:r>
              <w:rPr>
                <w:rStyle w:val="24"/>
                <w:rFonts w:hint="default"/>
              </w:rPr>
              <w:t>中央控制系统端同时发布和管理若干个媒体显示端，基于TCP/IP网络的控制管理和发布，含远程指令模块，实时网页接入模块等。</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72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终端控制器</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1.支持USB的主模式工作 2.带RJ45 LAN 接口 3.支持HDMI 1.4和AV输出</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72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触摸查询软件</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触摸查询机配套软件系统</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8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立式查询机</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19寸触摸屏，嵌入式操作系统。</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科尔、卡迪富、玖誉</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80"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Calibri" w:hAnsi="Calibri" w:eastAsia="宋体" w:cs="Calibri"/>
                <w:color w:val="000000"/>
                <w:sz w:val="20"/>
                <w:szCs w:val="20"/>
              </w:rPr>
            </w:pPr>
            <w:r>
              <w:rPr>
                <w:rStyle w:val="24"/>
                <w:rFonts w:hint="default"/>
              </w:rPr>
              <w:t>液晶电视及支架</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Calibri" w:hAnsi="Calibri" w:eastAsia="宋体" w:cs="Calibri"/>
                <w:color w:val="000000"/>
                <w:sz w:val="20"/>
                <w:szCs w:val="20"/>
              </w:rPr>
            </w:pPr>
            <w:r>
              <w:rPr>
                <w:rFonts w:ascii="Calibri" w:hAnsi="Calibri" w:eastAsia="宋体" w:cs="Calibri"/>
                <w:color w:val="000000"/>
                <w:kern w:val="0"/>
                <w:sz w:val="20"/>
                <w:szCs w:val="20"/>
              </w:rPr>
              <w:t>80</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套</w:t>
            </w:r>
          </w:p>
        </w:tc>
        <w:tc>
          <w:tcPr>
            <w:tcW w:w="7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43寸液晶壁挂式/工业级</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创维、海信、TCL</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329"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管理工作站</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四核/4G</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惠普、联想、戴尔</w:t>
            </w:r>
          </w:p>
        </w:tc>
        <w:tc>
          <w:tcPr>
            <w:tcW w:w="14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94"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信息发布服务器</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四核/4G</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惠普、联想、戴尔</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557"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机柜</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19"标准</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662"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电源线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220V/BVV(BYJ)3×2.5</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437"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JDG32</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487"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信号线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超五类/六类双绞线</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462" w:hRule="atLeast"/>
          <w:jc w:val="center"/>
        </w:trPr>
        <w:tc>
          <w:tcPr>
            <w:tcW w:w="5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7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JDG20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4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bl>
    <w:tbl>
      <w:tblPr>
        <w:tblStyle w:val="15"/>
        <w:tblpPr w:leftFromText="180" w:rightFromText="180" w:vertAnchor="text" w:horzAnchor="page" w:tblpX="1311" w:tblpY="1902"/>
        <w:tblOverlap w:val="never"/>
        <w:tblW w:w="14256" w:type="dxa"/>
        <w:tblInd w:w="0" w:type="dxa"/>
        <w:tblLayout w:type="fixed"/>
        <w:tblCellMar>
          <w:top w:w="0" w:type="dxa"/>
          <w:left w:w="0" w:type="dxa"/>
          <w:bottom w:w="0" w:type="dxa"/>
          <w:right w:w="0" w:type="dxa"/>
        </w:tblCellMar>
      </w:tblPr>
      <w:tblGrid>
        <w:gridCol w:w="832"/>
        <w:gridCol w:w="1713"/>
        <w:gridCol w:w="915"/>
        <w:gridCol w:w="1020"/>
        <w:gridCol w:w="6957"/>
        <w:gridCol w:w="1275"/>
        <w:gridCol w:w="1544"/>
      </w:tblGrid>
      <w:tr>
        <w:tblPrEx>
          <w:tblCellMar>
            <w:top w:w="0" w:type="dxa"/>
            <w:left w:w="0" w:type="dxa"/>
            <w:bottom w:w="0" w:type="dxa"/>
            <w:right w:w="0" w:type="dxa"/>
          </w:tblCellMar>
        </w:tblPrEx>
        <w:trPr>
          <w:trHeight w:val="480" w:hRule="atLeast"/>
        </w:trPr>
        <w:tc>
          <w:tcPr>
            <w:tcW w:w="14256" w:type="dxa"/>
            <w:gridSpan w:val="7"/>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体育馆专项智能化系统</w:t>
            </w:r>
          </w:p>
        </w:tc>
      </w:tr>
      <w:tr>
        <w:tblPrEx>
          <w:tblCellMar>
            <w:top w:w="0" w:type="dxa"/>
            <w:left w:w="0" w:type="dxa"/>
            <w:bottom w:w="0" w:type="dxa"/>
            <w:right w:w="0" w:type="dxa"/>
          </w:tblCellMar>
        </w:tblPrEx>
        <w:trPr>
          <w:trHeight w:val="36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序号</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产品名称</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数量</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单位</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详细参数</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黑体" w:hAnsi="宋体" w:eastAsia="黑体" w:cs="黑体"/>
                <w:color w:val="000000"/>
                <w:sz w:val="20"/>
                <w:szCs w:val="20"/>
              </w:rPr>
            </w:pPr>
          </w:p>
        </w:tc>
        <w:tc>
          <w:tcPr>
            <w:tcW w:w="15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备注</w:t>
            </w:r>
          </w:p>
        </w:tc>
      </w:tr>
      <w:tr>
        <w:tblPrEx>
          <w:tblCellMar>
            <w:top w:w="0" w:type="dxa"/>
            <w:left w:w="0" w:type="dxa"/>
            <w:bottom w:w="0" w:type="dxa"/>
            <w:right w:w="0" w:type="dxa"/>
          </w:tblCellMar>
        </w:tblPrEx>
        <w:trPr>
          <w:trHeight w:val="420" w:hRule="atLeast"/>
        </w:trPr>
        <w:tc>
          <w:tcPr>
            <w:tcW w:w="14256"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kern w:val="0"/>
                <w:sz w:val="20"/>
                <w:szCs w:val="20"/>
              </w:rPr>
            </w:pPr>
            <w:r>
              <w:rPr>
                <w:rFonts w:hint="eastAsia" w:ascii="黑体" w:hAnsi="宋体" w:eastAsia="黑体" w:cs="黑体"/>
                <w:color w:val="000000"/>
                <w:kern w:val="0"/>
                <w:sz w:val="20"/>
                <w:szCs w:val="20"/>
              </w:rPr>
              <w:t>一、自动升旗控制系统（横杆式）（验收按国家规范）</w:t>
            </w:r>
          </w:p>
        </w:tc>
      </w:tr>
      <w:tr>
        <w:tblPrEx>
          <w:tblCellMar>
            <w:top w:w="0" w:type="dxa"/>
            <w:left w:w="0" w:type="dxa"/>
            <w:bottom w:w="0" w:type="dxa"/>
            <w:right w:w="0" w:type="dxa"/>
          </w:tblCellMar>
        </w:tblPrEx>
        <w:trPr>
          <w:trHeight w:val="168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升旗同步控制器</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Style w:val="25"/>
                <w:rFonts w:hint="default"/>
              </w:rPr>
              <w:t>具有实用新型专利证书；</w:t>
            </w:r>
            <w:r>
              <w:rPr>
                <w:rStyle w:val="25"/>
                <w:rFonts w:hint="default"/>
              </w:rPr>
              <w:br w:type="textWrapping"/>
            </w:r>
            <w:r>
              <w:rPr>
                <w:rFonts w:hint="eastAsia" w:ascii="宋体" w:hAnsi="宋体" w:eastAsia="宋体" w:cs="宋体"/>
                <w:color w:val="000000"/>
                <w:kern w:val="0"/>
                <w:sz w:val="20"/>
                <w:szCs w:val="20"/>
              </w:rPr>
              <w:t>最大功率：250W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电源：220V/50HZ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同步精度：0.1秒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接口：标准RS-485/232接口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控制方式：手动/自动一体切换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连续工作时间：&gt;5小时</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5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color w:val="FF0000"/>
                <w:kern w:val="0"/>
                <w:sz w:val="20"/>
                <w:szCs w:val="20"/>
              </w:rPr>
              <w:t>★</w:t>
            </w:r>
            <w:r>
              <w:rPr>
                <w:rStyle w:val="23"/>
                <w:rFonts w:hint="default"/>
              </w:rPr>
              <w:t>自动升旗控制系统在大型综合性国际赛事中（如：奥运会、亚运会、军运会）多次稳定成功使用，没有出现过重大事故，提供有效的运行服务证明；技术保障团队必须具有丰富经验，可以在赛前提供技术指导、赛时提供技术保障、赛后提供维保服务。</w:t>
            </w:r>
          </w:p>
        </w:tc>
      </w:tr>
      <w:tr>
        <w:tblPrEx>
          <w:tblCellMar>
            <w:top w:w="0" w:type="dxa"/>
            <w:left w:w="0" w:type="dxa"/>
            <w:bottom w:w="0" w:type="dxa"/>
            <w:right w:w="0" w:type="dxa"/>
          </w:tblCellMar>
        </w:tblPrEx>
        <w:trPr>
          <w:trHeight w:val="144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升旗变频控制器</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最大功率：2.2KW</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电源：三相380V</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同步精度：0.1秒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保护：地线接地保护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控制方式：变频控制与调速、减速装置结合</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连续工作时间：&gt;5小时</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96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机械部件</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旗杆：亚运标准型，主杆长8.8米，直径不小于75mm，最多可同时悬挂国旗4面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速率：手摇装置速率不低于0.5米/秒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保护：含上下限位，具备冲顶（上）、坠地（下）保护</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120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自动升旗控制系统</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b/>
                <w:color w:val="000000"/>
                <w:kern w:val="0"/>
                <w:sz w:val="20"/>
                <w:szCs w:val="20"/>
              </w:rPr>
              <w:t>具有国家软件著作权登记证书；</w:t>
            </w:r>
            <w:r>
              <w:rPr>
                <w:rFonts w:hint="eastAsia" w:ascii="宋体" w:hAnsi="宋体" w:eastAsia="宋体" w:cs="宋体"/>
                <w:b/>
                <w:color w:val="000000"/>
                <w:kern w:val="0"/>
                <w:sz w:val="20"/>
                <w:szCs w:val="20"/>
              </w:rPr>
              <w:br w:type="textWrapping"/>
            </w:r>
            <w:r>
              <w:rPr>
                <w:rStyle w:val="26"/>
                <w:rFonts w:hint="default"/>
              </w:rPr>
              <w:t>功能：控制升旗与国歌播放同步，实时通讯监测功能，具有与中央控制系统集成接口；</w:t>
            </w:r>
            <w:r>
              <w:rPr>
                <w:rStyle w:val="26"/>
                <w:rFonts w:hint="default"/>
              </w:rPr>
              <w:br w:type="textWrapping"/>
            </w:r>
            <w:r>
              <w:rPr>
                <w:rStyle w:val="26"/>
                <w:rFonts w:hint="default"/>
              </w:rPr>
              <w:t>运行平台：Windows XP以上中文版；</w:t>
            </w:r>
            <w:r>
              <w:rPr>
                <w:rStyle w:val="26"/>
                <w:rFonts w:hint="default"/>
              </w:rPr>
              <w:br w:type="textWrapping"/>
            </w:r>
            <w:r>
              <w:rPr>
                <w:rStyle w:val="26"/>
                <w:rFonts w:hint="default"/>
              </w:rPr>
              <w:t>通讯协议：RS485/RS232通讯协议。</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5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电脑</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四核/4G</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惠普、联想、戴尔</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45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UPS</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1000VA稳压</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伊顿、华为、施耐德</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机柜</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19"1M</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电源线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380V/BVV(BYJ)4×2.5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信号线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RVVP6×0.75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JDG32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440" w:hRule="atLeast"/>
        </w:trPr>
        <w:tc>
          <w:tcPr>
            <w:tcW w:w="14256"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color w:val="000000"/>
                <w:sz w:val="20"/>
                <w:szCs w:val="20"/>
              </w:rPr>
            </w:pPr>
            <w:r>
              <w:rPr>
                <w:rFonts w:hint="eastAsia" w:ascii="黑体" w:hAnsi="宋体" w:eastAsia="黑体" w:cs="黑体"/>
                <w:color w:val="000000"/>
                <w:kern w:val="0"/>
                <w:sz w:val="20"/>
                <w:szCs w:val="20"/>
              </w:rPr>
              <w:t>二、标准时钟系统</w:t>
            </w: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GPS标准信号接收单元</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并行12通道/SNTP协议/L1波段，C/A码＋载波跟踪/T- RAIM/中心频率1575.42MHz±3/驻波比1.5:1/带宽±5MHz </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5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color w:val="FF0000"/>
                <w:kern w:val="0"/>
                <w:sz w:val="20"/>
                <w:szCs w:val="20"/>
              </w:rPr>
              <w:t>★</w:t>
            </w:r>
            <w:r>
              <w:rPr>
                <w:rFonts w:hint="eastAsia" w:ascii="宋体" w:hAnsi="宋体" w:eastAsia="宋体" w:cs="宋体"/>
                <w:b/>
                <w:color w:val="000000"/>
                <w:kern w:val="0"/>
                <w:sz w:val="20"/>
                <w:szCs w:val="20"/>
              </w:rPr>
              <w:t>具有与本项目同级别赛事的（A类国际体育赛事）使用证明或2010亚运会产品供应及赛事保障品牌。</w:t>
            </w: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中心高稳母钟控制器    </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Style w:val="25"/>
                <w:rFonts w:hint="default"/>
              </w:rPr>
              <w:t>具有国家体育用品质量监督检验中心的检验报告；</w:t>
            </w:r>
            <w:r>
              <w:rPr>
                <w:rStyle w:val="25"/>
                <w:rFonts w:hint="default"/>
              </w:rPr>
              <w:br w:type="textWrapping"/>
            </w:r>
            <w:r>
              <w:rPr>
                <w:rFonts w:hint="eastAsia" w:ascii="宋体" w:hAnsi="宋体" w:eastAsia="宋体" w:cs="宋体"/>
                <w:color w:val="000000"/>
                <w:kern w:val="0"/>
                <w:sz w:val="20"/>
                <w:szCs w:val="20"/>
              </w:rPr>
              <w:t>输出标准时间信号包括公历(年、月、日、星期、时、分、秒）</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NTP时间服务控制器</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Style w:val="25"/>
                <w:rFonts w:hint="default"/>
              </w:rPr>
              <w:t>具有国家体育用品质量监督检验中心的检验报告；</w:t>
            </w:r>
            <w:r>
              <w:rPr>
                <w:rStyle w:val="25"/>
                <w:rFonts w:hint="default"/>
              </w:rPr>
              <w:br w:type="textWrapping"/>
            </w:r>
            <w:r>
              <w:rPr>
                <w:rFonts w:hint="eastAsia" w:ascii="宋体" w:hAnsi="宋体" w:eastAsia="宋体" w:cs="宋体"/>
                <w:color w:val="000000"/>
                <w:kern w:val="0"/>
                <w:sz w:val="20"/>
                <w:szCs w:val="20"/>
              </w:rPr>
              <w:t>客户终端同步精度：1-10ms；NTP请求响应：不小于8000次/秒</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高清数显指针式子钟</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规格：D=480MM,内嵌VFD高清晰度数显屏；RS422/485接口、可扩展RJ45接口</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5"单面数字子钟</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740*200*70MM；接口方式：RS485接口、可扩展RJ45接口</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5"双面数字子钟</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740×200×100MM双面；接口方式：RS485接口、可扩展RJ45接口</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72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综合时码分配器</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Style w:val="25"/>
                <w:rFonts w:hint="default"/>
              </w:rPr>
              <w:t>具有国家体育用品质量监督检验中心的检验报告；</w:t>
            </w:r>
            <w:r>
              <w:rPr>
                <w:rStyle w:val="25"/>
                <w:rFonts w:hint="default"/>
              </w:rPr>
              <w:br w:type="textWrapping"/>
            </w:r>
            <w:r>
              <w:rPr>
                <w:rFonts w:hint="eastAsia" w:ascii="宋体" w:hAnsi="宋体" w:eastAsia="宋体" w:cs="宋体"/>
                <w:color w:val="000000"/>
                <w:kern w:val="0"/>
                <w:sz w:val="20"/>
                <w:szCs w:val="20"/>
              </w:rPr>
              <w:t>CAN总线接口，RS232/485接口；平均无故障时间：≥6万小时；隔离：有效隔离母钟与子钟</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120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时钟网管系统</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Style w:val="25"/>
                <w:rFonts w:hint="default"/>
              </w:rPr>
              <w:t>国家软件著作权登记证书；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时钟系统网络后台管理软件，完成对时钟系统设备的监测管理，检测收集网络时间服务器、子钟及其他的运行状态信息，对时钟系统的工作状态、故障状态进行显示，并对全系统时钟进行点对点的控制</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北京星奥、北京华亿、佛山耀龙</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5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时钟管理工作站</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四核/4G</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惠普、联想、戴尔</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机柜</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19"2M</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45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UPS</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1000VA/稳压</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伊顿、华为、施耐德</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电源线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220V/BVV（BYJ）3×1.5</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JDG25</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信号线</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RVVP3×1.5</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JDG20</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14256"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0"/>
                <w:szCs w:val="20"/>
              </w:rPr>
            </w:pPr>
            <w:r>
              <w:rPr>
                <w:rFonts w:hint="eastAsia" w:ascii="黑体" w:hAnsi="宋体" w:eastAsia="黑体" w:cs="黑体"/>
                <w:color w:val="000000"/>
                <w:kern w:val="0"/>
                <w:sz w:val="20"/>
                <w:szCs w:val="20"/>
              </w:rPr>
              <w:t>三、信息发布系统</w:t>
            </w: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比赛实时显示系统</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体育场馆专用实时显示比赛信息系统</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星奥股份、创想京典、方昇科技</w:t>
            </w:r>
          </w:p>
        </w:tc>
        <w:tc>
          <w:tcPr>
            <w:tcW w:w="15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具有国家体育用品质量监督检验中心的检验报告；</w:t>
            </w:r>
            <w:r>
              <w:rPr>
                <w:rFonts w:hint="eastAsia" w:ascii="宋体" w:hAnsi="宋体" w:eastAsia="宋体" w:cs="宋体"/>
                <w:b/>
                <w:color w:val="000000"/>
                <w:kern w:val="0"/>
                <w:sz w:val="20"/>
                <w:szCs w:val="20"/>
              </w:rPr>
              <w:br w:type="textWrapping"/>
            </w:r>
            <w:r>
              <w:rPr>
                <w:rFonts w:hint="eastAsia" w:ascii="宋体" w:hAnsi="宋体" w:eastAsia="宋体" w:cs="宋体"/>
                <w:color w:val="FF0000"/>
                <w:kern w:val="0"/>
                <w:sz w:val="20"/>
                <w:szCs w:val="20"/>
              </w:rPr>
              <w:t>★</w:t>
            </w:r>
            <w:r>
              <w:rPr>
                <w:rFonts w:hint="eastAsia" w:ascii="宋体" w:hAnsi="宋体" w:eastAsia="宋体" w:cs="宋体"/>
                <w:b/>
                <w:color w:val="000000"/>
                <w:kern w:val="0"/>
                <w:sz w:val="20"/>
                <w:szCs w:val="20"/>
              </w:rPr>
              <w:t>具有与本项目同级别赛事的（A类国际体育赛事）使用证明或2010亚运会产品供应及赛事保障品牌。</w:t>
            </w:r>
          </w:p>
        </w:tc>
      </w:tr>
      <w:tr>
        <w:tblPrEx>
          <w:tblCellMar>
            <w:top w:w="0" w:type="dxa"/>
            <w:left w:w="0" w:type="dxa"/>
            <w:bottom w:w="0" w:type="dxa"/>
            <w:right w:w="0" w:type="dxa"/>
          </w:tblCellMar>
        </w:tblPrEx>
        <w:trPr>
          <w:trHeight w:val="72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信息发布系统</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Style w:val="25"/>
                <w:rFonts w:hint="default"/>
              </w:rPr>
              <w:t>国家软件著作权登记证书；</w:t>
            </w:r>
            <w:r>
              <w:rPr>
                <w:rStyle w:val="25"/>
                <w:rFonts w:hint="default"/>
              </w:rPr>
              <w:br w:type="textWrapping"/>
            </w:r>
            <w:r>
              <w:rPr>
                <w:rFonts w:hint="eastAsia" w:ascii="宋体" w:hAnsi="宋体" w:eastAsia="宋体" w:cs="宋体"/>
                <w:color w:val="000000"/>
                <w:kern w:val="0"/>
                <w:sz w:val="20"/>
                <w:szCs w:val="20"/>
              </w:rPr>
              <w:t>中央控制系统端同时发布和管理若干个媒体显示端，基于TCP/IP网络的控制管理和发布，含远程指令模块，实时网页接入模块等。</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星奥股份、创想京典、方昇科技</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终端控制器</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40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rPr>
              <w:t>1.支持USB的主模式工作 2.带RJ45 LAN 接口 3.支持HDMI 1.4和AV输出</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星奥股份、创想京典、方昇科技</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触摸查询软件</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触摸查询机配套软件系统</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星奥股份、创想京典、方昇科技</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立式查询机</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15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19寸触摸屏，嵌入式操作系统。</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科尔、卡迪富、玖誉</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8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液晶电视及支架</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40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套</w:t>
            </w:r>
          </w:p>
        </w:tc>
        <w:tc>
          <w:tcPr>
            <w:tcW w:w="69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43寸液晶壁挂式/工业级</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创维、海信、TCL</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5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管理工作站</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2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四核/4G</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惠普、联想、戴尔</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450"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信息发布服务器</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四核/4G</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惠普、联想、戴尔</w:t>
            </w:r>
          </w:p>
        </w:tc>
        <w:tc>
          <w:tcPr>
            <w:tcW w:w="15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机柜</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1 </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台</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19"标准</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电源线</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220V/BVV(BYJ)3×2.5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JDG32</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信号线</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超五类/六类双绞线</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trPr>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7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线管</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1900</w:t>
            </w:r>
          </w:p>
        </w:tc>
        <w:tc>
          <w:tcPr>
            <w:tcW w:w="10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6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JDG20</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国产优质</w:t>
            </w:r>
          </w:p>
        </w:tc>
        <w:tc>
          <w:tcPr>
            <w:tcW w:w="15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bl>
    <w:p/>
    <w:p/>
    <w:p/>
    <w:p/>
    <w:p/>
    <w:tbl>
      <w:tblPr>
        <w:tblStyle w:val="15"/>
        <w:tblW w:w="14273" w:type="dxa"/>
        <w:jc w:val="center"/>
        <w:tblLayout w:type="fixed"/>
        <w:tblCellMar>
          <w:top w:w="0" w:type="dxa"/>
          <w:left w:w="0" w:type="dxa"/>
          <w:bottom w:w="0" w:type="dxa"/>
          <w:right w:w="0" w:type="dxa"/>
        </w:tblCellMar>
      </w:tblPr>
      <w:tblGrid>
        <w:gridCol w:w="915"/>
        <w:gridCol w:w="1455"/>
        <w:gridCol w:w="930"/>
        <w:gridCol w:w="990"/>
        <w:gridCol w:w="8570"/>
        <w:gridCol w:w="1413"/>
      </w:tblGrid>
      <w:tr>
        <w:tblPrEx>
          <w:tblCellMar>
            <w:top w:w="0" w:type="dxa"/>
            <w:left w:w="0" w:type="dxa"/>
            <w:bottom w:w="0" w:type="dxa"/>
            <w:right w:w="0" w:type="dxa"/>
          </w:tblCellMar>
        </w:tblPrEx>
        <w:trPr>
          <w:trHeight w:val="405" w:hRule="atLeast"/>
          <w:jc w:val="center"/>
        </w:trPr>
        <w:tc>
          <w:tcPr>
            <w:tcW w:w="14273"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rPr>
              <w:t>微模块机房系统明细表</w:t>
            </w:r>
          </w:p>
        </w:tc>
      </w:tr>
      <w:tr>
        <w:tblPrEx>
          <w:tblCellMar>
            <w:top w:w="0" w:type="dxa"/>
            <w:left w:w="0" w:type="dxa"/>
            <w:bottom w:w="0" w:type="dxa"/>
            <w:right w:w="0" w:type="dxa"/>
          </w:tblCellMar>
        </w:tblPrEx>
        <w:trPr>
          <w:trHeight w:val="555" w:hRule="atLeast"/>
          <w:jc w:val="center"/>
        </w:trPr>
        <w:tc>
          <w:tcPr>
            <w:tcW w:w="91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序号</w:t>
            </w:r>
          </w:p>
        </w:tc>
        <w:tc>
          <w:tcPr>
            <w:tcW w:w="145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设备名称</w:t>
            </w:r>
          </w:p>
        </w:tc>
        <w:tc>
          <w:tcPr>
            <w:tcW w:w="93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单位</w:t>
            </w:r>
          </w:p>
        </w:tc>
        <w:tc>
          <w:tcPr>
            <w:tcW w:w="9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数量</w:t>
            </w:r>
          </w:p>
        </w:tc>
        <w:tc>
          <w:tcPr>
            <w:tcW w:w="85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主要技术参数</w:t>
            </w:r>
          </w:p>
        </w:tc>
        <w:tc>
          <w:tcPr>
            <w:tcW w:w="141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推荐品牌（或同等档次及以上其他品牌）</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1.1.机柜产品清单</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142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机柜及机柜附件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857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1、机柜要求为19 英寸工业标准机柜（高度H×宽度W×深度D）=2000mm×600mm×1200mm，符合ANSI/EIA RS-310-D、DIN41491；PART1、IEC297-2、DIN41494；PART7、 GB/T3047.2- 92标准；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2、机柜内部有效空间不低于42U，机柜高度要求为2000mm、深度1200mm，宽600mm；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3、颜色：黑色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4、★立柱、方孔条和框架材料等不低于1.5mm，门板、侧板、顶板厚度不低于1.2mm，坚固可靠，机柜静态承载能力≧1800kg，提供荷载测试报告；通过8、9级抗震测试，并提供测试报告；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5、机柜采用内六角网孔门，前门单开门、后门双开门，通孔率不低于73%；前后门均需配置隐门锁，侧门可方便现场拆卸；</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6、通道顶板采用99%高透光率钢化玻璃材质，要求具备阻燃报告，坚固耐用；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7、机柜要求支持柜体顶部模块化双通道线槽集成安装，且线槽要求与机柜风格统一，安装便捷、外观美观。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8、机柜要求支持通道封闭组件安装，可做冷（或热）通道封闭。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9、可拆式顶板及底板均有进线孔预留，并有防火阻燃塑料盖板封堵。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10、机柜内部4根调节式2.0/EAI标准立柱，用于安装设备和固定层板。前后方孔条之间距离可灵活调节，有具体U数标示</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142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机柜侧板</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57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2449"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固定承重板</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件</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857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5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1.2.通道配件产品清单</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5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600mm控制天窗</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9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57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1、每台机柜须配置40U盲板和气流遏制组件。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2、机座应满足机柜与设备以及走线架（承载于机柜顶部时）的承重要求，并满足YD 5059-2005抗震要求。与机柜的连接部件不超出机柜宽度及深度尺寸限界。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3、冷通道两侧配置平开滑动门，门板为5mm钢化玻璃，钢化玻璃应占门板80%以上的面积，方便看到机房内部设备情况。</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冷通道的活动门设计为常闭状态，安装自动闭门装置，门框组件具备藏线和走线功能。门有缓冲密闭装置，提供较好防护。安装推拉把手，门的上面和下面安装有工业级的滑轨，开门有良好的手感和滑动感，没有卡顿及摇晃感，门与柜架的密合度严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5、★通道自动门采用电机带动开合，可通过门禁识别进入通道；门外框自带双色告警联动状态显示灯，当出现高级别告警时可快速直观掌握系统状态，包括运行状态、消防报警、检修状态等。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6、通道门配置上下双滑轨设计，手感滑动平顺没有阻碍。在开合的过程中门不摇晃。闭合后门与门框之间没有缝隙，密封效果完美。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冷通道天窗单套高250mm，长1200mm，采用更轻量的Z型铝合金型材结构比传统钢结构轻35%，内嵌99%透光率的5mm钢化玻璃，天窗支架具备理线功能可使线缆不外露。天窗根据机柜的宽度设计单元模块结构，每个单元能独立在通道内由下往上快速安装，并能与相邻的单元连接，通过承托侧梁安装机柜正面的顶部，互换性高，安装简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活动天窗可通过烟感信号或消防联动信号控制电磁锁失电可靠开启，同时支持通道内部环境超过阀值时的自动开启。感应开启时间不超过1S，打开角度85度，活动天窗冷通道总面积不少于70%，满足通道内的消防要求。活动天窗开启后冷通道的净高大于2.0米，不影响机柜门的打开，互不干涉，保证日常维护工作和维护人员安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9、★天窗翻转联动采用电机或磁力锁控制，接受控制器的指令，通过电机或磁力锁控制，可实现天窗的翻转。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10、天窗顶灯照度到达400流明，采用进口专用LED透光片。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11、通道标配应急逃生照明指示光源，采用清晰明亮的绿色指示逃生方向，遇到消防断电，能维持20分钟以上的照明指引，与通道设计位一体化。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12）★微模块机房供应商应为国内外知名品牌，近三年国内微模块机房出货量排名前五，提供权威机构出具的ICT Research证明文件；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13）★微模块整体结构通过泰尔测试，提供微模块整体泰尔测试报告证明；</w:t>
            </w:r>
          </w:p>
        </w:tc>
        <w:tc>
          <w:tcPr>
            <w:tcW w:w="14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600mm玻璃天窗</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85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300mm玻璃天窗</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5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双开自动移门2米</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扇</w:t>
            </w:r>
          </w:p>
        </w:tc>
        <w:tc>
          <w:tcPr>
            <w:tcW w:w="9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5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600mm机柜顶部线槽</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85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300mm机柜顶部线槽</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5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天窗控制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通道照明</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通道门框告警灯带</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5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66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空调补齐框</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6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冷通道辅材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1.3.监控模块</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5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微模块智能管理主机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1、★为保证模块机房的可靠性、兼容性，避免二次开发以至某些控制设备的功能无法实现，需要监控系统与UPS、配电、行间空调、冷通道均为同一品牌产品。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 ★一体化监控主机底端硬件光电隔离，抗干扰性强，具备防雷功能；提供不小于10寸的触摸屏或PAD平板电脑，支持多点触控，手指放大缩小；0 U安装，不占用机柜的U位空间；所有被监控对象须全部都集中接入监控主机，并且接口须标准化。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监控主机屏需要输入密码或解锁图案才能操作触摸屏，触摸屏面板前需提供一个前置摄像头；当操作人员操作界面时，一体化监控主机会自动拍照，保存操作记录，并可以对操作记录进行查询追踪，调出图像核对，操作记录存储不小于1年；一体化监控主机应支持人脸识别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4、★安全性：硬件采用UNIX，Linux或ANDRIOD操作系统，具备防病毒功能。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5、硬件内存不小于1G，存储空间不小于4G，具备保存底端数据1年以上的能力，保证数据不丢失。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6、监控系统界面应以简体中文显示，基于B/S架构的动力环境监控管理平台，可通过web方式远程访问，免客户端安装。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7、★能耗管理：一体化监控主机提供综合PUE仪表盘显示，瞬时PUE仪表盘显示，提供当日，7天的PUE变化曲线显示；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8、一体化监控主机应能显示机房能耗分布饼图，并能提供最近12个月用电量的柱状图及趋势图；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9、主机具备本地存储、独立报警能力，可避免网络故障导致的系统非正常运行，并具有强大的集成功能。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 支持本地声光告警、邮件告警、短信告警等多重告警方式, 用户可根据报警级别设定报警方式。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告警管理：一体化监控主机提供直观告警界面，当有告警发生时，提供声光/短信/邮件等告警，可根据报警级别设定报警方式，方便运维管理；告警界面可以显示实时告警和历史告警，历史告警存储时间不小于1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 程序支持机房地图展示功能，能够做到形象逼真的告警显示。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13、系统可根据产生的告警事件、日志、用户操作信息，生成对应的报表；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14、系统支持多级权限级别，可根据不同站点或不同设备类型自由定义不同用户的访问权限。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15、监控系统配件应包含通道内部监控系统所需的信号连接线，用于控制单元与各监控传感器之间的信号连接；</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多功能传感器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区域水浸传感器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智能采集器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控制显示屏</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声光报警器</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只</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765"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智能管理系统辅材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1.4.门禁视频硬件</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120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彩色半球摄像机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1、200万宽动态红外变焦半球型网络摄像机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2、焦距：2.8～12mm手动变焦，4.3倍光学变倍；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3、视频编码格式：H.265/H.264/MJPEG</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4、电源：PoE（802.3at/af），AC24V±25%，DC24V±25%，DC12V±25%（DC供电无极性）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5、含SD卡，存储时间≤7天；</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硬盘录像机</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单盘位4路</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硬盘</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存储时间不少于一个月，单块硬盘可配置2T、4T或8T,总容量不少8T</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通道门禁系统</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密码/指纹/刷卡三合一门禁系统--安装于冷通道列头列尾</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285"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1.5.IT配电</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4128"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配电：PPM</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1)★尺寸600*1200*2000mm，带并柜孔及配件，支持上下进出线。包含输出分路开关共18路32A/1P，元器件应为ABB、施耐德、西门子等知名品牌，带防雷保护，防雷等级：C级；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标配7英寸液晶触摸屏，对电压、电流、频率、有用功率、无用功率、视在功率、谐波百分比等做全方位的监控，可实时记录负载曲线变化情况，可保存3000条历史记录与故障信息，便于分析原因，及早规避风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3、告警保护功能：过压、欠压、相序错误、缺相、三相不平衡、三相过流、零序过流等，可设置告警上下限，便于尽早了解异常状况，及时处理。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配电监控功能：支持三相输入电压、电流、频率、视在功率、有功功率、功率因数、谐波百分比、电量、三相不平衡度、零地电压、零线电流、母线温度等指标监测。支持支路额定电流、实际电流，支路负载百分比，支路开关状态，支路温度等监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5、列头配电柜需封闭于冷通道内，柜体要求和机柜风格统一，即外形尺寸、喷涂颜色及工艺、前后门工艺均与设备机柜统一，支持上下进线。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6、★通过泰尔、CCC认证。</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16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配电：PDU</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8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1、交流PDU采用黑色。PDU接受品牌为：伊顿、艾默生、施耐德对应的工业级产品。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 PDU安装需兼容法兰安装支架和无工具可安装挂钉两种方式。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3、采用铝制机壳，塑料面盖。需坚固耐用，抗压性能、耐蚀性能良好，工艺先进，美观大方。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4、★PDU配电插座端口不少于24个，其中20个为10A，4个16A，端口类型为国标；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 PDU须安装在机柜右后侧，PDU 与机柜的固定方式应灵活、方便，利于安装、拆卸；</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60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1.6.UPS供电系统</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196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50KVA模块化UPS</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1、★模块化UPS，输出功率不小于50kVA，另外冗余一个功率模块，单模块25kVA-50KVA，N+1冗余UPM单机框架需满足200KW功率，功率模块包括整流、逆变、充电和控制系统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2、采用集中静态旁路，支持双电源输入，可选单输入方式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3、★每个UPS模块均支持在线带电状态下，以热插拔方式将模块从机柜中拔除或插入的扩容或维护方式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4、各模块之间无主从关系、相互冗余备份，系统等级的并联冗余，系统可根据负载大小的变动自动调节冗余数，满足N+X的并联冗余特性；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5、可设置功率模块内部冗余，提前预警系统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6、★电池节数支持单节连续可调，以充分利用已有电池系统或减少因单节电池损坏而更换整组电池，避免电池中线带来的中性点漂移风险，请详细说明可调范围及可调节数；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 UPS需具备电池智能管理功能，可以自动检测电池状态，定期浮充和休眠，UPS标配电池温度补偿接口；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8、UPS机柜外观风格应与机柜保持一致，为前后可开启的网孔式带锁的机柜门，后门为双开门结构，黑色外观；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9、整个系统配置一个显示模块，方便操作和管理，可在线更换显示模块而不影响系统工作状态；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10、单功率模块的重量必须小于28Kg，确保现场可以实现热插拔功能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11、★直流开机：UPS在没有市电时，可通过所连接的蓄电池组实现单模块的直流开机启动（安装验收时将测试此项功能）；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12、标配内部维护旁路开关、整流器输入开关，全正面维护，可左右靠机柜靠墙摆放；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13、UPS系统柜同时支持上方、下方进出线方式；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14、底部自带脚轮方便现场搬运和就位；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15、★验收时需要在客户现场满载测试机器，UPS须具有在线假负载测试功能；如不具备该功能，投标方需免费提供对应负载测试设备及工程服务；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16、可设置模块休眠功能，系统根据带载量自动调节工作模块数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17、具有先进智能监控管理功能和接口：3个智能插槽，可插入SNMP网卡，Modbus卡，Relay卡等，具有5个楼宇告警输入信号和一个总输出Relay信号，EPO接口，满足监控和管理需求。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18、★机器防护等级：IP20，标配防尘网，防尘网符合美国防火标准UL94及滤尘网标准UL 900要求拆卸、清洗便捷。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19、输出功率因数1，带0.8滞后至0.8超前负载不允许降额</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20、UPS旁路负载&lt;125%时可以持续工作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21、UPS旁路应能承受1000%额定输出电流的持续时间20ms。</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22、★设备在50%负载率及以上情况下的效率应大于96%，提供泰尔检测报告实测值</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需要提供设备在100%和50%负载时的发热量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23、1、UPS标配彩色7英寸触摸LCD，能够图形显示UPS运行状态和查询设备各种参数，助于人机对话型的菜单操作；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24、可存储4000条历史记录事件供用户查询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25、★UPS应具有定期对蓄电池组进行自动浮充、均充和休眠三段式循环充电相互转换。应具有蓄电池电压低报警及保护、充电电流可调、开关充电器、电池自动测试检测、后备时间提示等功能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26、电池节数可以单只调节，以充分利用已有电池系统或减少因单节电池损坏而更换整组电池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27、★提供投标UPS机型的泰尔认证证书及检测报告，抗震证书，节能认证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28、★提供蓄电池产品的泰尔认证证书及检测报告</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196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电池柜</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国产优质优质</w:t>
            </w:r>
          </w:p>
        </w:tc>
      </w:tr>
      <w:tr>
        <w:tblPrEx>
          <w:tblCellMar>
            <w:top w:w="0" w:type="dxa"/>
            <w:left w:w="0" w:type="dxa"/>
            <w:bottom w:w="0" w:type="dxa"/>
            <w:right w:w="0" w:type="dxa"/>
          </w:tblCellMar>
        </w:tblPrEx>
        <w:trPr>
          <w:trHeight w:val="196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电池开关柜</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国产优质优质</w:t>
            </w:r>
          </w:p>
        </w:tc>
      </w:tr>
      <w:tr>
        <w:tblPrEx>
          <w:tblCellMar>
            <w:top w:w="0" w:type="dxa"/>
            <w:left w:w="0" w:type="dxa"/>
            <w:bottom w:w="0" w:type="dxa"/>
            <w:right w:w="0" w:type="dxa"/>
          </w:tblCellMar>
        </w:tblPrEx>
        <w:trPr>
          <w:trHeight w:val="196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蓄电池</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节</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松下、双登、灯塔</w:t>
            </w:r>
          </w:p>
        </w:tc>
      </w:tr>
      <w:tr>
        <w:tblPrEx>
          <w:tblCellMar>
            <w:top w:w="0" w:type="dxa"/>
            <w:left w:w="0" w:type="dxa"/>
            <w:bottom w:w="0" w:type="dxa"/>
            <w:right w:w="0" w:type="dxa"/>
          </w:tblCellMar>
        </w:tblPrEx>
        <w:trPr>
          <w:trHeight w:val="196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电池连接电缆</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根</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国产优质优质</w:t>
            </w:r>
          </w:p>
        </w:tc>
      </w:tr>
      <w:tr>
        <w:tblPrEx>
          <w:tblCellMar>
            <w:top w:w="0" w:type="dxa"/>
            <w:left w:w="0" w:type="dxa"/>
            <w:bottom w:w="0" w:type="dxa"/>
            <w:right w:w="0" w:type="dxa"/>
          </w:tblCellMar>
        </w:tblPrEx>
        <w:trPr>
          <w:trHeight w:val="3149"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电池安装辅材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国产优质优质</w:t>
            </w:r>
          </w:p>
        </w:tc>
      </w:tr>
      <w:tr>
        <w:tblPrEx>
          <w:tblCellMar>
            <w:top w:w="0" w:type="dxa"/>
            <w:left w:w="0" w:type="dxa"/>
            <w:bottom w:w="0" w:type="dxa"/>
            <w:right w:w="0"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1.7.空调系统</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20"/>
                <w:szCs w:val="20"/>
              </w:rPr>
            </w:pPr>
          </w:p>
        </w:tc>
        <w:tc>
          <w:tcPr>
            <w:tcW w:w="8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1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制冷：行级空调</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8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1、性能指标：总冷量≥25kW，显冷量 ≥25kW，显热比：1，风量 ≥5000m3/h，压缩机形式：EC变频压缩机，EC风机数量：6，加湿量 ≥3kg/h，加热量 ≥3.6kW，外机尺寸（宽深高）： 100*1200*2000mm；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2、★为保持模块化机房外观一致性，提高机房的利用率，使行级空调便于安装于冷通道内，机房空调的内机尺寸2000mm×300mm×1200mm。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3、机房专用空调应采用环保R410A制冷剂，且应有较大的送风量，必须满足“选型技术明细表”的要求。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4、★机房专用空调应能应解决机房的高显热量负荷， 回风37℃，25%RH工况下满足“6.1主要技术要求”中性能参数表，需提供权威机构第三方检测报告或官方产品样本。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5、机组采用直流变频压缩机。压缩机采用国际知名品牌，参考品牌：谷轮、三菱、单佛斯，且可支持室外安装以降低机房噪声。压缩机必须有高低压相序保护。为了保证压缩机系统的回油，可选配置油分离器。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6、★可插拔式主控制板设计，配有风扇接触器和过载保护，方便维护，减少故障修复时间，提供实图片说明。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为提高风机效率及可靠性，采用标准化的N+1动态管理EC风机，在操作上允许降低流速以优化功耗。在一个风机出现故障的情况下，其余风扇将以最大速度运行以确保冷却效果。风扇设计支持快速更换，维修时EC 风机不受影响可保持正常工作。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8、★蒸发器由机械扩展管和经过亲水处理的翅片组成，结构采用“/”字型结构，保证气流更加均匀，提高表冷器的换热效率。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9、为保障EC风机可靠性，风机数量应满足“选型技术明细表”的要求。室内风机品牌须为世界知名品牌，参考品牌为德国EBM或施乐百。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10、机房专用空调必须配置电子膨胀阀，保证系统运行的高效性和稳定性。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11、机房专用空调的加热性能，具备须采用环保高效的PTC或不锈钢翅片电加热器，有过热保护功能，在过热的情况下会切断电源激活报警。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12、机房专用空调的控制系统：应具有高可靠性的微处理控制器，采用先进的模糊逻辑控制或PID调节技术，需为成熟的国际知名品牌；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13、机组的冷却设备：室外机外壳应为优质碳素结构钢、内侧为热镀锌层，外侧喷涂专用户外塑料粉末，以适应多种环境条件。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14、★精密空调通过CQC、CE认证；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15、★制造商应具有自研能力，具有大型的焓差实验室，并通过国内或国际专业机构检验，提供焓差实验室认证证明；</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华为、施耐德、伊顿</w:t>
            </w:r>
          </w:p>
        </w:tc>
      </w:tr>
      <w:tr>
        <w:tblPrEx>
          <w:tblCellMar>
            <w:top w:w="0" w:type="dxa"/>
            <w:left w:w="0" w:type="dxa"/>
            <w:bottom w:w="0" w:type="dxa"/>
            <w:right w:w="0" w:type="dxa"/>
          </w:tblCellMar>
        </w:tblPrEx>
        <w:trPr>
          <w:trHeight w:val="21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制冷剂</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罐</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国产优质优质</w:t>
            </w:r>
          </w:p>
        </w:tc>
      </w:tr>
      <w:tr>
        <w:tblPrEx>
          <w:tblCellMar>
            <w:top w:w="0" w:type="dxa"/>
            <w:left w:w="0" w:type="dxa"/>
            <w:bottom w:w="0" w:type="dxa"/>
            <w:right w:w="0" w:type="dxa"/>
          </w:tblCellMar>
        </w:tblPrEx>
        <w:trPr>
          <w:trHeight w:val="2140"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空调铜管</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国产优质优质</w:t>
            </w:r>
          </w:p>
        </w:tc>
      </w:tr>
      <w:tr>
        <w:tblPrEx>
          <w:tblCellMar>
            <w:top w:w="0" w:type="dxa"/>
            <w:left w:w="0" w:type="dxa"/>
            <w:bottom w:w="0" w:type="dxa"/>
            <w:right w:w="0" w:type="dxa"/>
          </w:tblCellMar>
        </w:tblPrEx>
        <w:trPr>
          <w:trHeight w:val="965" w:hRule="atLeast"/>
          <w:jc w:val="center"/>
        </w:trPr>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空调安装辅材</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20"/>
                <w:szCs w:val="20"/>
              </w:rPr>
            </w:pP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国产优质优质</w:t>
            </w:r>
          </w:p>
        </w:tc>
      </w:tr>
    </w:tbl>
    <w:p/>
    <w:p/>
    <w:p/>
    <w:p/>
    <w:p/>
    <w:p/>
    <w:p/>
    <w:p/>
    <w:p/>
    <w:p/>
    <w:p/>
    <w:p/>
    <w:tbl>
      <w:tblPr>
        <w:tblStyle w:val="15"/>
        <w:tblW w:w="14351" w:type="dxa"/>
        <w:jc w:val="center"/>
        <w:tblLayout w:type="fixed"/>
        <w:tblCellMar>
          <w:top w:w="0" w:type="dxa"/>
          <w:left w:w="0" w:type="dxa"/>
          <w:bottom w:w="0" w:type="dxa"/>
          <w:right w:w="0" w:type="dxa"/>
        </w:tblCellMar>
      </w:tblPr>
      <w:tblGrid>
        <w:gridCol w:w="870"/>
        <w:gridCol w:w="1470"/>
        <w:gridCol w:w="915"/>
        <w:gridCol w:w="990"/>
        <w:gridCol w:w="8565"/>
        <w:gridCol w:w="1541"/>
      </w:tblGrid>
      <w:tr>
        <w:tblPrEx>
          <w:tblCellMar>
            <w:top w:w="0" w:type="dxa"/>
            <w:left w:w="0" w:type="dxa"/>
            <w:bottom w:w="0" w:type="dxa"/>
            <w:right w:w="0" w:type="dxa"/>
          </w:tblCellMar>
        </w:tblPrEx>
        <w:trPr>
          <w:trHeight w:val="405" w:hRule="atLeast"/>
          <w:jc w:val="center"/>
        </w:trPr>
        <w:tc>
          <w:tcPr>
            <w:tcW w:w="14351"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rPr>
              <w:t>LED显示屏系统明细表</w:t>
            </w:r>
          </w:p>
        </w:tc>
      </w:tr>
      <w:tr>
        <w:tblPrEx>
          <w:tblCellMar>
            <w:top w:w="0" w:type="dxa"/>
            <w:left w:w="0" w:type="dxa"/>
            <w:bottom w:w="0" w:type="dxa"/>
            <w:right w:w="0" w:type="dxa"/>
          </w:tblCellMar>
        </w:tblPrEx>
        <w:trPr>
          <w:trHeight w:val="285" w:hRule="atLeast"/>
          <w:jc w:val="center"/>
        </w:trPr>
        <w:tc>
          <w:tcPr>
            <w:tcW w:w="8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序号</w:t>
            </w:r>
          </w:p>
        </w:tc>
        <w:tc>
          <w:tcPr>
            <w:tcW w:w="147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设备名称</w:t>
            </w:r>
          </w:p>
        </w:tc>
        <w:tc>
          <w:tcPr>
            <w:tcW w:w="91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单位</w:t>
            </w:r>
          </w:p>
        </w:tc>
        <w:tc>
          <w:tcPr>
            <w:tcW w:w="9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数量</w:t>
            </w:r>
          </w:p>
        </w:tc>
        <w:tc>
          <w:tcPr>
            <w:tcW w:w="856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主要技术参数</w:t>
            </w:r>
          </w:p>
        </w:tc>
        <w:tc>
          <w:tcPr>
            <w:tcW w:w="154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推荐品牌（或同等档次及以上其他品牌）</w:t>
            </w:r>
          </w:p>
        </w:tc>
      </w:tr>
      <w:tr>
        <w:tblPrEx>
          <w:tblCellMar>
            <w:top w:w="0" w:type="dxa"/>
            <w:left w:w="0" w:type="dxa"/>
            <w:bottom w:w="0" w:type="dxa"/>
            <w:right w:w="0" w:type="dxa"/>
          </w:tblCellMar>
        </w:tblPrEx>
        <w:trPr>
          <w:trHeight w:val="285" w:hRule="atLeast"/>
          <w:jc w:val="center"/>
        </w:trPr>
        <w:tc>
          <w:tcPr>
            <w:tcW w:w="325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LED显示屏部分</w:t>
            </w:r>
          </w:p>
        </w:tc>
        <w:tc>
          <w:tcPr>
            <w:tcW w:w="99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4"/>
              </w:rPr>
            </w:pP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355" w:hRule="atLeast"/>
          <w:jc w:val="center"/>
        </w:trPr>
        <w:tc>
          <w:tcPr>
            <w:tcW w:w="8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47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新宋体" w:hAnsi="新宋体" w:eastAsia="新宋体" w:cs="新宋体"/>
                <w:color w:val="000000"/>
                <w:kern w:val="0"/>
                <w:sz w:val="18"/>
                <w:szCs w:val="18"/>
              </w:rPr>
            </w:pPr>
            <w:r>
              <w:rPr>
                <w:rFonts w:hint="eastAsia" w:ascii="新宋体" w:hAnsi="新宋体" w:eastAsia="新宋体" w:cs="新宋体"/>
                <w:color w:val="000000"/>
                <w:kern w:val="0"/>
                <w:sz w:val="18"/>
                <w:szCs w:val="18"/>
              </w:rPr>
              <w:t>LED显示屏</w:t>
            </w:r>
          </w:p>
          <w:p>
            <w:pPr>
              <w:widowControl/>
              <w:jc w:val="center"/>
              <w:textAlignment w:val="center"/>
              <w:rPr>
                <w:rFonts w:ascii="新宋体" w:hAnsi="新宋体" w:eastAsia="新宋体" w:cs="新宋体"/>
                <w:color w:val="000000"/>
                <w:sz w:val="18"/>
                <w:szCs w:val="18"/>
              </w:rPr>
            </w:pPr>
            <w:r>
              <w:rPr>
                <w:rFonts w:hint="eastAsia" w:ascii="宋体" w:hAnsi="宋体" w:cs="宋体"/>
                <w:b/>
                <w:bCs/>
                <w:color w:val="0000FF"/>
                <w:kern w:val="0"/>
                <w:sz w:val="22"/>
                <w:szCs w:val="22"/>
                <w:lang w:eastAsia="zh-CN"/>
              </w:rPr>
              <w:t>（</w:t>
            </w:r>
            <w:r>
              <w:rPr>
                <w:rFonts w:hint="eastAsia"/>
                <w:b/>
                <w:bCs/>
                <w:color w:val="0000FF"/>
                <w:lang w:eastAsia="zh-CN"/>
              </w:rPr>
              <w:t>核心产品</w:t>
            </w:r>
            <w:r>
              <w:rPr>
                <w:rFonts w:hint="eastAsia" w:ascii="宋体" w:hAnsi="宋体" w:cs="宋体"/>
                <w:b/>
                <w:bCs/>
                <w:color w:val="0000FF"/>
                <w:kern w:val="0"/>
                <w:sz w:val="22"/>
                <w:szCs w:val="22"/>
                <w:lang w:eastAsia="zh-CN"/>
              </w:rPr>
              <w:t>）</w:t>
            </w:r>
          </w:p>
        </w:tc>
        <w:tc>
          <w:tcPr>
            <w:tcW w:w="91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500.53</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1、基本要求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1.1点间距：≤10mm,</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1.2像素密度：≥10000点，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1.3屏体有效显示尺寸：15040mm*8320mm（现有旧屏尺寸）</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▲1.4模组尺寸：产品要求生产厂家根据旧屏的实际尺寸设计制作，确保旧铝板不改动。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2、整屏核心元器件参数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2.1LED灯珠及封装工艺：全彩色表贴SMD3535，国星，日亚，欧司朗，美卡乐，瑞丰（投标时提供封装原厂授权证明文件）；采用1R1G1B大尺寸发光芯片，键合材料采用纯度为99.99%黄金，灯珠与PCB板焊接的管脚采用金属铜材质，货到现场安装前，随机拆除1-2个模组送芯片厂家做破坏性验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2.2采用恒流1/2扫描设计（提供权威机构检测报告），驱动IC具有高刷新PWM功能，MBI5041，MBI5042，MBI5043。</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▲2.3模块数据处理及连接方式：模块自带MCU处理器，更换模块时无需设置自动校正；模块电路及信号只进不出，无级联方式确保故障局限于一个模块，不会有大面积故障。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2.4模组底壳及面罩要求采用进口聚碳酸酯，具有V0阻燃等级，抗紫外线，耐高低温功能，提供权威机构检测报告，PCB板背面均匀喷涂三防胶，具有抗潮湿能力。</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2.5接插件：要求模块电路及信号接插件5U镀金工艺，泰科（Tyco，原AMP），3M，Amphenol。</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2.6开关电源：要求采用节能型带PFC功能，功率因数≥95%；电磁兼容性符合GB9254-2008或EN55022ClassB标准，TDK，LAMBDA，台达或更优品牌，投标时提供电源原厂授权文件。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2.7机箱规格：户外全防水型后维护钣金机箱，1.5mm厚镀锌钢板船舶级防腐蚀工艺，每箱体背部具有可开闭后门，门上安装散热轴流风机、具有进气格栅及防尘网，侧面、底部及顶部均具有过线孔，底部位置还具有强电电缆进线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2.8机箱包装：采用珍珠棉、纸箱及木架或木箱打包，原厂直接发货物流至项目现场。包装具有抗震防雨防潮功能。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2.9原厂配件：提供单独木箱存放所有固定钢板，不锈钢螺丝，箱体间电缆线，箱体间网线等安装配件。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3、关键光学技术参数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3.1白平衡亮度：≥7000CD/m2（提供检测报告）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3.2色温：3000-12000K可调（提供检测报告）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3.3发光角度：水平≥160度，上下≥140度（提供检测报告）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3.4亮度均匀性：≥98.5%（提供检测报告）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3.5对比度：≥5000:1（提供检测报告）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3.6亮度调节：支持手动调节，电脑自动调节，光学传感器自动调节三种模式。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4、关键性能参数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4.1灰度等级：≥16bit（提供检测报告）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4.2整屏刷新率：≥3840HZ（提供检测报告）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4.3平整度：≤0.2mm（提供检测报告）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4.4盲点率：≤1/50000，验收时≤每块屏5个点。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4.5LED灯寿命：≥10万小时，每年衰减：≤3%。</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5、电气及环境参数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5.1屏体重量：≤60KG/m2</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5.2供电要求：AC323-437V,50HZ</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5.3环境要求：-10oC~50oC,10%-90%RH</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5.3功耗：峰值800W/m2,平均200W/m2(提供检测报告)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5.3屏体防护等级：前IP65，后IP54。</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6、管理软件要求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6.1具有控制软件著作权证书。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6.2具有LED屏工作状态监控功能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6.3具有高温报警，信号中断报警，显示故障报警功能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7、产品保护技术：防火V0认证，IP65防水认证，盐雾检测，振动检测，高温高湿检测，低温检测，静电抗扰度检测，接触放电4KV检测，空气放电8KV检测.(提供检测报告)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▲8、产品可靠性：本项目不接受OEM产品，投标时提供CCC证书及CCC试验报告，要求图片与样品对应，产品外观有明确的生产厂家LOGO（非不干胶黏贴）。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▲9、施工安全：LED显示屏原厂提供安装施工，钢结构工程专业承包叁级及以上资质的安全生产许可证。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10、为保证系统稳定性：LED显示屏，发送系统，PLC模块，控制软件要求采用同一品牌产品（提供证明文件）</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上海三思，北京利亚德、深圳艾比森、南京洛普</w:t>
            </w:r>
          </w:p>
        </w:tc>
      </w:tr>
      <w:tr>
        <w:tblPrEx>
          <w:tblCellMar>
            <w:top w:w="0" w:type="dxa"/>
            <w:left w:w="0" w:type="dxa"/>
            <w:bottom w:w="0" w:type="dxa"/>
            <w:right w:w="0" w:type="dxa"/>
          </w:tblCellMar>
        </w:tblPrEx>
        <w:trPr>
          <w:trHeight w:val="9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控制电脑</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台</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2</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1、原厂3年质保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2、CPU：i5，内存：8G，硬盘：1T + 256G固态，液晶：21.5寸，独立显卡VGA+DVI+HDMI，键鼠：光电</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3、两台电脑均需接入视频处理器</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惠普，联想，戴尔</w:t>
            </w:r>
          </w:p>
        </w:tc>
      </w:tr>
      <w:tr>
        <w:tblPrEx>
          <w:tblCellMar>
            <w:top w:w="0" w:type="dxa"/>
            <w:left w:w="0" w:type="dxa"/>
            <w:bottom w:w="0" w:type="dxa"/>
            <w:right w:w="0" w:type="dxa"/>
          </w:tblCellMar>
        </w:tblPrEx>
        <w:trPr>
          <w:trHeight w:val="11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发送系统</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台</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4</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1、每台设备控制一块屏幕。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▲2、满足信号回路备份要求，箱体间任意一条网线断开不影响屏体正常显示。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3、图像处理技术：快速运动补偿，灰度非线性变换，色度校正，低灰降噪处理，黑电平处理，缩放平滑处理，高频白噪声滤波，梳状滤波处理。</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上海三思，北京利亚德、深圳艾比森、南京洛普</w:t>
            </w:r>
          </w:p>
        </w:tc>
      </w:tr>
      <w:tr>
        <w:tblPrEx>
          <w:tblCellMar>
            <w:top w:w="0" w:type="dxa"/>
            <w:left w:w="0" w:type="dxa"/>
            <w:bottom w:w="0" w:type="dxa"/>
            <w:right w:w="0" w:type="dxa"/>
          </w:tblCellMar>
        </w:tblPrEx>
        <w:trPr>
          <w:trHeight w:val="9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光纤收发器</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16</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1、每块屏体使用4套光纤收发器。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2、光纤转超六类网线，一收一发为一套。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3、LED屏厂家各自根据自家设备配套。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▲4、满足信号回路备份功能要求，如数量不够应补足。</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T</w:t>
            </w:r>
            <w:r>
              <w:rPr>
                <w:rStyle w:val="27"/>
                <w:rFonts w:hint="default"/>
              </w:rPr>
              <w:t>P-link/D-link/飞耐特</w:t>
            </w:r>
          </w:p>
        </w:tc>
      </w:tr>
      <w:tr>
        <w:tblPrEx>
          <w:tblCellMar>
            <w:top w:w="0" w:type="dxa"/>
            <w:left w:w="0" w:type="dxa"/>
            <w:bottom w:w="0" w:type="dxa"/>
            <w:right w:w="0" w:type="dxa"/>
          </w:tblCellMar>
        </w:tblPrEx>
        <w:trPr>
          <w:trHeight w:val="11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视频处理器</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台</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1</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▲1、一台设备控制4块大屏的显示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▲2、可同时显示相同画面，或显示4路不同画面，或2个一组显示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▲3、满足亚运会的各种信号输入的使用要求。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▲4、现场所有线路都要接入到该设备中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5、提供产品CCC认证</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上海三思，北京利亚德、深圳艾比森、南京洛普</w:t>
            </w:r>
          </w:p>
        </w:tc>
      </w:tr>
      <w:tr>
        <w:tblPrEx>
          <w:tblCellMar>
            <w:top w:w="0" w:type="dxa"/>
            <w:left w:w="0" w:type="dxa"/>
            <w:bottom w:w="0" w:type="dxa"/>
            <w:right w:w="0" w:type="dxa"/>
          </w:tblCellMar>
        </w:tblPrEx>
        <w:trPr>
          <w:trHeight w:val="5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配电箱</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台</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4</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▲1、额定功率：根据单块屏体额定功率及单块屏体使用的空调的额定功率计算，考虑余量20%。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2、配电箱面板：应具有三相电源指示灯，数显电压及电流表，屏体开闭手自动切换按钮，空调开闭手自动切换按钮。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3、核心元器件：采用ABB，梅兰日兰或正泰品牌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4、应设置总开，接触器，延时器，PLC远程控制模块，防雷浪涌，带漏保检修插座，照明空开，至少12组36路输出给LED屏，至少2组6路输出给空调，温控接口设备，亮度接口设备。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5、提供原厂CCC认证。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▲6、预留端子排，实现配电箱级联控制。</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国产优质</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线材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2</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国标电缆线，国标网线，音响线，照明线</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国产优质</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照明灯具</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2</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包安装，含灯具，墙壁开关，</w:t>
            </w:r>
            <w:r>
              <w:rPr>
                <w:rFonts w:ascii="Calibri" w:hAnsi="Calibri" w:eastAsia="宋体" w:cs="Calibri"/>
                <w:color w:val="000000"/>
                <w:kern w:val="0"/>
                <w:sz w:val="18"/>
                <w:szCs w:val="18"/>
              </w:rPr>
              <w:t>PVC</w:t>
            </w:r>
            <w:r>
              <w:rPr>
                <w:rStyle w:val="27"/>
                <w:rFonts w:hint="default"/>
              </w:rPr>
              <w:t>管及电线。每</w:t>
            </w:r>
            <w:r>
              <w:rPr>
                <w:rFonts w:ascii="Calibri" w:hAnsi="Calibri" w:eastAsia="宋体" w:cs="Calibri"/>
                <w:color w:val="000000"/>
                <w:kern w:val="0"/>
                <w:sz w:val="18"/>
                <w:szCs w:val="18"/>
              </w:rPr>
              <w:t>2</w:t>
            </w:r>
            <w:r>
              <w:rPr>
                <w:rStyle w:val="27"/>
                <w:rFonts w:hint="default"/>
              </w:rPr>
              <w:t>块屏配置</w:t>
            </w:r>
            <w:r>
              <w:rPr>
                <w:rFonts w:ascii="Calibri" w:hAnsi="Calibri" w:eastAsia="宋体" w:cs="Calibri"/>
                <w:color w:val="000000"/>
                <w:kern w:val="0"/>
                <w:sz w:val="18"/>
                <w:szCs w:val="18"/>
              </w:rPr>
              <w:t>1</w:t>
            </w:r>
            <w:r>
              <w:rPr>
                <w:rStyle w:val="27"/>
                <w:rFonts w:hint="default"/>
              </w:rPr>
              <w:t>套</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国产优质</w:t>
            </w:r>
          </w:p>
        </w:tc>
      </w:tr>
      <w:tr>
        <w:tblPrEx>
          <w:tblCellMar>
            <w:top w:w="0" w:type="dxa"/>
            <w:left w:w="0" w:type="dxa"/>
            <w:bottom w:w="0" w:type="dxa"/>
            <w:right w:w="0" w:type="dxa"/>
          </w:tblCellMar>
        </w:tblPrEx>
        <w:trPr>
          <w:trHeight w:val="8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温度传感器模块</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4块屏各自独立控制</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上海三思，北京利亚德、深圳艾比森、南京洛普</w:t>
            </w:r>
          </w:p>
        </w:tc>
      </w:tr>
      <w:tr>
        <w:tblPrEx>
          <w:tblCellMar>
            <w:top w:w="0" w:type="dxa"/>
            <w:left w:w="0" w:type="dxa"/>
            <w:bottom w:w="0" w:type="dxa"/>
            <w:right w:w="0" w:type="dxa"/>
          </w:tblCellMar>
        </w:tblPrEx>
        <w:trPr>
          <w:trHeight w:val="6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亮度传感器模块</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4块屏各自独立控制</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上海三思，北京利亚德、深圳艾比森、南京洛普</w:t>
            </w:r>
          </w:p>
        </w:tc>
      </w:tr>
      <w:tr>
        <w:tblPrEx>
          <w:tblCellMar>
            <w:top w:w="0" w:type="dxa"/>
            <w:left w:w="0" w:type="dxa"/>
            <w:bottom w:w="0" w:type="dxa"/>
            <w:right w:w="0" w:type="dxa"/>
          </w:tblCellMar>
        </w:tblPrEx>
        <w:trPr>
          <w:trHeight w:val="112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软件</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1</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1、要求提供亚运会体育场专用软件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2、LED屏厂家具有足球比赛软件著作权证书（中标后提供原厂盖章文件）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3、LED屏厂家具有系统软件防护功能，可防止人为恶意修改播放内容，防止计算机网络病毒木马蠕虫入侵，抵御各种恶意攻击，确保软件播放安全。（中标后提供详细文字及图片说明）</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上海三思，北京利亚德、深圳艾比森、南京洛普</w:t>
            </w:r>
          </w:p>
        </w:tc>
      </w:tr>
      <w:tr>
        <w:tblPrEx>
          <w:tblCellMar>
            <w:top w:w="0" w:type="dxa"/>
            <w:left w:w="0" w:type="dxa"/>
            <w:bottom w:w="0" w:type="dxa"/>
            <w:right w:w="0" w:type="dxa"/>
          </w:tblCellMar>
        </w:tblPrEx>
        <w:trPr>
          <w:trHeight w:val="93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体育馆视频处理器改造</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项</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1</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1、满足亚运会的各种信号输入的使用要求。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2、现场所有线路都要接入到该设备中</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上海三思，北京利亚德、深圳艾比森、南京洛普</w:t>
            </w:r>
          </w:p>
        </w:tc>
      </w:tr>
      <w:tr>
        <w:tblPrEx>
          <w:tblCellMar>
            <w:top w:w="0" w:type="dxa"/>
            <w:left w:w="0" w:type="dxa"/>
            <w:bottom w:w="0" w:type="dxa"/>
            <w:right w:w="0" w:type="dxa"/>
          </w:tblCellMar>
        </w:tblPrEx>
        <w:trPr>
          <w:trHeight w:val="101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体育馆软件</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1</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亚运会体育馆专用软件</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上海三思，北京利亚德、深圳艾比森、南京洛普</w:t>
            </w: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空调</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台</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12</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利旧</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音柱</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台</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8</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利旧</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功放</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台</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2</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利旧</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45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b/>
                <w:color w:val="000000"/>
                <w:sz w:val="18"/>
                <w:szCs w:val="18"/>
              </w:rPr>
            </w:pPr>
            <w:r>
              <w:rPr>
                <w:rFonts w:hint="eastAsia" w:ascii="新宋体" w:hAnsi="新宋体" w:eastAsia="新宋体" w:cs="新宋体"/>
                <w:b/>
                <w:color w:val="000000"/>
                <w:kern w:val="0"/>
                <w:sz w:val="18"/>
                <w:szCs w:val="18"/>
              </w:rPr>
              <w:t>LED显示屏小计</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新宋体" w:hAnsi="新宋体" w:eastAsia="新宋体" w:cs="新宋体"/>
                <w:b/>
                <w:color w:val="000000"/>
                <w:sz w:val="18"/>
                <w:szCs w:val="18"/>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新宋体" w:hAnsi="新宋体" w:eastAsia="新宋体" w:cs="新宋体"/>
                <w:b/>
                <w:color w:val="000000"/>
                <w:sz w:val="18"/>
                <w:szCs w:val="18"/>
              </w:rPr>
            </w:pP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b/>
                <w:color w:val="000000"/>
                <w:sz w:val="18"/>
                <w:szCs w:val="18"/>
              </w:rPr>
            </w:pP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675" w:hRule="atLeast"/>
          <w:jc w:val="center"/>
        </w:trPr>
        <w:tc>
          <w:tcPr>
            <w:tcW w:w="870"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ascii="宋体" w:hAnsi="宋体" w:eastAsia="宋体" w:cs="宋体"/>
                <w:b/>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b/>
                <w:color w:val="000000"/>
                <w:sz w:val="18"/>
                <w:szCs w:val="18"/>
              </w:rPr>
            </w:pPr>
            <w:r>
              <w:rPr>
                <w:rFonts w:hint="eastAsia" w:ascii="新宋体" w:hAnsi="新宋体" w:eastAsia="新宋体" w:cs="新宋体"/>
                <w:b/>
                <w:color w:val="000000"/>
                <w:kern w:val="0"/>
                <w:sz w:val="18"/>
                <w:szCs w:val="18"/>
              </w:rPr>
              <w:t>LED显示屏安装费（小计*12%）</w:t>
            </w:r>
          </w:p>
        </w:tc>
        <w:tc>
          <w:tcPr>
            <w:tcW w:w="91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新宋体" w:hAnsi="新宋体" w:eastAsia="新宋体" w:cs="新宋体"/>
                <w:b/>
                <w:color w:val="000000"/>
                <w:sz w:val="18"/>
                <w:szCs w:val="18"/>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新宋体" w:hAnsi="新宋体" w:eastAsia="新宋体" w:cs="新宋体"/>
                <w:b/>
                <w:color w:val="000000"/>
                <w:sz w:val="18"/>
                <w:szCs w:val="18"/>
              </w:rPr>
            </w:pP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b/>
                <w:color w:val="000000"/>
                <w:sz w:val="18"/>
                <w:szCs w:val="18"/>
              </w:rPr>
            </w:pP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b/>
                <w:color w:val="000000"/>
                <w:sz w:val="20"/>
                <w:szCs w:val="20"/>
              </w:rPr>
            </w:pPr>
          </w:p>
        </w:tc>
      </w:tr>
      <w:tr>
        <w:tblPrEx>
          <w:tblCellMar>
            <w:top w:w="0" w:type="dxa"/>
            <w:left w:w="0" w:type="dxa"/>
            <w:bottom w:w="0" w:type="dxa"/>
            <w:right w:w="0" w:type="dxa"/>
          </w:tblCellMar>
        </w:tblPrEx>
        <w:trPr>
          <w:trHeight w:val="285" w:hRule="atLeast"/>
          <w:jc w:val="center"/>
        </w:trPr>
        <w:tc>
          <w:tcPr>
            <w:tcW w:w="32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其它工程费用</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000000"/>
                <w:sz w:val="18"/>
                <w:szCs w:val="18"/>
              </w:rPr>
            </w:pP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18"/>
                <w:szCs w:val="18"/>
              </w:rPr>
            </w:pP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15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体育场铝板钢架检查</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项</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1</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▲1、主体钢结构及铝板钢架构检查：如有钢管或角钢锈蚀，应先除锈，再涂刷环氧富锌漆。如存在结构强度隐患，应提供加固方案，报业主确认。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2、炮筒爬梯及检修马道检查：除锈及防锈漆作业，结构强度如存在隐患应加固改造。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3、LED显示屏固定钢架的改造应提供设计院盖章设计图纸。</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▲4、LED显示屏固定钢架要求由LED屏原厂施工，中标后提供原厂的钢结构叁级及以上的施工资质。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5、中标后提供LED屏原厂的安全生产许可证。</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9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体育场铝板表面清洁</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平米</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800</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1、采用专用洗涤剂清洁铝板表面各种污渍。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▲2、顶部存在积水区域，应提供施工改造方案，确保雨天积水快速排干。</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3、检查所有打胶缝隙，是否存在漏水现场，如有应重新打胶</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108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体育场大屏内部铝塑板隔断工程</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平米</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120</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1、4块屏内部的木工板隔断拆除及清运。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2、内部施工用脚手架搭建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3、采用4mm25丝知名品牌铝塑板隔断屏体空间及空调外机空间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4、设置检修门，材质钢架加铝塑板，配套简易锁。</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67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体育场铝板百叶窗开孔工程</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4</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1、要求在原有百叶窗下方开同等大小的尺寸洞</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2、安装新的铝合金百叶窗，规格材质要求不低于原有百叶窗。</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6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体育场总配电柜改造</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套</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2</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1、按照最新配电系统改造图纸更换或按照甲方要求配置。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▲2、配电柜要求为双电源配置，实现自投不自复功能。</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86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体育场动力线、通信线改造</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米</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1</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▲1、动力线路检查：原有动力电缆是否满足新屏幕的额定功率，如不满足需增加或替换。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2、光纤线路检查：测试光路是否通畅，光纤端口数量是否充足，如端口不足，需要重新敷设光缆或者增加光缆。</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120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体育场钢管架搭拆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项</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1</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1、屏体四周采用钢管架或脚手架搭建工作平台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2、架子四周应设置防护网，确保符合安全文明施工规范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▲3、租赁搬运及搭建拆除过程中应做好二次防护，不得伤害原有铝板或地面石材，如无法修复应与业主协商赔偿损失。</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11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体育场旧屏拆除</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项</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1</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1、所有</w:t>
            </w:r>
            <w:r>
              <w:rPr>
                <w:rFonts w:ascii="Calibri" w:hAnsi="Calibri" w:eastAsia="宋体" w:cs="Calibri"/>
                <w:color w:val="000000"/>
                <w:kern w:val="0"/>
                <w:sz w:val="18"/>
                <w:szCs w:val="18"/>
              </w:rPr>
              <w:t>4</w:t>
            </w:r>
            <w:r>
              <w:rPr>
                <w:rStyle w:val="27"/>
                <w:rFonts w:hint="default"/>
              </w:rPr>
              <w:t>块旧LED显示屏机箱均拆除。</w:t>
            </w:r>
            <w:r>
              <w:rPr>
                <w:rStyle w:val="27"/>
                <w:rFonts w:hint="default"/>
              </w:rPr>
              <w:br w:type="textWrapping"/>
            </w:r>
            <w:r>
              <w:rPr>
                <w:rStyle w:val="27"/>
                <w:rFonts w:hint="default"/>
              </w:rPr>
              <w:t>2、所有机箱均由中标单位运输至业主指定地点堆放</w:t>
            </w:r>
            <w:r>
              <w:rPr>
                <w:rStyle w:val="27"/>
                <w:rFonts w:hint="default"/>
              </w:rPr>
              <w:br w:type="textWrapping"/>
            </w:r>
            <w:r>
              <w:rPr>
                <w:rStyle w:val="27"/>
                <w:rFonts w:hint="default"/>
              </w:rPr>
              <w:t>3、拆除完毕后应确保现场卫生清洁</w:t>
            </w:r>
            <w:r>
              <w:rPr>
                <w:rStyle w:val="27"/>
                <w:rFonts w:hint="default"/>
              </w:rPr>
              <w:br w:type="textWrapping"/>
            </w:r>
            <w:r>
              <w:rPr>
                <w:rStyle w:val="27"/>
                <w:rFonts w:hint="default"/>
              </w:rPr>
              <w:t>▲4、拆除过程中如对旧的铝板、旧钢架、地面石材或台阶产生伤害的，如无法修复应与业主协商赔偿损失。</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售后服务</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项</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1</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宋体" w:hAnsi="宋体" w:eastAsia="宋体" w:cs="宋体"/>
                <w:color w:val="000000"/>
                <w:sz w:val="18"/>
                <w:szCs w:val="18"/>
              </w:rPr>
            </w:pP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20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体育馆铝塑板</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平米</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80</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1、现场脚手架搭建一项，确保安全文明施工。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2、所有旧的铝塑板包边全部拆除及清运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3、整体钢架安全检查，检修马道及爬梯重新制作，确保安全。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4、增加照明设施一项，符合规范安装制作。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5、采用4mm厚度25丝知名品牌铝塑板，采用干挂工艺施工，颜色要求与原铝塑板颜色接近。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6、设置检修口一个，确保拼接口美观大方。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▲7、改造期间如有伤害LED显示屏，由施工方恢复，如无法恢复应提供同等规格配件替换，确保显示屏正常显示无瑕疵。</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1140" w:hRule="atLeast"/>
          <w:jc w:val="center"/>
        </w:trPr>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14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体育馆线路改造</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项</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kern w:val="0"/>
                <w:sz w:val="18"/>
                <w:szCs w:val="18"/>
              </w:rPr>
              <w:t>1</w:t>
            </w:r>
          </w:p>
        </w:tc>
        <w:tc>
          <w:tcPr>
            <w:tcW w:w="8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1、在屏体内部设置弱电机柜一台，规格大小考虑屏体内部空间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2、显示屏内部配电箱至屏体的所有电线全部更换，采用国标三芯阻燃护套电缆，施工符合规范。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3、光纤线及超六类网线的施工敷设应符合规范。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4、配套光纤终端盒及熔接服务。</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宋体" w:hAnsi="宋体" w:eastAsia="宋体" w:cs="宋体"/>
                <w:color w:val="000000"/>
                <w:sz w:val="20"/>
                <w:szCs w:val="20"/>
              </w:rPr>
            </w:pPr>
          </w:p>
        </w:tc>
      </w:tr>
    </w:tbl>
    <w:p/>
    <w:p>
      <w:pPr>
        <w:widowControl/>
        <w:jc w:val="left"/>
        <w:textAlignment w:val="center"/>
        <w:rPr>
          <w:rFonts w:hint="eastAsia" w:eastAsia="宋体"/>
          <w:b/>
          <w:bCs/>
          <w:color w:val="0000FF"/>
          <w:lang w:eastAsia="zh-CN"/>
        </w:rPr>
      </w:pPr>
      <w:r>
        <w:rPr>
          <w:rFonts w:hint="eastAsia"/>
          <w:b/>
          <w:bCs/>
          <w:color w:val="0000FF"/>
          <w:lang w:eastAsia="zh-CN"/>
        </w:rPr>
        <w:t>本项目核心产品：核心交换机、24口交换机、LED显示屏</w:t>
      </w:r>
    </w:p>
    <w:p>
      <w:pPr>
        <w:rPr>
          <w:b/>
          <w:bCs/>
        </w:rPr>
      </w:pPr>
    </w:p>
    <w:p>
      <w:pPr>
        <w:rPr>
          <w:rFonts w:hint="default" w:eastAsiaTheme="minorEastAsia"/>
          <w:lang w:val="en-US" w:eastAsia="zh-CN"/>
        </w:rPr>
      </w:pPr>
      <w:r>
        <w:rPr>
          <w:rFonts w:hint="eastAsia"/>
          <w:lang w:val="en-US" w:eastAsia="zh-CN"/>
        </w:rPr>
        <w:t>注：欢迎同等档次及以上其他品牌前来投标。</w:t>
      </w:r>
    </w:p>
    <w:p>
      <w:pPr>
        <w:rPr>
          <w:b/>
          <w:bCs/>
        </w:rPr>
      </w:pPr>
    </w:p>
    <w:p>
      <w:pPr>
        <w:sectPr>
          <w:footerReference r:id="rId4" w:type="default"/>
          <w:pgSz w:w="16838" w:h="11906" w:orient="landscape"/>
          <w:pgMar w:top="1417" w:right="1440" w:bottom="1417" w:left="1440" w:header="851" w:footer="992" w:gutter="0"/>
          <w:pgNumType w:fmt="numberInDash" w:start="1"/>
          <w:cols w:space="425" w:num="1"/>
          <w:docGrid w:type="lines" w:linePitch="312" w:charSpace="0"/>
        </w:sectPr>
      </w:pPr>
    </w:p>
    <w:p>
      <w:pPr>
        <w:pStyle w:val="6"/>
        <w:spacing w:before="156" w:after="156" w:line="360" w:lineRule="auto"/>
        <w:jc w:val="center"/>
        <w:outlineLvl w:val="0"/>
      </w:pPr>
      <w:r>
        <w:rPr>
          <w:rFonts w:hint="eastAsia" w:hAnsi="宋体"/>
          <w:b/>
          <w:color w:val="000000"/>
          <w:sz w:val="36"/>
          <w:szCs w:val="36"/>
        </w:rPr>
        <w:t xml:space="preserve">第三章  投标人须知 </w:t>
      </w:r>
    </w:p>
    <w:p>
      <w:pPr>
        <w:pStyle w:val="2"/>
        <w:ind w:firstLine="600"/>
        <w:jc w:val="center"/>
        <w:rPr>
          <w:rFonts w:ascii="仿宋" w:hAnsi="仿宋" w:eastAsia="仿宋_GB2312"/>
          <w:color w:val="000000"/>
          <w:sz w:val="30"/>
          <w:szCs w:val="30"/>
        </w:rPr>
      </w:pPr>
      <w:r>
        <w:rPr>
          <w:rFonts w:hint="eastAsia" w:ascii="仿宋" w:hAnsi="仿宋" w:eastAsia="仿宋_GB2312"/>
          <w:color w:val="000000"/>
          <w:sz w:val="30"/>
          <w:szCs w:val="30"/>
        </w:rPr>
        <w:t>前附表</w:t>
      </w:r>
    </w:p>
    <w:tbl>
      <w:tblPr>
        <w:tblStyle w:val="15"/>
        <w:tblW w:w="102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669"/>
        <w:gridCol w:w="1814"/>
        <w:gridCol w:w="77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spacing w:line="400" w:lineRule="atLeast"/>
              <w:jc w:val="center"/>
              <w:rPr>
                <w:rFonts w:ascii="宋体" w:cs="宋体"/>
                <w:sz w:val="22"/>
              </w:rPr>
            </w:pPr>
            <w:r>
              <w:rPr>
                <w:rFonts w:hint="eastAsia" w:ascii="宋体" w:cs="宋体"/>
                <w:sz w:val="22"/>
              </w:rPr>
              <w:t>序号</w:t>
            </w:r>
          </w:p>
        </w:tc>
        <w:tc>
          <w:tcPr>
            <w:tcW w:w="1814" w:type="dxa"/>
            <w:vAlign w:val="center"/>
          </w:tcPr>
          <w:p>
            <w:pPr>
              <w:spacing w:line="400" w:lineRule="atLeast"/>
              <w:jc w:val="center"/>
              <w:rPr>
                <w:rFonts w:ascii="宋体" w:cs="宋体"/>
                <w:sz w:val="22"/>
              </w:rPr>
            </w:pPr>
            <w:r>
              <w:rPr>
                <w:rFonts w:hint="eastAsia" w:ascii="宋体" w:cs="宋体"/>
                <w:sz w:val="22"/>
              </w:rPr>
              <w:t>内容</w:t>
            </w:r>
          </w:p>
        </w:tc>
        <w:tc>
          <w:tcPr>
            <w:tcW w:w="7776" w:type="dxa"/>
            <w:vAlign w:val="center"/>
          </w:tcPr>
          <w:p>
            <w:pPr>
              <w:spacing w:line="400" w:lineRule="atLeast"/>
              <w:jc w:val="center"/>
              <w:rPr>
                <w:rFonts w:ascii="宋体" w:cs="宋体"/>
                <w:sz w:val="22"/>
              </w:rPr>
            </w:pPr>
            <w:r>
              <w:rPr>
                <w:rFonts w:hint="eastAsia" w:ascii="宋体" w:cs="宋体"/>
                <w:sz w:val="22"/>
              </w:rPr>
              <w:t>说明与要求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lang w:val="zh-CN"/>
              </w:rPr>
            </w:pPr>
            <w:r>
              <w:rPr>
                <w:rFonts w:hint="eastAsia" w:ascii="宋体" w:cs="宋体"/>
                <w:sz w:val="22"/>
                <w:lang w:val="zh-CN"/>
              </w:rPr>
              <w:t>1</w:t>
            </w:r>
          </w:p>
        </w:tc>
        <w:tc>
          <w:tcPr>
            <w:tcW w:w="1814" w:type="dxa"/>
            <w:vAlign w:val="center"/>
          </w:tcPr>
          <w:p>
            <w:pPr>
              <w:rPr>
                <w:rFonts w:ascii="宋体" w:cs="宋体"/>
                <w:sz w:val="22"/>
              </w:rPr>
            </w:pPr>
            <w:r>
              <w:rPr>
                <w:rFonts w:hint="eastAsia" w:ascii="宋体" w:cs="宋体"/>
                <w:sz w:val="22"/>
              </w:rPr>
              <w:t>项目名称</w:t>
            </w:r>
          </w:p>
        </w:tc>
        <w:tc>
          <w:tcPr>
            <w:tcW w:w="7776" w:type="dxa"/>
            <w:vAlign w:val="center"/>
          </w:tcPr>
          <w:p>
            <w:pPr>
              <w:rPr>
                <w:rFonts w:ascii="宋体" w:cs="宋体"/>
                <w:sz w:val="22"/>
              </w:rPr>
            </w:pPr>
            <w:r>
              <w:rPr>
                <w:rFonts w:hint="eastAsia" w:ascii="宋体" w:cs="宋体"/>
                <w:sz w:val="22"/>
              </w:rPr>
              <w:t>金华市公共体育场馆管理中心亚运会场馆建设项目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2</w:t>
            </w:r>
          </w:p>
        </w:tc>
        <w:tc>
          <w:tcPr>
            <w:tcW w:w="1814" w:type="dxa"/>
            <w:vAlign w:val="center"/>
          </w:tcPr>
          <w:p>
            <w:pPr>
              <w:rPr>
                <w:rFonts w:ascii="宋体" w:cs="宋体"/>
                <w:sz w:val="22"/>
              </w:rPr>
            </w:pPr>
            <w:r>
              <w:rPr>
                <w:rFonts w:hint="eastAsia" w:ascii="宋体" w:cs="宋体"/>
                <w:sz w:val="22"/>
              </w:rPr>
              <w:t>采购数量及单位</w:t>
            </w:r>
          </w:p>
        </w:tc>
        <w:tc>
          <w:tcPr>
            <w:tcW w:w="7776" w:type="dxa"/>
            <w:vAlign w:val="center"/>
          </w:tcPr>
          <w:p>
            <w:pPr>
              <w:rPr>
                <w:rFonts w:ascii="宋体" w:cs="宋体"/>
                <w:sz w:val="22"/>
              </w:rPr>
            </w:pPr>
            <w:r>
              <w:rPr>
                <w:rFonts w:hint="eastAsia" w:ascii="宋体" w:cs="宋体"/>
                <w:sz w:val="22"/>
              </w:rPr>
              <w:t>见采购需求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3</w:t>
            </w:r>
          </w:p>
        </w:tc>
        <w:tc>
          <w:tcPr>
            <w:tcW w:w="1814" w:type="dxa"/>
            <w:vAlign w:val="center"/>
          </w:tcPr>
          <w:p>
            <w:pPr>
              <w:rPr>
                <w:rFonts w:ascii="宋体" w:cs="宋体"/>
                <w:sz w:val="22"/>
              </w:rPr>
            </w:pPr>
            <w:r>
              <w:rPr>
                <w:rFonts w:hint="eastAsia" w:ascii="宋体" w:cs="宋体"/>
                <w:sz w:val="22"/>
              </w:rPr>
              <w:t>资金来源</w:t>
            </w:r>
          </w:p>
        </w:tc>
        <w:tc>
          <w:tcPr>
            <w:tcW w:w="7776" w:type="dxa"/>
            <w:vAlign w:val="center"/>
          </w:tcPr>
          <w:p>
            <w:pPr>
              <w:rPr>
                <w:rFonts w:ascii="宋体" w:cs="宋体"/>
                <w:sz w:val="22"/>
              </w:rPr>
            </w:pPr>
            <w:r>
              <w:rPr>
                <w:rFonts w:hint="eastAsia" w:ascii="宋体" w:cs="宋体"/>
                <w:sz w:val="22"/>
              </w:rPr>
              <w:t>财政性资金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4</w:t>
            </w:r>
          </w:p>
        </w:tc>
        <w:tc>
          <w:tcPr>
            <w:tcW w:w="1814" w:type="dxa"/>
            <w:vAlign w:val="center"/>
          </w:tcPr>
          <w:p>
            <w:pPr>
              <w:rPr>
                <w:rFonts w:ascii="宋体" w:cs="宋体"/>
                <w:sz w:val="22"/>
              </w:rPr>
            </w:pPr>
            <w:r>
              <w:rPr>
                <w:rFonts w:hint="eastAsia" w:ascii="宋体" w:cs="宋体"/>
                <w:sz w:val="22"/>
              </w:rPr>
              <w:t>采购方式</w:t>
            </w:r>
          </w:p>
        </w:tc>
        <w:tc>
          <w:tcPr>
            <w:tcW w:w="7776" w:type="dxa"/>
            <w:vAlign w:val="center"/>
          </w:tcPr>
          <w:p>
            <w:pPr>
              <w:rPr>
                <w:rFonts w:ascii="宋体" w:cs="宋体"/>
                <w:sz w:val="22"/>
              </w:rPr>
            </w:pPr>
            <w:r>
              <w:rPr>
                <w:rFonts w:hint="eastAsia" w:ascii="宋体" w:cs="宋体"/>
                <w:sz w:val="22"/>
              </w:rPr>
              <w:t>公开招标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5</w:t>
            </w:r>
          </w:p>
        </w:tc>
        <w:tc>
          <w:tcPr>
            <w:tcW w:w="1814" w:type="dxa"/>
            <w:vAlign w:val="center"/>
          </w:tcPr>
          <w:p>
            <w:pPr>
              <w:adjustRightInd w:val="0"/>
              <w:rPr>
                <w:rFonts w:ascii="宋体" w:cs="宋体"/>
                <w:sz w:val="22"/>
              </w:rPr>
            </w:pPr>
            <w:r>
              <w:rPr>
                <w:rFonts w:hint="eastAsia" w:ascii="宋体" w:cs="宋体"/>
                <w:sz w:val="22"/>
              </w:rPr>
              <w:t>采购人</w:t>
            </w:r>
          </w:p>
        </w:tc>
        <w:tc>
          <w:tcPr>
            <w:tcW w:w="7776" w:type="dxa"/>
            <w:vAlign w:val="center"/>
          </w:tcPr>
          <w:p>
            <w:pPr>
              <w:adjustRightInd w:val="0"/>
              <w:rPr>
                <w:rFonts w:hint="eastAsia" w:ascii="宋体" w:cs="宋体"/>
                <w:sz w:val="22"/>
              </w:rPr>
            </w:pPr>
            <w:r>
              <w:rPr>
                <w:rFonts w:hint="eastAsia" w:ascii="宋体"/>
                <w:sz w:val="22"/>
              </w:rPr>
              <w:t>名称：</w:t>
            </w:r>
            <w:r>
              <w:rPr>
                <w:rFonts w:hint="eastAsia" w:ascii="宋体" w:cs="宋体"/>
                <w:sz w:val="22"/>
              </w:rPr>
              <w:t>金华市公共体育场馆管理中心</w:t>
            </w:r>
          </w:p>
          <w:p>
            <w:pPr>
              <w:adjustRightInd w:val="0"/>
              <w:rPr>
                <w:rFonts w:hint="default" w:ascii="宋体" w:eastAsiaTheme="minorEastAsia"/>
                <w:sz w:val="22"/>
                <w:lang w:val="en-US" w:eastAsia="zh-CN"/>
              </w:rPr>
            </w:pPr>
            <w:r>
              <w:rPr>
                <w:rFonts w:hint="eastAsia" w:ascii="宋体"/>
                <w:sz w:val="22"/>
              </w:rPr>
              <w:t>联系人：</w:t>
            </w:r>
            <w:r>
              <w:rPr>
                <w:rFonts w:hint="eastAsia" w:ascii="宋体"/>
                <w:sz w:val="22"/>
                <w:lang w:val="en-US" w:eastAsia="zh-CN"/>
              </w:rPr>
              <w:t>陈力</w:t>
            </w:r>
          </w:p>
          <w:p>
            <w:pPr>
              <w:adjustRightInd w:val="0"/>
              <w:rPr>
                <w:rFonts w:hint="default" w:ascii="宋体" w:cs="宋体" w:eastAsiaTheme="minorEastAsia"/>
                <w:sz w:val="22"/>
                <w:lang w:val="en-US" w:eastAsia="zh-CN"/>
              </w:rPr>
            </w:pPr>
            <w:r>
              <w:rPr>
                <w:rFonts w:hint="eastAsia" w:ascii="宋体"/>
                <w:sz w:val="22"/>
              </w:rPr>
              <w:t>电话：</w:t>
            </w:r>
            <w:r>
              <w:rPr>
                <w:rFonts w:hint="eastAsia" w:ascii="宋体"/>
                <w:sz w:val="22"/>
                <w:lang w:val="en-US" w:eastAsia="zh-CN"/>
              </w:rPr>
              <w:t>13505796589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6</w:t>
            </w:r>
          </w:p>
        </w:tc>
        <w:tc>
          <w:tcPr>
            <w:tcW w:w="1814" w:type="dxa"/>
            <w:vAlign w:val="center"/>
          </w:tcPr>
          <w:p>
            <w:pPr>
              <w:rPr>
                <w:rFonts w:ascii="宋体" w:cs="宋体"/>
                <w:sz w:val="22"/>
              </w:rPr>
            </w:pPr>
            <w:r>
              <w:rPr>
                <w:rFonts w:hint="eastAsia" w:ascii="宋体" w:cs="宋体"/>
                <w:sz w:val="22"/>
              </w:rPr>
              <w:t>采购机构</w:t>
            </w:r>
          </w:p>
        </w:tc>
        <w:tc>
          <w:tcPr>
            <w:tcW w:w="7776" w:type="dxa"/>
            <w:vAlign w:val="center"/>
          </w:tcPr>
          <w:p>
            <w:pPr>
              <w:adjustRightInd w:val="0"/>
              <w:rPr>
                <w:rFonts w:ascii="宋体" w:cs="宋体"/>
                <w:sz w:val="22"/>
              </w:rPr>
            </w:pPr>
            <w:r>
              <w:rPr>
                <w:rFonts w:hint="eastAsia" w:ascii="宋体" w:cs="宋体"/>
                <w:sz w:val="22"/>
              </w:rPr>
              <w:t>名称：金华市政府采购中心</w:t>
            </w:r>
          </w:p>
          <w:p>
            <w:pPr>
              <w:adjustRightInd w:val="0"/>
              <w:rPr>
                <w:rFonts w:ascii="宋体" w:cs="宋体"/>
                <w:sz w:val="22"/>
              </w:rPr>
            </w:pPr>
            <w:r>
              <w:rPr>
                <w:rFonts w:hint="eastAsia" w:ascii="宋体" w:cs="宋体"/>
                <w:sz w:val="22"/>
              </w:rPr>
              <w:t>项目负责人：陈女士</w:t>
            </w:r>
          </w:p>
          <w:p>
            <w:pPr>
              <w:adjustRightInd w:val="0"/>
              <w:rPr>
                <w:rFonts w:ascii="宋体" w:cs="宋体"/>
                <w:sz w:val="22"/>
              </w:rPr>
            </w:pPr>
            <w:r>
              <w:rPr>
                <w:rFonts w:hint="eastAsia" w:ascii="宋体" w:cs="宋体"/>
                <w:sz w:val="22"/>
              </w:rPr>
              <w:t>联系电话：0579-83171503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7</w:t>
            </w:r>
          </w:p>
        </w:tc>
        <w:tc>
          <w:tcPr>
            <w:tcW w:w="1814" w:type="dxa"/>
            <w:vAlign w:val="center"/>
          </w:tcPr>
          <w:p>
            <w:pPr>
              <w:rPr>
                <w:rFonts w:ascii="宋体" w:cs="宋体"/>
                <w:sz w:val="22"/>
              </w:rPr>
            </w:pPr>
            <w:r>
              <w:rPr>
                <w:rFonts w:hint="eastAsia" w:ascii="宋体" w:cs="宋体"/>
                <w:sz w:val="22"/>
              </w:rPr>
              <w:t>招标内容</w:t>
            </w:r>
          </w:p>
        </w:tc>
        <w:tc>
          <w:tcPr>
            <w:tcW w:w="7776" w:type="dxa"/>
            <w:vAlign w:val="center"/>
          </w:tcPr>
          <w:p>
            <w:pPr>
              <w:adjustRightInd w:val="0"/>
              <w:rPr>
                <w:rFonts w:ascii="宋体" w:cs="宋体"/>
                <w:sz w:val="22"/>
              </w:rPr>
            </w:pPr>
            <w:r>
              <w:rPr>
                <w:rFonts w:hint="eastAsia" w:ascii="宋体" w:cs="宋体"/>
                <w:sz w:val="22"/>
              </w:rPr>
              <w:t>具体内容见招标文件。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8</w:t>
            </w:r>
          </w:p>
        </w:tc>
        <w:tc>
          <w:tcPr>
            <w:tcW w:w="1814" w:type="dxa"/>
            <w:vAlign w:val="center"/>
          </w:tcPr>
          <w:p>
            <w:pPr>
              <w:rPr>
                <w:rFonts w:ascii="宋体" w:cs="宋体"/>
                <w:sz w:val="22"/>
              </w:rPr>
            </w:pPr>
            <w:r>
              <w:rPr>
                <w:rFonts w:hint="eastAsia" w:ascii="宋体" w:cs="宋体"/>
                <w:sz w:val="22"/>
              </w:rPr>
              <w:t>评标办法</w:t>
            </w:r>
          </w:p>
        </w:tc>
        <w:tc>
          <w:tcPr>
            <w:tcW w:w="7776" w:type="dxa"/>
            <w:vAlign w:val="center"/>
          </w:tcPr>
          <w:p>
            <w:pPr>
              <w:adjustRightInd w:val="0"/>
              <w:rPr>
                <w:rFonts w:ascii="宋体" w:cs="宋体"/>
                <w:sz w:val="22"/>
              </w:rPr>
            </w:pPr>
            <w:r>
              <w:rPr>
                <w:rFonts w:hint="eastAsia" w:ascii="宋体" w:cs="宋体"/>
                <w:sz w:val="22"/>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9</w:t>
            </w:r>
          </w:p>
        </w:tc>
        <w:tc>
          <w:tcPr>
            <w:tcW w:w="1814" w:type="dxa"/>
            <w:vAlign w:val="center"/>
          </w:tcPr>
          <w:p>
            <w:pPr>
              <w:rPr>
                <w:rFonts w:ascii="宋体" w:cs="宋体"/>
                <w:sz w:val="22"/>
              </w:rPr>
            </w:pPr>
            <w:r>
              <w:rPr>
                <w:rFonts w:hint="eastAsia" w:ascii="宋体" w:cs="宋体"/>
                <w:sz w:val="22"/>
              </w:rPr>
              <w:t>投标供应商</w:t>
            </w:r>
          </w:p>
          <w:p>
            <w:pPr>
              <w:rPr>
                <w:rFonts w:ascii="宋体" w:cs="宋体"/>
                <w:sz w:val="22"/>
              </w:rPr>
            </w:pPr>
            <w:r>
              <w:rPr>
                <w:rFonts w:hint="eastAsia" w:ascii="宋体" w:cs="宋体"/>
                <w:sz w:val="22"/>
              </w:rPr>
              <w:t>资格要求</w:t>
            </w:r>
          </w:p>
        </w:tc>
        <w:tc>
          <w:tcPr>
            <w:tcW w:w="7776" w:type="dxa"/>
            <w:vAlign w:val="center"/>
          </w:tcPr>
          <w:p>
            <w:pPr>
              <w:adjustRightInd w:val="0"/>
              <w:rPr>
                <w:rFonts w:ascii="宋体" w:cs="宋体"/>
                <w:kern w:val="28"/>
                <w:sz w:val="22"/>
              </w:rPr>
            </w:pPr>
            <w:r>
              <w:rPr>
                <w:rFonts w:hint="eastAsia" w:ascii="宋体" w:cs="宋体"/>
                <w:sz w:val="22"/>
              </w:rPr>
              <w:t>见第一章采购公告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10</w:t>
            </w:r>
          </w:p>
        </w:tc>
        <w:tc>
          <w:tcPr>
            <w:tcW w:w="1814" w:type="dxa"/>
            <w:vAlign w:val="center"/>
          </w:tcPr>
          <w:p>
            <w:pPr>
              <w:adjustRightInd w:val="0"/>
              <w:rPr>
                <w:rFonts w:ascii="宋体" w:cs="宋体"/>
                <w:sz w:val="22"/>
              </w:rPr>
            </w:pPr>
            <w:r>
              <w:rPr>
                <w:rFonts w:hint="eastAsia" w:ascii="宋体" w:cs="宋体"/>
                <w:sz w:val="22"/>
              </w:rPr>
              <w:t>是否接受联合体投标</w:t>
            </w:r>
          </w:p>
        </w:tc>
        <w:tc>
          <w:tcPr>
            <w:tcW w:w="7776" w:type="dxa"/>
            <w:vAlign w:val="center"/>
          </w:tcPr>
          <w:p>
            <w:pPr>
              <w:adjustRightInd w:val="0"/>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不接受</w:t>
            </w:r>
          </w:p>
          <w:p>
            <w:pPr>
              <w:adjustRightInd w:val="0"/>
              <w:rPr>
                <w:rFonts w:ascii="宋体" w:cs="宋体"/>
                <w:sz w:val="22"/>
              </w:rPr>
            </w:pPr>
            <w:r>
              <w:rPr>
                <w:rFonts w:hint="eastAsia" w:ascii="宋体" w:cs="宋体"/>
                <w:sz w:val="22"/>
              </w:rPr>
              <w:t>□接受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11</w:t>
            </w:r>
          </w:p>
        </w:tc>
        <w:tc>
          <w:tcPr>
            <w:tcW w:w="1814" w:type="dxa"/>
            <w:vAlign w:val="center"/>
          </w:tcPr>
          <w:p>
            <w:pPr>
              <w:adjustRightInd w:val="0"/>
              <w:rPr>
                <w:rFonts w:ascii="宋体" w:cs="宋体"/>
                <w:sz w:val="22"/>
              </w:rPr>
            </w:pPr>
            <w:r>
              <w:rPr>
                <w:rFonts w:hint="eastAsia" w:ascii="宋体" w:cs="宋体"/>
                <w:sz w:val="22"/>
              </w:rPr>
              <w:t>踏勘现场</w:t>
            </w:r>
          </w:p>
        </w:tc>
        <w:tc>
          <w:tcPr>
            <w:tcW w:w="7776" w:type="dxa"/>
            <w:vAlign w:val="center"/>
          </w:tcPr>
          <w:p>
            <w:pPr>
              <w:adjustRightInd w:val="0"/>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不组织</w:t>
            </w:r>
          </w:p>
          <w:p>
            <w:pPr>
              <w:adjustRightInd w:val="0"/>
              <w:rPr>
                <w:rFonts w:ascii="宋体" w:cs="宋体"/>
                <w:sz w:val="22"/>
              </w:rPr>
            </w:pPr>
            <w:r>
              <w:rPr>
                <w:rFonts w:hint="eastAsia" w:ascii="宋体" w:cs="宋体"/>
                <w:sz w:val="22"/>
              </w:rPr>
              <w:t xml:space="preserve">□组织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12</w:t>
            </w:r>
          </w:p>
        </w:tc>
        <w:tc>
          <w:tcPr>
            <w:tcW w:w="1814" w:type="dxa"/>
            <w:vAlign w:val="center"/>
          </w:tcPr>
          <w:p>
            <w:pPr>
              <w:adjustRightInd w:val="0"/>
              <w:rPr>
                <w:rFonts w:ascii="宋体" w:cs="宋体"/>
                <w:sz w:val="22"/>
              </w:rPr>
            </w:pPr>
            <w:r>
              <w:rPr>
                <w:rFonts w:hint="eastAsia" w:ascii="宋体" w:cs="宋体"/>
                <w:sz w:val="22"/>
              </w:rPr>
              <w:t>是否允许递交备选投标方案</w:t>
            </w:r>
          </w:p>
        </w:tc>
        <w:tc>
          <w:tcPr>
            <w:tcW w:w="7776" w:type="dxa"/>
            <w:vAlign w:val="center"/>
          </w:tcPr>
          <w:p>
            <w:pPr>
              <w:adjustRightInd w:val="0"/>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 xml:space="preserve"> 不允许</w:t>
            </w:r>
          </w:p>
          <w:p>
            <w:pPr>
              <w:adjustRightInd w:val="0"/>
              <w:rPr>
                <w:rFonts w:ascii="宋体" w:cs="宋体"/>
                <w:sz w:val="22"/>
              </w:rPr>
            </w:pPr>
            <w:r>
              <w:rPr>
                <w:rFonts w:hint="eastAsia" w:ascii="宋体" w:cs="宋体"/>
                <w:sz w:val="22"/>
              </w:rPr>
              <w:t>□ 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91" w:hRule="atLeast"/>
          <w:jc w:val="center"/>
        </w:trPr>
        <w:tc>
          <w:tcPr>
            <w:tcW w:w="669" w:type="dxa"/>
            <w:vAlign w:val="center"/>
          </w:tcPr>
          <w:p>
            <w:pPr>
              <w:autoSpaceDE w:val="0"/>
              <w:autoSpaceDN w:val="0"/>
              <w:adjustRightInd w:val="0"/>
              <w:snapToGrid w:val="0"/>
              <w:spacing w:line="430" w:lineRule="atLeast"/>
              <w:jc w:val="center"/>
              <w:rPr>
                <w:rFonts w:ascii="宋体" w:cs="宋体"/>
                <w:sz w:val="22"/>
              </w:rPr>
            </w:pPr>
            <w:r>
              <w:rPr>
                <w:rFonts w:hint="eastAsia" w:ascii="宋体" w:cs="宋体"/>
                <w:sz w:val="22"/>
              </w:rPr>
              <w:t>13</w:t>
            </w:r>
          </w:p>
        </w:tc>
        <w:tc>
          <w:tcPr>
            <w:tcW w:w="1814" w:type="dxa"/>
            <w:vAlign w:val="center"/>
          </w:tcPr>
          <w:p>
            <w:pPr>
              <w:adjustRightInd w:val="0"/>
              <w:rPr>
                <w:rFonts w:ascii="宋体" w:cs="宋体"/>
                <w:sz w:val="22"/>
              </w:rPr>
            </w:pPr>
            <w:r>
              <w:rPr>
                <w:rFonts w:hint="eastAsia" w:ascii="宋体" w:cs="宋体"/>
                <w:sz w:val="22"/>
              </w:rPr>
              <w:t>投标货币</w:t>
            </w:r>
          </w:p>
        </w:tc>
        <w:tc>
          <w:tcPr>
            <w:tcW w:w="7776" w:type="dxa"/>
            <w:vAlign w:val="center"/>
          </w:tcPr>
          <w:p>
            <w:pPr>
              <w:adjustRightInd w:val="0"/>
              <w:rPr>
                <w:rFonts w:ascii="宋体" w:cs="宋体"/>
                <w:sz w:val="22"/>
              </w:rPr>
            </w:pPr>
            <w:r>
              <w:rPr>
                <w:rFonts w:hint="eastAsia" w:ascii="宋体" w:cs="宋体"/>
                <w:sz w:val="22"/>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 w:hRule="atLeast"/>
          <w:jc w:val="center"/>
        </w:trPr>
        <w:tc>
          <w:tcPr>
            <w:tcW w:w="669" w:type="dxa"/>
            <w:vAlign w:val="center"/>
          </w:tcPr>
          <w:p>
            <w:pPr>
              <w:autoSpaceDE w:val="0"/>
              <w:autoSpaceDN w:val="0"/>
              <w:adjustRightInd w:val="0"/>
              <w:snapToGrid w:val="0"/>
              <w:spacing w:line="300" w:lineRule="exact"/>
              <w:jc w:val="center"/>
              <w:rPr>
                <w:rFonts w:ascii="宋体" w:cs="宋体"/>
                <w:sz w:val="22"/>
              </w:rPr>
            </w:pPr>
            <w:r>
              <w:rPr>
                <w:rFonts w:hint="eastAsia" w:ascii="宋体" w:cs="宋体"/>
                <w:sz w:val="22"/>
              </w:rPr>
              <w:t>14</w:t>
            </w:r>
          </w:p>
        </w:tc>
        <w:tc>
          <w:tcPr>
            <w:tcW w:w="1814" w:type="dxa"/>
            <w:vAlign w:val="center"/>
          </w:tcPr>
          <w:p>
            <w:pPr>
              <w:adjustRightInd w:val="0"/>
              <w:spacing w:line="300" w:lineRule="exact"/>
              <w:rPr>
                <w:rFonts w:ascii="宋体" w:cs="宋体"/>
                <w:sz w:val="22"/>
              </w:rPr>
            </w:pPr>
            <w:r>
              <w:rPr>
                <w:rFonts w:hint="eastAsia" w:ascii="宋体" w:cs="宋体"/>
                <w:sz w:val="22"/>
              </w:rPr>
              <w:t>投标语言</w:t>
            </w:r>
          </w:p>
        </w:tc>
        <w:tc>
          <w:tcPr>
            <w:tcW w:w="7776" w:type="dxa"/>
            <w:vAlign w:val="center"/>
          </w:tcPr>
          <w:p>
            <w:pPr>
              <w:adjustRightInd w:val="0"/>
              <w:spacing w:line="300" w:lineRule="exact"/>
              <w:rPr>
                <w:rFonts w:ascii="宋体" w:cs="宋体"/>
                <w:sz w:val="22"/>
              </w:rPr>
            </w:pPr>
            <w:r>
              <w:rPr>
                <w:rFonts w:hint="eastAsia" w:ascii="宋体" w:cs="宋体"/>
                <w:sz w:val="22"/>
              </w:rPr>
              <w:t>中文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autoSpaceDE w:val="0"/>
              <w:autoSpaceDN w:val="0"/>
              <w:adjustRightInd w:val="0"/>
              <w:snapToGrid w:val="0"/>
              <w:spacing w:line="300" w:lineRule="exact"/>
              <w:jc w:val="center"/>
              <w:rPr>
                <w:rFonts w:ascii="宋体" w:cs="宋体"/>
                <w:sz w:val="22"/>
              </w:rPr>
            </w:pPr>
            <w:r>
              <w:rPr>
                <w:rFonts w:hint="eastAsia" w:ascii="宋体" w:cs="宋体"/>
                <w:sz w:val="22"/>
              </w:rPr>
              <w:t>15</w:t>
            </w:r>
          </w:p>
        </w:tc>
        <w:tc>
          <w:tcPr>
            <w:tcW w:w="1814" w:type="dxa"/>
            <w:vAlign w:val="center"/>
          </w:tcPr>
          <w:p>
            <w:pPr>
              <w:spacing w:line="300" w:lineRule="exact"/>
              <w:rPr>
                <w:rFonts w:ascii="宋体" w:cs="宋体"/>
                <w:sz w:val="22"/>
              </w:rPr>
            </w:pPr>
            <w:r>
              <w:rPr>
                <w:rFonts w:hint="eastAsia" w:ascii="宋体" w:cs="宋体"/>
                <w:sz w:val="22"/>
              </w:rPr>
              <w:t>投标有效期</w:t>
            </w:r>
          </w:p>
        </w:tc>
        <w:tc>
          <w:tcPr>
            <w:tcW w:w="7776" w:type="dxa"/>
            <w:vAlign w:val="center"/>
          </w:tcPr>
          <w:p>
            <w:pPr>
              <w:spacing w:line="300" w:lineRule="exact"/>
              <w:rPr>
                <w:rFonts w:ascii="宋体" w:cs="宋体"/>
                <w:sz w:val="22"/>
              </w:rPr>
            </w:pPr>
            <w:r>
              <w:rPr>
                <w:rFonts w:hint="eastAsia" w:ascii="宋体" w:cs="宋体"/>
                <w:sz w:val="22"/>
              </w:rPr>
              <w:t>提交投标文件截止时间起90天内。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autoSpaceDE w:val="0"/>
              <w:autoSpaceDN w:val="0"/>
              <w:adjustRightInd w:val="0"/>
              <w:snapToGrid w:val="0"/>
              <w:spacing w:line="300" w:lineRule="exact"/>
              <w:jc w:val="center"/>
              <w:rPr>
                <w:rFonts w:ascii="宋体" w:cs="宋体"/>
                <w:sz w:val="22"/>
                <w:lang w:val="zh-CN"/>
              </w:rPr>
            </w:pPr>
            <w:r>
              <w:rPr>
                <w:rFonts w:hint="eastAsia" w:ascii="宋体" w:cs="宋体"/>
                <w:sz w:val="22"/>
                <w:lang w:val="zh-CN"/>
              </w:rPr>
              <w:t>1</w:t>
            </w:r>
            <w:r>
              <w:rPr>
                <w:rFonts w:hint="eastAsia" w:ascii="宋体" w:cs="宋体"/>
                <w:sz w:val="22"/>
              </w:rPr>
              <w:t>6</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投标文件的形式</w:t>
            </w:r>
          </w:p>
        </w:tc>
        <w:tc>
          <w:tcPr>
            <w:tcW w:w="7776" w:type="dxa"/>
            <w:vAlign w:val="center"/>
          </w:tcPr>
          <w:p>
            <w:pPr>
              <w:spacing w:line="300" w:lineRule="exact"/>
              <w:rPr>
                <w:rFonts w:ascii="宋体"/>
                <w:snapToGrid w:val="0"/>
                <w:sz w:val="22"/>
              </w:rPr>
            </w:pPr>
            <w:r>
              <w:rPr>
                <w:rFonts w:hint="eastAsia" w:ascii="宋体"/>
                <w:snapToGrid w:val="0"/>
                <w:sz w:val="22"/>
              </w:rPr>
              <w:t>投标供应商应准备电子投标文件。</w:t>
            </w:r>
          </w:p>
          <w:p>
            <w:pPr>
              <w:spacing w:line="300" w:lineRule="exact"/>
              <w:rPr>
                <w:rFonts w:ascii="宋体"/>
                <w:snapToGrid w:val="0"/>
                <w:sz w:val="22"/>
              </w:rPr>
            </w:pPr>
            <w:r>
              <w:rPr>
                <w:rFonts w:hint="eastAsia" w:ascii="宋体"/>
                <w:snapToGrid w:val="0"/>
                <w:sz w:val="22"/>
              </w:rPr>
              <w:t>电子投标文件是指通过“政采云电子交易客户端”完成投标文件编制后生成并加密的数据电文形式的电子加密投标文件。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17</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投标文件的编制</w:t>
            </w:r>
          </w:p>
        </w:tc>
        <w:tc>
          <w:tcPr>
            <w:tcW w:w="7776" w:type="dxa"/>
            <w:vAlign w:val="center"/>
          </w:tcPr>
          <w:p>
            <w:pPr>
              <w:spacing w:line="300" w:lineRule="exact"/>
              <w:rPr>
                <w:rFonts w:ascii="宋体"/>
                <w:snapToGrid w:val="0"/>
                <w:sz w:val="22"/>
              </w:rPr>
            </w:pPr>
            <w:r>
              <w:rPr>
                <w:rFonts w:hint="eastAsia" w:ascii="宋体"/>
                <w:snapToGrid w:val="0"/>
                <w:sz w:val="22"/>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18</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投标文件组成</w:t>
            </w:r>
          </w:p>
        </w:tc>
        <w:tc>
          <w:tcPr>
            <w:tcW w:w="7776" w:type="dxa"/>
            <w:vAlign w:val="center"/>
          </w:tcPr>
          <w:p>
            <w:pPr>
              <w:spacing w:line="300" w:lineRule="exact"/>
              <w:rPr>
                <w:rFonts w:ascii="宋体"/>
                <w:snapToGrid w:val="0"/>
                <w:sz w:val="22"/>
              </w:rPr>
            </w:pPr>
            <w:r>
              <w:rPr>
                <w:rFonts w:hint="eastAsia" w:ascii="宋体"/>
                <w:bCs/>
                <w:snapToGrid w:val="0"/>
                <w:sz w:val="22"/>
              </w:rPr>
              <w:t>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19</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投标文件的盖章</w:t>
            </w:r>
          </w:p>
        </w:tc>
        <w:tc>
          <w:tcPr>
            <w:tcW w:w="7776" w:type="dxa"/>
            <w:vAlign w:val="center"/>
          </w:tcPr>
          <w:p>
            <w:pPr>
              <w:spacing w:line="300" w:lineRule="exact"/>
              <w:rPr>
                <w:rFonts w:ascii="宋体"/>
                <w:snapToGrid w:val="0"/>
                <w:sz w:val="22"/>
              </w:rPr>
            </w:pPr>
            <w:r>
              <w:rPr>
                <w:rFonts w:hint="eastAsia" w:ascii="宋体"/>
                <w:snapToGrid w:val="0"/>
                <w:sz w:val="22"/>
              </w:rPr>
              <w:t>投标文件中所涉及的加盖公章均采用CA电子签章。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20</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法定代表人或其授权代表签字或盖章</w:t>
            </w:r>
          </w:p>
        </w:tc>
        <w:tc>
          <w:tcPr>
            <w:tcW w:w="7776" w:type="dxa"/>
            <w:vAlign w:val="center"/>
          </w:tcPr>
          <w:p>
            <w:pPr>
              <w:spacing w:line="300" w:lineRule="exact"/>
              <w:rPr>
                <w:rFonts w:ascii="宋体"/>
                <w:snapToGrid w:val="0"/>
                <w:sz w:val="22"/>
              </w:rPr>
            </w:pPr>
            <w:r>
              <w:rPr>
                <w:rFonts w:hint="eastAsia" w:ascii="宋体"/>
                <w:snapToGrid w:val="0"/>
                <w:sz w:val="22"/>
              </w:rPr>
              <w:t>本招标文件所涉及的法定代表人或其授权代表签字或盖章的内容，如果投标单位没有法定代表人电子签章，涉及到法定代表人或其授权代表签字或盖章的内容，投标单位可以线下签字或盖章后扫描上传。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21</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投标文件份数</w:t>
            </w:r>
          </w:p>
        </w:tc>
        <w:tc>
          <w:tcPr>
            <w:tcW w:w="7776" w:type="dxa"/>
            <w:vAlign w:val="center"/>
          </w:tcPr>
          <w:p>
            <w:pPr>
              <w:spacing w:line="300" w:lineRule="exact"/>
              <w:rPr>
                <w:rFonts w:ascii="宋体"/>
                <w:snapToGrid w:val="0"/>
                <w:sz w:val="22"/>
              </w:rPr>
            </w:pPr>
            <w:r>
              <w:rPr>
                <w:rFonts w:hint="eastAsia" w:ascii="宋体"/>
                <w:snapToGrid w:val="0"/>
                <w:sz w:val="22"/>
              </w:rPr>
              <w:t>电子加密投标文件在线上传递交一份。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22</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投标文件的上传和递交</w:t>
            </w:r>
          </w:p>
        </w:tc>
        <w:tc>
          <w:tcPr>
            <w:tcW w:w="7776" w:type="dxa"/>
            <w:vAlign w:val="center"/>
          </w:tcPr>
          <w:p>
            <w:pPr>
              <w:spacing w:line="300" w:lineRule="exact"/>
              <w:rPr>
                <w:rFonts w:ascii="宋体"/>
                <w:snapToGrid w:val="0"/>
                <w:sz w:val="22"/>
              </w:rPr>
            </w:pPr>
            <w:r>
              <w:rPr>
                <w:rFonts w:hint="eastAsia" w:ascii="宋体"/>
                <w:snapToGrid w:val="0"/>
                <w:sz w:val="22"/>
              </w:rPr>
              <w:t>本项目通过“政府采购云平台（</w:t>
            </w:r>
            <w:r>
              <w:rPr>
                <w:rFonts w:ascii="宋体"/>
                <w:snapToGrid w:val="0"/>
                <w:sz w:val="22"/>
              </w:rPr>
              <w:t>www.zcygov.cn）”实行在线投标响应（电子投标），投标供应商应当在投标截止时间前，将生成的“电子加密投标文件”上传递交至“政府采购云平台”。</w:t>
            </w:r>
          </w:p>
          <w:p>
            <w:pPr>
              <w:spacing w:line="300" w:lineRule="exact"/>
              <w:rPr>
                <w:rFonts w:ascii="宋体"/>
                <w:snapToGrid w:val="0"/>
                <w:sz w:val="22"/>
              </w:rPr>
            </w:pPr>
            <w:r>
              <w:rPr>
                <w:rFonts w:hint="eastAsia" w:ascii="宋体"/>
                <w:snapToGrid w:val="0"/>
                <w:sz w:val="22"/>
              </w:rPr>
              <w:t>“电子加密投标文件”的上传、递交：</w:t>
            </w:r>
          </w:p>
          <w:p>
            <w:pPr>
              <w:spacing w:line="300" w:lineRule="exact"/>
              <w:rPr>
                <w:rFonts w:ascii="宋体"/>
                <w:snapToGrid w:val="0"/>
                <w:sz w:val="22"/>
              </w:rPr>
            </w:pPr>
            <w:r>
              <w:rPr>
                <w:rFonts w:hint="eastAsia" w:ascii="宋体"/>
                <w:snapToGrid w:val="0"/>
                <w:sz w:val="22"/>
              </w:rPr>
              <w:t>a.投标供应商应在投标截止时间前将“电子加密投标文件”成功上传递交至“政府采购云平台”，否则投标无效。</w:t>
            </w:r>
          </w:p>
          <w:p>
            <w:pPr>
              <w:spacing w:line="300" w:lineRule="exact"/>
              <w:rPr>
                <w:rFonts w:ascii="宋体"/>
                <w:snapToGrid w:val="0"/>
                <w:sz w:val="22"/>
              </w:rPr>
            </w:pPr>
            <w:r>
              <w:rPr>
                <w:rFonts w:hint="eastAsia" w:ascii="宋体"/>
                <w:snapToGrid w:val="0"/>
                <w:sz w:val="22"/>
              </w:rPr>
              <w:t>b.“电子加密投标文件”成功上传递交后，供应商可自行打印投标文件接收回执。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23</w:t>
            </w:r>
          </w:p>
        </w:tc>
        <w:tc>
          <w:tcPr>
            <w:tcW w:w="1814" w:type="dxa"/>
            <w:vAlign w:val="center"/>
          </w:tcPr>
          <w:p>
            <w:pPr>
              <w:adjustRightInd w:val="0"/>
              <w:snapToGrid w:val="0"/>
              <w:spacing w:line="300" w:lineRule="exact"/>
              <w:rPr>
                <w:rFonts w:ascii="宋体"/>
                <w:snapToGrid w:val="0"/>
                <w:sz w:val="22"/>
              </w:rPr>
            </w:pPr>
            <w:r>
              <w:rPr>
                <w:rFonts w:hint="eastAsia" w:ascii="宋体"/>
                <w:snapToGrid w:val="0"/>
                <w:sz w:val="22"/>
              </w:rPr>
              <w:t>电子加密投标文件的解密</w:t>
            </w:r>
          </w:p>
        </w:tc>
        <w:tc>
          <w:tcPr>
            <w:tcW w:w="7776" w:type="dxa"/>
            <w:vAlign w:val="center"/>
          </w:tcPr>
          <w:p>
            <w:pPr>
              <w:spacing w:line="300" w:lineRule="exact"/>
              <w:rPr>
                <w:rFonts w:ascii="宋体"/>
                <w:snapToGrid w:val="0"/>
                <w:sz w:val="22"/>
              </w:rPr>
            </w:pPr>
            <w:r>
              <w:rPr>
                <w:rFonts w:hint="eastAsia" w:ascii="宋体"/>
                <w:snapToGrid w:val="0"/>
                <w:sz w:val="22"/>
              </w:rPr>
              <w:t>1、开标后，采购组织机构将向各投标供应商发出“电子加密投标文件”的解密通知，各投标供应商代表应当在接到解密通知后30分钟内自行完成“电子加密投标文件”的在线解密。</w:t>
            </w:r>
          </w:p>
          <w:p>
            <w:pPr>
              <w:spacing w:line="300" w:lineRule="exact"/>
              <w:rPr>
                <w:rFonts w:ascii="宋体"/>
                <w:snapToGrid w:val="0"/>
                <w:sz w:val="22"/>
              </w:rPr>
            </w:pPr>
            <w:r>
              <w:rPr>
                <w:rFonts w:ascii="宋体"/>
                <w:snapToGrid w:val="0"/>
                <w:sz w:val="22"/>
              </w:rPr>
              <w:t>2、通过“政府采购云平台”成功上传递交的“电子加密投标文件”无法按时解密的，</w:t>
            </w:r>
            <w:r>
              <w:rPr>
                <w:rFonts w:hint="eastAsia" w:ascii="宋体"/>
                <w:snapToGrid w:val="0"/>
                <w:sz w:val="22"/>
              </w:rPr>
              <w:t>其投标文件按拒收处理</w:t>
            </w:r>
            <w:r>
              <w:rPr>
                <w:rFonts w:ascii="宋体"/>
                <w:snapToGrid w:val="0"/>
                <w:sz w:val="22"/>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24</w:t>
            </w:r>
          </w:p>
        </w:tc>
        <w:tc>
          <w:tcPr>
            <w:tcW w:w="1814" w:type="dxa"/>
            <w:vAlign w:val="center"/>
          </w:tcPr>
          <w:p>
            <w:pPr>
              <w:spacing w:line="300" w:lineRule="exact"/>
              <w:jc w:val="center"/>
              <w:rPr>
                <w:rFonts w:ascii="宋体" w:cs="宋体"/>
                <w:sz w:val="22"/>
              </w:rPr>
            </w:pPr>
            <w:r>
              <w:rPr>
                <w:rFonts w:hint="eastAsia" w:ascii="宋体" w:cs="宋体"/>
                <w:sz w:val="22"/>
              </w:rPr>
              <w:t>投标样品</w:t>
            </w:r>
          </w:p>
        </w:tc>
        <w:tc>
          <w:tcPr>
            <w:tcW w:w="7776" w:type="dxa"/>
            <w:vAlign w:val="center"/>
          </w:tcPr>
          <w:p>
            <w:pPr>
              <w:spacing w:line="300" w:lineRule="exact"/>
              <w:rPr>
                <w:rFonts w:ascii="宋体" w:cs="宋体"/>
                <w:sz w:val="22"/>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不需要</w:t>
            </w:r>
          </w:p>
          <w:p>
            <w:pPr>
              <w:spacing w:line="300" w:lineRule="exact"/>
              <w:rPr>
                <w:rFonts w:ascii="宋体" w:cs="宋体"/>
                <w:sz w:val="22"/>
              </w:rPr>
            </w:pPr>
            <w:r>
              <w:rPr>
                <w:rFonts w:hint="eastAsia" w:ascii="宋体" w:cs="宋体"/>
                <w:sz w:val="22"/>
              </w:rPr>
              <w:t>□需要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9"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25</w:t>
            </w:r>
          </w:p>
        </w:tc>
        <w:tc>
          <w:tcPr>
            <w:tcW w:w="1814" w:type="dxa"/>
            <w:vAlign w:val="center"/>
          </w:tcPr>
          <w:p>
            <w:pPr>
              <w:spacing w:line="300" w:lineRule="exact"/>
              <w:jc w:val="center"/>
              <w:rPr>
                <w:rFonts w:ascii="宋体" w:cs="宋体"/>
                <w:sz w:val="22"/>
              </w:rPr>
            </w:pPr>
            <w:r>
              <w:rPr>
                <w:rFonts w:hint="eastAsia" w:ascii="宋体" w:cs="宋体"/>
                <w:sz w:val="22"/>
              </w:rPr>
              <w:t>投标保证金</w:t>
            </w:r>
          </w:p>
        </w:tc>
        <w:tc>
          <w:tcPr>
            <w:tcW w:w="7776" w:type="dxa"/>
            <w:vAlign w:val="center"/>
          </w:tcPr>
          <w:p>
            <w:pPr>
              <w:spacing w:line="300" w:lineRule="exact"/>
              <w:rPr>
                <w:rFonts w:ascii="宋体" w:cs="宋体"/>
                <w:sz w:val="22"/>
              </w:rPr>
            </w:pPr>
            <w:r>
              <w:rPr>
                <w:rFonts w:hint="eastAsia" w:ascii="宋体" w:cs="宋体"/>
                <w:bCs/>
                <w:sz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9"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26</w:t>
            </w:r>
          </w:p>
        </w:tc>
        <w:tc>
          <w:tcPr>
            <w:tcW w:w="1814" w:type="dxa"/>
            <w:vAlign w:val="center"/>
          </w:tcPr>
          <w:p>
            <w:pPr>
              <w:adjustRightInd w:val="0"/>
              <w:spacing w:line="300" w:lineRule="exact"/>
              <w:jc w:val="center"/>
              <w:rPr>
                <w:rFonts w:ascii="宋体" w:cs="宋体"/>
                <w:sz w:val="22"/>
              </w:rPr>
            </w:pPr>
            <w:r>
              <w:rPr>
                <w:rFonts w:hint="eastAsia" w:ascii="宋体" w:cs="宋体"/>
                <w:sz w:val="22"/>
              </w:rPr>
              <w:t>履约担保</w:t>
            </w:r>
          </w:p>
        </w:tc>
        <w:tc>
          <w:tcPr>
            <w:tcW w:w="7776" w:type="dxa"/>
            <w:vAlign w:val="center"/>
          </w:tcPr>
          <w:p>
            <w:pPr>
              <w:spacing w:line="300" w:lineRule="exact"/>
              <w:rPr>
                <w:rFonts w:ascii="宋体" w:cs="宋体"/>
                <w:sz w:val="22"/>
              </w:rPr>
            </w:pPr>
            <w:r>
              <w:rPr>
                <w:rFonts w:hint="eastAsia" w:ascii="宋体" w:cs="宋体"/>
                <w:sz w:val="22"/>
              </w:rPr>
              <w:t>□不需要</w:t>
            </w:r>
          </w:p>
          <w:p>
            <w:pPr>
              <w:adjustRightInd w:val="0"/>
              <w:spacing w:line="300" w:lineRule="exact"/>
              <w:rPr>
                <w:rFonts w:hint="default" w:ascii="宋体" w:cs="宋体" w:eastAsiaTheme="minorEastAsia"/>
                <w:sz w:val="22"/>
                <w:lang w:val="en-US" w:eastAsia="zh-CN"/>
              </w:rPr>
            </w:pPr>
            <w:r>
              <w:rPr>
                <w:rFonts w:hint="eastAsia" w:ascii="宋体" w:cs="宋体"/>
                <w:sz w:val="22"/>
              </w:rPr>
              <w:fldChar w:fldCharType="begin"/>
            </w:r>
            <w:r>
              <w:rPr>
                <w:rFonts w:hint="eastAsia" w:ascii="宋体" w:cs="宋体"/>
                <w:sz w:val="22"/>
              </w:rPr>
              <w:instrText xml:space="preserve"> eq \o\ac(</w:instrText>
            </w:r>
            <w:r>
              <w:rPr>
                <w:rFonts w:hint="eastAsia" w:ascii="宋体" w:cs="宋体"/>
                <w:position w:val="-4"/>
                <w:sz w:val="33"/>
              </w:rPr>
              <w:instrText xml:space="preserve">□</w:instrText>
            </w:r>
            <w:r>
              <w:rPr>
                <w:rFonts w:hint="eastAsia" w:ascii="宋体" w:cs="宋体"/>
                <w:sz w:val="22"/>
              </w:rPr>
              <w:instrText xml:space="preserve">,√)</w:instrText>
            </w:r>
            <w:r>
              <w:rPr>
                <w:rFonts w:hint="eastAsia" w:ascii="宋体" w:cs="宋体"/>
                <w:sz w:val="22"/>
              </w:rPr>
              <w:fldChar w:fldCharType="end"/>
            </w:r>
            <w:r>
              <w:rPr>
                <w:rFonts w:hint="eastAsia" w:ascii="宋体" w:cs="宋体"/>
                <w:sz w:val="22"/>
              </w:rPr>
              <w:t xml:space="preserve">需要 </w:t>
            </w:r>
            <w:r>
              <w:rPr>
                <w:rFonts w:hint="eastAsia" w:ascii="宋体" w:cs="宋体"/>
                <w:sz w:val="22"/>
                <w:lang w:val="en-US" w:eastAsia="zh-CN"/>
              </w:rPr>
              <w:t xml:space="preserve"> 如有</w:t>
            </w:r>
            <w:r>
              <w:rPr>
                <w:rFonts w:hint="eastAsia" w:ascii="宋体" w:cs="宋体"/>
                <w:bCs/>
                <w:sz w:val="22"/>
                <w:lang w:val="en-US" w:eastAsia="zh-CN"/>
              </w:rPr>
              <w:t>见招标需求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52"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27</w:t>
            </w:r>
          </w:p>
        </w:tc>
        <w:tc>
          <w:tcPr>
            <w:tcW w:w="1814" w:type="dxa"/>
            <w:vAlign w:val="center"/>
          </w:tcPr>
          <w:p>
            <w:pPr>
              <w:spacing w:line="300" w:lineRule="exact"/>
              <w:rPr>
                <w:rFonts w:ascii="宋体" w:cs="宋体"/>
                <w:sz w:val="22"/>
              </w:rPr>
            </w:pPr>
            <w:r>
              <w:rPr>
                <w:rFonts w:hint="eastAsia" w:ascii="宋体" w:cs="宋体"/>
                <w:sz w:val="22"/>
              </w:rPr>
              <w:t>招标文件获取方式</w:t>
            </w:r>
          </w:p>
        </w:tc>
        <w:tc>
          <w:tcPr>
            <w:tcW w:w="7776" w:type="dxa"/>
            <w:vAlign w:val="center"/>
          </w:tcPr>
          <w:p>
            <w:pPr>
              <w:spacing w:line="300" w:lineRule="exact"/>
              <w:rPr>
                <w:rFonts w:ascii="宋体" w:cs="宋体"/>
                <w:sz w:val="22"/>
              </w:rPr>
            </w:pPr>
            <w:r>
              <w:rPr>
                <w:rFonts w:hint="eastAsia" w:ascii="宋体"/>
                <w:sz w:val="22"/>
              </w:rPr>
              <w:t>见招标公告要求。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5"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28</w:t>
            </w:r>
          </w:p>
        </w:tc>
        <w:tc>
          <w:tcPr>
            <w:tcW w:w="1814" w:type="dxa"/>
            <w:vAlign w:val="center"/>
          </w:tcPr>
          <w:p>
            <w:pPr>
              <w:spacing w:line="300" w:lineRule="exact"/>
              <w:jc w:val="center"/>
              <w:rPr>
                <w:rFonts w:ascii="宋体" w:cs="Courier New"/>
                <w:sz w:val="22"/>
              </w:rPr>
            </w:pPr>
            <w:r>
              <w:rPr>
                <w:rFonts w:hint="eastAsia" w:ascii="宋体" w:cs="Courier New"/>
                <w:sz w:val="22"/>
              </w:rPr>
              <w:t>投标截止时间</w:t>
            </w:r>
          </w:p>
          <w:p>
            <w:pPr>
              <w:spacing w:line="300" w:lineRule="exact"/>
              <w:jc w:val="center"/>
              <w:rPr>
                <w:rFonts w:ascii="宋体"/>
              </w:rPr>
            </w:pPr>
            <w:r>
              <w:rPr>
                <w:rFonts w:hint="eastAsia" w:ascii="宋体" w:cs="Courier New"/>
                <w:sz w:val="22"/>
              </w:rPr>
              <w:t>投标地点</w:t>
            </w:r>
          </w:p>
        </w:tc>
        <w:tc>
          <w:tcPr>
            <w:tcW w:w="7776" w:type="dxa"/>
            <w:vAlign w:val="center"/>
          </w:tcPr>
          <w:p>
            <w:pPr>
              <w:spacing w:line="300" w:lineRule="exact"/>
              <w:rPr>
                <w:rFonts w:ascii="宋体" w:cs="Courier New"/>
                <w:sz w:val="22"/>
              </w:rPr>
            </w:pPr>
            <w:r>
              <w:rPr>
                <w:rFonts w:hint="eastAsia" w:ascii="宋体" w:cs="Courier New"/>
                <w:sz w:val="22"/>
              </w:rPr>
              <w:t>2020年</w:t>
            </w:r>
            <w:r>
              <w:rPr>
                <w:rFonts w:hint="eastAsia" w:ascii="宋体" w:cs="宋体"/>
                <w:sz w:val="22"/>
                <w:lang w:val="en-US" w:eastAsia="zh-CN"/>
              </w:rPr>
              <w:t>8</w:t>
            </w:r>
            <w:r>
              <w:rPr>
                <w:rFonts w:hint="eastAsia" w:ascii="宋体" w:cs="宋体"/>
                <w:sz w:val="22"/>
              </w:rPr>
              <w:t>月</w:t>
            </w:r>
            <w:r>
              <w:rPr>
                <w:rFonts w:hint="eastAsia" w:ascii="宋体" w:cs="宋体"/>
                <w:sz w:val="22"/>
                <w:lang w:val="en-US" w:eastAsia="zh-CN"/>
              </w:rPr>
              <w:t>13</w:t>
            </w:r>
            <w:r>
              <w:rPr>
                <w:rFonts w:hint="eastAsia" w:ascii="宋体" w:cs="宋体"/>
                <w:sz w:val="22"/>
              </w:rPr>
              <w:t>日</w:t>
            </w:r>
            <w:r>
              <w:rPr>
                <w:rFonts w:hint="eastAsia" w:ascii="宋体" w:cs="Courier New"/>
                <w:sz w:val="22"/>
              </w:rPr>
              <w:t>上午09:00截止(北京时间)。</w:t>
            </w:r>
          </w:p>
          <w:p>
            <w:pPr>
              <w:spacing w:line="300" w:lineRule="exact"/>
              <w:rPr>
                <w:rFonts w:ascii="宋体"/>
              </w:rPr>
            </w:pPr>
            <w:r>
              <w:rPr>
                <w:rFonts w:hint="eastAsia" w:ascii="宋体" w:cs="Courier New"/>
                <w:sz w:val="22"/>
              </w:rPr>
              <w:t>投标地点：金华市双龙南街858号财富大厦4楼开标2室</w:t>
            </w:r>
            <w:r>
              <w:rPr>
                <w:rFonts w:hint="eastAsia" w:ascii="宋体"/>
                <w:sz w:val="22"/>
              </w:rPr>
              <w:t>（本项目采用在线投标方式，投标供应商无须前往投标现场。）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07"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29</w:t>
            </w:r>
          </w:p>
        </w:tc>
        <w:tc>
          <w:tcPr>
            <w:tcW w:w="1814" w:type="dxa"/>
            <w:vAlign w:val="center"/>
          </w:tcPr>
          <w:p>
            <w:pPr>
              <w:spacing w:line="300" w:lineRule="exact"/>
              <w:jc w:val="center"/>
              <w:rPr>
                <w:rFonts w:ascii="宋体" w:cs="宋体"/>
                <w:sz w:val="22"/>
              </w:rPr>
            </w:pPr>
            <w:r>
              <w:rPr>
                <w:rFonts w:hint="eastAsia" w:ascii="宋体" w:cs="宋体"/>
                <w:sz w:val="22"/>
              </w:rPr>
              <w:t>开标时间</w:t>
            </w:r>
          </w:p>
          <w:p>
            <w:pPr>
              <w:spacing w:line="300" w:lineRule="exact"/>
              <w:jc w:val="center"/>
              <w:rPr>
                <w:rFonts w:ascii="宋体" w:cs="宋体"/>
                <w:sz w:val="22"/>
              </w:rPr>
            </w:pPr>
            <w:r>
              <w:rPr>
                <w:rFonts w:hint="eastAsia" w:ascii="宋体" w:cs="宋体"/>
                <w:sz w:val="22"/>
              </w:rPr>
              <w:t>开标地点</w:t>
            </w:r>
          </w:p>
        </w:tc>
        <w:tc>
          <w:tcPr>
            <w:tcW w:w="7776" w:type="dxa"/>
            <w:vAlign w:val="center"/>
          </w:tcPr>
          <w:p>
            <w:pPr>
              <w:spacing w:line="300" w:lineRule="exact"/>
              <w:rPr>
                <w:rFonts w:ascii="宋体" w:cs="宋体"/>
                <w:sz w:val="22"/>
              </w:rPr>
            </w:pPr>
            <w:r>
              <w:rPr>
                <w:rFonts w:hint="eastAsia" w:ascii="宋体" w:cs="宋体"/>
                <w:sz w:val="22"/>
              </w:rPr>
              <w:t>开标时间：2020年</w:t>
            </w:r>
            <w:r>
              <w:rPr>
                <w:rFonts w:hint="eastAsia" w:ascii="宋体" w:cs="宋体"/>
                <w:sz w:val="22"/>
                <w:lang w:val="en-US" w:eastAsia="zh-CN"/>
              </w:rPr>
              <w:t>8</w:t>
            </w:r>
            <w:r>
              <w:rPr>
                <w:rFonts w:hint="eastAsia" w:ascii="宋体" w:cs="宋体"/>
                <w:sz w:val="22"/>
              </w:rPr>
              <w:t>月</w:t>
            </w:r>
            <w:r>
              <w:rPr>
                <w:rFonts w:hint="eastAsia" w:ascii="宋体" w:cs="宋体"/>
                <w:sz w:val="22"/>
                <w:lang w:val="en-US" w:eastAsia="zh-CN"/>
              </w:rPr>
              <w:t>13</w:t>
            </w:r>
            <w:r>
              <w:rPr>
                <w:rFonts w:hint="eastAsia" w:ascii="宋体" w:cs="宋体"/>
                <w:sz w:val="22"/>
              </w:rPr>
              <w:t>日上午9:00  (北京时间)</w:t>
            </w:r>
          </w:p>
          <w:p>
            <w:pPr>
              <w:spacing w:line="300" w:lineRule="exact"/>
              <w:rPr>
                <w:rFonts w:ascii="宋体" w:cs="宋体"/>
                <w:sz w:val="22"/>
              </w:rPr>
            </w:pPr>
            <w:r>
              <w:rPr>
                <w:rFonts w:hint="eastAsia" w:ascii="宋体" w:cs="宋体"/>
                <w:sz w:val="22"/>
              </w:rPr>
              <w:t>开标地点：</w:t>
            </w:r>
            <w:r>
              <w:rPr>
                <w:rFonts w:hint="eastAsia" w:ascii="宋体"/>
                <w:sz w:val="22"/>
              </w:rPr>
              <w:t>金华市双龙南街858号财富大厦4楼开标2室（本项目采用在线投标方式，投标供应商无须前往开标现场。）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30</w:t>
            </w:r>
          </w:p>
        </w:tc>
        <w:tc>
          <w:tcPr>
            <w:tcW w:w="1814" w:type="dxa"/>
            <w:vAlign w:val="center"/>
          </w:tcPr>
          <w:p>
            <w:pPr>
              <w:spacing w:line="300" w:lineRule="exact"/>
              <w:jc w:val="center"/>
              <w:rPr>
                <w:rFonts w:ascii="宋体" w:cs="宋体"/>
                <w:sz w:val="22"/>
              </w:rPr>
            </w:pPr>
            <w:r>
              <w:rPr>
                <w:rFonts w:hint="eastAsia" w:ascii="宋体" w:cs="宋体"/>
                <w:sz w:val="22"/>
              </w:rPr>
              <w:t>评审委员会的</w:t>
            </w:r>
          </w:p>
          <w:p>
            <w:pPr>
              <w:spacing w:line="300" w:lineRule="exact"/>
              <w:jc w:val="center"/>
              <w:rPr>
                <w:rFonts w:ascii="宋体" w:cs="宋体"/>
                <w:sz w:val="22"/>
              </w:rPr>
            </w:pPr>
            <w:r>
              <w:rPr>
                <w:rFonts w:hint="eastAsia" w:ascii="宋体" w:cs="宋体"/>
                <w:sz w:val="22"/>
              </w:rPr>
              <w:t>组建</w:t>
            </w:r>
          </w:p>
        </w:tc>
        <w:tc>
          <w:tcPr>
            <w:tcW w:w="7776" w:type="dxa"/>
            <w:vAlign w:val="center"/>
          </w:tcPr>
          <w:p>
            <w:pPr>
              <w:spacing w:line="300" w:lineRule="exact"/>
              <w:rPr>
                <w:rFonts w:ascii="宋体" w:cs="宋体"/>
                <w:sz w:val="22"/>
              </w:rPr>
            </w:pPr>
            <w:r>
              <w:rPr>
                <w:rFonts w:hint="eastAsia" w:ascii="宋体" w:cs="宋体"/>
                <w:sz w:val="22"/>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06"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31</w:t>
            </w:r>
          </w:p>
        </w:tc>
        <w:tc>
          <w:tcPr>
            <w:tcW w:w="1814" w:type="dxa"/>
            <w:vAlign w:val="center"/>
          </w:tcPr>
          <w:p>
            <w:pPr>
              <w:adjustRightInd w:val="0"/>
              <w:spacing w:line="300" w:lineRule="exact"/>
              <w:jc w:val="center"/>
              <w:rPr>
                <w:rFonts w:ascii="宋体" w:cs="宋体"/>
                <w:sz w:val="22"/>
              </w:rPr>
            </w:pPr>
            <w:r>
              <w:rPr>
                <w:rFonts w:hint="eastAsia" w:ascii="宋体" w:cs="宋体"/>
                <w:sz w:val="22"/>
              </w:rPr>
              <w:t>政府采购</w:t>
            </w:r>
          </w:p>
          <w:p>
            <w:pPr>
              <w:adjustRightInd w:val="0"/>
              <w:spacing w:line="300" w:lineRule="exact"/>
              <w:jc w:val="center"/>
              <w:rPr>
                <w:rFonts w:ascii="宋体" w:cs="宋体"/>
                <w:sz w:val="22"/>
              </w:rPr>
            </w:pPr>
            <w:r>
              <w:rPr>
                <w:rFonts w:hint="eastAsia" w:ascii="宋体" w:cs="宋体"/>
                <w:sz w:val="22"/>
              </w:rPr>
              <w:t>扶持政策</w:t>
            </w:r>
          </w:p>
        </w:tc>
        <w:tc>
          <w:tcPr>
            <w:tcW w:w="7776" w:type="dxa"/>
            <w:vAlign w:val="center"/>
          </w:tcPr>
          <w:p>
            <w:pPr>
              <w:spacing w:line="300" w:lineRule="exact"/>
              <w:rPr>
                <w:rFonts w:ascii="宋体" w:cs="宋体"/>
                <w:sz w:val="22"/>
              </w:rPr>
            </w:pPr>
            <w:r>
              <w:rPr>
                <w:rFonts w:hint="eastAsia" w:ascii="宋体" w:cs="宋体"/>
                <w:sz w:val="22"/>
              </w:rPr>
              <w:t>对符合财政扶持政策的小微企业（或监狱企业或残疾人福利性单位）给予评标价格优惠。供应商企业属于以上多种性质的，不重复享受扶持政策。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7"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32</w:t>
            </w:r>
          </w:p>
        </w:tc>
        <w:tc>
          <w:tcPr>
            <w:tcW w:w="1814" w:type="dxa"/>
            <w:vAlign w:val="center"/>
          </w:tcPr>
          <w:p>
            <w:pPr>
              <w:spacing w:line="300" w:lineRule="exact"/>
              <w:jc w:val="center"/>
              <w:rPr>
                <w:rFonts w:ascii="宋体" w:cs="宋体"/>
                <w:sz w:val="22"/>
              </w:rPr>
            </w:pPr>
            <w:r>
              <w:rPr>
                <w:rFonts w:hint="eastAsia" w:ascii="宋体" w:cs="宋体"/>
                <w:sz w:val="22"/>
              </w:rPr>
              <w:t>投标供应商</w:t>
            </w:r>
          </w:p>
          <w:p>
            <w:pPr>
              <w:spacing w:line="300" w:lineRule="exact"/>
              <w:jc w:val="center"/>
              <w:rPr>
                <w:rFonts w:ascii="宋体" w:cs="宋体"/>
                <w:sz w:val="22"/>
              </w:rPr>
            </w:pPr>
            <w:r>
              <w:rPr>
                <w:rFonts w:hint="eastAsia" w:ascii="宋体" w:cs="宋体"/>
                <w:sz w:val="22"/>
              </w:rPr>
              <w:t>信用查询</w:t>
            </w:r>
          </w:p>
        </w:tc>
        <w:tc>
          <w:tcPr>
            <w:tcW w:w="7776" w:type="dxa"/>
            <w:vAlign w:val="center"/>
          </w:tcPr>
          <w:p>
            <w:pPr>
              <w:spacing w:line="300" w:lineRule="exact"/>
              <w:rPr>
                <w:rFonts w:ascii="宋体" w:cs="宋体"/>
                <w:sz w:val="22"/>
              </w:rPr>
            </w:pPr>
            <w:r>
              <w:rPr>
                <w:rFonts w:hint="eastAsia" w:ascii="宋体" w:cs="宋体"/>
                <w:sz w:val="22"/>
              </w:rPr>
              <w:t>1、投标供应商信用信息查询的查询渠道：“信用中国”(www.creditchina.gov.cn)；“中国政府采购网”（www.ccgp.gov.cn）；</w:t>
            </w:r>
          </w:p>
          <w:p>
            <w:pPr>
              <w:spacing w:line="300" w:lineRule="exact"/>
              <w:rPr>
                <w:rFonts w:ascii="宋体" w:cs="宋体"/>
                <w:sz w:val="22"/>
              </w:rPr>
            </w:pPr>
            <w:r>
              <w:rPr>
                <w:rFonts w:hint="eastAsia" w:ascii="宋体" w:cs="宋体"/>
                <w:sz w:val="22"/>
              </w:rPr>
              <w:t>2、投标供应商信用信息查询截止时点：招标公告发布之日至投标截止时间前。</w:t>
            </w:r>
          </w:p>
          <w:p>
            <w:pPr>
              <w:spacing w:line="300" w:lineRule="exact"/>
              <w:rPr>
                <w:rFonts w:ascii="宋体" w:cs="宋体"/>
                <w:sz w:val="22"/>
              </w:rPr>
            </w:pPr>
            <w:r>
              <w:rPr>
                <w:rFonts w:hint="eastAsia" w:ascii="宋体" w:cs="宋体"/>
                <w:sz w:val="22"/>
              </w:rPr>
              <w:t>3、投标供应商信用信息查询记录和证据留存的具体方式：网页截图打印；</w:t>
            </w:r>
          </w:p>
          <w:p>
            <w:pPr>
              <w:spacing w:line="300" w:lineRule="exact"/>
              <w:rPr>
                <w:rFonts w:ascii="宋体" w:cs="宋体"/>
                <w:sz w:val="22"/>
              </w:rPr>
            </w:pPr>
            <w:r>
              <w:rPr>
                <w:rFonts w:hint="eastAsia" w:ascii="宋体" w:cs="宋体"/>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33</w:t>
            </w:r>
          </w:p>
        </w:tc>
        <w:tc>
          <w:tcPr>
            <w:tcW w:w="1814" w:type="dxa"/>
            <w:vAlign w:val="center"/>
          </w:tcPr>
          <w:p>
            <w:pPr>
              <w:spacing w:line="300" w:lineRule="exact"/>
              <w:jc w:val="center"/>
              <w:rPr>
                <w:rFonts w:ascii="宋体" w:cs="宋体"/>
                <w:sz w:val="22"/>
              </w:rPr>
            </w:pPr>
            <w:r>
              <w:rPr>
                <w:rFonts w:hint="eastAsia" w:ascii="宋体" w:cs="宋体"/>
                <w:sz w:val="22"/>
              </w:rPr>
              <w:t>合同备案</w:t>
            </w:r>
          </w:p>
        </w:tc>
        <w:tc>
          <w:tcPr>
            <w:tcW w:w="7776" w:type="dxa"/>
            <w:vAlign w:val="center"/>
          </w:tcPr>
          <w:p>
            <w:pPr>
              <w:spacing w:line="300" w:lineRule="exact"/>
              <w:rPr>
                <w:rFonts w:ascii="宋体" w:cs="宋体"/>
                <w:sz w:val="22"/>
              </w:rPr>
            </w:pPr>
            <w:r>
              <w:rPr>
                <w:rFonts w:hint="eastAsia" w:ascii="宋体" w:cs="宋体"/>
                <w:sz w:val="22"/>
              </w:rPr>
              <w:t>1、中标供应商须在中标通知书发出之日起30日历天内与采购人签订合同。</w:t>
            </w:r>
          </w:p>
          <w:p>
            <w:pPr>
              <w:spacing w:line="300" w:lineRule="exact"/>
              <w:rPr>
                <w:rFonts w:ascii="宋体" w:cs="宋体"/>
                <w:sz w:val="22"/>
              </w:rPr>
            </w:pPr>
            <w:r>
              <w:rPr>
                <w:rFonts w:hint="eastAsia" w:ascii="宋体" w:cs="宋体"/>
                <w:sz w:val="22"/>
              </w:rPr>
              <w:t>2、中标供应商与采购人签订合同后，2天内将合同原件送至采购人及采购机构处；</w:t>
            </w:r>
          </w:p>
          <w:p>
            <w:pPr>
              <w:spacing w:line="300" w:lineRule="exact"/>
              <w:rPr>
                <w:rFonts w:ascii="宋体" w:cs="宋体"/>
                <w:sz w:val="22"/>
              </w:rPr>
            </w:pPr>
            <w:r>
              <w:rPr>
                <w:rFonts w:hint="eastAsia" w:ascii="宋体" w:cs="宋体"/>
                <w:sz w:val="22"/>
              </w:rPr>
              <w:t>3、本项目政府采购合同按规定在浙江政府采购网予以公告。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34</w:t>
            </w:r>
          </w:p>
        </w:tc>
        <w:tc>
          <w:tcPr>
            <w:tcW w:w="1814" w:type="dxa"/>
            <w:vAlign w:val="center"/>
          </w:tcPr>
          <w:p>
            <w:pPr>
              <w:spacing w:line="300" w:lineRule="exact"/>
              <w:jc w:val="center"/>
              <w:rPr>
                <w:rFonts w:ascii="宋体" w:cs="宋体"/>
                <w:sz w:val="22"/>
              </w:rPr>
            </w:pPr>
            <w:r>
              <w:rPr>
                <w:rFonts w:hint="eastAsia" w:ascii="宋体" w:cs="宋体"/>
                <w:sz w:val="22"/>
              </w:rPr>
              <w:t>合同履约管理</w:t>
            </w:r>
          </w:p>
        </w:tc>
        <w:tc>
          <w:tcPr>
            <w:tcW w:w="7776" w:type="dxa"/>
            <w:vAlign w:val="center"/>
          </w:tcPr>
          <w:p>
            <w:pPr>
              <w:spacing w:line="300" w:lineRule="exact"/>
              <w:rPr>
                <w:rFonts w:ascii="宋体" w:cs="宋体"/>
                <w:sz w:val="22"/>
              </w:rPr>
            </w:pPr>
            <w:r>
              <w:rPr>
                <w:rFonts w:hint="eastAsia" w:ascii="宋体" w:cs="宋体"/>
                <w:sz w:val="22"/>
              </w:rPr>
              <w:t>合同签订后，采购人依法加强对合同履约进行管理，并在中标单位服务、项目验收等重要关节，如实填写《合同验收报告》，并及时向同级财政部门报告验收过程中遇到的问题。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638"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35</w:t>
            </w:r>
          </w:p>
        </w:tc>
        <w:tc>
          <w:tcPr>
            <w:tcW w:w="1814" w:type="dxa"/>
            <w:vAlign w:val="center"/>
          </w:tcPr>
          <w:p>
            <w:pPr>
              <w:spacing w:line="300" w:lineRule="exact"/>
              <w:jc w:val="center"/>
              <w:rPr>
                <w:rFonts w:ascii="宋体" w:cs="宋体"/>
                <w:sz w:val="22"/>
              </w:rPr>
            </w:pPr>
            <w:r>
              <w:rPr>
                <w:rFonts w:hint="eastAsia" w:ascii="宋体" w:cs="宋体"/>
                <w:sz w:val="22"/>
              </w:rPr>
              <w:t>免责声明</w:t>
            </w:r>
          </w:p>
        </w:tc>
        <w:tc>
          <w:tcPr>
            <w:tcW w:w="7776" w:type="dxa"/>
            <w:vAlign w:val="center"/>
          </w:tcPr>
          <w:p>
            <w:pPr>
              <w:spacing w:line="300" w:lineRule="exact"/>
              <w:rPr>
                <w:rFonts w:ascii="宋体" w:cs="宋体"/>
                <w:sz w:val="22"/>
              </w:rPr>
            </w:pPr>
            <w:r>
              <w:rPr>
                <w:rFonts w:hint="eastAsia" w:ascii="宋体" w:cs="宋体"/>
                <w:sz w:val="22"/>
              </w:rPr>
              <w:t>1、投标供应商自行承担投标过程中产生的费用。无论何种因素导致采购项目延期开标、废标（流标）、投标供应商未中标、项目终止采购的，采购人与采购机构均不承担供应商投标费用。</w:t>
            </w:r>
          </w:p>
          <w:p>
            <w:pPr>
              <w:spacing w:line="300" w:lineRule="exact"/>
              <w:rPr>
                <w:rFonts w:ascii="宋体" w:cs="宋体"/>
                <w:sz w:val="22"/>
              </w:rPr>
            </w:pPr>
            <w:r>
              <w:rPr>
                <w:rFonts w:hint="eastAsia" w:ascii="宋体" w:cs="宋体"/>
                <w:sz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58"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36</w:t>
            </w:r>
          </w:p>
        </w:tc>
        <w:tc>
          <w:tcPr>
            <w:tcW w:w="1814" w:type="dxa"/>
            <w:vAlign w:val="center"/>
          </w:tcPr>
          <w:p>
            <w:pPr>
              <w:spacing w:line="300" w:lineRule="exact"/>
              <w:jc w:val="center"/>
              <w:rPr>
                <w:rFonts w:ascii="宋体" w:cs="宋体"/>
                <w:sz w:val="22"/>
              </w:rPr>
            </w:pPr>
            <w:r>
              <w:rPr>
                <w:rFonts w:hint="eastAsia" w:ascii="宋体" w:cs="宋体"/>
                <w:sz w:val="22"/>
              </w:rPr>
              <w:t>招标文件质疑截止时间</w:t>
            </w:r>
          </w:p>
        </w:tc>
        <w:tc>
          <w:tcPr>
            <w:tcW w:w="7776" w:type="dxa"/>
            <w:vAlign w:val="center"/>
          </w:tcPr>
          <w:p>
            <w:pPr>
              <w:spacing w:line="300" w:lineRule="exact"/>
              <w:rPr>
                <w:rFonts w:ascii="宋体" w:cs="宋体"/>
                <w:sz w:val="22"/>
              </w:rPr>
            </w:pPr>
            <w:r>
              <w:rPr>
                <w:rFonts w:hint="eastAsia" w:ascii="宋体"/>
                <w:sz w:val="22"/>
              </w:rPr>
              <w:t>招标公告期限届满之日七个工作日</w:t>
            </w:r>
            <w:r>
              <w:rPr>
                <w:rFonts w:ascii="宋体"/>
                <w:sz w:val="22"/>
              </w:rPr>
              <w:t>，逾期不予受理及答复。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37</w:t>
            </w:r>
          </w:p>
        </w:tc>
        <w:tc>
          <w:tcPr>
            <w:tcW w:w="1814" w:type="dxa"/>
            <w:vAlign w:val="center"/>
          </w:tcPr>
          <w:p>
            <w:pPr>
              <w:spacing w:line="300" w:lineRule="exact"/>
              <w:jc w:val="center"/>
              <w:rPr>
                <w:rFonts w:ascii="宋体" w:cs="宋体"/>
                <w:sz w:val="22"/>
              </w:rPr>
            </w:pPr>
            <w:r>
              <w:rPr>
                <w:rFonts w:hint="eastAsia" w:ascii="宋体" w:cs="宋体"/>
                <w:sz w:val="22"/>
              </w:rPr>
              <w:t>解释权</w:t>
            </w:r>
          </w:p>
        </w:tc>
        <w:tc>
          <w:tcPr>
            <w:tcW w:w="7776" w:type="dxa"/>
            <w:vAlign w:val="center"/>
          </w:tcPr>
          <w:p>
            <w:pPr>
              <w:spacing w:line="300" w:lineRule="exact"/>
              <w:rPr>
                <w:rFonts w:ascii="宋体" w:cs="宋体"/>
                <w:sz w:val="22"/>
              </w:rPr>
            </w:pPr>
            <w:r>
              <w:rPr>
                <w:rFonts w:hint="eastAsia" w:ascii="宋体" w:cs="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54" w:hRule="atLeast"/>
          <w:jc w:val="center"/>
        </w:trPr>
        <w:tc>
          <w:tcPr>
            <w:tcW w:w="669" w:type="dxa"/>
            <w:vAlign w:val="center"/>
          </w:tcPr>
          <w:p>
            <w:pPr>
              <w:widowControl/>
              <w:tabs>
                <w:tab w:val="left" w:pos="420"/>
                <w:tab w:val="left" w:pos="1145"/>
              </w:tabs>
              <w:spacing w:line="300" w:lineRule="exact"/>
              <w:jc w:val="center"/>
              <w:rPr>
                <w:rFonts w:ascii="宋体" w:cs="宋体"/>
                <w:sz w:val="22"/>
              </w:rPr>
            </w:pPr>
            <w:r>
              <w:rPr>
                <w:rFonts w:hint="eastAsia" w:ascii="宋体" w:cs="宋体"/>
                <w:sz w:val="22"/>
              </w:rPr>
              <w:t>38</w:t>
            </w:r>
          </w:p>
        </w:tc>
        <w:tc>
          <w:tcPr>
            <w:tcW w:w="1814" w:type="dxa"/>
            <w:vAlign w:val="center"/>
          </w:tcPr>
          <w:p>
            <w:pPr>
              <w:spacing w:line="300" w:lineRule="exact"/>
              <w:jc w:val="center"/>
              <w:rPr>
                <w:rFonts w:ascii="宋体" w:cs="Courier New"/>
                <w:sz w:val="22"/>
              </w:rPr>
            </w:pPr>
            <w:r>
              <w:rPr>
                <w:rFonts w:hint="eastAsia" w:ascii="宋体"/>
                <w:sz w:val="22"/>
              </w:rPr>
              <w:t>注意事项</w:t>
            </w:r>
          </w:p>
        </w:tc>
        <w:tc>
          <w:tcPr>
            <w:tcW w:w="7776" w:type="dxa"/>
            <w:vAlign w:val="center"/>
          </w:tcPr>
          <w:p>
            <w:pPr>
              <w:spacing w:line="300" w:lineRule="exact"/>
              <w:rPr>
                <w:rFonts w:ascii="宋体" w:cs="Courier New"/>
                <w:sz w:val="22"/>
              </w:rPr>
            </w:pPr>
            <w:r>
              <w:rPr>
                <w:rFonts w:hint="eastAsia" w:ascii="宋体" w:cs="Courier New"/>
                <w:sz w:val="22"/>
              </w:rPr>
              <w:t>1.请务必确保投标文件制作客户端为最新版本，旧版本可能导致投标文件解密失败。</w:t>
            </w:r>
          </w:p>
          <w:p>
            <w:pPr>
              <w:spacing w:line="300" w:lineRule="exact"/>
              <w:rPr>
                <w:rFonts w:ascii="宋体"/>
                <w:sz w:val="22"/>
              </w:rPr>
            </w:pPr>
            <w:r>
              <w:rPr>
                <w:rFonts w:hint="eastAsia" w:ascii="宋体" w:cs="Courier New"/>
                <w:sz w:val="22"/>
              </w:rPr>
              <w:t>2.请务必确保投标文件制作时所用的 CA 锁与投标文件解密时的 CA 锁为同一把，否则可能导致投标文件解密失败。</w:t>
            </w:r>
          </w:p>
        </w:tc>
      </w:tr>
    </w:tbl>
    <w:p>
      <w:pPr>
        <w:pStyle w:val="2"/>
        <w:ind w:firstLine="600"/>
        <w:rPr>
          <w:rFonts w:ascii="仿宋" w:hAnsi="仿宋" w:eastAsia="仿宋_GB2312"/>
          <w:color w:val="000000"/>
          <w:sz w:val="30"/>
          <w:szCs w:val="30"/>
        </w:rPr>
        <w:sectPr>
          <w:pgSz w:w="11906" w:h="16838"/>
          <w:pgMar w:top="1440" w:right="1800" w:bottom="1440" w:left="1800" w:header="851" w:footer="992" w:gutter="0"/>
          <w:cols w:space="425" w:num="1"/>
          <w:docGrid w:type="lines" w:linePitch="312" w:charSpace="0"/>
        </w:sectPr>
      </w:pPr>
    </w:p>
    <w:p>
      <w:pPr>
        <w:snapToGrid w:val="0"/>
        <w:spacing w:line="460" w:lineRule="atLeast"/>
        <w:ind w:firstLine="442" w:firstLineChars="200"/>
        <w:rPr>
          <w:rFonts w:ascii="宋体"/>
          <w:b/>
          <w:bCs/>
          <w:sz w:val="22"/>
        </w:rPr>
      </w:pPr>
      <w:r>
        <w:rPr>
          <w:rFonts w:hint="eastAsia" w:ascii="宋体"/>
          <w:b/>
          <w:bCs/>
          <w:sz w:val="22"/>
        </w:rPr>
        <w:t>一、说明</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1、本次采购工作是按照《中华人民共和国政府采购法》及相关法律规章组织和实施。</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2、</w:t>
      </w:r>
      <w:r>
        <w:rPr>
          <w:rFonts w:hint="eastAsia" w:ascii="宋体"/>
          <w:bCs/>
          <w:sz w:val="22"/>
        </w:rPr>
        <w:t>投标供应商必须针对本项目全部内容进行投标，否则按无效投标处理。</w:t>
      </w:r>
    </w:p>
    <w:p>
      <w:pPr>
        <w:autoSpaceDE w:val="0"/>
        <w:autoSpaceDN w:val="0"/>
        <w:adjustRightInd w:val="0"/>
        <w:snapToGrid w:val="0"/>
        <w:spacing w:line="460" w:lineRule="atLeast"/>
        <w:ind w:firstLine="420" w:firstLineChars="191"/>
        <w:textAlignment w:val="bottom"/>
        <w:rPr>
          <w:rFonts w:ascii="宋体"/>
          <w:sz w:val="22"/>
          <w:u w:val="single"/>
        </w:rPr>
      </w:pPr>
      <w:r>
        <w:rPr>
          <w:rFonts w:hint="eastAsia" w:ascii="宋体"/>
          <w:sz w:val="22"/>
        </w:rPr>
        <w:t>3、无论投标过程中的作法和结果如何，投标供应商自行承担投标活动中所发生的全部费用。</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lang w:val="zh-CN"/>
        </w:rPr>
        <w:t>4、</w:t>
      </w:r>
      <w:r>
        <w:rPr>
          <w:rFonts w:hint="eastAsia" w:ascii="宋体"/>
          <w:sz w:val="22"/>
        </w:rPr>
        <w:t>本次采购如果某个（些）投标供应商投标报价超出采购预算的，则拒绝接受其投标报价，按无效标处理。</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5、投标供应商须自行勘察现场，确认采购人的实际需求，取得准确的报价依据。投标供应商中标后不得以各种理由提出增价要求，否则做投标违约处理，采购人有权终止合同。</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6、投标供应商针对本项目的要求，提供管理制度、工作流程，各岗位人员安排计划表及岗位职责，签订合同时须向采购人提供细化的工作流程，工作人员名单、身份证复印件。如需调换名单中相关人员，须经采购人同意方能调换；实际工作过程中，采购人认为某个区域内有工作人员不能胜任的，中标供应商须无条件调换人员。</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7、本次采购，在服务期内如因政策性因素调整导致相关人员的工资、社保、节假日补贴、加班补贴、高温补贴出现变化的，该部分费用由中标供应商自行承担，采购人不予以调整。各投标供应商在报价时须综合考虑风险。在服务期内，中标供应商未按相关法律、法规缴纳社保而引起的纠纷投诉，由中标供应商自行承担相关后果，采购人概不负责。在服务期内，</w:t>
      </w:r>
      <w:r>
        <w:rPr>
          <w:rFonts w:ascii="宋体"/>
          <w:sz w:val="22"/>
        </w:rPr>
        <w:t>中标供应商的工作人员出现意外事故导致人员伤亡的情况，均由中标供应商自负责任</w:t>
      </w:r>
      <w:r>
        <w:rPr>
          <w:rFonts w:hint="eastAsia" w:ascii="宋体"/>
          <w:sz w:val="22"/>
        </w:rPr>
        <w:t>，</w:t>
      </w:r>
      <w:r>
        <w:rPr>
          <w:rFonts w:ascii="宋体"/>
          <w:sz w:val="22"/>
        </w:rPr>
        <w:t>各投标供应商须在报价中考虑风险。</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8、本次采购所涉及的人员食、宿、交通、工作服装均由投标供应商自行解决，相关费用包含在总价中。</w:t>
      </w:r>
    </w:p>
    <w:p>
      <w:pPr>
        <w:pStyle w:val="2"/>
        <w:spacing w:line="360" w:lineRule="auto"/>
        <w:ind w:left="0" w:leftChars="0" w:firstLine="0" w:firstLineChars="0"/>
        <w:rPr>
          <w:rFonts w:ascii="宋体"/>
          <w:sz w:val="22"/>
        </w:rPr>
      </w:pPr>
      <w:r>
        <w:rPr>
          <w:rFonts w:hint="eastAsia" w:ascii="宋体"/>
          <w:sz w:val="22"/>
        </w:rPr>
        <w:t xml:space="preserve">   9.★1. 《政府采购货物和服务招标投标管理办法》（财政部令第87号）：第三十一条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
        <w:spacing w:line="360" w:lineRule="auto"/>
        <w:ind w:left="0" w:leftChars="0" w:firstLine="0" w:firstLineChars="0"/>
        <w:rPr>
          <w:rFonts w:ascii="宋体"/>
          <w:sz w:val="22"/>
        </w:rPr>
      </w:pPr>
      <w:r>
        <w:rPr>
          <w:rFonts w:hint="eastAsia" w:ascii="宋体"/>
          <w:sz w:val="22"/>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
        <w:spacing w:line="360" w:lineRule="auto"/>
        <w:ind w:left="0" w:leftChars="0" w:firstLine="0" w:firstLineChars="0"/>
      </w:pPr>
      <w:r>
        <w:rPr>
          <w:rFonts w:hint="eastAsia" w:ascii="宋体"/>
          <w:sz w:val="22"/>
        </w:rPr>
        <w:t>非单一产品采购项目，采购人应当根据采购项目技术构成、产品价格比重等合理确定核心产品，并在招标文件中载明。多家投标人提供的核心产品品牌相同的，按前两款规定处理。</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10、</w:t>
      </w:r>
      <w:r>
        <w:rPr>
          <w:rFonts w:ascii="宋体"/>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pPr>
        <w:autoSpaceDE w:val="0"/>
        <w:autoSpaceDN w:val="0"/>
        <w:adjustRightInd w:val="0"/>
        <w:snapToGrid w:val="0"/>
        <w:spacing w:line="460" w:lineRule="atLeast"/>
        <w:ind w:firstLine="420" w:firstLineChars="191"/>
        <w:textAlignment w:val="bottom"/>
        <w:rPr>
          <w:rFonts w:ascii="宋体"/>
          <w:sz w:val="22"/>
        </w:rPr>
      </w:pPr>
      <w:r>
        <w:rPr>
          <w:rFonts w:hint="eastAsia" w:ascii="宋体"/>
          <w:sz w:val="22"/>
        </w:rPr>
        <w:t>除单一来源采购项目外，为采购项目提供整体设计、规范编制或者项目管理、监理、检测等服务的供应商，不得再参加该采购项目的其他采购活动。</w:t>
      </w:r>
    </w:p>
    <w:p>
      <w:pPr>
        <w:autoSpaceDE w:val="0"/>
        <w:autoSpaceDN w:val="0"/>
        <w:adjustRightInd w:val="0"/>
        <w:snapToGrid w:val="0"/>
        <w:spacing w:line="460" w:lineRule="exact"/>
        <w:ind w:firstLine="440" w:firstLineChars="200"/>
        <w:textAlignment w:val="bottom"/>
        <w:rPr>
          <w:rFonts w:ascii="宋体" w:cs="Verdana"/>
          <w:sz w:val="22"/>
        </w:rPr>
      </w:pPr>
      <w:r>
        <w:rPr>
          <w:rFonts w:hint="eastAsia" w:ascii="宋体" w:cs="Verdana"/>
          <w:sz w:val="22"/>
        </w:rPr>
        <w:t>11、本项目采用在线投标响应方式，执行《浙江省财政厅关于印发浙江省政府采购项目电子交易管理暂行办法的通知》（浙财采监〔</w:t>
      </w:r>
      <w:r>
        <w:rPr>
          <w:rFonts w:ascii="宋体" w:cs="Verdana"/>
          <w:sz w:val="22"/>
        </w:rPr>
        <w:t>2019〕10 号）等相关规定。</w:t>
      </w:r>
    </w:p>
    <w:p>
      <w:pPr>
        <w:pStyle w:val="2"/>
        <w:ind w:left="0" w:leftChars="0" w:firstLine="440"/>
      </w:pPr>
      <w:r>
        <w:rPr>
          <w:rFonts w:hint="eastAsia" w:ascii="宋体" w:cs="Verdana"/>
          <w:bCs/>
          <w:sz w:val="22"/>
          <w:szCs w:val="22"/>
        </w:rPr>
        <w:t>12、</w:t>
      </w:r>
      <w:r>
        <w:rPr>
          <w:rFonts w:hint="eastAsia" w:ascii="宋体" w:cs="Verdana"/>
          <w:sz w:val="22"/>
          <w:szCs w:val="22"/>
        </w:rPr>
        <w:t>本项目在线开评标进行时，供应商法定代表人或其授权代表需自行关注平台提示信息，期间如有发出“询标</w:t>
      </w:r>
      <w:r>
        <w:rPr>
          <w:rFonts w:ascii="宋体" w:cs="Verdana"/>
          <w:sz w:val="22"/>
          <w:szCs w:val="22"/>
        </w:rPr>
        <w:t>/澄清函”等相关线上函件时，因供应商自身原因逾期/错过回复时间，由此造成的后果由供应商自行承担</w:t>
      </w:r>
      <w:r>
        <w:rPr>
          <w:rFonts w:ascii="宋体" w:cs="Verdana"/>
          <w:bCs/>
          <w:sz w:val="22"/>
          <w:szCs w:val="22"/>
        </w:rPr>
        <w:t>。</w:t>
      </w:r>
    </w:p>
    <w:p>
      <w:pPr>
        <w:snapToGrid w:val="0"/>
        <w:spacing w:line="460" w:lineRule="atLeast"/>
        <w:ind w:firstLine="442" w:firstLineChars="200"/>
        <w:rPr>
          <w:rFonts w:ascii="宋体"/>
          <w:b/>
          <w:bCs/>
          <w:sz w:val="22"/>
        </w:rPr>
      </w:pPr>
      <w:r>
        <w:rPr>
          <w:rFonts w:hint="eastAsia" w:ascii="宋体"/>
          <w:b/>
          <w:bCs/>
          <w:sz w:val="22"/>
        </w:rPr>
        <w:t>二、招标文件</w:t>
      </w:r>
    </w:p>
    <w:p>
      <w:pPr>
        <w:autoSpaceDE w:val="0"/>
        <w:autoSpaceDN w:val="0"/>
        <w:adjustRightInd w:val="0"/>
        <w:snapToGrid w:val="0"/>
        <w:spacing w:line="460" w:lineRule="atLeast"/>
        <w:ind w:firstLine="426"/>
        <w:rPr>
          <w:rFonts w:ascii="宋体"/>
          <w:sz w:val="22"/>
          <w:lang w:val="zh-CN"/>
        </w:rPr>
      </w:pPr>
      <w:r>
        <w:rPr>
          <w:rFonts w:hint="eastAsia" w:ascii="宋体"/>
          <w:sz w:val="22"/>
          <w:lang w:val="zh-CN"/>
        </w:rPr>
        <w:t>1、招标文件</w:t>
      </w:r>
    </w:p>
    <w:p>
      <w:pPr>
        <w:autoSpaceDE w:val="0"/>
        <w:autoSpaceDN w:val="0"/>
        <w:adjustRightInd w:val="0"/>
        <w:snapToGrid w:val="0"/>
        <w:spacing w:line="440" w:lineRule="exact"/>
        <w:ind w:firstLine="440" w:firstLineChars="200"/>
        <w:rPr>
          <w:rFonts w:ascii="宋体"/>
          <w:sz w:val="22"/>
          <w:lang w:val="zh-CN"/>
        </w:rPr>
      </w:pPr>
      <w:r>
        <w:rPr>
          <w:rFonts w:hint="eastAsia" w:ascii="宋体"/>
          <w:sz w:val="22"/>
          <w:lang w:val="zh-CN"/>
        </w:rPr>
        <w:t>1.1、招标文件获取</w:t>
      </w:r>
    </w:p>
    <w:p>
      <w:pPr>
        <w:autoSpaceDE w:val="0"/>
        <w:autoSpaceDN w:val="0"/>
        <w:adjustRightInd w:val="0"/>
        <w:snapToGrid w:val="0"/>
        <w:spacing w:line="460" w:lineRule="atLeast"/>
        <w:ind w:firstLine="440" w:firstLineChars="200"/>
        <w:rPr>
          <w:rFonts w:ascii="宋体"/>
          <w:sz w:val="22"/>
          <w:lang w:val="zh-CN"/>
        </w:rPr>
      </w:pPr>
      <w:r>
        <w:rPr>
          <w:rFonts w:hint="eastAsia" w:ascii="宋体" w:cs="宋体"/>
          <w:bCs/>
          <w:sz w:val="22"/>
        </w:rPr>
        <w:t>本项目招标文件实行“政府采购云平台”在线获取，不提供招标文件纸质版。</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1.2、招标文件约束力</w:t>
      </w:r>
    </w:p>
    <w:p>
      <w:pPr>
        <w:autoSpaceDE w:val="0"/>
        <w:autoSpaceDN w:val="0"/>
        <w:adjustRightInd w:val="0"/>
        <w:snapToGrid w:val="0"/>
        <w:spacing w:line="460" w:lineRule="atLeast"/>
        <w:ind w:firstLine="431" w:firstLineChars="196"/>
        <w:rPr>
          <w:rFonts w:ascii="宋体"/>
          <w:sz w:val="22"/>
          <w:lang w:val="zh-CN"/>
        </w:rPr>
      </w:pPr>
      <w:r>
        <w:rPr>
          <w:rFonts w:hint="eastAsia" w:ascii="宋体"/>
          <w:sz w:val="22"/>
          <w:lang w:val="zh-CN"/>
        </w:rPr>
        <w:t>投标供应商</w:t>
      </w:r>
      <w:r>
        <w:rPr>
          <w:rFonts w:hint="eastAsia" w:ascii="宋体"/>
          <w:sz w:val="22"/>
        </w:rPr>
        <w:t>参加投标，即被认为接受了本招标文件中所有条款和规定。</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2、招标文件的澄清</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投标供应商对招标文件如有疑点要求澄清，或认为有必要与采购人进行技术交流，可用书面形式通知采购人。</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3、招标文件的修改</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3.1、在投标截止时间前，采购人或采购机构有权修改招标文件，并通知投标供应商。补充文件作为招标文件的补充和组成部分，对所有投标供应商均有约束力。</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3.2、为使投标供应商有足够的时间按招标文件要求修正投标文件，采购人可酌情推迟投标截止时间和开标时间，并将此变更通知投标供应商。</w:t>
      </w:r>
    </w:p>
    <w:p>
      <w:pPr>
        <w:autoSpaceDE w:val="0"/>
        <w:autoSpaceDN w:val="0"/>
        <w:adjustRightInd w:val="0"/>
        <w:snapToGrid w:val="0"/>
        <w:spacing w:line="460" w:lineRule="atLeast"/>
        <w:ind w:firstLine="440" w:firstLineChars="200"/>
        <w:rPr>
          <w:rFonts w:ascii="宋体"/>
          <w:sz w:val="22"/>
          <w:lang w:val="zh-CN"/>
        </w:rPr>
      </w:pPr>
      <w:r>
        <w:rPr>
          <w:rFonts w:hint="eastAsia" w:ascii="宋体"/>
          <w:sz w:val="22"/>
          <w:lang w:val="zh-CN"/>
        </w:rPr>
        <w:t>3.3、</w:t>
      </w:r>
      <w:r>
        <w:rPr>
          <w:rFonts w:hint="eastAsia" w:ascii="宋体" w:cs="仿宋_GB2312"/>
          <w:sz w:val="22"/>
          <w:lang w:val="zh-CN"/>
        </w:rPr>
        <w:t>本项目招标文件如有补充、更正、澄清均见浙江政府采购网。投标供应商须在投标截止前自行查看是否有补充、更正、澄清文件，并按补充、更正、澄清文件要求投标，否则责任自负。</w:t>
      </w:r>
    </w:p>
    <w:p>
      <w:pPr>
        <w:snapToGrid w:val="0"/>
        <w:spacing w:line="460" w:lineRule="atLeast"/>
        <w:ind w:firstLine="442" w:firstLineChars="200"/>
        <w:rPr>
          <w:rFonts w:ascii="宋体"/>
          <w:b/>
          <w:bCs/>
          <w:sz w:val="22"/>
        </w:rPr>
      </w:pPr>
      <w:r>
        <w:rPr>
          <w:rFonts w:hint="eastAsia" w:ascii="宋体"/>
          <w:b/>
          <w:bCs/>
          <w:sz w:val="22"/>
        </w:rPr>
        <w:t>三、投标文件</w:t>
      </w:r>
    </w:p>
    <w:p>
      <w:pPr>
        <w:snapToGrid w:val="0"/>
        <w:spacing w:line="460" w:lineRule="atLeast"/>
        <w:ind w:firstLine="440" w:firstLineChars="200"/>
        <w:rPr>
          <w:rFonts w:ascii="宋体"/>
          <w:sz w:val="22"/>
        </w:rPr>
      </w:pPr>
      <w:r>
        <w:rPr>
          <w:rFonts w:hint="eastAsia" w:ascii="宋体"/>
          <w:sz w:val="22"/>
        </w:rPr>
        <w:t>1、投标文件</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1.1</w:t>
      </w:r>
      <w:r>
        <w:rPr>
          <w:rFonts w:hint="eastAsia" w:ascii="宋体"/>
          <w:sz w:val="22"/>
          <w:lang w:val="zh-CN"/>
        </w:rPr>
        <w:t>、</w:t>
      </w:r>
      <w:r>
        <w:rPr>
          <w:rFonts w:ascii="宋体"/>
          <w:sz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1.2</w:t>
      </w:r>
      <w:r>
        <w:rPr>
          <w:rFonts w:hint="eastAsia" w:ascii="宋体"/>
          <w:sz w:val="22"/>
          <w:lang w:val="zh-CN"/>
        </w:rPr>
        <w:t>、</w:t>
      </w:r>
      <w:r>
        <w:rPr>
          <w:rFonts w:ascii="宋体"/>
          <w:sz w:val="22"/>
          <w:lang w:val="zh-CN"/>
        </w:rPr>
        <w:t>投标供应商提交的投标文件报价均采用人民币报价。</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1.3</w:t>
      </w:r>
      <w:r>
        <w:rPr>
          <w:rFonts w:hint="eastAsia" w:ascii="宋体"/>
          <w:sz w:val="22"/>
          <w:lang w:val="zh-CN"/>
        </w:rPr>
        <w:t>、</w:t>
      </w:r>
      <w:r>
        <w:rPr>
          <w:rFonts w:ascii="宋体"/>
          <w:sz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1.4</w:t>
      </w:r>
      <w:r>
        <w:rPr>
          <w:rFonts w:hint="eastAsia" w:ascii="宋体"/>
          <w:sz w:val="22"/>
          <w:lang w:val="zh-CN"/>
        </w:rPr>
        <w:t>、</w:t>
      </w:r>
      <w:r>
        <w:rPr>
          <w:rFonts w:ascii="宋体"/>
          <w:sz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60" w:lineRule="atLeast"/>
        <w:ind w:firstLine="440" w:firstLineChars="200"/>
        <w:rPr>
          <w:rFonts w:ascii="宋体"/>
          <w:sz w:val="22"/>
          <w:lang w:val="zh-CN"/>
        </w:rPr>
      </w:pPr>
      <w:r>
        <w:rPr>
          <w:rFonts w:ascii="宋体"/>
          <w:sz w:val="22"/>
          <w:lang w:val="zh-CN"/>
        </w:rPr>
        <w:t>1.5</w:t>
      </w:r>
      <w:r>
        <w:rPr>
          <w:rFonts w:hint="eastAsia" w:ascii="宋体"/>
          <w:sz w:val="22"/>
          <w:lang w:val="zh-CN"/>
        </w:rPr>
        <w:t>、</w:t>
      </w:r>
      <w:r>
        <w:rPr>
          <w:rFonts w:ascii="宋体"/>
          <w:sz w:val="22"/>
          <w:lang w:val="zh-CN"/>
        </w:rPr>
        <w:t>投标供应商应仔细阅读招标文件中的所有内容，按照招标文件要求，详细编制投标文件，所有文件资料必须是针对本次投标。不按招标文件的要求提供的投标文件可能导致被拒绝。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60" w:lineRule="atLeast"/>
        <w:rPr>
          <w:rFonts w:ascii="宋体"/>
          <w:sz w:val="22"/>
          <w:lang w:val="zh-CN"/>
        </w:rPr>
      </w:pPr>
    </w:p>
    <w:p>
      <w:pPr>
        <w:autoSpaceDE w:val="0"/>
        <w:autoSpaceDN w:val="0"/>
        <w:adjustRightInd w:val="0"/>
        <w:snapToGrid w:val="0"/>
        <w:spacing w:line="460" w:lineRule="atLeast"/>
        <w:ind w:firstLine="442" w:firstLineChars="200"/>
        <w:rPr>
          <w:rFonts w:ascii="宋体"/>
          <w:b/>
          <w:bCs/>
          <w:sz w:val="22"/>
          <w:lang w:val="zh-CN"/>
        </w:rPr>
      </w:pPr>
      <w:r>
        <w:rPr>
          <w:rFonts w:hint="eastAsia" w:ascii="宋体"/>
          <w:b/>
          <w:bCs/>
          <w:sz w:val="22"/>
          <w:lang w:val="zh-CN"/>
        </w:rPr>
        <w:t>2、投标文件的组成</w:t>
      </w:r>
    </w:p>
    <w:p>
      <w:pPr>
        <w:autoSpaceDE w:val="0"/>
        <w:autoSpaceDN w:val="0"/>
        <w:adjustRightInd w:val="0"/>
        <w:snapToGrid w:val="0"/>
        <w:spacing w:line="440" w:lineRule="exact"/>
        <w:ind w:firstLine="440" w:firstLineChars="200"/>
        <w:rPr>
          <w:rFonts w:ascii="宋体"/>
          <w:sz w:val="22"/>
          <w:u w:val="single"/>
        </w:rPr>
      </w:pPr>
      <w:r>
        <w:rPr>
          <w:rFonts w:hint="eastAsia" w:ascii="宋体"/>
          <w:sz w:val="22"/>
          <w:u w:val="single"/>
        </w:rPr>
        <w:t>投标文件由“资格文件”、“报价文件”和“商务技术文件”组成。资格文件、商务技术文件不得含报价，否则投标将被拒绝。</w:t>
      </w:r>
    </w:p>
    <w:p>
      <w:pPr>
        <w:pStyle w:val="2"/>
      </w:pPr>
    </w:p>
    <w:p>
      <w:pPr>
        <w:autoSpaceDE w:val="0"/>
        <w:autoSpaceDN w:val="0"/>
        <w:adjustRightInd w:val="0"/>
        <w:snapToGrid w:val="0"/>
        <w:spacing w:line="460" w:lineRule="atLeast"/>
        <w:ind w:firstLine="442" w:firstLineChars="200"/>
        <w:rPr>
          <w:rFonts w:ascii="宋体" w:hAnsi="宋体"/>
          <w:b/>
          <w:kern w:val="0"/>
          <w:sz w:val="22"/>
        </w:rPr>
      </w:pPr>
      <w:r>
        <w:rPr>
          <w:rFonts w:hint="eastAsia" w:ascii="宋体" w:hAnsi="宋体"/>
          <w:b/>
          <w:kern w:val="0"/>
          <w:sz w:val="22"/>
        </w:rPr>
        <w:t>2.1、资格文件组成</w:t>
      </w:r>
    </w:p>
    <w:tbl>
      <w:tblPr>
        <w:tblStyle w:val="15"/>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序号</w:t>
            </w:r>
          </w:p>
        </w:tc>
        <w:tc>
          <w:tcPr>
            <w:tcW w:w="8747" w:type="dxa"/>
          </w:tcPr>
          <w:p>
            <w:pPr>
              <w:autoSpaceDE w:val="0"/>
              <w:autoSpaceDN w:val="0"/>
              <w:adjustRightInd w:val="0"/>
              <w:snapToGrid w:val="0"/>
              <w:spacing w:line="430" w:lineRule="atLeast"/>
              <w:rPr>
                <w:rFonts w:ascii="宋体" w:hAnsi="宋体" w:cs="Courier New"/>
                <w:kern w:val="0"/>
                <w:sz w:val="22"/>
                <w:szCs w:val="20"/>
                <w:lang w:val="zh-CN"/>
              </w:rPr>
            </w:pPr>
            <w:r>
              <w:rPr>
                <w:rFonts w:hint="eastAsia" w:ascii="宋体" w:hAnsi="宋体" w:cs="Courier New"/>
                <w:kern w:val="0"/>
                <w:sz w:val="22"/>
                <w:szCs w:val="20"/>
                <w:lang w:val="zh-CN"/>
              </w:rPr>
              <w:t>内容（</w:t>
            </w:r>
            <w:r>
              <w:rPr>
                <w:rFonts w:hint="eastAsia" w:ascii="宋体" w:hAnsi="宋体" w:cs="Courier New"/>
                <w:b/>
                <w:kern w:val="0"/>
                <w:sz w:val="22"/>
                <w:szCs w:val="20"/>
                <w:lang w:val="zh-CN"/>
              </w:rPr>
              <w:t>以下1-9项内容投标供应商必须提供，否则不能通过资格审查的，责任自负。</w:t>
            </w:r>
            <w:r>
              <w:rPr>
                <w:rFonts w:hint="eastAsia" w:ascii="宋体" w:hAnsi="宋体" w:cs="Courier New"/>
                <w:kern w:val="0"/>
                <w:sz w:val="22"/>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1</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投标供应商的营业执照、税务登记证（如为多证合一仅需提供营业执照，扫描件加盖公章）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2</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投标供应商近期财务报表（扫描件加盖公章，新成立企业应提供情况说明）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3</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具有履行合同所必需的设备和专业技术能力的承诺函（附件一）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4</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依法缴纳税收和社会保障资金的承诺函（附件二）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5</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参加政府采购活动前</w:t>
            </w:r>
            <w:r>
              <w:rPr>
                <w:rFonts w:ascii="宋体" w:hAnsi="宋体" w:cs="Courier New"/>
                <w:kern w:val="0"/>
                <w:sz w:val="22"/>
                <w:szCs w:val="20"/>
              </w:rPr>
              <w:t>3年内在经营活动中没有重大违法记录的声明函</w:t>
            </w:r>
            <w:r>
              <w:rPr>
                <w:rFonts w:hint="eastAsia" w:ascii="宋体" w:hAnsi="宋体" w:cs="Courier New"/>
                <w:kern w:val="0"/>
                <w:sz w:val="22"/>
                <w:szCs w:val="20"/>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lang w:val="zh-CN"/>
              </w:rPr>
            </w:pPr>
            <w:r>
              <w:rPr>
                <w:rFonts w:hint="eastAsia" w:ascii="宋体" w:hAnsi="宋体" w:cs="Courier New"/>
                <w:kern w:val="0"/>
                <w:sz w:val="22"/>
                <w:szCs w:val="20"/>
                <w:lang w:val="zh-CN"/>
              </w:rPr>
              <w:t>6</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投标供应商特定资格条件证明：</w:t>
            </w:r>
            <w:r>
              <w:rPr>
                <w:rFonts w:ascii="宋体" w:hAnsi="宋体" w:cs="Courier New"/>
                <w:kern w:val="0"/>
                <w:sz w:val="22"/>
                <w:szCs w:val="20"/>
              </w:rPr>
              <w:t xml:space="preserve"> </w:t>
            </w:r>
            <w:r>
              <w:rPr>
                <w:rFonts w:hint="eastAsia" w:ascii="宋体" w:hAnsi="宋体" w:cs="Courier New"/>
                <w:kern w:val="0"/>
                <w:sz w:val="22"/>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7</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投标供应商“信用中国”(www.creditchina.gov.cn)；“中国政府采购网”（www.ccgp.gov.cn）信用记录查询网页截图（招标公告发布之日至投标截止时间前）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8</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投标供应商参与政府采购活动投标资格声明函（附件四）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vAlign w:val="center"/>
          </w:tcPr>
          <w:p>
            <w:pPr>
              <w:autoSpaceDE w:val="0"/>
              <w:autoSpaceDN w:val="0"/>
              <w:adjustRightInd w:val="0"/>
              <w:snapToGrid w:val="0"/>
              <w:spacing w:line="430" w:lineRule="atLeast"/>
              <w:jc w:val="center"/>
              <w:rPr>
                <w:rFonts w:ascii="宋体" w:hAnsi="宋体" w:cs="Courier New"/>
                <w:kern w:val="0"/>
                <w:sz w:val="22"/>
                <w:szCs w:val="20"/>
              </w:rPr>
            </w:pPr>
            <w:r>
              <w:rPr>
                <w:rFonts w:hint="eastAsia" w:ascii="宋体" w:hAnsi="宋体" w:cs="Courier New"/>
                <w:kern w:val="0"/>
                <w:sz w:val="22"/>
                <w:szCs w:val="20"/>
              </w:rPr>
              <w:t>9</w:t>
            </w:r>
          </w:p>
        </w:tc>
        <w:tc>
          <w:tcPr>
            <w:tcW w:w="8747" w:type="dxa"/>
          </w:tcPr>
          <w:p>
            <w:pPr>
              <w:autoSpaceDE w:val="0"/>
              <w:autoSpaceDN w:val="0"/>
              <w:adjustRightInd w:val="0"/>
              <w:snapToGrid w:val="0"/>
              <w:spacing w:line="430" w:lineRule="atLeast"/>
              <w:rPr>
                <w:rFonts w:ascii="宋体" w:hAnsi="宋体" w:cs="Courier New"/>
                <w:kern w:val="0"/>
                <w:sz w:val="22"/>
                <w:szCs w:val="20"/>
              </w:rPr>
            </w:pPr>
            <w:r>
              <w:rPr>
                <w:rFonts w:hint="eastAsia" w:ascii="宋体" w:hAnsi="宋体" w:cs="Courier New"/>
                <w:kern w:val="0"/>
                <w:sz w:val="22"/>
                <w:szCs w:val="20"/>
              </w:rPr>
              <w:t>与参加本次项目同一合同项下政府采购活动的其他供应商不存在单位负责人为同一人或者直接控股、管理关系的承诺函（附件五）</w:t>
            </w:r>
          </w:p>
        </w:tc>
      </w:tr>
    </w:tbl>
    <w:p>
      <w:pPr>
        <w:autoSpaceDE w:val="0"/>
        <w:autoSpaceDN w:val="0"/>
        <w:adjustRightInd w:val="0"/>
        <w:snapToGrid w:val="0"/>
        <w:spacing w:line="460" w:lineRule="atLeast"/>
        <w:ind w:firstLine="440" w:firstLineChars="200"/>
        <w:rPr>
          <w:rFonts w:ascii="宋体" w:hAnsi="宋体"/>
          <w:kern w:val="0"/>
          <w:sz w:val="22"/>
          <w:lang w:val="zh-CN"/>
        </w:rPr>
      </w:pPr>
      <w:r>
        <w:rPr>
          <w:rFonts w:hint="eastAsia" w:ascii="宋体" w:hAnsi="宋体"/>
          <w:kern w:val="0"/>
          <w:sz w:val="22"/>
          <w:lang w:val="zh-CN"/>
        </w:rPr>
        <w:t>2.2、</w:t>
      </w:r>
      <w:r>
        <w:rPr>
          <w:rFonts w:hint="eastAsia" w:ascii="宋体" w:hAnsi="宋体"/>
          <w:b/>
          <w:kern w:val="0"/>
          <w:sz w:val="22"/>
        </w:rPr>
        <w:t>报价文件</w:t>
      </w:r>
      <w:r>
        <w:rPr>
          <w:rFonts w:hint="eastAsia" w:ascii="宋体" w:hAnsi="宋体"/>
          <w:b/>
          <w:kern w:val="0"/>
          <w:sz w:val="22"/>
          <w:lang w:val="zh-CN"/>
        </w:rPr>
        <w:t>组成</w:t>
      </w:r>
    </w:p>
    <w:tbl>
      <w:tblPr>
        <w:tblStyle w:val="15"/>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序号</w:t>
            </w:r>
          </w:p>
        </w:tc>
        <w:tc>
          <w:tcPr>
            <w:tcW w:w="8811"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内容（★</w:t>
            </w:r>
            <w:r>
              <w:rPr>
                <w:rFonts w:hint="eastAsia" w:ascii="宋体" w:hAnsi="宋体" w:cs="宋体"/>
                <w:b/>
                <w:kern w:val="0"/>
                <w:sz w:val="22"/>
                <w:szCs w:val="20"/>
                <w:lang w:val="zh-CN"/>
              </w:rPr>
              <w:t>序号2-3项投标供应商必须提供，否则不能通过符合性审查的，责任自负。</w:t>
            </w:r>
            <w:r>
              <w:rPr>
                <w:rFonts w:hint="eastAsia" w:ascii="宋体" w:hAnsi="宋体" w:cs="宋体"/>
                <w:kern w:val="0"/>
                <w:sz w:val="22"/>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1</w:t>
            </w:r>
          </w:p>
        </w:tc>
        <w:tc>
          <w:tcPr>
            <w:tcW w:w="8811"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kern w:val="0"/>
                <w:sz w:val="22"/>
              </w:rPr>
              <w:t>报价文件封面（格式自拟）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2</w:t>
            </w:r>
          </w:p>
        </w:tc>
        <w:tc>
          <w:tcPr>
            <w:tcW w:w="8811" w:type="dxa"/>
            <w:shd w:val="clear" w:color="auto" w:fill="auto"/>
          </w:tcPr>
          <w:p>
            <w:pPr>
              <w:autoSpaceDE w:val="0"/>
              <w:autoSpaceDN w:val="0"/>
              <w:adjustRightInd w:val="0"/>
              <w:spacing w:line="430" w:lineRule="atLeast"/>
              <w:textAlignment w:val="bottom"/>
              <w:rPr>
                <w:rFonts w:ascii="宋体" w:hAnsi="宋体" w:cs="宋体"/>
                <w:kern w:val="0"/>
                <w:sz w:val="22"/>
                <w:szCs w:val="20"/>
              </w:rPr>
            </w:pPr>
            <w:r>
              <w:rPr>
                <w:rFonts w:hint="eastAsia" w:ascii="宋体" w:hAnsi="宋体" w:cs="宋体"/>
                <w:kern w:val="0"/>
                <w:sz w:val="22"/>
                <w:szCs w:val="20"/>
              </w:rPr>
              <w:t>开标一览表（附件六）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3</w:t>
            </w:r>
          </w:p>
        </w:tc>
        <w:tc>
          <w:tcPr>
            <w:tcW w:w="8811" w:type="dxa"/>
            <w:shd w:val="clear" w:color="auto" w:fill="auto"/>
          </w:tcPr>
          <w:p>
            <w:pPr>
              <w:autoSpaceDE w:val="0"/>
              <w:autoSpaceDN w:val="0"/>
              <w:adjustRightInd w:val="0"/>
              <w:spacing w:line="430" w:lineRule="atLeast"/>
              <w:textAlignment w:val="bottom"/>
              <w:rPr>
                <w:rFonts w:ascii="宋体" w:hAnsi="宋体" w:cs="宋体"/>
                <w:kern w:val="0"/>
                <w:sz w:val="22"/>
                <w:szCs w:val="20"/>
                <w:lang w:val="zh-CN"/>
              </w:rPr>
            </w:pPr>
            <w:r>
              <w:rPr>
                <w:rFonts w:hint="eastAsia" w:ascii="宋体" w:hAnsi="宋体" w:cs="宋体"/>
                <w:kern w:val="0"/>
                <w:sz w:val="22"/>
                <w:szCs w:val="20"/>
              </w:rPr>
              <w:t>投标分项报价表（附件七）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4</w:t>
            </w:r>
          </w:p>
        </w:tc>
        <w:tc>
          <w:tcPr>
            <w:tcW w:w="8811" w:type="dxa"/>
            <w:shd w:val="clear" w:color="auto" w:fill="auto"/>
          </w:tcPr>
          <w:p>
            <w:pPr>
              <w:autoSpaceDE w:val="0"/>
              <w:autoSpaceDN w:val="0"/>
              <w:adjustRightInd w:val="0"/>
              <w:spacing w:line="430" w:lineRule="atLeast"/>
              <w:textAlignment w:val="bottom"/>
              <w:rPr>
                <w:rFonts w:ascii="宋体" w:hAnsi="宋体" w:cs="宋体"/>
                <w:kern w:val="0"/>
                <w:sz w:val="22"/>
                <w:szCs w:val="20"/>
              </w:rPr>
            </w:pPr>
            <w:r>
              <w:rPr>
                <w:rFonts w:hint="eastAsia" w:ascii="宋体" w:hAnsi="宋体" w:cs="宋体"/>
                <w:kern w:val="0"/>
                <w:sz w:val="22"/>
                <w:szCs w:val="20"/>
              </w:rPr>
              <w:t>其他须说明的资料（如有则提供）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rPr>
            </w:pPr>
            <w:r>
              <w:rPr>
                <w:rFonts w:hint="eastAsia" w:ascii="宋体" w:hAnsi="宋体" w:cs="宋体"/>
                <w:kern w:val="0"/>
                <w:sz w:val="22"/>
                <w:szCs w:val="20"/>
              </w:rPr>
              <w:t>5</w:t>
            </w:r>
          </w:p>
        </w:tc>
        <w:tc>
          <w:tcPr>
            <w:tcW w:w="8811" w:type="dxa"/>
            <w:shd w:val="clear" w:color="auto" w:fill="auto"/>
          </w:tcPr>
          <w:p>
            <w:pPr>
              <w:snapToGrid w:val="0"/>
              <w:spacing w:line="460" w:lineRule="atLeast"/>
              <w:rPr>
                <w:rFonts w:ascii="宋体" w:hAnsi="宋体"/>
                <w:b/>
                <w:kern w:val="0"/>
                <w:sz w:val="22"/>
              </w:rPr>
            </w:pPr>
            <w:r>
              <w:rPr>
                <w:rFonts w:hint="eastAsia" w:ascii="宋体" w:hAnsi="宋体"/>
                <w:b/>
                <w:kern w:val="0"/>
                <w:sz w:val="22"/>
              </w:rPr>
              <w:t>1、享受小微企业价格折扣应提供以下证明材料（放在报价文件中，缺一不可）：</w:t>
            </w:r>
          </w:p>
          <w:p>
            <w:pPr>
              <w:snapToGrid w:val="0"/>
              <w:spacing w:line="460" w:lineRule="atLeast"/>
              <w:rPr>
                <w:rFonts w:ascii="宋体" w:hAnsi="宋体"/>
                <w:b/>
                <w:kern w:val="0"/>
                <w:sz w:val="22"/>
              </w:rPr>
            </w:pPr>
            <w:r>
              <w:rPr>
                <w:rFonts w:hint="eastAsia" w:ascii="宋体" w:hAnsi="宋体"/>
                <w:b/>
                <w:kern w:val="0"/>
                <w:sz w:val="22"/>
              </w:rPr>
              <w:t>（</w:t>
            </w:r>
            <w:r>
              <w:rPr>
                <w:rFonts w:ascii="宋体" w:hAnsi="宋体"/>
                <w:b/>
                <w:kern w:val="0"/>
                <w:sz w:val="22"/>
              </w:rPr>
              <w:t>1）</w:t>
            </w:r>
            <w:r>
              <w:rPr>
                <w:rFonts w:hint="eastAsia" w:ascii="宋体" w:hAnsi="宋体"/>
                <w:b/>
                <w:kern w:val="0"/>
                <w:sz w:val="22"/>
              </w:rPr>
              <w:t>提供小微企业名录库（http://xwqy.gsxt.gov.cn/mirco/micro_lib）网页截图或附供应商经相关部门盖章认定为小微、微型企业的证明文件（小企业资格确认意见书）且有效期内。；</w:t>
            </w:r>
          </w:p>
          <w:p>
            <w:pPr>
              <w:snapToGrid w:val="0"/>
              <w:spacing w:line="460" w:lineRule="atLeast"/>
              <w:rPr>
                <w:rFonts w:ascii="宋体" w:hAnsi="宋体"/>
                <w:b/>
                <w:kern w:val="0"/>
                <w:sz w:val="22"/>
              </w:rPr>
            </w:pPr>
            <w:r>
              <w:rPr>
                <w:rFonts w:hint="eastAsia" w:ascii="宋体" w:hAnsi="宋体"/>
                <w:b/>
                <w:kern w:val="0"/>
                <w:sz w:val="22"/>
              </w:rPr>
              <w:t>（</w:t>
            </w:r>
            <w:r>
              <w:rPr>
                <w:rFonts w:ascii="宋体" w:hAnsi="宋体"/>
                <w:b/>
                <w:kern w:val="0"/>
                <w:sz w:val="22"/>
              </w:rPr>
              <w:t>2）《中小企业声明函》（加盖投标供应商公章，</w:t>
            </w:r>
            <w:r>
              <w:rPr>
                <w:rFonts w:hint="eastAsia" w:ascii="宋体" w:hAnsi="宋体"/>
                <w:b/>
                <w:kern w:val="0"/>
                <w:sz w:val="22"/>
              </w:rPr>
              <w:t>格式见招标文件第四部分</w:t>
            </w:r>
            <w:r>
              <w:rPr>
                <w:rFonts w:ascii="宋体" w:hAnsi="宋体"/>
                <w:b/>
                <w:kern w:val="0"/>
                <w:sz w:val="22"/>
              </w:rPr>
              <w:t>附件1）</w:t>
            </w:r>
            <w:r>
              <w:rPr>
                <w:rFonts w:hint="eastAsia" w:ascii="宋体" w:hAnsi="宋体"/>
                <w:b/>
                <w:kern w:val="0"/>
                <w:sz w:val="22"/>
              </w:rPr>
              <w:t>。</w:t>
            </w:r>
          </w:p>
          <w:p>
            <w:pPr>
              <w:snapToGrid w:val="0"/>
              <w:spacing w:line="460" w:lineRule="atLeast"/>
              <w:rPr>
                <w:rFonts w:ascii="宋体" w:hAnsi="宋体"/>
                <w:b/>
                <w:kern w:val="0"/>
                <w:sz w:val="22"/>
              </w:rPr>
            </w:pPr>
            <w:r>
              <w:rPr>
                <w:rFonts w:hint="eastAsia" w:ascii="宋体" w:hAnsi="宋体"/>
                <w:b/>
                <w:kern w:val="0"/>
                <w:sz w:val="22"/>
              </w:rPr>
              <w:t>2、</w:t>
            </w:r>
            <w:r>
              <w:rPr>
                <w:rFonts w:ascii="宋体" w:hAnsi="宋体"/>
                <w:b/>
                <w:kern w:val="0"/>
                <w:sz w:val="22"/>
              </w:rPr>
              <w:t>享受监狱企业价格折扣应提供以下证明材料（</w:t>
            </w:r>
            <w:r>
              <w:rPr>
                <w:rFonts w:hint="eastAsia" w:ascii="宋体" w:hAnsi="宋体"/>
                <w:b/>
                <w:kern w:val="0"/>
                <w:sz w:val="22"/>
              </w:rPr>
              <w:t>放在报价文件中，</w:t>
            </w:r>
            <w:r>
              <w:rPr>
                <w:rFonts w:ascii="宋体" w:hAnsi="宋体"/>
                <w:b/>
                <w:kern w:val="0"/>
                <w:sz w:val="22"/>
              </w:rPr>
              <w:t>不提供的不享受价格折扣）：</w:t>
            </w:r>
          </w:p>
          <w:p>
            <w:pPr>
              <w:snapToGrid w:val="0"/>
              <w:spacing w:line="460" w:lineRule="atLeast"/>
              <w:rPr>
                <w:rFonts w:ascii="宋体" w:hAnsi="宋体"/>
                <w:b/>
                <w:kern w:val="0"/>
                <w:sz w:val="22"/>
              </w:rPr>
            </w:pPr>
            <w:r>
              <w:rPr>
                <w:rFonts w:hint="eastAsia" w:ascii="宋体" w:hAnsi="宋体"/>
                <w:b/>
                <w:kern w:val="0"/>
                <w:sz w:val="22"/>
              </w:rPr>
              <w:t>（</w:t>
            </w:r>
            <w:r>
              <w:rPr>
                <w:rFonts w:ascii="宋体" w:hAnsi="宋体"/>
                <w:b/>
                <w:kern w:val="0"/>
                <w:sz w:val="22"/>
              </w:rPr>
              <w:t>1）监狱企业参加政府采购活动时，应当提供由省级及以上监狱管理局、戒毒管理局(含新疆生产建设兵团)出具的属于监狱企业的证明文件</w:t>
            </w:r>
            <w:r>
              <w:rPr>
                <w:rFonts w:hint="eastAsia" w:ascii="宋体" w:hAnsi="宋体"/>
                <w:b/>
                <w:kern w:val="0"/>
                <w:sz w:val="22"/>
              </w:rPr>
              <w:t>（</w:t>
            </w:r>
            <w:r>
              <w:rPr>
                <w:rFonts w:ascii="宋体" w:hAnsi="宋体"/>
                <w:b/>
                <w:kern w:val="0"/>
                <w:sz w:val="22"/>
              </w:rPr>
              <w:t>扫描件加盖投标供应商公章）。在政府采购活动中，监狱企业视同小型、微型企业，享受评审中价格扣除政策。</w:t>
            </w:r>
          </w:p>
          <w:p>
            <w:pPr>
              <w:snapToGrid w:val="0"/>
              <w:spacing w:line="460" w:lineRule="atLeast"/>
              <w:rPr>
                <w:rFonts w:ascii="宋体" w:hAnsi="宋体"/>
                <w:b/>
                <w:kern w:val="0"/>
                <w:sz w:val="22"/>
              </w:rPr>
            </w:pPr>
            <w:r>
              <w:rPr>
                <w:rFonts w:hint="eastAsia" w:ascii="宋体" w:hAnsi="宋体"/>
                <w:b/>
                <w:kern w:val="0"/>
                <w:sz w:val="22"/>
              </w:rPr>
              <w:t>3、享受</w:t>
            </w:r>
            <w:r>
              <w:rPr>
                <w:rFonts w:ascii="宋体" w:hAnsi="宋体"/>
                <w:b/>
                <w:kern w:val="0"/>
                <w:sz w:val="22"/>
              </w:rPr>
              <w:t>残疾人福利性单位价格折扣应提供以下证明材料（</w:t>
            </w:r>
            <w:r>
              <w:rPr>
                <w:rFonts w:hint="eastAsia" w:ascii="宋体" w:hAnsi="宋体"/>
                <w:b/>
                <w:kern w:val="0"/>
                <w:sz w:val="22"/>
              </w:rPr>
              <w:t>放在报价文件中</w:t>
            </w:r>
            <w:r>
              <w:rPr>
                <w:rFonts w:ascii="宋体" w:hAnsi="宋体"/>
                <w:b/>
                <w:kern w:val="0"/>
                <w:sz w:val="22"/>
              </w:rPr>
              <w:t>，不提供的不享受价格折扣）：</w:t>
            </w:r>
          </w:p>
          <w:p>
            <w:pPr>
              <w:snapToGrid w:val="0"/>
              <w:spacing w:line="460" w:lineRule="atLeast"/>
              <w:rPr>
                <w:rFonts w:ascii="宋体" w:hAnsi="宋体"/>
                <w:b/>
                <w:kern w:val="0"/>
                <w:sz w:val="22"/>
              </w:rPr>
            </w:pPr>
            <w:r>
              <w:rPr>
                <w:rFonts w:hint="eastAsia" w:ascii="宋体" w:hAnsi="宋体"/>
                <w:b/>
                <w:kern w:val="0"/>
                <w:sz w:val="22"/>
              </w:rPr>
              <w:t>（</w:t>
            </w:r>
            <w:r>
              <w:rPr>
                <w:rFonts w:ascii="宋体" w:hAnsi="宋体"/>
                <w:b/>
                <w:kern w:val="0"/>
                <w:sz w:val="22"/>
              </w:rPr>
              <w:t>1）残疾人福利性单位声明函（加盖投标供应商公章，</w:t>
            </w:r>
            <w:r>
              <w:rPr>
                <w:rFonts w:hint="eastAsia" w:ascii="宋体" w:hAnsi="宋体"/>
                <w:b/>
                <w:kern w:val="0"/>
                <w:sz w:val="22"/>
              </w:rPr>
              <w:t>格式见招标文件第四部分</w:t>
            </w:r>
            <w:r>
              <w:rPr>
                <w:rFonts w:ascii="宋体" w:hAnsi="宋体"/>
                <w:b/>
                <w:kern w:val="0"/>
                <w:sz w:val="22"/>
              </w:rPr>
              <w:t>附件</w:t>
            </w:r>
            <w:r>
              <w:rPr>
                <w:rFonts w:hint="eastAsia" w:ascii="宋体" w:hAnsi="宋体"/>
                <w:b/>
                <w:kern w:val="0"/>
                <w:sz w:val="22"/>
              </w:rPr>
              <w:t>2</w:t>
            </w:r>
            <w:r>
              <w:rPr>
                <w:rFonts w:ascii="宋体" w:hAnsi="宋体"/>
                <w:b/>
                <w:kern w:val="0"/>
                <w:sz w:val="22"/>
              </w:rPr>
              <w:t>）</w:t>
            </w:r>
            <w:r>
              <w:rPr>
                <w:rFonts w:hint="eastAsia" w:ascii="宋体" w:hAnsi="宋体"/>
                <w:b/>
                <w:kern w:val="0"/>
                <w:sz w:val="22"/>
              </w:rPr>
              <w:t>。在政府采购活动中，残疾人福利性单位视同小型、微型企业，享受评审中价格扣除政策。</w:t>
            </w:r>
          </w:p>
        </w:tc>
      </w:tr>
    </w:tbl>
    <w:p>
      <w:pPr>
        <w:autoSpaceDE w:val="0"/>
        <w:autoSpaceDN w:val="0"/>
        <w:adjustRightInd w:val="0"/>
        <w:snapToGrid w:val="0"/>
        <w:spacing w:line="460" w:lineRule="atLeast"/>
        <w:ind w:firstLine="440" w:firstLineChars="200"/>
        <w:textAlignment w:val="bottom"/>
        <w:rPr>
          <w:rFonts w:ascii="宋体" w:hAnsi="宋体"/>
          <w:kern w:val="0"/>
          <w:sz w:val="22"/>
        </w:rPr>
      </w:pPr>
      <w:r>
        <w:rPr>
          <w:rFonts w:hint="eastAsia" w:ascii="宋体" w:hAnsi="宋体"/>
          <w:kern w:val="0"/>
          <w:sz w:val="22"/>
        </w:rPr>
        <w:t>2.3、</w:t>
      </w:r>
      <w:r>
        <w:rPr>
          <w:rFonts w:hint="eastAsia" w:ascii="宋体" w:hAnsi="宋体"/>
          <w:b/>
          <w:kern w:val="0"/>
          <w:sz w:val="22"/>
        </w:rPr>
        <w:t>商务技术文件组成</w:t>
      </w:r>
    </w:p>
    <w:tbl>
      <w:tblPr>
        <w:tblStyle w:val="15"/>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序号</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lang w:val="zh-CN"/>
              </w:rPr>
            </w:pPr>
            <w:r>
              <w:rPr>
                <w:rFonts w:hint="eastAsia" w:ascii="宋体" w:hAnsi="宋体" w:cs="宋体"/>
                <w:kern w:val="0"/>
                <w:sz w:val="22"/>
                <w:szCs w:val="20"/>
                <w:lang w:val="zh-CN"/>
              </w:rPr>
              <w:t>内容（</w:t>
            </w:r>
            <w:r>
              <w:rPr>
                <w:rFonts w:hint="eastAsia" w:ascii="宋体" w:hAnsi="宋体" w:cs="宋体"/>
                <w:b/>
                <w:kern w:val="0"/>
                <w:sz w:val="22"/>
                <w:szCs w:val="20"/>
                <w:lang w:val="zh-CN"/>
              </w:rPr>
              <w:t>序号2-</w:t>
            </w:r>
            <w:r>
              <w:rPr>
                <w:rFonts w:hint="eastAsia" w:ascii="宋体" w:hAnsi="宋体" w:cs="宋体"/>
                <w:b/>
                <w:kern w:val="0"/>
                <w:sz w:val="22"/>
                <w:szCs w:val="20"/>
              </w:rPr>
              <w:t>5</w:t>
            </w:r>
            <w:r>
              <w:rPr>
                <w:rFonts w:hint="eastAsia" w:ascii="宋体" w:hAnsi="宋体" w:cs="宋体"/>
                <w:b/>
                <w:kern w:val="0"/>
                <w:sz w:val="22"/>
                <w:szCs w:val="20"/>
                <w:lang w:val="zh-CN"/>
              </w:rPr>
              <w:t>项投标供应商必须提供，否则不能通过符合性审查的，责任自负。</w:t>
            </w:r>
            <w:r>
              <w:rPr>
                <w:rFonts w:hint="eastAsia" w:ascii="宋体" w:hAnsi="宋体" w:cs="宋体"/>
                <w:kern w:val="0"/>
                <w:sz w:val="22"/>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1</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kern w:val="0"/>
                <w:sz w:val="22"/>
              </w:rPr>
              <w:t>商务技术文件封面（格式自拟）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2</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lang w:val="zh-CN"/>
              </w:rPr>
            </w:pPr>
            <w:r>
              <w:rPr>
                <w:rFonts w:hint="eastAsia" w:ascii="宋体" w:hAnsi="宋体" w:cs="宋体"/>
                <w:kern w:val="0"/>
                <w:sz w:val="22"/>
                <w:szCs w:val="20"/>
              </w:rPr>
              <w:t>投标函（附件八）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rPr>
            </w:pPr>
            <w:r>
              <w:rPr>
                <w:rFonts w:hint="eastAsia" w:ascii="宋体" w:hAnsi="宋体" w:cs="宋体"/>
                <w:kern w:val="0"/>
                <w:sz w:val="22"/>
                <w:szCs w:val="20"/>
              </w:rPr>
              <w:t>3</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法定代表人授权书（附件九），法定代表人参与投标的仅需提供法定代表人的身份证扫描件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4</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法定代表人诚信投标承诺书（附件十）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5</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针对本项目人员配置情况（投入本项目人员数量达不到招标文件要求的，按无效投标处理）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6</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偏离表（附件十三）（如不填写，采购人有权视为完全响应招标文件的技术及商务要求）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rPr>
            </w:pPr>
            <w:r>
              <w:rPr>
                <w:rFonts w:hint="eastAsia" w:ascii="宋体" w:hAnsi="宋体" w:cs="宋体"/>
                <w:kern w:val="0"/>
                <w:sz w:val="22"/>
                <w:szCs w:val="20"/>
              </w:rPr>
              <w:t>7</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cs="宋体"/>
                <w:kern w:val="0"/>
                <w:sz w:val="22"/>
                <w:szCs w:val="20"/>
              </w:rPr>
              <w:t>投标供应商业绩（附件十一）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rPr>
            </w:pPr>
            <w:r>
              <w:rPr>
                <w:rFonts w:hint="eastAsia" w:ascii="宋体" w:hAnsi="宋体" w:cs="宋体"/>
                <w:kern w:val="0"/>
                <w:sz w:val="22"/>
                <w:szCs w:val="20"/>
              </w:rPr>
              <w:t>8</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kern w:val="0"/>
                <w:sz w:val="22"/>
                <w:szCs w:val="20"/>
              </w:rPr>
              <w:t>拟派本项目成员组成表（附件十二）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9</w:t>
            </w:r>
          </w:p>
        </w:tc>
        <w:tc>
          <w:tcPr>
            <w:tcW w:w="8747" w:type="dxa"/>
            <w:shd w:val="clear" w:color="auto" w:fill="auto"/>
            <w:vAlign w:val="center"/>
          </w:tcPr>
          <w:p>
            <w:pPr>
              <w:autoSpaceDE w:val="0"/>
              <w:autoSpaceDN w:val="0"/>
              <w:adjustRightInd w:val="0"/>
              <w:snapToGrid w:val="0"/>
              <w:spacing w:line="360" w:lineRule="exact"/>
              <w:rPr>
                <w:rFonts w:ascii="宋体" w:hAnsi="宋体" w:cs="宋体"/>
                <w:kern w:val="0"/>
                <w:sz w:val="22"/>
                <w:szCs w:val="20"/>
              </w:rPr>
            </w:pPr>
            <w:r>
              <w:rPr>
                <w:rFonts w:hint="eastAsia" w:ascii="宋体" w:hAnsi="宋体" w:cs="宋体"/>
                <w:kern w:val="0"/>
                <w:sz w:val="22"/>
                <w:szCs w:val="20"/>
              </w:rPr>
              <w:t>投入本项目的主要设备表（附件十四）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shd w:val="clear" w:color="auto" w:fill="auto"/>
            <w:vAlign w:val="center"/>
          </w:tcPr>
          <w:p>
            <w:pPr>
              <w:autoSpaceDE w:val="0"/>
              <w:autoSpaceDN w:val="0"/>
              <w:adjustRightInd w:val="0"/>
              <w:snapToGrid w:val="0"/>
              <w:spacing w:line="430" w:lineRule="atLeast"/>
              <w:jc w:val="center"/>
              <w:rPr>
                <w:rFonts w:ascii="宋体" w:hAnsi="宋体" w:cs="宋体"/>
                <w:kern w:val="0"/>
                <w:sz w:val="22"/>
                <w:szCs w:val="20"/>
                <w:lang w:val="zh-CN"/>
              </w:rPr>
            </w:pPr>
            <w:r>
              <w:rPr>
                <w:rFonts w:hint="eastAsia" w:ascii="宋体" w:hAnsi="宋体" w:cs="宋体"/>
                <w:kern w:val="0"/>
                <w:sz w:val="22"/>
                <w:szCs w:val="20"/>
                <w:lang w:val="zh-CN"/>
              </w:rPr>
              <w:t>10</w:t>
            </w:r>
          </w:p>
        </w:tc>
        <w:tc>
          <w:tcPr>
            <w:tcW w:w="8747" w:type="dxa"/>
            <w:shd w:val="clear" w:color="auto" w:fill="auto"/>
          </w:tcPr>
          <w:p>
            <w:pPr>
              <w:autoSpaceDE w:val="0"/>
              <w:autoSpaceDN w:val="0"/>
              <w:adjustRightInd w:val="0"/>
              <w:snapToGrid w:val="0"/>
              <w:spacing w:line="430" w:lineRule="atLeast"/>
              <w:rPr>
                <w:rFonts w:ascii="宋体" w:hAnsi="宋体" w:cs="宋体"/>
                <w:kern w:val="0"/>
                <w:sz w:val="22"/>
                <w:szCs w:val="20"/>
              </w:rPr>
            </w:pPr>
            <w:r>
              <w:rPr>
                <w:rFonts w:hint="eastAsia" w:ascii="宋体" w:hAnsi="宋体" w:cs="宋体"/>
                <w:kern w:val="0"/>
                <w:sz w:val="22"/>
                <w:szCs w:val="20"/>
              </w:rPr>
              <w:t>根据招标文件需要提供的其它文件和资料（如有则提供）</w:t>
            </w:r>
          </w:p>
        </w:tc>
      </w:tr>
    </w:tbl>
    <w:p>
      <w:pPr>
        <w:pStyle w:val="2"/>
        <w:ind w:left="0" w:leftChars="0" w:firstLine="0" w:firstLineChars="0"/>
        <w:rPr>
          <w:rFonts w:asciiTheme="minorEastAsia" w:hAnsiTheme="minorEastAsia" w:eastAsiaTheme="minorEastAsia" w:cstheme="minorEastAsia"/>
          <w:sz w:val="22"/>
          <w:szCs w:val="22"/>
        </w:rPr>
      </w:pPr>
    </w:p>
    <w:p>
      <w:pPr>
        <w:autoSpaceDE w:val="0"/>
        <w:autoSpaceDN w:val="0"/>
        <w:adjustRightInd w:val="0"/>
        <w:snapToGrid w:val="0"/>
        <w:ind w:firstLine="422"/>
        <w:textAlignment w:val="bottom"/>
        <w:rPr>
          <w:rFonts w:ascii="宋体"/>
          <w:sz w:val="22"/>
        </w:rPr>
      </w:pPr>
      <w:r>
        <w:rPr>
          <w:rFonts w:hint="eastAsia" w:ascii="宋体"/>
          <w:b/>
          <w:bCs/>
          <w:sz w:val="22"/>
        </w:rPr>
        <w:t>3、投标报价</w:t>
      </w:r>
    </w:p>
    <w:p>
      <w:pPr>
        <w:autoSpaceDE w:val="0"/>
        <w:autoSpaceDN w:val="0"/>
        <w:adjustRightInd w:val="0"/>
        <w:rPr>
          <w:rFonts w:ascii="宋体"/>
          <w:sz w:val="22"/>
          <w:lang w:val="zh-CN"/>
        </w:rPr>
      </w:pPr>
      <w:r>
        <w:rPr>
          <w:rFonts w:hint="eastAsia" w:ascii="宋体"/>
          <w:sz w:val="22"/>
        </w:rPr>
        <w:t xml:space="preserve">    3.1、投标供应商应按招标文件中《开标一览表》填写投标总价。</w:t>
      </w:r>
    </w:p>
    <w:p>
      <w:pPr>
        <w:autoSpaceDE w:val="0"/>
        <w:autoSpaceDN w:val="0"/>
        <w:adjustRightInd w:val="0"/>
        <w:snapToGrid w:val="0"/>
        <w:ind w:firstLine="440" w:firstLineChars="200"/>
        <w:textAlignment w:val="bottom"/>
        <w:rPr>
          <w:rFonts w:ascii="宋体"/>
          <w:sz w:val="22"/>
        </w:rPr>
      </w:pPr>
      <w:r>
        <w:rPr>
          <w:rFonts w:hint="eastAsia" w:ascii="宋体"/>
          <w:sz w:val="22"/>
        </w:rPr>
        <w:t>3.2、本次招标只允许有一个报价，有选择的报价将不予接受。</w:t>
      </w:r>
    </w:p>
    <w:p>
      <w:pPr>
        <w:autoSpaceDE w:val="0"/>
        <w:autoSpaceDN w:val="0"/>
        <w:adjustRightInd w:val="0"/>
        <w:snapToGrid w:val="0"/>
        <w:ind w:firstLine="440" w:firstLineChars="200"/>
        <w:textAlignment w:val="bottom"/>
        <w:rPr>
          <w:rFonts w:ascii="宋体"/>
          <w:sz w:val="22"/>
        </w:rPr>
      </w:pPr>
      <w:r>
        <w:rPr>
          <w:rFonts w:hint="eastAsia" w:ascii="宋体"/>
          <w:sz w:val="22"/>
        </w:rPr>
        <w:t>3.3、投标供应商应考虑企业自身实力、经验及项目实施过程中的各种因素，自主确定报价。投标供应商应在各自技术和商务占优势的基础上并充分考虑本项目的重要性，提供对采购人最优惠的报价。</w:t>
      </w:r>
    </w:p>
    <w:p>
      <w:pPr>
        <w:autoSpaceDE w:val="0"/>
        <w:autoSpaceDN w:val="0"/>
        <w:adjustRightInd w:val="0"/>
        <w:snapToGrid w:val="0"/>
        <w:ind w:firstLine="440" w:firstLineChars="200"/>
        <w:textAlignment w:val="bottom"/>
        <w:rPr>
          <w:rFonts w:ascii="宋体"/>
          <w:sz w:val="22"/>
        </w:rPr>
      </w:pPr>
      <w:r>
        <w:rPr>
          <w:rFonts w:hint="eastAsia" w:ascii="宋体"/>
          <w:sz w:val="22"/>
        </w:rPr>
        <w:t>投标供应商在投标报价中应充分考虑所有可能发生的费用，否则采购人将视投标总价中已包括所有费用。</w:t>
      </w:r>
    </w:p>
    <w:p>
      <w:pPr>
        <w:autoSpaceDE w:val="0"/>
        <w:autoSpaceDN w:val="0"/>
        <w:adjustRightInd w:val="0"/>
        <w:snapToGrid w:val="0"/>
        <w:ind w:firstLine="550" w:firstLineChars="250"/>
        <w:textAlignment w:val="bottom"/>
        <w:rPr>
          <w:rFonts w:ascii="宋体"/>
          <w:sz w:val="22"/>
        </w:rPr>
      </w:pPr>
      <w:r>
        <w:rPr>
          <w:rFonts w:hint="eastAsia" w:ascii="宋体"/>
          <w:sz w:val="22"/>
        </w:rPr>
        <w:t>投标供应商对在合同执行中，除上述费用及招标文件规定的由中标供应商负责的工作范围以外需要采购人协调或提供便利的工作应当在投标文件中说明。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ind w:firstLine="422"/>
        <w:textAlignment w:val="bottom"/>
        <w:rPr>
          <w:rFonts w:ascii="宋体"/>
          <w:sz w:val="22"/>
        </w:rPr>
      </w:pPr>
    </w:p>
    <w:p>
      <w:pPr>
        <w:autoSpaceDE w:val="0"/>
        <w:autoSpaceDN w:val="0"/>
        <w:adjustRightInd w:val="0"/>
        <w:snapToGrid w:val="0"/>
        <w:ind w:firstLine="422"/>
        <w:textAlignment w:val="bottom"/>
        <w:rPr>
          <w:rFonts w:ascii="宋体"/>
          <w:sz w:val="22"/>
        </w:rPr>
      </w:pPr>
      <w:r>
        <w:rPr>
          <w:rFonts w:hint="eastAsia" w:ascii="宋体"/>
          <w:sz w:val="22"/>
        </w:rPr>
        <w:t>4、采购人要求分类报价是为了方便评标，但在任何情况下不限制采购人以其认为最合适的条款签订合同的权利。</w:t>
      </w:r>
    </w:p>
    <w:p>
      <w:pPr>
        <w:pStyle w:val="6"/>
        <w:adjustRightInd w:val="0"/>
        <w:snapToGrid w:val="0"/>
        <w:spacing w:before="156" w:after="156" w:line="240" w:lineRule="auto"/>
        <w:ind w:firstLine="442" w:firstLineChars="200"/>
        <w:rPr>
          <w:rFonts w:hAnsi="宋体"/>
          <w:b/>
          <w:bCs/>
          <w:sz w:val="22"/>
          <w:szCs w:val="22"/>
        </w:rPr>
      </w:pPr>
      <w:bookmarkStart w:id="14" w:name="_Toc132122117"/>
      <w:bookmarkStart w:id="15" w:name="_Toc132122414"/>
      <w:r>
        <w:rPr>
          <w:rFonts w:hint="eastAsia" w:hAnsi="宋体"/>
          <w:b/>
          <w:bCs/>
          <w:sz w:val="22"/>
          <w:szCs w:val="22"/>
        </w:rPr>
        <w:t>5、投标文件的有效期</w:t>
      </w:r>
      <w:bookmarkEnd w:id="14"/>
      <w:bookmarkEnd w:id="15"/>
    </w:p>
    <w:p>
      <w:pPr>
        <w:pStyle w:val="6"/>
        <w:adjustRightInd w:val="0"/>
        <w:snapToGrid w:val="0"/>
        <w:spacing w:before="156" w:after="156" w:line="240" w:lineRule="auto"/>
        <w:ind w:firstLine="440" w:firstLineChars="200"/>
        <w:rPr>
          <w:rFonts w:hAnsi="宋体"/>
          <w:sz w:val="22"/>
          <w:szCs w:val="22"/>
        </w:rPr>
      </w:pPr>
      <w:r>
        <w:rPr>
          <w:rFonts w:hint="eastAsia" w:hAnsi="宋体"/>
          <w:sz w:val="22"/>
          <w:szCs w:val="22"/>
        </w:rPr>
        <w:t>5.1、自</w:t>
      </w:r>
      <w:r>
        <w:rPr>
          <w:rFonts w:hint="eastAsia" w:hAnsi="宋体" w:cs="宋体"/>
          <w:sz w:val="22"/>
        </w:rPr>
        <w:t>提交投标文件截止时间起90天内</w:t>
      </w:r>
      <w:r>
        <w:rPr>
          <w:rFonts w:hint="eastAsia" w:hAnsi="宋体"/>
          <w:sz w:val="22"/>
          <w:szCs w:val="22"/>
        </w:rPr>
        <w:t>，投标文件应保持有效。有效期短于这个规定期限的投标将被拒绝。</w:t>
      </w:r>
    </w:p>
    <w:p>
      <w:pPr>
        <w:pStyle w:val="6"/>
        <w:adjustRightInd w:val="0"/>
        <w:snapToGrid w:val="0"/>
        <w:spacing w:before="156" w:after="156" w:line="240" w:lineRule="auto"/>
        <w:ind w:firstLine="440" w:firstLineChars="200"/>
        <w:rPr>
          <w:rFonts w:hAnsi="宋体"/>
          <w:sz w:val="22"/>
          <w:szCs w:val="22"/>
        </w:rPr>
      </w:pPr>
      <w:r>
        <w:rPr>
          <w:rFonts w:hint="eastAsia" w:hAnsi="宋体"/>
          <w:sz w:val="22"/>
          <w:szCs w:val="22"/>
        </w:rPr>
        <w:t>5.2、在特殊情况下，采购人可与投标供应商协商延长投标文件的有效期，这种要求和答复均应以书面形式进行。</w:t>
      </w:r>
    </w:p>
    <w:p>
      <w:pPr>
        <w:pStyle w:val="6"/>
        <w:adjustRightInd w:val="0"/>
        <w:snapToGrid w:val="0"/>
        <w:spacing w:before="156" w:after="156" w:line="240" w:lineRule="auto"/>
        <w:ind w:firstLine="440" w:firstLineChars="200"/>
        <w:rPr>
          <w:rFonts w:hAnsi="宋体"/>
          <w:sz w:val="22"/>
          <w:szCs w:val="22"/>
        </w:rPr>
      </w:pPr>
      <w:r>
        <w:rPr>
          <w:rFonts w:hint="eastAsia" w:hAnsi="宋体"/>
          <w:sz w:val="22"/>
          <w:szCs w:val="22"/>
        </w:rPr>
        <w:t>5.3、投标供应商可拒绝接受延期要求，同意延长有效期的投标供应商不能修改投标文件。</w:t>
      </w:r>
    </w:p>
    <w:p>
      <w:pPr>
        <w:pStyle w:val="31"/>
        <w:spacing w:before="0" w:line="460" w:lineRule="exact"/>
        <w:ind w:firstLine="442"/>
        <w:rPr>
          <w:rFonts w:ascii="宋体" w:hAnsi="宋体" w:cs="仿宋_GB2312"/>
          <w:b/>
          <w:bCs/>
          <w:kern w:val="0"/>
          <w:sz w:val="22"/>
        </w:rPr>
      </w:pPr>
      <w:r>
        <w:rPr>
          <w:rFonts w:hint="eastAsia" w:ascii="宋体" w:hAnsi="宋体"/>
          <w:b/>
          <w:bCs/>
          <w:sz w:val="22"/>
        </w:rPr>
        <w:t>6、</w:t>
      </w:r>
      <w:r>
        <w:rPr>
          <w:rFonts w:hint="eastAsia" w:ascii="宋体" w:hAnsi="宋体" w:cs="仿宋_GB2312"/>
          <w:b/>
          <w:bCs/>
          <w:kern w:val="0"/>
          <w:sz w:val="22"/>
          <w:lang w:val="zh-CN"/>
        </w:rPr>
        <w:t>投标文件编制</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rPr>
        <w:t>6.1、</w:t>
      </w:r>
      <w:r>
        <w:rPr>
          <w:rFonts w:hint="eastAsia" w:ascii="宋体" w:hAnsi="宋体" w:cs="仿宋_GB2312"/>
          <w:kern w:val="0"/>
          <w:sz w:val="22"/>
          <w:lang w:val="zh-CN"/>
        </w:rPr>
        <w:t>本项目通过</w:t>
      </w:r>
      <w:r>
        <w:rPr>
          <w:rFonts w:hint="eastAsia" w:ascii="宋体" w:hAnsi="宋体" w:cs="仿宋_GB2312"/>
          <w:kern w:val="0"/>
          <w:sz w:val="22"/>
        </w:rPr>
        <w:t>“</w:t>
      </w:r>
      <w:r>
        <w:rPr>
          <w:rFonts w:hint="eastAsia" w:ascii="宋体" w:hAnsi="宋体" w:cs="仿宋_GB2312"/>
          <w:kern w:val="0"/>
          <w:sz w:val="22"/>
          <w:lang w:val="zh-CN"/>
        </w:rPr>
        <w:t>政府采购云平台</w:t>
      </w:r>
      <w:r>
        <w:rPr>
          <w:rFonts w:hint="eastAsia" w:ascii="宋体" w:hAnsi="宋体" w:cs="仿宋_GB2312"/>
          <w:kern w:val="0"/>
          <w:sz w:val="22"/>
        </w:rPr>
        <w:t>（www.zcygov.cn）”</w:t>
      </w:r>
      <w:r>
        <w:rPr>
          <w:rFonts w:hint="eastAsia" w:ascii="宋体" w:hAnsi="宋体" w:cs="仿宋_GB2312"/>
          <w:kern w:val="0"/>
          <w:sz w:val="22"/>
          <w:lang w:val="zh-CN"/>
        </w:rPr>
        <w:t>实行在线投标响应</w:t>
      </w:r>
      <w:r>
        <w:rPr>
          <w:rFonts w:hint="eastAsia" w:ascii="宋体" w:hAnsi="宋体" w:cs="仿宋_GB2312"/>
          <w:kern w:val="0"/>
          <w:sz w:val="22"/>
        </w:rPr>
        <w:t>（</w:t>
      </w:r>
      <w:r>
        <w:rPr>
          <w:rFonts w:hint="eastAsia" w:ascii="宋体" w:hAnsi="宋体" w:cs="仿宋_GB2312"/>
          <w:kern w:val="0"/>
          <w:sz w:val="22"/>
          <w:lang w:val="zh-CN"/>
        </w:rPr>
        <w:t>电子投标</w:t>
      </w:r>
      <w:r>
        <w:rPr>
          <w:rFonts w:hint="eastAsia" w:ascii="宋体" w:hAnsi="宋体" w:cs="仿宋_GB2312"/>
          <w:kern w:val="0"/>
          <w:sz w:val="22"/>
        </w:rPr>
        <w:t>）</w:t>
      </w:r>
      <w:r>
        <w:rPr>
          <w:rFonts w:hint="eastAsia" w:ascii="宋体" w:hAnsi="宋体" w:cs="仿宋_GB2312"/>
          <w:kern w:val="0"/>
          <w:sz w:val="22"/>
          <w:lang w:val="zh-CN"/>
        </w:rPr>
        <w:t>。供应商应通过“政采云电子交易客户端”，并按照本招标文件和“政府采购云平台”的要求编制并加密投标文件。</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rPr>
        <w:t>6</w:t>
      </w:r>
      <w:r>
        <w:rPr>
          <w:rFonts w:hint="eastAsia" w:ascii="宋体" w:hAnsi="宋体" w:cs="仿宋_GB2312"/>
          <w:kern w:val="0"/>
          <w:sz w:val="22"/>
          <w:lang w:val="zh-CN"/>
        </w:rPr>
        <w:t>.2、</w:t>
      </w:r>
      <w:r>
        <w:rPr>
          <w:rFonts w:hint="eastAsia" w:ascii="宋体" w:hAnsi="宋体" w:cs="仿宋_GB2312"/>
          <w:b/>
          <w:bCs/>
          <w:kern w:val="0"/>
          <w:sz w:val="22"/>
          <w:lang w:val="zh-CN"/>
        </w:rPr>
        <w:t>投标人应根据“政采云供应商项目采购-电子招投标操作指南”及本招标文件规定的</w:t>
      </w:r>
      <w:r>
        <w:rPr>
          <w:rFonts w:hint="eastAsia" w:ascii="宋体" w:hAnsi="宋体" w:cs="仿宋_GB2312"/>
          <w:b/>
          <w:bCs/>
          <w:kern w:val="0"/>
          <w:sz w:val="22"/>
        </w:rPr>
        <w:t>内容</w:t>
      </w:r>
      <w:r>
        <w:rPr>
          <w:rFonts w:hint="eastAsia" w:ascii="宋体" w:hAnsi="宋体" w:cs="仿宋_GB2312"/>
          <w:b/>
          <w:bCs/>
          <w:kern w:val="0"/>
          <w:sz w:val="22"/>
          <w:lang w:val="zh-CN"/>
        </w:rPr>
        <w:t>和顺序编制电子投标文件并进行关联定位。</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rPr>
        <w:t>6</w:t>
      </w:r>
      <w:r>
        <w:rPr>
          <w:rFonts w:hint="eastAsia" w:ascii="宋体" w:hAnsi="宋体" w:cs="仿宋_GB2312"/>
          <w:kern w:val="0"/>
          <w:sz w:val="22"/>
          <w:lang w:val="zh-CN"/>
        </w:rPr>
        <w:t>.3、投标供应商没有按照本章节 “投标文件的组成”要求提供全部资料，或者没有仔细阅读招标文件，或者没有对招标文件在各方面的要求作出实质性响应是投标供应商的风险，由此造成的一切后果由投标供应商自行承担。</w:t>
      </w:r>
      <w:bookmarkStart w:id="16" w:name="_Hlt68072998"/>
      <w:bookmarkEnd w:id="16"/>
      <w:bookmarkStart w:id="17" w:name="_Hlt68073093"/>
      <w:bookmarkEnd w:id="17"/>
      <w:bookmarkStart w:id="18" w:name="_Hlt68403820"/>
      <w:bookmarkEnd w:id="18"/>
    </w:p>
    <w:p>
      <w:pPr>
        <w:pStyle w:val="31"/>
        <w:spacing w:before="0" w:line="460" w:lineRule="exact"/>
        <w:ind w:firstLine="440"/>
        <w:rPr>
          <w:rFonts w:ascii="宋体" w:hAnsi="宋体" w:cs="仿宋_GB2312"/>
          <w:kern w:val="0"/>
          <w:sz w:val="22"/>
          <w:lang w:val="zh-CN"/>
        </w:rPr>
      </w:pPr>
    </w:p>
    <w:p>
      <w:pPr>
        <w:pStyle w:val="31"/>
        <w:spacing w:before="0" w:line="460" w:lineRule="exact"/>
        <w:ind w:firstLine="442"/>
        <w:rPr>
          <w:rFonts w:ascii="宋体" w:hAnsi="宋体" w:cs="仿宋_GB2312"/>
          <w:b/>
          <w:bCs/>
          <w:kern w:val="0"/>
          <w:sz w:val="22"/>
          <w:lang w:val="zh-CN"/>
        </w:rPr>
      </w:pPr>
      <w:r>
        <w:rPr>
          <w:rFonts w:hint="eastAsia" w:ascii="宋体" w:hAnsi="宋体" w:cs="仿宋_GB2312"/>
          <w:b/>
          <w:bCs/>
          <w:kern w:val="0"/>
          <w:sz w:val="22"/>
        </w:rPr>
        <w:t>7</w:t>
      </w:r>
      <w:r>
        <w:rPr>
          <w:rFonts w:hint="eastAsia" w:ascii="宋体" w:hAnsi="宋体" w:cs="仿宋_GB2312"/>
          <w:b/>
          <w:bCs/>
          <w:kern w:val="0"/>
          <w:sz w:val="22"/>
          <w:lang w:val="zh-CN"/>
        </w:rPr>
        <w:t>、</w:t>
      </w:r>
      <w:r>
        <w:rPr>
          <w:rFonts w:hint="eastAsia"/>
          <w:b/>
          <w:bCs/>
          <w:sz w:val="22"/>
        </w:rPr>
        <w:t xml:space="preserve"> </w:t>
      </w:r>
      <w:r>
        <w:rPr>
          <w:rFonts w:hint="eastAsia" w:ascii="宋体" w:hAnsi="宋体" w:cs="仿宋_GB2312"/>
          <w:b/>
          <w:bCs/>
          <w:kern w:val="0"/>
          <w:sz w:val="22"/>
          <w:lang w:val="zh-CN"/>
        </w:rPr>
        <w:t>投标文件的签章</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rPr>
        <w:t>7</w:t>
      </w:r>
      <w:r>
        <w:rPr>
          <w:rFonts w:hint="eastAsia" w:ascii="宋体" w:hAnsi="宋体" w:cs="仿宋_GB2312"/>
          <w:kern w:val="0"/>
          <w:sz w:val="22"/>
          <w:lang w:val="zh-CN"/>
        </w:rPr>
        <w:t>.1、投标文件的签章：见《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31"/>
        <w:spacing w:before="0" w:line="460" w:lineRule="exact"/>
        <w:ind w:firstLine="440"/>
        <w:rPr>
          <w:rFonts w:ascii="宋体" w:hAnsi="宋体"/>
          <w:sz w:val="22"/>
        </w:rPr>
      </w:pPr>
      <w:r>
        <w:rPr>
          <w:rFonts w:hint="eastAsia" w:ascii="宋体" w:hAnsi="宋体" w:cs="仿宋_GB2312"/>
          <w:kern w:val="0"/>
          <w:sz w:val="22"/>
        </w:rPr>
        <w:t>7</w:t>
      </w:r>
      <w:r>
        <w:rPr>
          <w:rFonts w:hint="eastAsia" w:ascii="宋体" w:hAnsi="宋体" w:cs="仿宋_GB2312"/>
          <w:kern w:val="0"/>
          <w:sz w:val="22"/>
          <w:lang w:val="zh-CN"/>
        </w:rPr>
        <w:t>.2、</w:t>
      </w:r>
      <w:r>
        <w:rPr>
          <w:rFonts w:hint="eastAsia" w:ascii="宋体" w:hAnsi="宋体"/>
          <w:sz w:val="22"/>
        </w:rPr>
        <w:t>CA</w:t>
      </w:r>
      <w:r>
        <w:rPr>
          <w:rFonts w:ascii="宋体" w:hAnsi="宋体"/>
          <w:sz w:val="22"/>
        </w:rPr>
        <w:t>电子签章操作指南详见《</w:t>
      </w:r>
      <w:r>
        <w:rPr>
          <w:rFonts w:hint="eastAsia" w:ascii="宋体" w:hAnsi="宋体"/>
          <w:sz w:val="22"/>
        </w:rPr>
        <w:t>供应商</w:t>
      </w:r>
      <w:r>
        <w:rPr>
          <w:rFonts w:ascii="宋体" w:hAnsi="宋体"/>
          <w:sz w:val="22"/>
        </w:rPr>
        <w:t>-政府采购项目电子交易操作指南》（</w:t>
      </w:r>
      <w:r>
        <w:fldChar w:fldCharType="begin"/>
      </w:r>
      <w:r>
        <w:instrText xml:space="preserve"> HYPERLINK "https://help.zcygov.cn/web/site_2/2018/12-28/2573.html" </w:instrText>
      </w:r>
      <w:r>
        <w:fldChar w:fldCharType="separate"/>
      </w:r>
      <w:r>
        <w:rPr>
          <w:rStyle w:val="17"/>
          <w:color w:val="auto"/>
          <w:sz w:val="22"/>
          <w:u w:val="none"/>
        </w:rPr>
        <w:t>https://help.zcygov.cn/web/site_2/2018/12-28/2573.html</w:t>
      </w:r>
      <w:r>
        <w:rPr>
          <w:rStyle w:val="17"/>
          <w:color w:val="auto"/>
          <w:sz w:val="22"/>
          <w:u w:val="none"/>
        </w:rPr>
        <w:fldChar w:fldCharType="end"/>
      </w:r>
      <w:r>
        <w:rPr>
          <w:rFonts w:ascii="宋体" w:hAnsi="宋体"/>
          <w:sz w:val="22"/>
        </w:rPr>
        <w:t>）</w:t>
      </w:r>
      <w:r>
        <w:rPr>
          <w:rFonts w:hint="eastAsia" w:ascii="宋体" w:hAnsi="宋体"/>
          <w:sz w:val="22"/>
        </w:rPr>
        <w:t>。</w:t>
      </w:r>
    </w:p>
    <w:p>
      <w:pPr>
        <w:pStyle w:val="31"/>
        <w:spacing w:before="0" w:line="460" w:lineRule="exact"/>
        <w:ind w:firstLine="440"/>
        <w:rPr>
          <w:rFonts w:ascii="宋体" w:hAnsi="宋体"/>
          <w:sz w:val="22"/>
          <w:lang w:val="zh-CN"/>
        </w:rPr>
      </w:pPr>
    </w:p>
    <w:p>
      <w:pPr>
        <w:pStyle w:val="31"/>
        <w:spacing w:before="0" w:line="460" w:lineRule="exact"/>
        <w:ind w:firstLine="442"/>
        <w:rPr>
          <w:rFonts w:ascii="宋体" w:hAnsi="宋体" w:cs="仿宋_GB2312"/>
          <w:b/>
          <w:bCs/>
          <w:kern w:val="0"/>
          <w:sz w:val="22"/>
          <w:lang w:val="zh-CN"/>
        </w:rPr>
      </w:pPr>
      <w:r>
        <w:rPr>
          <w:rFonts w:hint="eastAsia" w:ascii="宋体" w:hAnsi="宋体" w:cs="仿宋_GB2312"/>
          <w:b/>
          <w:bCs/>
          <w:kern w:val="0"/>
          <w:sz w:val="22"/>
        </w:rPr>
        <w:t>8</w:t>
      </w:r>
      <w:r>
        <w:rPr>
          <w:rFonts w:hint="eastAsia" w:ascii="宋体" w:hAnsi="宋体" w:cs="仿宋_GB2312"/>
          <w:b/>
          <w:bCs/>
          <w:kern w:val="0"/>
          <w:sz w:val="22"/>
          <w:lang w:val="zh-CN"/>
        </w:rPr>
        <w:t>、投标文件的形式</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.1、投标文件的形式：见《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.2、“电子加密投标文件”：“电子加密投标文件”是指通过“政采云电子交易客户端”完成投标文件编制后生成并加密的数据电文形式的投标文件。</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rPr>
        <w:t>8</w:t>
      </w:r>
      <w:r>
        <w:rPr>
          <w:rFonts w:hint="eastAsia" w:ascii="宋体" w:hAnsi="宋体" w:cs="仿宋_GB2312"/>
          <w:kern w:val="0"/>
          <w:sz w:val="22"/>
          <w:lang w:val="zh-CN"/>
        </w:rPr>
        <w:t>.3、</w:t>
      </w:r>
      <w:r>
        <w:rPr>
          <w:rFonts w:ascii="宋体" w:hAnsi="宋体" w:cs="仿宋_GB2312"/>
          <w:kern w:val="0"/>
          <w:sz w:val="22"/>
          <w:lang w:val="zh-CN"/>
        </w:rPr>
        <w:t>投标文件的份数</w:t>
      </w:r>
    </w:p>
    <w:p>
      <w:pPr>
        <w:pStyle w:val="31"/>
        <w:spacing w:before="0" w:line="460" w:lineRule="exact"/>
        <w:ind w:firstLine="440"/>
        <w:rPr>
          <w:rFonts w:ascii="宋体" w:hAnsi="宋体"/>
          <w:sz w:val="22"/>
        </w:rPr>
      </w:pPr>
      <w:r>
        <w:rPr>
          <w:rFonts w:ascii="宋体" w:hAnsi="宋体"/>
          <w:sz w:val="22"/>
        </w:rPr>
        <w:t>投标文件的份数：见《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ascii="宋体" w:hAnsi="宋体"/>
          <w:sz w:val="22"/>
        </w:rPr>
        <w:t>》。</w:t>
      </w:r>
    </w:p>
    <w:p>
      <w:pPr>
        <w:pStyle w:val="31"/>
        <w:spacing w:before="0" w:line="460" w:lineRule="exact"/>
        <w:ind w:firstLine="440"/>
        <w:rPr>
          <w:rFonts w:ascii="宋体" w:hAnsi="宋体"/>
          <w:sz w:val="22"/>
        </w:rPr>
      </w:pPr>
    </w:p>
    <w:p>
      <w:pPr>
        <w:pStyle w:val="31"/>
        <w:spacing w:before="0" w:line="460" w:lineRule="exact"/>
        <w:ind w:firstLine="442"/>
        <w:rPr>
          <w:rFonts w:ascii="宋体" w:hAnsi="宋体" w:cs="仿宋_GB2312"/>
          <w:b/>
          <w:bCs/>
          <w:kern w:val="0"/>
          <w:sz w:val="22"/>
          <w:lang w:val="zh-CN"/>
        </w:rPr>
      </w:pPr>
      <w:r>
        <w:rPr>
          <w:rFonts w:hint="eastAsia" w:ascii="宋体" w:hAnsi="宋体" w:cs="仿宋_GB2312"/>
          <w:b/>
          <w:bCs/>
          <w:kern w:val="0"/>
          <w:sz w:val="22"/>
          <w:lang w:val="zh-CN"/>
        </w:rPr>
        <w:t>四、投标</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1、投标文件的上传和递交</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“投标文件”的上传、递交：见《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2、“电子加密投标文件”解密</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“电子加密投标文件”解密：见《</w:t>
      </w:r>
      <w:r>
        <w:rPr>
          <w:rFonts w:ascii="宋体" w:hAnsi="宋体" w:cs="仿宋_GB2312"/>
          <w:kern w:val="0"/>
          <w:sz w:val="22"/>
          <w:lang w:val="zh-CN"/>
        </w:rPr>
        <w:t>投标</w:t>
      </w:r>
      <w:r>
        <w:rPr>
          <w:rFonts w:hint="eastAsia" w:ascii="宋体" w:hAnsi="宋体" w:cs="仿宋_GB2312"/>
          <w:kern w:val="0"/>
          <w:sz w:val="22"/>
        </w:rPr>
        <w:t>人</w:t>
      </w:r>
      <w:r>
        <w:rPr>
          <w:rFonts w:ascii="宋体" w:hAnsi="宋体" w:cs="仿宋_GB2312"/>
          <w:kern w:val="0"/>
          <w:sz w:val="22"/>
          <w:lang w:val="zh-CN"/>
        </w:rPr>
        <w:t>须知前附表</w:t>
      </w:r>
      <w:r>
        <w:rPr>
          <w:rFonts w:hint="eastAsia" w:ascii="宋体" w:hAnsi="宋体" w:cs="仿宋_GB2312"/>
          <w:kern w:val="0"/>
          <w:sz w:val="22"/>
          <w:lang w:val="zh-CN"/>
        </w:rPr>
        <w:t>》。</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3、投标文件的补充、修改或撤回</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3.2、投标截止时间后，投标供应商不得撤回、修改投标文件。</w:t>
      </w:r>
    </w:p>
    <w:p>
      <w:pPr>
        <w:pStyle w:val="31"/>
        <w:spacing w:before="0" w:line="460" w:lineRule="exact"/>
        <w:ind w:firstLine="440"/>
        <w:rPr>
          <w:rFonts w:ascii="宋体" w:hAnsi="宋体" w:cs="仿宋_GB2312"/>
          <w:kern w:val="0"/>
          <w:sz w:val="22"/>
          <w:lang w:val="zh-CN"/>
        </w:rPr>
      </w:pPr>
      <w:r>
        <w:rPr>
          <w:rFonts w:hint="eastAsia" w:ascii="宋体" w:hAnsi="宋体" w:cs="仿宋_GB2312"/>
          <w:kern w:val="0"/>
          <w:sz w:val="22"/>
          <w:lang w:val="zh-CN"/>
        </w:rPr>
        <w:t>4、投标文件的备选方案</w:t>
      </w:r>
    </w:p>
    <w:p>
      <w:pPr>
        <w:pStyle w:val="31"/>
        <w:spacing w:before="0" w:line="460" w:lineRule="exact"/>
        <w:ind w:firstLine="440"/>
        <w:rPr>
          <w:rFonts w:ascii="宋体" w:hAnsi="宋体" w:cs="仿宋_GB2312"/>
          <w:kern w:val="0"/>
          <w:sz w:val="22"/>
          <w:lang w:val="zh-CN"/>
        </w:rPr>
      </w:pPr>
      <w:r>
        <w:rPr>
          <w:rFonts w:ascii="宋体" w:hAnsi="宋体" w:cs="仿宋_GB2312"/>
          <w:kern w:val="0"/>
          <w:sz w:val="22"/>
          <w:lang w:val="zh-CN"/>
        </w:rPr>
        <w:t>投标供应商不得递交任何的投标备选（替代）方案，否则其投标文件将作无效标处理。</w:t>
      </w:r>
    </w:p>
    <w:p>
      <w:pPr>
        <w:snapToGrid w:val="0"/>
        <w:spacing w:line="460" w:lineRule="atLeast"/>
        <w:ind w:firstLine="442" w:firstLineChars="200"/>
        <w:rPr>
          <w:rFonts w:ascii="宋体"/>
          <w:b/>
          <w:bCs/>
          <w:sz w:val="22"/>
        </w:rPr>
      </w:pPr>
      <w:bookmarkStart w:id="19" w:name="_Toc132125096"/>
      <w:bookmarkStart w:id="20" w:name="_Toc132123548"/>
      <w:bookmarkStart w:id="21" w:name="_Toc132124595"/>
      <w:bookmarkStart w:id="22" w:name="_Toc132123882"/>
      <w:bookmarkStart w:id="23" w:name="_Toc132125038"/>
      <w:bookmarkStart w:id="24" w:name="_Toc132126155"/>
      <w:bookmarkStart w:id="25" w:name="_Toc132122120"/>
      <w:bookmarkStart w:id="26" w:name="_Toc132123839"/>
      <w:bookmarkStart w:id="27" w:name="_Toc132123440"/>
      <w:bookmarkStart w:id="28" w:name="_Toc132125152"/>
      <w:bookmarkStart w:id="29" w:name="_Toc132125575"/>
      <w:bookmarkStart w:id="30" w:name="_Toc132125984"/>
      <w:bookmarkStart w:id="31" w:name="_Toc132122417"/>
      <w:bookmarkStart w:id="32" w:name="_Toc132655777"/>
      <w:bookmarkStart w:id="33" w:name="_Toc132123635"/>
      <w:r>
        <w:rPr>
          <w:rFonts w:hint="eastAsia" w:ascii="宋体"/>
          <w:b/>
          <w:bCs/>
          <w:sz w:val="22"/>
        </w:rPr>
        <w:t>五、开标和评标</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31"/>
        <w:spacing w:before="0" w:line="460" w:lineRule="exact"/>
        <w:ind w:firstLine="442"/>
        <w:rPr>
          <w:rFonts w:ascii="宋体" w:hAnsi="宋体" w:cs="仿宋_GB2312"/>
          <w:b/>
          <w:bCs/>
          <w:kern w:val="0"/>
          <w:sz w:val="22"/>
          <w:lang w:val="zh-CN"/>
        </w:rPr>
      </w:pPr>
      <w:r>
        <w:rPr>
          <w:rFonts w:hint="eastAsia" w:ascii="宋体" w:hAnsi="宋体" w:cs="仿宋_GB2312"/>
          <w:b/>
          <w:bCs/>
          <w:kern w:val="0"/>
          <w:sz w:val="22"/>
          <w:lang w:val="zh-CN"/>
        </w:rPr>
        <w:t>1、开标</w:t>
      </w:r>
    </w:p>
    <w:p>
      <w:pPr>
        <w:shd w:val="clear" w:color="auto" w:fill="FFFFFF"/>
        <w:spacing w:line="460" w:lineRule="exact"/>
        <w:ind w:firstLine="440" w:firstLineChars="200"/>
        <w:rPr>
          <w:rFonts w:ascii="宋体"/>
          <w:sz w:val="22"/>
        </w:rPr>
      </w:pPr>
      <w:r>
        <w:rPr>
          <w:rFonts w:hint="eastAsia" w:ascii="宋体"/>
          <w:sz w:val="22"/>
        </w:rPr>
        <w:t>1.1、采购代理机构按招标文件规定的时间、地点通过“政府采购云平台”组织开标、开启投标文件，所有供应商均应当准时在线参加。投</w:t>
      </w:r>
      <w:r>
        <w:rPr>
          <w:rFonts w:ascii="宋体"/>
          <w:sz w:val="22"/>
        </w:rPr>
        <w:t>标供应商因未在线参加开标而导致投标文件无法按时解密等一切后果由供应商自</w:t>
      </w:r>
      <w:r>
        <w:rPr>
          <w:rFonts w:hint="eastAsia" w:ascii="宋体"/>
          <w:sz w:val="22"/>
        </w:rPr>
        <w:t>行</w:t>
      </w:r>
      <w:r>
        <w:rPr>
          <w:rFonts w:ascii="宋体"/>
          <w:sz w:val="22"/>
        </w:rPr>
        <w:t>承担。</w:t>
      </w:r>
    </w:p>
    <w:p>
      <w:pPr>
        <w:shd w:val="clear" w:color="auto" w:fill="FFFFFF"/>
        <w:spacing w:line="460" w:lineRule="exact"/>
        <w:ind w:firstLine="440" w:firstLineChars="200"/>
        <w:rPr>
          <w:rFonts w:ascii="宋体"/>
          <w:sz w:val="22"/>
        </w:rPr>
      </w:pPr>
      <w:r>
        <w:rPr>
          <w:rFonts w:hint="eastAsia" w:ascii="宋体"/>
          <w:sz w:val="22"/>
        </w:rPr>
        <w:t>1.2、开标流程</w:t>
      </w:r>
    </w:p>
    <w:p>
      <w:pPr>
        <w:shd w:val="clear" w:color="auto" w:fill="FFFFFF"/>
        <w:ind w:firstLine="440" w:firstLineChars="200"/>
        <w:rPr>
          <w:rFonts w:ascii="宋体"/>
          <w:sz w:val="22"/>
        </w:rPr>
      </w:pPr>
      <w:r>
        <w:rPr>
          <w:rFonts w:hint="eastAsia" w:ascii="宋体"/>
          <w:sz w:val="22"/>
        </w:rPr>
        <w:t>（1）向各投标供应商发出电子加密投标文件【开始解密】通知，由供应商按招标文件规定的时间内自行进行投标文件解密。</w:t>
      </w:r>
      <w:r>
        <w:rPr>
          <w:rFonts w:hint="eastAsia" w:ascii="宋体"/>
          <w:b/>
          <w:bCs/>
          <w:sz w:val="22"/>
        </w:rPr>
        <w:t>投标供应商在规定的时间内无法完成已递交的“电子加密投标文件”解密的，</w:t>
      </w:r>
      <w:r>
        <w:rPr>
          <w:rFonts w:ascii="宋体"/>
          <w:b/>
          <w:bCs/>
          <w:sz w:val="22"/>
        </w:rPr>
        <w:t>其投标文件按拒收处理。</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（2）投标文件解密结束，开启资格文件，进入资格审查环节，采购代理机构</w:t>
      </w:r>
      <w:r>
        <w:rPr>
          <w:rFonts w:hint="eastAsia" w:hAnsi="宋体"/>
          <w:sz w:val="22"/>
          <w:szCs w:val="22"/>
        </w:rPr>
        <w:t>或者招标采购单位委托的公证机构</w:t>
      </w:r>
      <w:r>
        <w:rPr>
          <w:rFonts w:hAnsi="宋体"/>
          <w:sz w:val="22"/>
          <w:szCs w:val="22"/>
        </w:rPr>
        <w:t>将依法对投标供应商的资格进行审查，具体见本章节“投标供应商资格审查”相关规定。</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（3）开启资格审查通过的投标供应商的商务技术文件进入符合性审查及商务技术评审；</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pStyle w:val="6"/>
        <w:adjustRightInd w:val="0"/>
        <w:snapToGrid w:val="0"/>
        <w:spacing w:before="156" w:after="156" w:line="240" w:lineRule="auto"/>
        <w:ind w:firstLine="330" w:firstLineChars="150"/>
        <w:rPr>
          <w:rFonts w:hAnsi="宋体"/>
          <w:sz w:val="22"/>
          <w:szCs w:val="22"/>
        </w:rPr>
      </w:pPr>
      <w:r>
        <w:rPr>
          <w:rFonts w:hAnsi="宋体"/>
          <w:sz w:val="22"/>
          <w:szCs w:val="22"/>
        </w:rPr>
        <w:t>开标时，报价文件中投标报价出现前后不一致的，按照下列规定修正：</w:t>
      </w:r>
    </w:p>
    <w:p>
      <w:pPr>
        <w:pStyle w:val="6"/>
        <w:adjustRightInd w:val="0"/>
        <w:snapToGrid w:val="0"/>
        <w:spacing w:before="156" w:after="156" w:line="240" w:lineRule="auto"/>
        <w:ind w:firstLine="330" w:firstLineChars="150"/>
        <w:rPr>
          <w:rFonts w:hAnsi="宋体"/>
          <w:sz w:val="22"/>
          <w:szCs w:val="22"/>
        </w:rPr>
      </w:pPr>
      <w:r>
        <w:rPr>
          <w:rFonts w:hAnsi="宋体"/>
          <w:sz w:val="22"/>
          <w:szCs w:val="22"/>
        </w:rPr>
        <w:t>（一）投标文件中开标一览表内容与投标文件中相应内容不一致的，以开标一览表为准；</w:t>
      </w:r>
    </w:p>
    <w:p>
      <w:pPr>
        <w:pStyle w:val="6"/>
        <w:adjustRightInd w:val="0"/>
        <w:snapToGrid w:val="0"/>
        <w:spacing w:before="156" w:after="156" w:line="240" w:lineRule="auto"/>
        <w:ind w:firstLine="330" w:firstLineChars="150"/>
        <w:rPr>
          <w:rFonts w:hAnsi="宋体"/>
          <w:sz w:val="22"/>
          <w:szCs w:val="22"/>
        </w:rPr>
      </w:pPr>
      <w:r>
        <w:rPr>
          <w:rFonts w:hAnsi="宋体"/>
          <w:sz w:val="22"/>
          <w:szCs w:val="22"/>
        </w:rPr>
        <w:t>（二）大写金额和小写金额不一致的，以大写金额为准；</w:t>
      </w:r>
    </w:p>
    <w:p>
      <w:pPr>
        <w:pStyle w:val="6"/>
        <w:adjustRightInd w:val="0"/>
        <w:snapToGrid w:val="0"/>
        <w:spacing w:before="156" w:after="156" w:line="240" w:lineRule="auto"/>
        <w:ind w:firstLine="330" w:firstLineChars="150"/>
        <w:rPr>
          <w:rFonts w:hAnsi="宋体"/>
          <w:sz w:val="22"/>
          <w:szCs w:val="22"/>
        </w:rPr>
      </w:pPr>
      <w:r>
        <w:rPr>
          <w:rFonts w:hAnsi="宋体"/>
          <w:sz w:val="22"/>
          <w:szCs w:val="22"/>
        </w:rPr>
        <w:t>（三）单价金额小数点或者百分比有明显错位的，以开标一览表的总价为准，并修改单价；</w:t>
      </w:r>
    </w:p>
    <w:p>
      <w:pPr>
        <w:pStyle w:val="6"/>
        <w:adjustRightInd w:val="0"/>
        <w:snapToGrid w:val="0"/>
        <w:spacing w:before="156" w:after="156" w:line="240" w:lineRule="auto"/>
        <w:ind w:firstLine="330" w:firstLineChars="150"/>
        <w:rPr>
          <w:rFonts w:hAnsi="宋体"/>
          <w:sz w:val="22"/>
          <w:szCs w:val="22"/>
        </w:rPr>
      </w:pPr>
      <w:r>
        <w:rPr>
          <w:rFonts w:hAnsi="宋体"/>
          <w:sz w:val="22"/>
          <w:szCs w:val="22"/>
        </w:rPr>
        <w:t>（四）总价金额与按单价汇总金额不一致的，以单价金额计算结果为准。</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（5）评审结束后，公布采购结果。</w:t>
      </w:r>
    </w:p>
    <w:p>
      <w:pPr>
        <w:pStyle w:val="6"/>
        <w:adjustRightInd w:val="0"/>
        <w:snapToGrid w:val="0"/>
        <w:spacing w:before="156" w:after="156" w:line="240" w:lineRule="auto"/>
        <w:ind w:firstLine="442" w:firstLineChars="200"/>
        <w:rPr>
          <w:rFonts w:hAnsi="宋体"/>
          <w:sz w:val="22"/>
          <w:szCs w:val="22"/>
        </w:rPr>
      </w:pPr>
      <w:r>
        <w:rPr>
          <w:rFonts w:hAnsi="宋体"/>
          <w:b/>
          <w:bCs/>
          <w:sz w:val="22"/>
          <w:szCs w:val="22"/>
        </w:rPr>
        <w:t>特别说明：如遇“政府采购云平台”电子化开标或评审程序调整的，按调整后程序执行。</w:t>
      </w:r>
    </w:p>
    <w:p>
      <w:pPr>
        <w:pStyle w:val="6"/>
        <w:adjustRightInd w:val="0"/>
        <w:snapToGrid w:val="0"/>
        <w:spacing w:before="156" w:after="156" w:line="460" w:lineRule="atLeast"/>
        <w:ind w:firstLine="440" w:firstLineChars="200"/>
        <w:rPr>
          <w:rFonts w:hAnsi="宋体"/>
          <w:sz w:val="22"/>
          <w:szCs w:val="22"/>
        </w:rPr>
      </w:pPr>
      <w:r>
        <w:rPr>
          <w:rFonts w:hAnsi="宋体"/>
          <w:sz w:val="22"/>
          <w:szCs w:val="22"/>
        </w:rPr>
        <w:t>2、投标供应商资格审查</w:t>
      </w:r>
    </w:p>
    <w:p>
      <w:pPr>
        <w:pStyle w:val="6"/>
        <w:adjustRightInd w:val="0"/>
        <w:snapToGrid w:val="0"/>
        <w:spacing w:before="156" w:after="156" w:line="460" w:lineRule="atLeast"/>
        <w:ind w:firstLine="440" w:firstLineChars="200"/>
        <w:rPr>
          <w:rFonts w:hAnsi="宋体"/>
          <w:sz w:val="22"/>
          <w:szCs w:val="22"/>
        </w:rPr>
      </w:pPr>
      <w:r>
        <w:rPr>
          <w:rFonts w:hAnsi="宋体"/>
          <w:sz w:val="22"/>
          <w:szCs w:val="22"/>
        </w:rPr>
        <w:t>2.1、</w:t>
      </w:r>
      <w:r>
        <w:rPr>
          <w:rFonts w:hAnsi="宋体"/>
          <w:b/>
          <w:bCs/>
          <w:sz w:val="22"/>
          <w:szCs w:val="22"/>
        </w:rPr>
        <w:t>开标后，采购人或者采购代理机构</w:t>
      </w:r>
      <w:r>
        <w:rPr>
          <w:rFonts w:hint="eastAsia" w:hAnsi="宋体"/>
          <w:b/>
          <w:bCs/>
          <w:sz w:val="22"/>
          <w:szCs w:val="22"/>
        </w:rPr>
        <w:t>或评标委员会</w:t>
      </w:r>
      <w:r>
        <w:rPr>
          <w:rFonts w:hAnsi="宋体"/>
          <w:b/>
          <w:bCs/>
          <w:sz w:val="22"/>
          <w:szCs w:val="22"/>
        </w:rPr>
        <w:t>应当依法对投标供应商的资格进行审查，审查各投标供应商的资格是否满足招标文件的要求。采购人或采购代理机构</w:t>
      </w:r>
      <w:r>
        <w:rPr>
          <w:rFonts w:hint="eastAsia" w:hAnsi="宋体"/>
          <w:b/>
          <w:bCs/>
          <w:sz w:val="22"/>
          <w:szCs w:val="22"/>
        </w:rPr>
        <w:t>或评标委员会</w:t>
      </w:r>
      <w:r>
        <w:rPr>
          <w:rFonts w:hAnsi="宋体"/>
          <w:b/>
          <w:bCs/>
          <w:sz w:val="22"/>
          <w:szCs w:val="22"/>
        </w:rPr>
        <w:t>对投标供应商所提交的资格证明材料仅负审核的责任。如发现投标供应商所提交的资格证明材料不合法或与事实不符，采购人可取消其中标资格并追究投标供应商的法律责任。</w:t>
      </w:r>
    </w:p>
    <w:p>
      <w:pPr>
        <w:pStyle w:val="6"/>
        <w:adjustRightInd w:val="0"/>
        <w:snapToGrid w:val="0"/>
        <w:spacing w:before="156" w:after="156" w:line="460" w:lineRule="atLeast"/>
        <w:ind w:firstLine="440" w:firstLineChars="200"/>
        <w:rPr>
          <w:rFonts w:hAnsi="宋体"/>
          <w:sz w:val="22"/>
          <w:szCs w:val="22"/>
        </w:rPr>
      </w:pPr>
      <w:r>
        <w:rPr>
          <w:rFonts w:hAnsi="宋体"/>
          <w:sz w:val="22"/>
          <w:szCs w:val="22"/>
        </w:rPr>
        <w:t>2.2、</w:t>
      </w:r>
      <w:r>
        <w:rPr>
          <w:rFonts w:hAnsi="宋体"/>
          <w:b/>
          <w:bCs/>
          <w:sz w:val="22"/>
          <w:szCs w:val="22"/>
        </w:rPr>
        <w:t>投标供应商提交的资格证明材料无法证明其符合招标文件规定的“投标供应商资格要求”的，采购人或采购代理机构</w:t>
      </w:r>
      <w:r>
        <w:rPr>
          <w:rFonts w:hint="eastAsia" w:hAnsi="宋体"/>
          <w:b/>
          <w:bCs/>
          <w:sz w:val="22"/>
          <w:szCs w:val="22"/>
        </w:rPr>
        <w:t>或</w:t>
      </w:r>
      <w:r>
        <w:rPr>
          <w:rFonts w:hAnsi="宋体"/>
          <w:b/>
          <w:bCs/>
          <w:sz w:val="22"/>
          <w:szCs w:val="22"/>
        </w:rPr>
        <w:t>评标委员会将对其作资格审查不通过处理（无效投标），并不再将其投标进行后续评审。</w:t>
      </w:r>
    </w:p>
    <w:p>
      <w:pPr>
        <w:pStyle w:val="6"/>
        <w:adjustRightInd w:val="0"/>
        <w:snapToGrid w:val="0"/>
        <w:spacing w:before="156" w:after="156" w:line="460" w:lineRule="atLeast"/>
        <w:ind w:firstLine="440" w:firstLineChars="200"/>
        <w:rPr>
          <w:rFonts w:hAnsi="宋体"/>
          <w:b/>
          <w:bCs/>
          <w:sz w:val="22"/>
          <w:szCs w:val="22"/>
        </w:rPr>
      </w:pPr>
      <w:r>
        <w:rPr>
          <w:rFonts w:hAnsi="宋体"/>
          <w:sz w:val="22"/>
          <w:szCs w:val="22"/>
        </w:rPr>
        <w:t>2.3、</w:t>
      </w:r>
      <w:r>
        <w:rPr>
          <w:rFonts w:hAnsi="宋体"/>
          <w:b/>
          <w:bCs/>
          <w:sz w:val="22"/>
          <w:szCs w:val="22"/>
        </w:rPr>
        <w:t>单位负责人为同一人或者存在直接控股、管理关系的不同供应商参加同一合同项下的政府采购活动的，相关投标供应商均作资格无效处理。</w:t>
      </w:r>
    </w:p>
    <w:p>
      <w:pPr>
        <w:pStyle w:val="6"/>
        <w:adjustRightInd w:val="0"/>
        <w:snapToGrid w:val="0"/>
        <w:spacing w:before="156" w:after="156" w:line="440" w:lineRule="atLeast"/>
        <w:ind w:firstLine="440" w:firstLineChars="200"/>
        <w:rPr>
          <w:rFonts w:hAnsi="宋体"/>
          <w:sz w:val="22"/>
          <w:szCs w:val="22"/>
        </w:rPr>
      </w:pPr>
      <w:r>
        <w:rPr>
          <w:rFonts w:hint="eastAsia" w:hAnsi="宋体"/>
          <w:sz w:val="22"/>
          <w:szCs w:val="22"/>
        </w:rPr>
        <w:t>3、评标</w:t>
      </w:r>
    </w:p>
    <w:p>
      <w:pPr>
        <w:pStyle w:val="6"/>
        <w:adjustRightInd w:val="0"/>
        <w:snapToGrid w:val="0"/>
        <w:spacing w:before="156" w:after="156" w:line="440" w:lineRule="atLeast"/>
        <w:ind w:firstLine="440" w:firstLineChars="200"/>
        <w:rPr>
          <w:rFonts w:hAnsi="宋体"/>
          <w:sz w:val="22"/>
          <w:szCs w:val="22"/>
        </w:rPr>
      </w:pPr>
      <w:r>
        <w:rPr>
          <w:rFonts w:hint="eastAsia" w:hAnsi="宋体"/>
          <w:sz w:val="22"/>
          <w:szCs w:val="22"/>
        </w:rPr>
        <w:t>3.1、评标由依法组建的评标委员会负责，并独立履行下列职责：</w:t>
      </w:r>
    </w:p>
    <w:p>
      <w:pPr>
        <w:pStyle w:val="6"/>
        <w:adjustRightInd w:val="0"/>
        <w:snapToGrid w:val="0"/>
        <w:spacing w:before="156" w:after="156" w:line="440" w:lineRule="atLeast"/>
        <w:ind w:firstLine="440" w:firstLineChars="200"/>
        <w:rPr>
          <w:rFonts w:hAnsi="宋体"/>
          <w:sz w:val="22"/>
          <w:szCs w:val="22"/>
        </w:rPr>
      </w:pPr>
      <w:r>
        <w:rPr>
          <w:rFonts w:hint="eastAsia" w:hAnsi="宋体"/>
          <w:sz w:val="22"/>
          <w:szCs w:val="22"/>
        </w:rPr>
        <w:t>1）审查投标文件是否符合招标文件要求，并作出评价；</w:t>
      </w:r>
    </w:p>
    <w:p>
      <w:pPr>
        <w:pStyle w:val="6"/>
        <w:adjustRightInd w:val="0"/>
        <w:snapToGrid w:val="0"/>
        <w:spacing w:before="156" w:after="156" w:line="440" w:lineRule="atLeast"/>
        <w:ind w:firstLine="110" w:firstLineChars="50"/>
        <w:rPr>
          <w:rFonts w:hAnsi="宋体"/>
          <w:sz w:val="22"/>
          <w:szCs w:val="22"/>
        </w:rPr>
      </w:pPr>
      <w:r>
        <w:rPr>
          <w:rFonts w:hint="eastAsia" w:hAnsi="宋体"/>
          <w:sz w:val="22"/>
          <w:szCs w:val="22"/>
        </w:rPr>
        <w:t xml:space="preserve">   2）要求投标供应商对投标文件有关事项作出解释或者澄清；</w:t>
      </w:r>
    </w:p>
    <w:p>
      <w:pPr>
        <w:pStyle w:val="6"/>
        <w:adjustRightInd w:val="0"/>
        <w:snapToGrid w:val="0"/>
        <w:spacing w:before="156" w:after="156" w:line="460" w:lineRule="atLeast"/>
        <w:ind w:firstLine="440"/>
        <w:rPr>
          <w:rFonts w:hAnsi="宋体"/>
          <w:sz w:val="22"/>
          <w:szCs w:val="22"/>
        </w:rPr>
      </w:pPr>
      <w:r>
        <w:rPr>
          <w:rFonts w:hAnsi="宋体"/>
          <w:sz w:val="22"/>
          <w:szCs w:val="22"/>
        </w:rPr>
        <w:t>3）按照招标文件确定的评标办法对各投标供应商进行排序，推荐中标候选供应商（不超过3个）；综合得分最高的供应商推荐为中标供应商；</w:t>
      </w:r>
    </w:p>
    <w:p>
      <w:pPr>
        <w:pStyle w:val="6"/>
        <w:adjustRightInd w:val="0"/>
        <w:snapToGrid w:val="0"/>
        <w:spacing w:before="156" w:after="156" w:line="460" w:lineRule="atLeast"/>
        <w:ind w:firstLine="440"/>
        <w:rPr>
          <w:rFonts w:hAnsi="宋体"/>
          <w:sz w:val="22"/>
          <w:szCs w:val="22"/>
        </w:rPr>
      </w:pPr>
      <w:r>
        <w:rPr>
          <w:rFonts w:hAnsi="宋体"/>
          <w:sz w:val="22"/>
          <w:szCs w:val="22"/>
        </w:rPr>
        <w:t>4）向采购人推荐综合得分第一名的供应商为中标供应商，并提交评审报告。如果第一名得分相同，以投标报价低的优先；投标报价也相同，</w:t>
      </w:r>
      <w:r>
        <w:rPr>
          <w:rFonts w:hint="eastAsia"/>
          <w:sz w:val="22"/>
          <w:szCs w:val="22"/>
        </w:rPr>
        <w:t>则以政采云系统记录的投标文件解密时间排序在前面的优先</w:t>
      </w:r>
      <w:r>
        <w:rPr>
          <w:rFonts w:hAnsi="宋体"/>
          <w:sz w:val="22"/>
          <w:szCs w:val="22"/>
        </w:rPr>
        <w:t>。</w:t>
      </w:r>
    </w:p>
    <w:p>
      <w:pPr>
        <w:pStyle w:val="6"/>
        <w:adjustRightInd w:val="0"/>
        <w:snapToGrid w:val="0"/>
        <w:spacing w:before="156" w:after="156" w:line="460" w:lineRule="atLeast"/>
        <w:ind w:firstLine="440" w:firstLineChars="200"/>
        <w:rPr>
          <w:rFonts w:hAnsi="宋体"/>
          <w:sz w:val="22"/>
          <w:szCs w:val="22"/>
        </w:rPr>
      </w:pPr>
      <w:r>
        <w:rPr>
          <w:rFonts w:hAnsi="宋体"/>
          <w:sz w:val="22"/>
          <w:szCs w:val="22"/>
        </w:rPr>
        <w:t>5）向采购代理机构或者有关部门报告非法干预评标工作的行为。</w:t>
      </w:r>
    </w:p>
    <w:p>
      <w:pPr>
        <w:pStyle w:val="6"/>
        <w:adjustRightInd w:val="0"/>
        <w:snapToGrid w:val="0"/>
        <w:spacing w:before="156" w:after="156" w:line="440" w:lineRule="atLeast"/>
        <w:ind w:firstLine="440" w:firstLineChars="200"/>
        <w:rPr>
          <w:rFonts w:hAnsi="宋体"/>
          <w:sz w:val="22"/>
          <w:szCs w:val="22"/>
        </w:rPr>
      </w:pPr>
      <w:r>
        <w:rPr>
          <w:rFonts w:hint="eastAsia" w:hAnsi="宋体"/>
          <w:sz w:val="22"/>
          <w:szCs w:val="22"/>
        </w:rPr>
        <w:t>3.2、评标应当遵循下列工作程序：</w:t>
      </w:r>
    </w:p>
    <w:p>
      <w:pPr>
        <w:pStyle w:val="6"/>
        <w:adjustRightInd w:val="0"/>
        <w:snapToGrid w:val="0"/>
        <w:spacing w:before="156" w:after="156" w:line="440" w:lineRule="atLeast"/>
        <w:rPr>
          <w:rFonts w:hAnsi="宋体"/>
          <w:sz w:val="22"/>
          <w:szCs w:val="22"/>
        </w:rPr>
      </w:pPr>
      <w:r>
        <w:rPr>
          <w:rFonts w:hint="eastAsia" w:hAnsi="宋体"/>
          <w:sz w:val="22"/>
          <w:szCs w:val="22"/>
        </w:rPr>
        <w:t xml:space="preserve">    1）投标文件符合性审查。依据招标文件的规定，从投标文件的有效性、完整性和对招标文件的响应程度进行审查，以确定是否对招标文件的实质性要求作出响应。</w:t>
      </w:r>
    </w:p>
    <w:p>
      <w:pPr>
        <w:pStyle w:val="6"/>
        <w:adjustRightInd w:val="0"/>
        <w:snapToGrid w:val="0"/>
        <w:spacing w:before="156" w:after="156" w:line="440" w:lineRule="atLeast"/>
        <w:rPr>
          <w:rFonts w:hAnsi="宋体"/>
          <w:sz w:val="22"/>
          <w:szCs w:val="22"/>
        </w:rPr>
      </w:pPr>
      <w:r>
        <w:rPr>
          <w:rFonts w:hint="eastAsia" w:hAnsi="宋体"/>
          <w:sz w:val="22"/>
          <w:szCs w:val="22"/>
        </w:rPr>
        <w:t xml:space="preserve">    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pPr>
        <w:pStyle w:val="6"/>
        <w:adjustRightInd w:val="0"/>
        <w:snapToGrid w:val="0"/>
        <w:spacing w:before="156" w:after="156" w:line="440" w:lineRule="atLeast"/>
        <w:ind w:firstLine="440" w:firstLineChars="200"/>
        <w:rPr>
          <w:rFonts w:hAnsi="宋体"/>
          <w:sz w:val="22"/>
          <w:szCs w:val="22"/>
        </w:rPr>
      </w:pPr>
      <w:r>
        <w:rPr>
          <w:rFonts w:hint="eastAsia" w:hAnsi="宋体"/>
          <w:sz w:val="22"/>
          <w:szCs w:val="22"/>
        </w:rPr>
        <w:t>3）比较与评价。按招标文件中规定的评标方法和标准，对资格审查和符合性审查合格的投标文件进行商务和技术评估，综合比较与评价。</w:t>
      </w:r>
    </w:p>
    <w:p>
      <w:pPr>
        <w:pStyle w:val="6"/>
        <w:adjustRightInd w:val="0"/>
        <w:snapToGrid w:val="0"/>
        <w:spacing w:before="156" w:after="156" w:line="440" w:lineRule="atLeast"/>
        <w:ind w:firstLine="440" w:firstLineChars="200"/>
        <w:rPr>
          <w:rFonts w:hAnsi="宋体"/>
          <w:b/>
          <w:bCs/>
          <w:sz w:val="22"/>
          <w:szCs w:val="22"/>
        </w:rPr>
      </w:pPr>
      <w:r>
        <w:rPr>
          <w:rFonts w:hint="eastAsia" w:hAnsi="宋体"/>
          <w:sz w:val="22"/>
          <w:szCs w:val="22"/>
        </w:rPr>
        <w:t>3.3、★</w:t>
      </w:r>
      <w:r>
        <w:rPr>
          <w:rFonts w:hint="eastAsia" w:hAnsi="宋体"/>
          <w:b/>
          <w:bCs/>
          <w:sz w:val="22"/>
          <w:szCs w:val="22"/>
        </w:rPr>
        <w:t>投标供应商存在下列情况之一的，投标无效：</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w:t>
      </w:r>
      <w:r>
        <w:rPr>
          <w:rFonts w:hAnsi="宋体"/>
          <w:b/>
          <w:bCs/>
          <w:sz w:val="22"/>
          <w:szCs w:val="22"/>
        </w:rPr>
        <w:t>）投标文件未按招标文件要求签署</w:t>
      </w:r>
      <w:r>
        <w:rPr>
          <w:rFonts w:hint="eastAsia" w:hAnsi="宋体"/>
          <w:b/>
          <w:bCs/>
          <w:sz w:val="22"/>
          <w:szCs w:val="22"/>
        </w:rPr>
        <w:t>或</w:t>
      </w:r>
      <w:r>
        <w:rPr>
          <w:rFonts w:hAnsi="宋体"/>
          <w:b/>
          <w:bCs/>
          <w:sz w:val="22"/>
          <w:szCs w:val="22"/>
        </w:rPr>
        <w:t>CA电子签章的；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2</w:t>
      </w:r>
      <w:r>
        <w:rPr>
          <w:rFonts w:hAnsi="宋体"/>
          <w:b/>
          <w:bCs/>
          <w:sz w:val="22"/>
          <w:szCs w:val="22"/>
        </w:rPr>
        <w:t>）不具备招标文件中规定的资格要求的；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3</w:t>
      </w:r>
      <w:r>
        <w:rPr>
          <w:rFonts w:hAnsi="宋体"/>
          <w:b/>
          <w:bCs/>
          <w:sz w:val="22"/>
          <w:szCs w:val="22"/>
        </w:rPr>
        <w:t>）报价超过招标文件中规定的预算金额或者最高限价的；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4）</w:t>
      </w:r>
      <w:r>
        <w:rPr>
          <w:rFonts w:hint="eastAsia"/>
          <w:b/>
          <w:bCs/>
          <w:sz w:val="22"/>
          <w:szCs w:val="22"/>
        </w:rPr>
        <w:t>未按招标文件要求提供投入人员数量的；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5</w:t>
      </w:r>
      <w:r>
        <w:rPr>
          <w:rFonts w:hAnsi="宋体"/>
          <w:b/>
          <w:bCs/>
          <w:sz w:val="22"/>
          <w:szCs w:val="22"/>
        </w:rPr>
        <w:t>）供应商递交两份或两份以上内容不同的投标文件，未声明哪一份有效的；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6）</w:t>
      </w:r>
      <w:r>
        <w:rPr>
          <w:rFonts w:hAnsi="宋体"/>
          <w:b/>
          <w:bCs/>
          <w:sz w:val="22"/>
          <w:szCs w:val="22"/>
        </w:rPr>
        <w:t>对关键条文的偏离、保留或反对，例如关于付款方式、</w:t>
      </w:r>
      <w:r>
        <w:rPr>
          <w:rFonts w:hint="eastAsia" w:hAnsi="宋体"/>
          <w:b/>
          <w:bCs/>
          <w:sz w:val="22"/>
          <w:szCs w:val="22"/>
        </w:rPr>
        <w:t>服务期、</w:t>
      </w:r>
      <w:r>
        <w:rPr>
          <w:rFonts w:hAnsi="宋体"/>
          <w:b/>
          <w:bCs/>
          <w:sz w:val="22"/>
          <w:szCs w:val="22"/>
        </w:rPr>
        <w:t>适用法律法规、标准、税费等其他内容；</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7</w:t>
      </w:r>
      <w:r>
        <w:rPr>
          <w:rFonts w:hAnsi="宋体"/>
          <w:b/>
          <w:bCs/>
          <w:sz w:val="22"/>
          <w:szCs w:val="22"/>
        </w:rPr>
        <w:t>）存在串标、抬标或弄虚作假情况的</w:t>
      </w:r>
      <w:r>
        <w:rPr>
          <w:rFonts w:hint="eastAsia" w:hAnsi="宋体"/>
          <w:b/>
          <w:bCs/>
          <w:sz w:val="22"/>
          <w:szCs w:val="22"/>
        </w:rPr>
        <w:t>；</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8</w:t>
      </w:r>
      <w:r>
        <w:rPr>
          <w:rFonts w:hAnsi="宋体"/>
          <w:b/>
          <w:bCs/>
          <w:sz w:val="22"/>
          <w:szCs w:val="22"/>
        </w:rPr>
        <w:t>）参与本项目的不同供应商单位负责人为同一人或者存在直接控股、管理关系的；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9</w:t>
      </w:r>
      <w:r>
        <w:rPr>
          <w:rFonts w:hAnsi="宋体"/>
          <w:b/>
          <w:bCs/>
          <w:sz w:val="22"/>
          <w:szCs w:val="22"/>
        </w:rPr>
        <w:t>）供应商的资格文件或者商务技术文件中出现投标报价的；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10</w:t>
      </w:r>
      <w:r>
        <w:rPr>
          <w:rFonts w:hAnsi="宋体"/>
          <w:b/>
          <w:bCs/>
          <w:sz w:val="22"/>
          <w:szCs w:val="22"/>
        </w:rPr>
        <w:t>）投标供应商在线制作投标文件时《开标一览表》中填写的金额与解密后“电子加密投标文件”中《开标一览表》填写的金额不一致并拒绝按招标文件要求接受此调整的；</w:t>
      </w:r>
    </w:p>
    <w:p>
      <w:pPr>
        <w:pStyle w:val="6"/>
        <w:adjustRightInd w:val="0"/>
        <w:snapToGrid w:val="0"/>
        <w:spacing w:before="156" w:after="156" w:line="240" w:lineRule="auto"/>
        <w:ind w:firstLine="442" w:firstLineChars="200"/>
        <w:rPr>
          <w:rFonts w:hAnsi="宋体"/>
          <w:b/>
          <w:bCs/>
          <w:sz w:val="22"/>
          <w:szCs w:val="22"/>
        </w:rPr>
      </w:pPr>
      <w:r>
        <w:rPr>
          <w:rFonts w:hint="eastAsia" w:hAnsi="宋体"/>
          <w:b/>
          <w:bCs/>
          <w:sz w:val="22"/>
          <w:szCs w:val="22"/>
        </w:rPr>
        <w:t>11</w:t>
      </w:r>
      <w:r>
        <w:rPr>
          <w:rFonts w:hAnsi="宋体"/>
          <w:b/>
          <w:bCs/>
          <w:sz w:val="22"/>
          <w:szCs w:val="22"/>
        </w:rPr>
        <w:t>）法律、法规和招标文件规定的其他无效情形（或出现重大偏差）。</w:t>
      </w:r>
    </w:p>
    <w:p>
      <w:pPr>
        <w:pStyle w:val="6"/>
        <w:adjustRightInd w:val="0"/>
        <w:snapToGrid w:val="0"/>
        <w:spacing w:before="156" w:after="156" w:line="440" w:lineRule="exact"/>
        <w:ind w:firstLine="440" w:firstLineChars="200"/>
        <w:rPr>
          <w:rFonts w:hAnsi="宋体"/>
          <w:sz w:val="22"/>
          <w:szCs w:val="22"/>
        </w:rPr>
      </w:pPr>
      <w:r>
        <w:rPr>
          <w:rFonts w:hint="eastAsia" w:hAnsi="宋体"/>
          <w:sz w:val="22"/>
          <w:szCs w:val="22"/>
        </w:rPr>
        <w:t>3</w:t>
      </w:r>
      <w:r>
        <w:rPr>
          <w:rFonts w:hAnsi="宋体"/>
          <w:sz w:val="22"/>
          <w:szCs w:val="22"/>
        </w:rPr>
        <w:t>.4 ▲</w:t>
      </w:r>
      <w:r>
        <w:rPr>
          <w:rFonts w:hAnsi="宋体"/>
          <w:b/>
          <w:bCs/>
          <w:sz w:val="22"/>
          <w:szCs w:val="22"/>
        </w:rPr>
        <w:t>评标委员会发现投标文件有下列情形之一的属于重大偏差(评标委员会按少数服从多数原则认定),按照无效投标处理：</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1）未按招标文件要求编制或字迹模糊、辨认不清的投标文件；</w:t>
      </w:r>
    </w:p>
    <w:p>
      <w:pPr>
        <w:pStyle w:val="6"/>
        <w:adjustRightInd w:val="0"/>
        <w:snapToGrid w:val="0"/>
        <w:spacing w:before="156" w:after="156" w:line="240" w:lineRule="auto"/>
        <w:ind w:firstLine="440" w:firstLineChars="200"/>
        <w:rPr>
          <w:rFonts w:hAnsi="宋体"/>
          <w:sz w:val="22"/>
          <w:szCs w:val="22"/>
        </w:rPr>
      </w:pPr>
      <w:r>
        <w:rPr>
          <w:rFonts w:hAnsi="宋体"/>
          <w:sz w:val="22"/>
          <w:szCs w:val="22"/>
        </w:rPr>
        <w:t>2）除3.3条款以外，明显不符合招标文件</w:t>
      </w:r>
      <w:r>
        <w:rPr>
          <w:rFonts w:hint="eastAsia" w:hAnsi="宋体"/>
          <w:sz w:val="22"/>
          <w:szCs w:val="22"/>
        </w:rPr>
        <w:t>要求</w:t>
      </w:r>
      <w:r>
        <w:rPr>
          <w:rFonts w:hAnsi="宋体"/>
          <w:sz w:val="22"/>
          <w:szCs w:val="22"/>
        </w:rPr>
        <w:t>的规格型号、质量标准，或者</w:t>
      </w:r>
      <w:r>
        <w:rPr>
          <w:rFonts w:hint="eastAsia" w:hAnsi="宋体"/>
          <w:sz w:val="22"/>
          <w:szCs w:val="22"/>
        </w:rPr>
        <w:t>与</w:t>
      </w:r>
      <w:r>
        <w:rPr>
          <w:rFonts w:hAnsi="宋体"/>
          <w:sz w:val="22"/>
          <w:szCs w:val="22"/>
        </w:rPr>
        <w:t>招标文件中标“</w:t>
      </w:r>
      <w:r>
        <w:rPr>
          <w:rFonts w:hint="eastAsia" w:hAnsi="宋体"/>
          <w:sz w:val="22"/>
          <w:szCs w:val="22"/>
        </w:rPr>
        <w:t>▲</w:t>
      </w:r>
      <w:r>
        <w:rPr>
          <w:rFonts w:hAnsi="宋体"/>
          <w:sz w:val="22"/>
          <w:szCs w:val="22"/>
        </w:rPr>
        <w:t xml:space="preserve">”的技术指标、主要功能项目发生实质性偏离的； </w:t>
      </w:r>
    </w:p>
    <w:p>
      <w:pPr>
        <w:pStyle w:val="6"/>
        <w:adjustRightInd w:val="0"/>
        <w:snapToGrid w:val="0"/>
        <w:spacing w:before="156" w:after="156" w:line="240" w:lineRule="auto"/>
        <w:ind w:firstLine="440" w:firstLineChars="200"/>
        <w:rPr>
          <w:rFonts w:hAnsi="宋体"/>
          <w:sz w:val="22"/>
          <w:szCs w:val="22"/>
        </w:rPr>
      </w:pPr>
      <w:r>
        <w:rPr>
          <w:rFonts w:hint="eastAsia" w:hAnsi="宋体"/>
          <w:sz w:val="22"/>
          <w:szCs w:val="22"/>
        </w:rPr>
        <w:t>3</w:t>
      </w:r>
      <w:r>
        <w:rPr>
          <w:rFonts w:hAnsi="宋体"/>
          <w:sz w:val="22"/>
          <w:szCs w:val="22"/>
        </w:rPr>
        <w:t>）除3.3条款以外，未提供或未如实提供投标货物的技术参数，或者投标文件标明的响应或偏离与事实不符或虚假投标的；</w:t>
      </w:r>
    </w:p>
    <w:p>
      <w:pPr>
        <w:pStyle w:val="6"/>
        <w:adjustRightInd w:val="0"/>
        <w:snapToGrid w:val="0"/>
        <w:spacing w:before="156" w:after="156" w:line="240" w:lineRule="auto"/>
        <w:ind w:firstLine="440" w:firstLineChars="200"/>
        <w:rPr>
          <w:rFonts w:hAnsi="宋体"/>
          <w:sz w:val="22"/>
          <w:szCs w:val="22"/>
        </w:rPr>
      </w:pPr>
      <w:r>
        <w:rPr>
          <w:rFonts w:hint="eastAsia" w:hAnsi="宋体"/>
          <w:sz w:val="22"/>
          <w:szCs w:val="22"/>
        </w:rPr>
        <w:t>4</w:t>
      </w:r>
      <w:r>
        <w:rPr>
          <w:rFonts w:hAnsi="宋体"/>
          <w:sz w:val="22"/>
          <w:szCs w:val="22"/>
        </w:rPr>
        <w:t>）</w:t>
      </w:r>
      <w:r>
        <w:rPr>
          <w:rFonts w:hint="eastAsia" w:hAnsi="宋体"/>
          <w:sz w:val="22"/>
          <w:szCs w:val="22"/>
        </w:rPr>
        <w:t>与其他参加本次投标供应商的投标文件（技术文件）的文字表述内容相同连续20行以上或者差错相同2处以上的（招标文件中复制粘贴而来的除外）。</w:t>
      </w:r>
    </w:p>
    <w:p>
      <w:pPr>
        <w:pStyle w:val="6"/>
        <w:adjustRightInd w:val="0"/>
        <w:snapToGrid w:val="0"/>
        <w:spacing w:before="156" w:after="156" w:line="460" w:lineRule="exact"/>
        <w:ind w:firstLine="440" w:firstLineChars="200"/>
        <w:rPr>
          <w:rFonts w:hAnsi="宋体"/>
          <w:b/>
          <w:bCs/>
          <w:sz w:val="22"/>
          <w:szCs w:val="22"/>
        </w:rPr>
      </w:pPr>
      <w:r>
        <w:rPr>
          <w:rFonts w:hint="eastAsia" w:hAnsi="宋体"/>
          <w:sz w:val="22"/>
          <w:szCs w:val="22"/>
        </w:rPr>
        <w:t>3.5、</w:t>
      </w:r>
      <w:r>
        <w:rPr>
          <w:rFonts w:hint="eastAsia" w:hAnsi="宋体"/>
          <w:b/>
          <w:bCs/>
          <w:sz w:val="22"/>
          <w:szCs w:val="22"/>
        </w:rPr>
        <w:t>本次采购，如果投标供应商的投标报价均超出采购预算，本次招标做流标处理。</w:t>
      </w:r>
    </w:p>
    <w:p>
      <w:pPr>
        <w:pStyle w:val="6"/>
        <w:adjustRightInd w:val="0"/>
        <w:snapToGrid w:val="0"/>
        <w:spacing w:before="156" w:after="156" w:line="460" w:lineRule="exact"/>
        <w:ind w:firstLine="440" w:firstLineChars="200"/>
        <w:rPr>
          <w:rFonts w:hAnsi="宋体"/>
          <w:sz w:val="22"/>
          <w:szCs w:val="22"/>
        </w:rPr>
      </w:pPr>
      <w:r>
        <w:rPr>
          <w:rFonts w:hint="eastAsia" w:hAnsi="宋体"/>
          <w:sz w:val="22"/>
          <w:szCs w:val="22"/>
        </w:rPr>
        <w:t>3.6、开启投标供应商报价文件后发现价格、数量有误，其投标价将按下述原则处理：</w:t>
      </w:r>
    </w:p>
    <w:p>
      <w:pPr>
        <w:adjustRightInd w:val="0"/>
        <w:snapToGrid w:val="0"/>
        <w:ind w:firstLine="440" w:firstLineChars="200"/>
        <w:rPr>
          <w:rFonts w:ascii="宋体"/>
          <w:sz w:val="22"/>
        </w:rPr>
      </w:pPr>
      <w:r>
        <w:rPr>
          <w:rFonts w:ascii="宋体"/>
          <w:sz w:val="22"/>
        </w:rPr>
        <w:t>1) 任何有漏去一些小项货物或服务的投标将被视为其费用已包含在投标总价中，投标价格不予调整。</w:t>
      </w:r>
    </w:p>
    <w:p>
      <w:pPr>
        <w:adjustRightInd w:val="0"/>
        <w:snapToGrid w:val="0"/>
        <w:ind w:firstLine="440" w:firstLineChars="200"/>
        <w:rPr>
          <w:rFonts w:ascii="宋体"/>
          <w:sz w:val="22"/>
        </w:rPr>
      </w:pPr>
      <w:r>
        <w:rPr>
          <w:rFonts w:ascii="宋体"/>
          <w:sz w:val="22"/>
        </w:rPr>
        <w:t>2) 任何有多报一些小项工程或货物的投标其投标价不予调整，如果该投标供应商中标，则合同价格必须为核减掉多报的一些小项工程或货物后的价格。</w:t>
      </w:r>
    </w:p>
    <w:p>
      <w:pPr>
        <w:adjustRightInd w:val="0"/>
        <w:snapToGrid w:val="0"/>
        <w:ind w:firstLine="440" w:firstLineChars="200"/>
        <w:rPr>
          <w:rFonts w:ascii="宋体"/>
          <w:sz w:val="22"/>
        </w:rPr>
      </w:pPr>
      <w:r>
        <w:rPr>
          <w:rFonts w:ascii="宋体"/>
          <w:sz w:val="22"/>
        </w:rPr>
        <w:t>3）</w:t>
      </w:r>
      <w:r>
        <w:rPr>
          <w:rFonts w:hint="eastAsia" w:ascii="宋体"/>
          <w:sz w:val="22"/>
        </w:rPr>
        <w:t>对于计算错误的其投标价不予调整，如果该投标供应商中标，如其投标价格计算错误导致多报者合同价格予以据实核减，少报者合同价格不予调整。</w:t>
      </w:r>
    </w:p>
    <w:p>
      <w:pPr>
        <w:pStyle w:val="6"/>
        <w:adjustRightInd w:val="0"/>
        <w:snapToGrid w:val="0"/>
        <w:spacing w:before="156" w:after="156" w:line="240" w:lineRule="auto"/>
        <w:ind w:firstLine="431" w:firstLineChars="196"/>
        <w:rPr>
          <w:rFonts w:hAnsi="宋体"/>
          <w:sz w:val="22"/>
        </w:rPr>
      </w:pPr>
      <w:r>
        <w:rPr>
          <w:rFonts w:hAnsi="宋体"/>
          <w:sz w:val="22"/>
        </w:rPr>
        <w:t>4）对于计算错误，多报或漏报的一些小项工程或货物、服务的仅仅为非实质性重大偏差范围内的偏离，并经过评标委员会按少数服从多数原则认定为细微偏差，评审时其投标价不予调整。</w:t>
      </w:r>
    </w:p>
    <w:p>
      <w:pPr>
        <w:pStyle w:val="6"/>
        <w:adjustRightInd w:val="0"/>
        <w:snapToGrid w:val="0"/>
        <w:spacing w:before="156" w:after="156" w:line="240" w:lineRule="auto"/>
        <w:ind w:firstLine="431" w:firstLineChars="196"/>
        <w:rPr>
          <w:rFonts w:hAnsi="宋体"/>
          <w:sz w:val="22"/>
          <w:szCs w:val="22"/>
        </w:rPr>
      </w:pPr>
      <w:r>
        <w:rPr>
          <w:rFonts w:hint="eastAsia" w:hAnsi="宋体"/>
          <w:sz w:val="22"/>
        </w:rPr>
        <w:t>5）</w:t>
      </w:r>
      <w:r>
        <w:rPr>
          <w:rFonts w:hint="eastAsia" w:hAnsi="宋体"/>
          <w:b/>
          <w:bCs/>
          <w:sz w:val="22"/>
        </w:rPr>
        <w:t>供应商不接受上述处理方式，将按无效投标处理</w:t>
      </w:r>
      <w:r>
        <w:rPr>
          <w:rFonts w:hAnsi="宋体"/>
          <w:b/>
          <w:bCs/>
          <w:sz w:val="22"/>
        </w:rPr>
        <w:t>。</w:t>
      </w:r>
    </w:p>
    <w:p>
      <w:pPr>
        <w:adjustRightInd w:val="0"/>
        <w:snapToGrid w:val="0"/>
        <w:spacing w:line="460" w:lineRule="exact"/>
        <w:ind w:firstLine="440" w:firstLineChars="200"/>
        <w:rPr>
          <w:rFonts w:ascii="宋体"/>
          <w:b/>
          <w:bCs/>
          <w:sz w:val="22"/>
        </w:rPr>
      </w:pPr>
      <w:r>
        <w:rPr>
          <w:rFonts w:hint="eastAsia" w:ascii="宋体"/>
          <w:sz w:val="22"/>
        </w:rPr>
        <w:t>3</w:t>
      </w:r>
      <w:r>
        <w:rPr>
          <w:rFonts w:ascii="宋体"/>
          <w:sz w:val="22"/>
        </w:rPr>
        <w:t>.</w:t>
      </w:r>
      <w:r>
        <w:rPr>
          <w:rFonts w:hint="eastAsia" w:ascii="宋体"/>
          <w:sz w:val="22"/>
        </w:rPr>
        <w:t>7、▲</w:t>
      </w:r>
      <w:r>
        <w:rPr>
          <w:rFonts w:ascii="宋体"/>
          <w:b/>
          <w:bCs/>
          <w:sz w:val="22"/>
        </w:rPr>
        <w:t>评标委员会认为投标</w:t>
      </w:r>
      <w:r>
        <w:rPr>
          <w:rFonts w:hint="eastAsia" w:ascii="宋体"/>
          <w:b/>
          <w:bCs/>
          <w:sz w:val="22"/>
        </w:rPr>
        <w:t>供应商</w:t>
      </w:r>
      <w:r>
        <w:rPr>
          <w:rFonts w:ascii="宋体"/>
          <w:b/>
          <w:bCs/>
          <w:sz w:val="22"/>
        </w:rPr>
        <w:t>的报价明显低于其他通过符合性审查投标</w:t>
      </w:r>
      <w:r>
        <w:rPr>
          <w:rFonts w:hint="eastAsia" w:ascii="宋体"/>
          <w:b/>
          <w:bCs/>
          <w:sz w:val="22"/>
        </w:rPr>
        <w:t>供应商</w:t>
      </w:r>
      <w:r>
        <w:rPr>
          <w:rFonts w:ascii="宋体"/>
          <w:b/>
          <w:bCs/>
          <w:sz w:val="22"/>
        </w:rPr>
        <w:t>的报价，有可能影响产品质量或者不能诚信履约的，应当要求其在合理的时间内提供说明，必要时提交相关证明材料；投标</w:t>
      </w:r>
      <w:r>
        <w:rPr>
          <w:rFonts w:hint="eastAsia" w:ascii="宋体"/>
          <w:b/>
          <w:bCs/>
          <w:sz w:val="22"/>
        </w:rPr>
        <w:t>供应商</w:t>
      </w:r>
      <w:r>
        <w:rPr>
          <w:rFonts w:ascii="宋体"/>
          <w:b/>
          <w:bCs/>
          <w:sz w:val="22"/>
        </w:rPr>
        <w:t>不能证明其报价合理性的，评标委员会应当将其作为无效投标处理。</w:t>
      </w:r>
    </w:p>
    <w:p>
      <w:pPr>
        <w:adjustRightInd w:val="0"/>
        <w:snapToGrid w:val="0"/>
        <w:spacing w:line="460" w:lineRule="exact"/>
        <w:ind w:firstLine="440" w:firstLineChars="200"/>
        <w:rPr>
          <w:rFonts w:ascii="宋体" w:cs="Arial"/>
          <w:sz w:val="22"/>
        </w:rPr>
      </w:pPr>
      <w:r>
        <w:rPr>
          <w:rFonts w:hint="eastAsia" w:ascii="宋体"/>
          <w:sz w:val="22"/>
        </w:rPr>
        <w:t>3.8、</w:t>
      </w:r>
      <w:r>
        <w:rPr>
          <w:rFonts w:hint="eastAsia" w:ascii="宋体" w:cs="Arial"/>
          <w:b/>
          <w:bCs/>
          <w:sz w:val="22"/>
        </w:rPr>
        <w:t>评标过程中遇到特殊情况，由评标委员会遵循公开、公正原则，采取投票方式按照少数服从多数原则决定。</w:t>
      </w:r>
    </w:p>
    <w:p>
      <w:pPr>
        <w:adjustRightInd w:val="0"/>
        <w:snapToGrid w:val="0"/>
        <w:spacing w:line="440" w:lineRule="exact"/>
        <w:ind w:firstLine="440" w:firstLineChars="200"/>
        <w:rPr>
          <w:rFonts w:ascii="宋体"/>
          <w:sz w:val="22"/>
        </w:rPr>
      </w:pPr>
      <w:r>
        <w:rPr>
          <w:rFonts w:hint="eastAsia" w:ascii="宋体"/>
          <w:sz w:val="22"/>
        </w:rPr>
        <w:t>3.9、实质上没有响应招标文件要求的投标将被拒绝。评标委员会不得通过询标使投标供应商修正或撤消不合要求的偏离从而使其投标成为实质上响应的投标。</w:t>
      </w:r>
    </w:p>
    <w:p>
      <w:pPr>
        <w:adjustRightInd w:val="0"/>
        <w:snapToGrid w:val="0"/>
        <w:spacing w:line="440" w:lineRule="exact"/>
        <w:ind w:firstLine="440" w:firstLineChars="200"/>
        <w:rPr>
          <w:rFonts w:ascii="宋体"/>
          <w:sz w:val="22"/>
        </w:rPr>
      </w:pPr>
      <w:r>
        <w:rPr>
          <w:rFonts w:hint="eastAsia" w:ascii="宋体"/>
          <w:sz w:val="22"/>
        </w:rPr>
        <w:t>3.10、评标委员会对投标文件的判定，只依据投标内容本身，不依靠开标后的任何外来证明。</w:t>
      </w:r>
    </w:p>
    <w:p>
      <w:pPr>
        <w:adjustRightInd w:val="0"/>
        <w:snapToGrid w:val="0"/>
        <w:spacing w:line="440" w:lineRule="exact"/>
        <w:ind w:firstLine="440" w:firstLineChars="200"/>
        <w:rPr>
          <w:rFonts w:ascii="宋体"/>
          <w:sz w:val="22"/>
        </w:rPr>
      </w:pPr>
      <w:r>
        <w:rPr>
          <w:rFonts w:hint="eastAsia" w:ascii="宋体"/>
          <w:sz w:val="22"/>
        </w:rPr>
        <w:t>3.11、评标委员会在评标中，不得改变招标文件中规定的评标标准、方法和中标条件。</w:t>
      </w:r>
    </w:p>
    <w:p>
      <w:pPr>
        <w:adjustRightInd w:val="0"/>
        <w:snapToGrid w:val="0"/>
        <w:spacing w:line="440" w:lineRule="exact"/>
        <w:ind w:firstLine="440" w:firstLineChars="200"/>
        <w:rPr>
          <w:rFonts w:ascii="宋体"/>
          <w:b/>
          <w:bCs/>
          <w:sz w:val="22"/>
        </w:rPr>
      </w:pPr>
      <w:r>
        <w:rPr>
          <w:rFonts w:hint="eastAsia" w:ascii="宋体"/>
          <w:sz w:val="22"/>
        </w:rPr>
        <w:t>3</w:t>
      </w:r>
      <w:r>
        <w:rPr>
          <w:rFonts w:ascii="宋体"/>
          <w:sz w:val="22"/>
        </w:rPr>
        <w:t>.</w:t>
      </w:r>
      <w:r>
        <w:rPr>
          <w:rFonts w:hint="eastAsia" w:ascii="宋体"/>
          <w:sz w:val="22"/>
        </w:rPr>
        <w:t>12、</w:t>
      </w:r>
      <w:r>
        <w:rPr>
          <w:rFonts w:ascii="宋体"/>
          <w:b/>
          <w:bCs/>
          <w:sz w:val="22"/>
        </w:rPr>
        <w:t>评标委员会对未中标的供应商不作解释。同时根据政府采购法实施条例第四十条规定，本项目不对各投标供应商公布详细的评审情况，不公布具体评标细则中小项得分。</w:t>
      </w:r>
    </w:p>
    <w:p>
      <w:pPr>
        <w:pStyle w:val="6"/>
        <w:adjustRightInd w:val="0"/>
        <w:snapToGrid w:val="0"/>
        <w:spacing w:before="156" w:after="156" w:line="460" w:lineRule="atLeast"/>
        <w:rPr>
          <w:rFonts w:hAnsi="宋体"/>
          <w:sz w:val="22"/>
          <w:szCs w:val="22"/>
        </w:rPr>
      </w:pPr>
      <w:r>
        <w:rPr>
          <w:rFonts w:hint="eastAsia" w:hAnsi="宋体"/>
          <w:sz w:val="22"/>
          <w:szCs w:val="22"/>
        </w:rPr>
        <w:t xml:space="preserve">  </w:t>
      </w:r>
      <w:r>
        <w:rPr>
          <w:rFonts w:hAnsi="宋体"/>
          <w:sz w:val="22"/>
          <w:szCs w:val="22"/>
        </w:rPr>
        <w:t>4、投标文件的澄清</w:t>
      </w:r>
    </w:p>
    <w:p>
      <w:pPr>
        <w:adjustRightInd w:val="0"/>
        <w:snapToGrid w:val="0"/>
        <w:spacing w:line="460" w:lineRule="atLeast"/>
        <w:ind w:firstLine="440" w:firstLineChars="200"/>
        <w:rPr>
          <w:rFonts w:ascii="宋体"/>
          <w:sz w:val="22"/>
        </w:rPr>
      </w:pPr>
      <w:r>
        <w:rPr>
          <w:rFonts w:hint="eastAsia" w:ascii="宋体"/>
          <w:sz w:val="22"/>
        </w:rPr>
        <w:t>4.1、为有利于对投标文件的评审，必要时评标委员会可要求投标供应商对投标文件相关事宜进行澄清。评标委员会将通过“政府采购云平台”在线询标的形式要求</w:t>
      </w:r>
      <w:r>
        <w:rPr>
          <w:rFonts w:ascii="宋体"/>
          <w:sz w:val="22"/>
        </w:rPr>
        <w:t>投标供应商</w:t>
      </w:r>
      <w:r>
        <w:rPr>
          <w:rFonts w:hint="eastAsia" w:ascii="宋体"/>
          <w:sz w:val="22"/>
        </w:rPr>
        <w:t>在规定的时间内作出必要的澄清、说明，供投标供应商澄清、说明时间不多于30分钟，投标供应商未在规定的时间内作出必要的澄清、说明可能导致对其不利的评定。</w:t>
      </w:r>
    </w:p>
    <w:p>
      <w:pPr>
        <w:adjustRightInd w:val="0"/>
        <w:snapToGrid w:val="0"/>
        <w:spacing w:line="460" w:lineRule="atLeast"/>
        <w:ind w:firstLine="440" w:firstLineChars="200"/>
        <w:rPr>
          <w:rFonts w:ascii="宋体"/>
          <w:sz w:val="22"/>
        </w:rPr>
      </w:pPr>
      <w:r>
        <w:rPr>
          <w:rFonts w:hint="eastAsia" w:ascii="宋体"/>
          <w:sz w:val="22"/>
        </w:rPr>
        <w:t>4.2、</w:t>
      </w:r>
      <w:r>
        <w:rPr>
          <w:rFonts w:ascii="宋体"/>
          <w:sz w:val="22"/>
        </w:rPr>
        <w:t>投标供应商</w:t>
      </w:r>
      <w:r>
        <w:rPr>
          <w:rFonts w:hint="eastAsia" w:ascii="宋体"/>
          <w:sz w:val="22"/>
        </w:rPr>
        <w:t>的澄清、说明应当通过“政府采购云平台”在线答复形式提交。</w:t>
      </w:r>
      <w:r>
        <w:rPr>
          <w:rFonts w:ascii="宋体"/>
          <w:sz w:val="22"/>
        </w:rPr>
        <w:t>投标供应商</w:t>
      </w:r>
      <w:r>
        <w:rPr>
          <w:rFonts w:hint="eastAsia" w:ascii="宋体"/>
          <w:sz w:val="22"/>
        </w:rPr>
        <w:t xml:space="preserve">的澄清、说明不得超出投标文件的范围或者改变投标文件的实质性内容。 </w:t>
      </w:r>
    </w:p>
    <w:p>
      <w:pPr>
        <w:snapToGrid w:val="0"/>
        <w:spacing w:line="440" w:lineRule="exact"/>
        <w:ind w:firstLine="431" w:firstLineChars="196"/>
        <w:rPr>
          <w:rFonts w:ascii="宋体"/>
          <w:sz w:val="22"/>
        </w:rPr>
      </w:pPr>
      <w:r>
        <w:rPr>
          <w:rFonts w:hint="eastAsia" w:ascii="宋体"/>
          <w:sz w:val="22"/>
        </w:rPr>
        <w:t>5</w:t>
      </w:r>
      <w:r>
        <w:rPr>
          <w:rFonts w:ascii="宋体"/>
          <w:sz w:val="22"/>
        </w:rPr>
        <w:t>、有下列情形之一的，视为投标供应商相互串通投标：</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.1</w:t>
      </w:r>
      <w:r>
        <w:rPr>
          <w:rFonts w:hint="eastAsia" w:ascii="宋体"/>
          <w:sz w:val="22"/>
        </w:rPr>
        <w:t>、</w:t>
      </w:r>
      <w:r>
        <w:rPr>
          <w:rFonts w:ascii="宋体"/>
          <w:sz w:val="22"/>
        </w:rPr>
        <w:t>不同投标供应商的投标文件由同一单位或者个人编制；</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.2</w:t>
      </w:r>
      <w:r>
        <w:rPr>
          <w:rFonts w:hint="eastAsia" w:ascii="宋体"/>
          <w:sz w:val="22"/>
        </w:rPr>
        <w:t>、</w:t>
      </w:r>
      <w:r>
        <w:rPr>
          <w:rFonts w:ascii="宋体"/>
          <w:sz w:val="22"/>
        </w:rPr>
        <w:t>不同投标供应商委托同一单位或者个人办理投标事宜；</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.3</w:t>
      </w:r>
      <w:r>
        <w:rPr>
          <w:rFonts w:hint="eastAsia" w:ascii="宋体"/>
          <w:sz w:val="22"/>
        </w:rPr>
        <w:t>、</w:t>
      </w:r>
      <w:r>
        <w:rPr>
          <w:rFonts w:ascii="宋体"/>
          <w:sz w:val="22"/>
        </w:rPr>
        <w:t>不同投标供应商的投标文件载明的项目管理成员为同一人；</w:t>
      </w:r>
    </w:p>
    <w:p>
      <w:pPr>
        <w:adjustRightInd w:val="0"/>
        <w:snapToGrid w:val="0"/>
        <w:spacing w:line="440" w:lineRule="exact"/>
        <w:ind w:firstLine="440" w:firstLineChars="200"/>
        <w:rPr>
          <w:rFonts w:ascii="宋体"/>
          <w:sz w:val="22"/>
        </w:rPr>
      </w:pPr>
      <w:r>
        <w:rPr>
          <w:rFonts w:hint="eastAsia" w:ascii="宋体"/>
          <w:sz w:val="22"/>
        </w:rPr>
        <w:t>5</w:t>
      </w:r>
      <w:r>
        <w:rPr>
          <w:rFonts w:ascii="宋体"/>
          <w:sz w:val="22"/>
        </w:rPr>
        <w:t>.4</w:t>
      </w:r>
      <w:r>
        <w:rPr>
          <w:rFonts w:hint="eastAsia" w:ascii="宋体"/>
          <w:sz w:val="22"/>
        </w:rPr>
        <w:t>、</w:t>
      </w:r>
      <w:r>
        <w:rPr>
          <w:rFonts w:ascii="宋体"/>
          <w:sz w:val="22"/>
        </w:rPr>
        <w:t>不同投标供应商的投标文件异常一致或者投标报价呈规律性差异。</w:t>
      </w:r>
    </w:p>
    <w:p>
      <w:pPr>
        <w:snapToGrid w:val="0"/>
        <w:spacing w:line="440" w:lineRule="exact"/>
        <w:ind w:firstLine="431" w:firstLineChars="196"/>
        <w:rPr>
          <w:rFonts w:ascii="宋体"/>
          <w:sz w:val="22"/>
        </w:rPr>
      </w:pPr>
      <w:r>
        <w:rPr>
          <w:rFonts w:hint="eastAsia" w:ascii="宋体"/>
          <w:sz w:val="22"/>
        </w:rPr>
        <w:t>6、</w:t>
      </w:r>
      <w:r>
        <w:rPr>
          <w:rFonts w:ascii="宋体"/>
          <w:sz w:val="22"/>
        </w:rPr>
        <w:t>经评标委员会认定投标供应商进行串通投标的，评标委员会可以对相关投标供应商做出无效投标处理，并上报政府采购管理部门进行进一步处理。</w:t>
      </w:r>
    </w:p>
    <w:p>
      <w:pPr>
        <w:pStyle w:val="6"/>
        <w:adjustRightInd w:val="0"/>
        <w:snapToGrid w:val="0"/>
        <w:spacing w:before="156" w:after="156" w:line="440" w:lineRule="exact"/>
        <w:ind w:firstLine="440" w:firstLineChars="200"/>
        <w:rPr>
          <w:rFonts w:hAnsi="宋体"/>
          <w:sz w:val="22"/>
          <w:szCs w:val="22"/>
        </w:rPr>
      </w:pPr>
      <w:r>
        <w:rPr>
          <w:rFonts w:hint="eastAsia" w:hAnsi="宋体"/>
          <w:sz w:val="22"/>
          <w:szCs w:val="22"/>
        </w:rPr>
        <w:t>7、评标原则</w:t>
      </w:r>
    </w:p>
    <w:p>
      <w:pPr>
        <w:pStyle w:val="6"/>
        <w:adjustRightInd w:val="0"/>
        <w:snapToGrid w:val="0"/>
        <w:spacing w:before="156" w:after="156" w:line="440" w:lineRule="exact"/>
        <w:ind w:left="218" w:leftChars="104" w:firstLine="220" w:firstLineChars="100"/>
        <w:rPr>
          <w:rFonts w:hAnsi="宋体"/>
          <w:b/>
          <w:bCs/>
          <w:sz w:val="22"/>
          <w:szCs w:val="22"/>
        </w:rPr>
      </w:pPr>
      <w:r>
        <w:rPr>
          <w:rFonts w:hint="eastAsia" w:hAnsi="宋体"/>
          <w:sz w:val="22"/>
          <w:szCs w:val="22"/>
        </w:rPr>
        <w:t>▲</w:t>
      </w:r>
      <w:r>
        <w:rPr>
          <w:rFonts w:hint="eastAsia" w:hAnsi="宋体"/>
          <w:b/>
          <w:bCs/>
          <w:sz w:val="22"/>
          <w:szCs w:val="22"/>
        </w:rPr>
        <w:t>投标截止时或评审过程中有效投标供应商不足三家的，不予开标或评标。</w:t>
      </w:r>
    </w:p>
    <w:p>
      <w:pPr>
        <w:pStyle w:val="6"/>
        <w:adjustRightInd w:val="0"/>
        <w:snapToGrid w:val="0"/>
        <w:spacing w:before="156" w:after="156" w:line="440" w:lineRule="exact"/>
        <w:ind w:left="218" w:leftChars="104" w:firstLine="220" w:firstLineChars="100"/>
        <w:rPr>
          <w:rFonts w:hAnsi="宋体" w:cs="Arial"/>
          <w:sz w:val="22"/>
        </w:rPr>
      </w:pPr>
      <w:r>
        <w:rPr>
          <w:rFonts w:hint="eastAsia" w:hAnsi="宋体"/>
          <w:sz w:val="22"/>
          <w:szCs w:val="22"/>
        </w:rPr>
        <w:t>评标委员会按照招标文件的要求和条件对投标文件进行商务和技术评估，综合比较与评价。</w:t>
      </w:r>
      <w:r>
        <w:rPr>
          <w:rFonts w:hint="eastAsia" w:hAnsi="宋体" w:cs="Arial"/>
          <w:sz w:val="22"/>
        </w:rPr>
        <w:t>评标办法具体见本招标文件第五部分。</w:t>
      </w:r>
    </w:p>
    <w:p>
      <w:pPr>
        <w:adjustRightInd w:val="0"/>
        <w:snapToGrid w:val="0"/>
        <w:spacing w:line="440" w:lineRule="exact"/>
        <w:ind w:firstLine="424" w:firstLineChars="193"/>
        <w:rPr>
          <w:rFonts w:ascii="宋体"/>
          <w:snapToGrid w:val="0"/>
          <w:sz w:val="22"/>
        </w:rPr>
      </w:pPr>
      <w:r>
        <w:rPr>
          <w:rFonts w:hint="eastAsia" w:ascii="宋体"/>
          <w:snapToGrid w:val="0"/>
          <w:sz w:val="22"/>
        </w:rPr>
        <w:t xml:space="preserve"> 8、可中止电子交易活动的情形</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采购过程中出现以下情形，导致电子交易平台无法正常运行，或者无法保证电子交易的公平、公正和安全时，采购组织机构可中止电子交易活动：</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8.1、电子交易平台发生故障而无法登录访问的；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8.2、电子交易平台应用或数据库出现错误，不能进行正常操作的；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8.3、电子交易平台发现严重安全漏洞，有潜在泄密危险的；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8.4、病毒发作导致不能进行正常操作的；</w:t>
      </w:r>
    </w:p>
    <w:p>
      <w:pPr>
        <w:adjustRightInd w:val="0"/>
        <w:snapToGrid w:val="0"/>
        <w:spacing w:line="440" w:lineRule="exact"/>
        <w:ind w:firstLine="440" w:firstLineChars="200"/>
        <w:jc w:val="left"/>
        <w:rPr>
          <w:rFonts w:ascii="宋体"/>
          <w:snapToGrid w:val="0"/>
          <w:sz w:val="22"/>
        </w:rPr>
      </w:pPr>
      <w:r>
        <w:rPr>
          <w:rFonts w:hint="eastAsia" w:ascii="宋体"/>
          <w:snapToGrid w:val="0"/>
          <w:sz w:val="22"/>
        </w:rPr>
        <w:t>8.5、其他无法保证电子交易的公平、公正和安全的情况。</w:t>
      </w:r>
    </w:p>
    <w:p>
      <w:pPr>
        <w:pStyle w:val="5"/>
        <w:spacing w:after="0" w:line="440" w:lineRule="exact"/>
        <w:ind w:firstLine="522" w:firstLineChars="200"/>
      </w:pPr>
      <w:r>
        <w:rPr>
          <w:rFonts w:hint="eastAsia" w:ascii="宋体" w:hAnsi="宋体"/>
          <w:snapToGrid w:val="0"/>
          <w:kern w:val="0"/>
          <w:sz w:val="22"/>
        </w:rPr>
        <w:t>出现前款规定情形，不影响采购公平、公正性的，采购组织机构可以待上述情形消除后继续组织电子交易活动；影响或可能影响采购公平、公正性的，应当重新采购。</w:t>
      </w:r>
    </w:p>
    <w:p>
      <w:pPr>
        <w:snapToGrid w:val="0"/>
        <w:spacing w:line="440" w:lineRule="exact"/>
        <w:ind w:firstLine="440" w:firstLineChars="200"/>
        <w:rPr>
          <w:rFonts w:ascii="宋体"/>
          <w:sz w:val="22"/>
        </w:rPr>
      </w:pPr>
      <w:bookmarkStart w:id="34" w:name="_Toc132125153"/>
      <w:bookmarkStart w:id="35" w:name="_Toc132122418"/>
      <w:bookmarkStart w:id="36" w:name="_Toc132122121"/>
      <w:bookmarkStart w:id="37" w:name="_Toc132125576"/>
      <w:bookmarkStart w:id="38" w:name="_Toc132125097"/>
      <w:bookmarkStart w:id="39" w:name="_Toc132123840"/>
      <w:bookmarkStart w:id="40" w:name="_Toc132123636"/>
      <w:bookmarkStart w:id="41" w:name="_Toc132124596"/>
      <w:bookmarkStart w:id="42" w:name="_Toc132123441"/>
      <w:bookmarkStart w:id="43" w:name="_Toc132125039"/>
      <w:bookmarkStart w:id="44" w:name="_Toc132123549"/>
      <w:bookmarkStart w:id="45" w:name="_Toc132126156"/>
      <w:bookmarkStart w:id="46" w:name="_Toc132125985"/>
      <w:bookmarkStart w:id="47" w:name="_Toc132655778"/>
      <w:bookmarkStart w:id="48" w:name="_Toc132123883"/>
      <w:r>
        <w:rPr>
          <w:rFonts w:hint="eastAsia" w:ascii="宋体"/>
          <w:sz w:val="22"/>
        </w:rPr>
        <w:t>六、授予合同</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6"/>
        <w:adjustRightInd w:val="0"/>
        <w:snapToGrid w:val="0"/>
        <w:spacing w:before="156" w:after="156" w:line="440" w:lineRule="exact"/>
        <w:ind w:firstLine="440" w:firstLineChars="200"/>
        <w:outlineLvl w:val="1"/>
        <w:rPr>
          <w:rFonts w:hAnsi="宋体"/>
          <w:sz w:val="22"/>
          <w:szCs w:val="22"/>
        </w:rPr>
      </w:pPr>
      <w:r>
        <w:rPr>
          <w:rFonts w:hint="eastAsia" w:hAnsi="宋体"/>
          <w:sz w:val="22"/>
          <w:szCs w:val="22"/>
        </w:rPr>
        <w:t>1、中标条件</w:t>
      </w:r>
    </w:p>
    <w:p>
      <w:pPr>
        <w:adjustRightInd w:val="0"/>
        <w:snapToGrid w:val="0"/>
        <w:ind w:hanging="1"/>
        <w:rPr>
          <w:rFonts w:ascii="宋体"/>
          <w:sz w:val="22"/>
        </w:rPr>
      </w:pPr>
      <w:r>
        <w:rPr>
          <w:rFonts w:hint="eastAsia" w:ascii="宋体"/>
          <w:sz w:val="22"/>
        </w:rPr>
        <w:t xml:space="preserve">    1) 投标文件基本符合招标文件要求，能够最大限度满足招标文件中规定的各项综合评价标准；</w:t>
      </w:r>
    </w:p>
    <w:p>
      <w:pPr>
        <w:pStyle w:val="6"/>
        <w:adjustRightInd w:val="0"/>
        <w:snapToGrid w:val="0"/>
        <w:spacing w:before="156" w:after="156" w:line="240" w:lineRule="auto"/>
        <w:ind w:firstLine="440" w:firstLineChars="200"/>
        <w:rPr>
          <w:rFonts w:hAnsi="宋体"/>
          <w:sz w:val="22"/>
          <w:szCs w:val="22"/>
        </w:rPr>
      </w:pPr>
      <w:r>
        <w:rPr>
          <w:rFonts w:hint="eastAsia" w:hAnsi="宋体"/>
          <w:sz w:val="22"/>
          <w:szCs w:val="22"/>
        </w:rPr>
        <w:t>2) 投标供应商有很好的执行合同的能力；</w:t>
      </w:r>
    </w:p>
    <w:p>
      <w:pPr>
        <w:pStyle w:val="6"/>
        <w:adjustRightInd w:val="0"/>
        <w:snapToGrid w:val="0"/>
        <w:spacing w:before="156" w:after="156" w:line="240" w:lineRule="auto"/>
        <w:ind w:firstLine="440"/>
        <w:rPr>
          <w:rFonts w:hAnsi="宋体"/>
          <w:sz w:val="22"/>
          <w:szCs w:val="22"/>
        </w:rPr>
      </w:pPr>
      <w:bookmarkStart w:id="49" w:name="_Toc132122419"/>
      <w:bookmarkStart w:id="50" w:name="_Toc132122122"/>
      <w:r>
        <w:rPr>
          <w:rFonts w:hint="eastAsia" w:hAnsi="宋体"/>
          <w:sz w:val="22"/>
          <w:szCs w:val="22"/>
        </w:rPr>
        <w:t>3) 投标供应商能够提供质量技术、商务经济占综合优势的产品及服务；</w:t>
      </w:r>
      <w:bookmarkEnd w:id="49"/>
      <w:bookmarkEnd w:id="50"/>
    </w:p>
    <w:p>
      <w:pPr>
        <w:pStyle w:val="6"/>
        <w:adjustRightInd w:val="0"/>
        <w:snapToGrid w:val="0"/>
        <w:spacing w:before="156" w:after="156" w:line="240" w:lineRule="auto"/>
        <w:ind w:firstLine="440"/>
        <w:rPr>
          <w:rFonts w:hAnsi="宋体"/>
          <w:sz w:val="22"/>
          <w:szCs w:val="22"/>
        </w:rPr>
      </w:pPr>
      <w:r>
        <w:rPr>
          <w:rFonts w:hAnsi="宋体"/>
          <w:sz w:val="22"/>
          <w:szCs w:val="22"/>
        </w:rPr>
        <w:t>4）中标供应商</w:t>
      </w:r>
      <w:r>
        <w:rPr>
          <w:rFonts w:hint="eastAsia" w:hAnsi="宋体"/>
          <w:sz w:val="22"/>
          <w:szCs w:val="22"/>
        </w:rPr>
        <w:t>投标</w:t>
      </w:r>
      <w:r>
        <w:rPr>
          <w:rFonts w:hAnsi="宋体"/>
          <w:sz w:val="22"/>
          <w:szCs w:val="22"/>
        </w:rPr>
        <w:t>报价为中标价，作为中标供应商与</w:t>
      </w:r>
      <w:r>
        <w:rPr>
          <w:rFonts w:hint="eastAsia" w:hAnsi="宋体"/>
          <w:sz w:val="22"/>
          <w:szCs w:val="22"/>
        </w:rPr>
        <w:t>采购人</w:t>
      </w:r>
      <w:r>
        <w:rPr>
          <w:rFonts w:hAnsi="宋体"/>
          <w:sz w:val="22"/>
          <w:szCs w:val="22"/>
        </w:rPr>
        <w:t>签订合同的合同价。</w:t>
      </w:r>
    </w:p>
    <w:p>
      <w:pPr>
        <w:pStyle w:val="6"/>
        <w:adjustRightInd w:val="0"/>
        <w:snapToGrid w:val="0"/>
        <w:spacing w:before="156" w:after="156" w:line="440" w:lineRule="exact"/>
        <w:ind w:firstLine="450"/>
        <w:rPr>
          <w:rFonts w:hAnsi="宋体"/>
          <w:sz w:val="22"/>
          <w:szCs w:val="22"/>
          <w:u w:val="single"/>
        </w:rPr>
      </w:pPr>
      <w:bookmarkStart w:id="51" w:name="_Toc132122420"/>
      <w:bookmarkStart w:id="52" w:name="_Toc132122123"/>
      <w:r>
        <w:rPr>
          <w:rFonts w:hint="eastAsia" w:hAnsi="宋体"/>
          <w:sz w:val="22"/>
          <w:szCs w:val="22"/>
        </w:rPr>
        <w:t>2、中标通知</w:t>
      </w:r>
      <w:bookmarkEnd w:id="51"/>
      <w:bookmarkEnd w:id="52"/>
    </w:p>
    <w:p>
      <w:pPr>
        <w:adjustRightInd w:val="0"/>
        <w:snapToGrid w:val="0"/>
        <w:spacing w:line="440" w:lineRule="exact"/>
        <w:ind w:firstLine="480"/>
        <w:rPr>
          <w:rFonts w:ascii="宋体"/>
          <w:sz w:val="22"/>
        </w:rPr>
      </w:pPr>
      <w:r>
        <w:rPr>
          <w:rFonts w:hint="eastAsia" w:ascii="宋体"/>
          <w:sz w:val="22"/>
        </w:rPr>
        <w:t>2.1、采购人依法确认中标供应商后</w:t>
      </w:r>
      <w:r>
        <w:rPr>
          <w:rFonts w:ascii="宋体"/>
          <w:sz w:val="22"/>
        </w:rPr>
        <w:t>，采购代理机构在浙江政府采购网公告中标结果，同时发出中标通知书，中标公告期限为1个工作日</w:t>
      </w:r>
      <w:r>
        <w:rPr>
          <w:rFonts w:hint="eastAsia" w:ascii="宋体"/>
          <w:sz w:val="22"/>
        </w:rPr>
        <w:t>。</w:t>
      </w:r>
    </w:p>
    <w:p>
      <w:pPr>
        <w:adjustRightInd w:val="0"/>
        <w:snapToGrid w:val="0"/>
        <w:spacing w:line="440" w:lineRule="exact"/>
        <w:ind w:firstLine="480"/>
        <w:rPr>
          <w:rFonts w:ascii="宋体"/>
          <w:sz w:val="22"/>
        </w:rPr>
      </w:pPr>
      <w:r>
        <w:rPr>
          <w:rFonts w:hint="eastAsia" w:ascii="宋体"/>
          <w:sz w:val="22"/>
        </w:rPr>
        <w:t>2.2、中标通知书对采购单位和中标供应商具有法律约束力。中标通知书发出后，采购人改变中标结果或者中标供应商放弃中标的，应当承担法律责任。</w:t>
      </w:r>
    </w:p>
    <w:p>
      <w:pPr>
        <w:adjustRightInd w:val="0"/>
        <w:snapToGrid w:val="0"/>
        <w:spacing w:line="440" w:lineRule="exact"/>
        <w:ind w:firstLine="480"/>
        <w:rPr>
          <w:rFonts w:ascii="宋体"/>
          <w:sz w:val="22"/>
        </w:rPr>
      </w:pPr>
      <w:r>
        <w:rPr>
          <w:rFonts w:ascii="宋体"/>
          <w:sz w:val="22"/>
        </w:rPr>
        <w:t>2.3、中标无效</w:t>
      </w:r>
    </w:p>
    <w:p>
      <w:pPr>
        <w:adjustRightInd w:val="0"/>
        <w:snapToGrid w:val="0"/>
        <w:spacing w:line="440" w:lineRule="exact"/>
        <w:ind w:firstLine="480"/>
        <w:rPr>
          <w:rFonts w:ascii="宋体"/>
          <w:sz w:val="22"/>
        </w:rPr>
      </w:pPr>
      <w:r>
        <w:rPr>
          <w:rFonts w:ascii="宋体"/>
          <w:sz w:val="22"/>
        </w:rPr>
        <w:t>1）</w:t>
      </w:r>
      <w:r>
        <w:rPr>
          <w:rFonts w:hint="eastAsia" w:ascii="宋体"/>
          <w:sz w:val="22"/>
        </w:rPr>
        <w:t>发现中标供应商资格无效或中标供应商放弃中标或拒绝与采购人签订合同的,按相关规定执行</w:t>
      </w:r>
      <w:r>
        <w:rPr>
          <w:rFonts w:ascii="宋体"/>
          <w:sz w:val="22"/>
        </w:rPr>
        <w:t>。</w:t>
      </w:r>
    </w:p>
    <w:p>
      <w:pPr>
        <w:adjustRightInd w:val="0"/>
        <w:snapToGrid w:val="0"/>
        <w:spacing w:line="440" w:lineRule="exact"/>
        <w:ind w:firstLine="480"/>
        <w:rPr>
          <w:rFonts w:ascii="宋体"/>
          <w:sz w:val="22"/>
        </w:rPr>
      </w:pPr>
      <w:r>
        <w:rPr>
          <w:rFonts w:ascii="宋体"/>
          <w:sz w:val="22"/>
        </w:rPr>
        <w:t>2）</w:t>
      </w:r>
      <w:r>
        <w:rPr>
          <w:rFonts w:hint="eastAsia" w:ascii="宋体"/>
          <w:sz w:val="22"/>
        </w:rPr>
        <w:t>有《中华人民共和国政府采购法实施条例》第七十一条、第七十二条、第七十三条、第七十四条规定的违法行为之一</w:t>
      </w:r>
      <w:r>
        <w:rPr>
          <w:rFonts w:ascii="宋体"/>
          <w:sz w:val="22"/>
        </w:rPr>
        <w:t>，由政府采购监管部门依法处理。</w:t>
      </w:r>
    </w:p>
    <w:p>
      <w:pPr>
        <w:pStyle w:val="6"/>
        <w:adjustRightInd w:val="0"/>
        <w:snapToGrid w:val="0"/>
        <w:spacing w:before="156" w:after="156" w:line="240" w:lineRule="auto"/>
        <w:rPr>
          <w:rFonts w:hAnsi="宋体"/>
          <w:sz w:val="22"/>
          <w:szCs w:val="22"/>
        </w:rPr>
      </w:pPr>
      <w:r>
        <w:rPr>
          <w:rFonts w:hint="eastAsia" w:hAnsi="宋体"/>
          <w:sz w:val="22"/>
          <w:szCs w:val="22"/>
        </w:rPr>
        <w:t xml:space="preserve">    </w:t>
      </w:r>
      <w:bookmarkStart w:id="53" w:name="_Toc132122124"/>
      <w:bookmarkStart w:id="54" w:name="_Toc132122421"/>
      <w:r>
        <w:rPr>
          <w:rFonts w:hint="eastAsia" w:hAnsi="宋体"/>
          <w:sz w:val="22"/>
          <w:szCs w:val="22"/>
        </w:rPr>
        <w:t>3、签订合同</w:t>
      </w:r>
      <w:bookmarkEnd w:id="53"/>
      <w:bookmarkEnd w:id="54"/>
    </w:p>
    <w:p>
      <w:pPr>
        <w:pStyle w:val="6"/>
        <w:adjustRightInd w:val="0"/>
        <w:snapToGrid w:val="0"/>
        <w:spacing w:before="156" w:after="156" w:line="240" w:lineRule="auto"/>
        <w:rPr>
          <w:rFonts w:hAnsi="宋体"/>
          <w:sz w:val="22"/>
          <w:szCs w:val="22"/>
        </w:rPr>
      </w:pPr>
      <w:r>
        <w:rPr>
          <w:rFonts w:hint="eastAsia" w:hAnsi="宋体"/>
          <w:sz w:val="22"/>
          <w:szCs w:val="22"/>
        </w:rPr>
        <w:t xml:space="preserve">    3.1、中标供应商须主动联系采购人或采购代理机构领取中标通知书。中标供应商应当在中标通知书发出之日起</w:t>
      </w:r>
      <w:r>
        <w:rPr>
          <w:rFonts w:hint="eastAsia" w:cs="宋体"/>
          <w:sz w:val="22"/>
          <w:szCs w:val="22"/>
        </w:rPr>
        <w:t>30日历天内</w:t>
      </w:r>
      <w:r>
        <w:rPr>
          <w:rFonts w:hint="eastAsia" w:hAnsi="宋体"/>
          <w:sz w:val="22"/>
          <w:szCs w:val="22"/>
        </w:rPr>
        <w:t>与采购人签订合同。中标供应商未经采购人许可，在规定时间内未与采购人签订合同，则视为拒签合同。</w:t>
      </w:r>
    </w:p>
    <w:p>
      <w:pPr>
        <w:pStyle w:val="6"/>
        <w:adjustRightInd w:val="0"/>
        <w:snapToGrid w:val="0"/>
        <w:spacing w:before="156" w:after="156" w:line="240" w:lineRule="auto"/>
        <w:rPr>
          <w:rFonts w:hAnsi="宋体"/>
          <w:sz w:val="22"/>
          <w:szCs w:val="22"/>
        </w:rPr>
      </w:pPr>
      <w:r>
        <w:rPr>
          <w:rFonts w:hint="eastAsia" w:hAnsi="宋体"/>
          <w:sz w:val="22"/>
          <w:szCs w:val="22"/>
        </w:rPr>
        <w:t xml:space="preserve">    3.2、招标文件、中标供应商的投标文件及投标修改文件、评标过程中有关澄清文件及询标纪要和中标通知书均作为合同附件。</w:t>
      </w:r>
    </w:p>
    <w:p>
      <w:pPr>
        <w:pStyle w:val="6"/>
        <w:adjustRightInd w:val="0"/>
        <w:snapToGrid w:val="0"/>
        <w:spacing w:before="156" w:after="156" w:line="240" w:lineRule="auto"/>
        <w:ind w:firstLine="442"/>
        <w:rPr>
          <w:rFonts w:hAnsi="宋体"/>
          <w:sz w:val="22"/>
          <w:szCs w:val="22"/>
        </w:rPr>
      </w:pPr>
      <w:r>
        <w:rPr>
          <w:rFonts w:hint="eastAsia" w:hAnsi="宋体"/>
          <w:sz w:val="22"/>
          <w:szCs w:val="22"/>
        </w:rPr>
        <w:t>3.3、拒签合同的责任</w:t>
      </w:r>
    </w:p>
    <w:p>
      <w:pPr>
        <w:pStyle w:val="6"/>
        <w:adjustRightInd w:val="0"/>
        <w:snapToGrid w:val="0"/>
        <w:spacing w:before="156" w:after="156" w:line="240" w:lineRule="auto"/>
        <w:ind w:firstLine="440" w:firstLineChars="200"/>
        <w:rPr>
          <w:rFonts w:hAnsi="宋体"/>
          <w:sz w:val="22"/>
          <w:szCs w:val="22"/>
        </w:rPr>
      </w:pPr>
      <w:r>
        <w:rPr>
          <w:rFonts w:hint="eastAsia"/>
          <w:sz w:val="22"/>
          <w:szCs w:val="22"/>
        </w:rPr>
        <w:t xml:space="preserve">    中标供应商在规定时间内借故否认已经承诺的条件、拒签合同者，以投标违约处理，并赔偿采购人由此造成的直接经济损失；采购人重新组织招标的，所需费用由原中标供应商承担。</w:t>
      </w:r>
      <w:r>
        <w:rPr>
          <w:bCs/>
          <w:lang w:val="zh-CN"/>
        </w:rPr>
        <w:br w:type="page"/>
      </w:r>
    </w:p>
    <w:p>
      <w:pPr>
        <w:tabs>
          <w:tab w:val="left" w:pos="426"/>
        </w:tabs>
        <w:snapToGrid w:val="0"/>
        <w:spacing w:line="460" w:lineRule="atLeast"/>
        <w:jc w:val="center"/>
        <w:rPr>
          <w:rFonts w:ascii="宋体"/>
          <w:sz w:val="36"/>
        </w:rPr>
      </w:pPr>
      <w:r>
        <w:rPr>
          <w:rFonts w:hint="eastAsia" w:ascii="宋体"/>
          <w:sz w:val="36"/>
        </w:rPr>
        <w:t>第四章   政府采购政策功能相关说明</w:t>
      </w:r>
    </w:p>
    <w:p>
      <w:pPr>
        <w:snapToGrid w:val="0"/>
        <w:spacing w:line="460" w:lineRule="atLeast"/>
        <w:ind w:firstLine="440" w:firstLineChars="200"/>
        <w:rPr>
          <w:rFonts w:ascii="宋体"/>
          <w:sz w:val="22"/>
        </w:rPr>
      </w:pPr>
      <w:r>
        <w:rPr>
          <w:rFonts w:hint="eastAsia" w:ascii="宋体"/>
          <w:sz w:val="22"/>
        </w:rPr>
        <w:t>一、小、微企业（含监狱企业、残疾人福利性单位）扶持政策说明</w:t>
      </w:r>
    </w:p>
    <w:p>
      <w:pPr>
        <w:snapToGrid w:val="0"/>
        <w:spacing w:line="460" w:lineRule="atLeast"/>
        <w:ind w:firstLine="440" w:firstLineChars="200"/>
        <w:rPr>
          <w:rFonts w:ascii="宋体"/>
          <w:sz w:val="22"/>
        </w:rPr>
      </w:pPr>
      <w:r>
        <w:rPr>
          <w:rFonts w:ascii="宋体"/>
          <w:sz w:val="22"/>
        </w:rPr>
        <w:t>1、文件依据</w:t>
      </w:r>
    </w:p>
    <w:p>
      <w:pPr>
        <w:snapToGrid w:val="0"/>
        <w:spacing w:line="460" w:lineRule="atLeast"/>
        <w:ind w:firstLine="440" w:firstLineChars="200"/>
        <w:rPr>
          <w:rFonts w:ascii="宋体"/>
          <w:sz w:val="22"/>
        </w:rPr>
      </w:pPr>
      <w:r>
        <w:rPr>
          <w:rFonts w:hint="eastAsia" w:ascii="宋体"/>
          <w:sz w:val="22"/>
        </w:rPr>
        <w:t>（</w:t>
      </w:r>
      <w:r>
        <w:rPr>
          <w:rFonts w:ascii="宋体"/>
          <w:sz w:val="22"/>
        </w:rPr>
        <w:t>1）关于印发《政府采购促进中小企业发展暂行办法》的通知（财库[2011]181号）</w:t>
      </w:r>
    </w:p>
    <w:p>
      <w:pPr>
        <w:snapToGrid w:val="0"/>
        <w:spacing w:line="460" w:lineRule="atLeast"/>
        <w:ind w:firstLine="440" w:firstLineChars="200"/>
        <w:rPr>
          <w:rFonts w:ascii="宋体"/>
          <w:sz w:val="22"/>
        </w:rPr>
      </w:pPr>
      <w:r>
        <w:rPr>
          <w:rFonts w:hint="eastAsia" w:ascii="宋体"/>
          <w:sz w:val="22"/>
        </w:rPr>
        <w:t>（</w:t>
      </w:r>
      <w:r>
        <w:rPr>
          <w:rFonts w:ascii="宋体"/>
          <w:sz w:val="22"/>
        </w:rPr>
        <w:t>2）浙江省财政厅转发财政部 工业和信息化部关于印发《政府采购促进中小企业发展暂行办法》的通知（浙财采监[2012]11号）</w:t>
      </w:r>
    </w:p>
    <w:p>
      <w:pPr>
        <w:snapToGrid w:val="0"/>
        <w:spacing w:line="460" w:lineRule="atLeast"/>
        <w:ind w:firstLine="440" w:firstLineChars="200"/>
        <w:rPr>
          <w:rFonts w:ascii="宋体"/>
          <w:sz w:val="22"/>
        </w:rPr>
      </w:pPr>
      <w:r>
        <w:rPr>
          <w:rFonts w:hint="eastAsia" w:ascii="宋体"/>
          <w:sz w:val="22"/>
        </w:rPr>
        <w:t>（</w:t>
      </w:r>
      <w:r>
        <w:rPr>
          <w:rFonts w:ascii="宋体"/>
          <w:sz w:val="22"/>
        </w:rPr>
        <w:t>3）浙江省省财政厅《关于开展政府采购供应商网上注册登记和诚信管理工作的通知》（浙财采监〔2010〕8号)</w:t>
      </w:r>
    </w:p>
    <w:p>
      <w:pPr>
        <w:snapToGrid w:val="0"/>
        <w:spacing w:line="460" w:lineRule="atLeast"/>
        <w:ind w:firstLine="440" w:firstLineChars="200"/>
        <w:rPr>
          <w:rFonts w:ascii="宋体"/>
          <w:sz w:val="22"/>
        </w:rPr>
      </w:pPr>
      <w:r>
        <w:rPr>
          <w:rFonts w:hint="eastAsia" w:ascii="宋体"/>
          <w:sz w:val="22"/>
        </w:rPr>
        <w:t>（</w:t>
      </w:r>
      <w:r>
        <w:rPr>
          <w:rFonts w:ascii="宋体"/>
          <w:sz w:val="22"/>
        </w:rPr>
        <w:t>4）《工业和信息化部、国家统计局、国家发展和改革委员会、财政部关于印发中小企业划型标准规定的通知》（工信部联企业[2011]300号）</w:t>
      </w:r>
    </w:p>
    <w:p>
      <w:pPr>
        <w:snapToGrid w:val="0"/>
        <w:spacing w:line="460" w:lineRule="atLeast"/>
        <w:ind w:firstLine="440" w:firstLineChars="200"/>
        <w:rPr>
          <w:rFonts w:ascii="宋体"/>
          <w:sz w:val="22"/>
        </w:rPr>
      </w:pPr>
      <w:r>
        <w:rPr>
          <w:rFonts w:hint="eastAsia" w:ascii="宋体"/>
          <w:sz w:val="22"/>
        </w:rPr>
        <w:t>（</w:t>
      </w:r>
      <w:r>
        <w:rPr>
          <w:rFonts w:ascii="宋体"/>
          <w:sz w:val="22"/>
        </w:rPr>
        <w:t>5）财政部、司法部《关于政府采购支持监狱企业发展有关问题的通知》（财库〔2014〕68号）</w:t>
      </w:r>
    </w:p>
    <w:p>
      <w:pPr>
        <w:snapToGrid w:val="0"/>
        <w:spacing w:line="460" w:lineRule="atLeast"/>
        <w:ind w:firstLine="440" w:firstLineChars="200"/>
        <w:rPr>
          <w:rFonts w:ascii="宋体"/>
          <w:sz w:val="22"/>
        </w:rPr>
      </w:pPr>
      <w:r>
        <w:rPr>
          <w:rFonts w:hint="eastAsia" w:ascii="宋体"/>
          <w:sz w:val="22"/>
        </w:rPr>
        <w:t>（</w:t>
      </w:r>
      <w:r>
        <w:rPr>
          <w:rFonts w:ascii="宋体"/>
          <w:sz w:val="22"/>
        </w:rPr>
        <w:t>6）《财政部 民政部 中国残疾人联合会关于促进残疾人就业政府采购政策的通知》（财库〔2017〕 141号）</w:t>
      </w:r>
    </w:p>
    <w:p>
      <w:pPr>
        <w:snapToGrid w:val="0"/>
        <w:spacing w:line="460" w:lineRule="atLeast"/>
        <w:ind w:firstLine="440" w:firstLineChars="200"/>
        <w:rPr>
          <w:rFonts w:ascii="宋体"/>
          <w:sz w:val="22"/>
        </w:rPr>
      </w:pPr>
      <w:r>
        <w:rPr>
          <w:rFonts w:hint="eastAsia" w:ascii="宋体"/>
          <w:sz w:val="22"/>
        </w:rPr>
        <w:t>（</w:t>
      </w:r>
      <w:r>
        <w:rPr>
          <w:rFonts w:ascii="宋体"/>
          <w:sz w:val="22"/>
        </w:rPr>
        <w:t>7）《浙江省财政厅  浙江省经济和信息化委员会关于简化中小企业类别确认流程有关事项的通知》（浙财采监〔2018〕2号</w:t>
      </w:r>
      <w:r>
        <w:rPr>
          <w:rFonts w:hint="eastAsia" w:ascii="宋体"/>
          <w:sz w:val="22"/>
        </w:rPr>
        <w:t>）</w:t>
      </w:r>
    </w:p>
    <w:p>
      <w:pPr>
        <w:snapToGrid w:val="0"/>
        <w:spacing w:line="460" w:lineRule="atLeast"/>
        <w:ind w:firstLine="440" w:firstLineChars="200"/>
        <w:rPr>
          <w:rFonts w:ascii="宋体"/>
          <w:sz w:val="22"/>
        </w:rPr>
      </w:pPr>
      <w:r>
        <w:rPr>
          <w:rFonts w:hint="eastAsia" w:ascii="宋体"/>
          <w:sz w:val="22"/>
        </w:rPr>
        <w:t>2、享受小微企业价格折扣应具备的条件</w:t>
      </w:r>
    </w:p>
    <w:p>
      <w:pPr>
        <w:snapToGrid w:val="0"/>
        <w:spacing w:line="460" w:lineRule="atLeast"/>
        <w:ind w:firstLine="440" w:firstLineChars="200"/>
        <w:rPr>
          <w:rFonts w:ascii="宋体"/>
          <w:sz w:val="22"/>
        </w:rPr>
      </w:pPr>
      <w:r>
        <w:rPr>
          <w:rFonts w:hint="eastAsia" w:ascii="宋体"/>
          <w:sz w:val="22"/>
        </w:rPr>
        <w:t>（1）符合中小企业划分标准；</w:t>
      </w:r>
    </w:p>
    <w:p>
      <w:pPr>
        <w:snapToGrid w:val="0"/>
        <w:spacing w:line="460" w:lineRule="atLeast"/>
        <w:ind w:firstLine="440" w:firstLineChars="200"/>
        <w:rPr>
          <w:rFonts w:ascii="宋体"/>
          <w:sz w:val="22"/>
        </w:rPr>
      </w:pPr>
      <w:r>
        <w:rPr>
          <w:rFonts w:hint="eastAsia" w:ascii="宋体"/>
          <w:sz w:val="22"/>
        </w:rPr>
        <w:t>（2）提供本企业制造的货物、承担的工程或者服务，或者提供其他中小企业制造的货物。本项所称货物不包括使用大型企业注册商标的货物。</w:t>
      </w:r>
      <w:r>
        <w:rPr>
          <w:rFonts w:hint="eastAsia" w:ascii="宋体"/>
          <w:sz w:val="22"/>
        </w:rPr>
        <w:br w:type="textWrapping"/>
      </w:r>
      <w:r>
        <w:rPr>
          <w:rFonts w:hint="eastAsia" w:ascii="宋体"/>
          <w:sz w:val="22"/>
        </w:rPr>
        <w:t>  中小企业划分标准，是指国务院有关部门根据企业从业人员、营业收入、资产总额等指标制定的中小企业划型标准。</w:t>
      </w:r>
      <w:r>
        <w:rPr>
          <w:rFonts w:hint="eastAsia" w:ascii="宋体"/>
          <w:sz w:val="22"/>
        </w:rPr>
        <w:br w:type="textWrapping"/>
      </w:r>
      <w:r>
        <w:rPr>
          <w:rFonts w:hint="eastAsia" w:ascii="宋体"/>
          <w:sz w:val="22"/>
        </w:rPr>
        <w:t>  小型、微型企业提供中型企业制造的货物的，视同为中型企业。</w:t>
      </w:r>
    </w:p>
    <w:p>
      <w:pPr>
        <w:snapToGrid w:val="0"/>
        <w:spacing w:line="460" w:lineRule="atLeast"/>
        <w:ind w:firstLine="440" w:firstLineChars="200"/>
        <w:rPr>
          <w:rFonts w:ascii="宋体"/>
          <w:sz w:val="22"/>
        </w:rPr>
      </w:pPr>
      <w:r>
        <w:rPr>
          <w:rFonts w:hint="eastAsia" w:ascii="宋体"/>
          <w:sz w:val="22"/>
        </w:rPr>
        <w:t>3、投标供应商享受小微企业价格折扣应提供以下证明材料（放在报价文件中，缺一不可）：</w:t>
      </w:r>
    </w:p>
    <w:p>
      <w:pPr>
        <w:snapToGrid w:val="0"/>
        <w:spacing w:line="460" w:lineRule="atLeast"/>
        <w:ind w:firstLine="440" w:firstLineChars="200"/>
        <w:rPr>
          <w:rFonts w:hint="eastAsia" w:ascii="宋体"/>
          <w:sz w:val="22"/>
        </w:rPr>
      </w:pPr>
      <w:r>
        <w:rPr>
          <w:rFonts w:hint="eastAsia" w:ascii="宋体"/>
          <w:sz w:val="22"/>
        </w:rPr>
        <w:t>（</w:t>
      </w:r>
      <w:r>
        <w:rPr>
          <w:rFonts w:ascii="宋体"/>
          <w:sz w:val="22"/>
        </w:rPr>
        <w:t>1）</w:t>
      </w:r>
      <w:r>
        <w:rPr>
          <w:rFonts w:hint="eastAsia" w:ascii="宋体"/>
          <w:sz w:val="22"/>
        </w:rPr>
        <w:t>提供小微企业名录库（http://xwqy.gsxt.gov.cn/mirco/micro_lib）网页截图或附供应商经相关部门盖章认定为小微、微型企业的证明文件（小企业资格确认意见书）且有效期内。</w:t>
      </w:r>
    </w:p>
    <w:p>
      <w:pPr>
        <w:snapToGrid w:val="0"/>
        <w:spacing w:line="460" w:lineRule="atLeast"/>
        <w:ind w:firstLine="440" w:firstLineChars="200"/>
        <w:rPr>
          <w:rFonts w:ascii="宋体"/>
          <w:sz w:val="22"/>
        </w:rPr>
      </w:pPr>
      <w:r>
        <w:rPr>
          <w:rFonts w:hint="eastAsia" w:ascii="宋体"/>
          <w:sz w:val="22"/>
        </w:rPr>
        <w:t>（</w:t>
      </w:r>
      <w:r>
        <w:rPr>
          <w:rFonts w:ascii="宋体"/>
          <w:sz w:val="22"/>
        </w:rPr>
        <w:t>2）《中小企业声明函》（加盖投标供应商公章，格式见附件）</w:t>
      </w:r>
    </w:p>
    <w:p>
      <w:pPr>
        <w:snapToGrid w:val="0"/>
        <w:spacing w:line="460" w:lineRule="atLeast"/>
        <w:ind w:firstLine="440" w:firstLineChars="200"/>
        <w:rPr>
          <w:rFonts w:ascii="宋体"/>
          <w:sz w:val="22"/>
        </w:rPr>
      </w:pPr>
      <w:r>
        <w:rPr>
          <w:rFonts w:ascii="宋体"/>
          <w:sz w:val="22"/>
        </w:rPr>
        <w:t>4、享受监狱企业价格折扣应提供以下证明材料（</w:t>
      </w:r>
      <w:r>
        <w:rPr>
          <w:rFonts w:hint="eastAsia" w:ascii="宋体"/>
          <w:sz w:val="22"/>
        </w:rPr>
        <w:t>放在报价文件中，</w:t>
      </w:r>
      <w:r>
        <w:rPr>
          <w:rFonts w:ascii="宋体"/>
          <w:sz w:val="22"/>
        </w:rPr>
        <w:t>不提供的不享受价格折扣）：</w:t>
      </w:r>
    </w:p>
    <w:p>
      <w:pPr>
        <w:snapToGrid w:val="0"/>
        <w:spacing w:line="460" w:lineRule="atLeast"/>
        <w:ind w:firstLine="440" w:firstLineChars="200"/>
        <w:rPr>
          <w:rFonts w:ascii="宋体"/>
          <w:sz w:val="22"/>
        </w:rPr>
      </w:pPr>
      <w:r>
        <w:rPr>
          <w:rFonts w:hint="eastAsia" w:ascii="宋体"/>
          <w:sz w:val="22"/>
        </w:rPr>
        <w:t>（</w:t>
      </w:r>
      <w:r>
        <w:rPr>
          <w:rFonts w:ascii="宋体"/>
          <w:sz w:val="22"/>
        </w:rPr>
        <w:t>1）监狱企业参加政府采购活动时，应当提供由省级及以上监狱管理局、戒毒管理局(含新疆生产建设兵团)出具的属于监狱企业的证明文件（</w:t>
      </w:r>
      <w:r>
        <w:rPr>
          <w:rFonts w:hint="eastAsia" w:ascii="宋体"/>
          <w:sz w:val="22"/>
        </w:rPr>
        <w:t>扫描件</w:t>
      </w:r>
      <w:r>
        <w:rPr>
          <w:rFonts w:ascii="宋体"/>
          <w:sz w:val="22"/>
        </w:rPr>
        <w:t>加盖投标供应商公章）。在政府采购活动中，监狱企业视同小型、微型企业，享受评审中价格扣除政策。</w:t>
      </w:r>
    </w:p>
    <w:p>
      <w:pPr>
        <w:snapToGrid w:val="0"/>
        <w:spacing w:line="460" w:lineRule="atLeast"/>
        <w:ind w:firstLine="440" w:firstLineChars="200"/>
        <w:rPr>
          <w:rFonts w:ascii="宋体"/>
          <w:sz w:val="22"/>
        </w:rPr>
      </w:pPr>
      <w:r>
        <w:rPr>
          <w:rFonts w:ascii="宋体"/>
          <w:sz w:val="22"/>
        </w:rPr>
        <w:t>5、享受残疾人福利性单位价格折扣应提供以下证明材料（</w:t>
      </w:r>
      <w:r>
        <w:rPr>
          <w:rFonts w:hint="eastAsia" w:ascii="宋体"/>
          <w:sz w:val="22"/>
        </w:rPr>
        <w:t>放在报价文件中</w:t>
      </w:r>
      <w:r>
        <w:rPr>
          <w:rFonts w:ascii="宋体"/>
          <w:sz w:val="22"/>
        </w:rPr>
        <w:t>，不提供的不享受价格折扣）：</w:t>
      </w:r>
    </w:p>
    <w:p>
      <w:pPr>
        <w:snapToGrid w:val="0"/>
        <w:spacing w:line="460" w:lineRule="atLeast"/>
        <w:ind w:firstLine="440" w:firstLineChars="200"/>
        <w:rPr>
          <w:rFonts w:ascii="宋体"/>
          <w:sz w:val="22"/>
        </w:rPr>
        <w:sectPr>
          <w:pgSz w:w="11906" w:h="16838"/>
          <w:pgMar w:top="1440" w:right="1800" w:bottom="1440" w:left="1800" w:header="851" w:footer="992" w:gutter="0"/>
          <w:cols w:space="425" w:num="1"/>
          <w:docGrid w:type="lines" w:linePitch="312" w:charSpace="0"/>
        </w:sectPr>
      </w:pPr>
      <w:r>
        <w:rPr>
          <w:rFonts w:hint="eastAsia" w:ascii="宋体"/>
          <w:sz w:val="22"/>
        </w:rPr>
        <w:t>（</w:t>
      </w:r>
      <w:r>
        <w:rPr>
          <w:rFonts w:ascii="宋体"/>
          <w:sz w:val="22"/>
        </w:rPr>
        <w:t>1）残疾人福利性单位声明函（加盖投标供应商公章，格式见附件）</w:t>
      </w:r>
      <w:r>
        <w:rPr>
          <w:rFonts w:hint="eastAsia" w:ascii="宋体"/>
          <w:sz w:val="22"/>
        </w:rPr>
        <w:t>。在政府采购活动中，残疾人福利性单位视同小型、微型企业，享受评审中价格扣除政策。</w:t>
      </w:r>
    </w:p>
    <w:p>
      <w:pPr>
        <w:spacing w:line="460" w:lineRule="atLeast"/>
        <w:rPr>
          <w:rFonts w:ascii="宋体"/>
          <w:sz w:val="24"/>
          <w:szCs w:val="24"/>
        </w:rPr>
      </w:pPr>
      <w:r>
        <w:rPr>
          <w:rFonts w:hint="eastAsia" w:ascii="宋体" w:cs="宋体"/>
          <w:sz w:val="22"/>
        </w:rPr>
        <w:t>附件1：</w:t>
      </w:r>
    </w:p>
    <w:p>
      <w:pPr>
        <w:spacing w:line="460" w:lineRule="atLeast"/>
        <w:jc w:val="center"/>
        <w:rPr>
          <w:rFonts w:ascii="宋体"/>
          <w:sz w:val="24"/>
          <w:szCs w:val="24"/>
        </w:rPr>
      </w:pPr>
      <w:r>
        <w:rPr>
          <w:rFonts w:hint="eastAsia" w:ascii="宋体"/>
          <w:sz w:val="24"/>
          <w:szCs w:val="24"/>
        </w:rPr>
        <w:t>中小企业声明函</w:t>
      </w:r>
    </w:p>
    <w:p>
      <w:pPr>
        <w:spacing w:line="460" w:lineRule="atLeast"/>
        <w:ind w:firstLine="440" w:firstLineChars="200"/>
        <w:rPr>
          <w:rFonts w:ascii="宋体" w:cs="宋体"/>
          <w:sz w:val="22"/>
        </w:rPr>
      </w:pPr>
      <w:r>
        <w:rPr>
          <w:rFonts w:hint="eastAsia" w:ascii="宋体" w:cs="宋体"/>
          <w:sz w:val="22"/>
        </w:rPr>
        <w:t>本公司郑重声明，根据《政府采购促进中小企业发展暂行办法》（财库[2011]181号）的规定，本公司为</w:t>
      </w:r>
      <w:r>
        <w:rPr>
          <w:rFonts w:hint="eastAsia" w:ascii="宋体" w:cs="宋体"/>
          <w:sz w:val="22"/>
          <w:u w:val="single"/>
        </w:rPr>
        <w:t xml:space="preserve">               </w:t>
      </w:r>
      <w:r>
        <w:rPr>
          <w:rFonts w:hint="eastAsia" w:ascii="宋体" w:cs="宋体"/>
          <w:sz w:val="22"/>
        </w:rPr>
        <w:t>（请填写：中型、小型、微型）企业。即，本公司同时满足以下条件：</w:t>
      </w:r>
      <w:r>
        <w:rPr>
          <w:rFonts w:hint="eastAsia" w:ascii="宋体" w:cs="宋体"/>
          <w:sz w:val="22"/>
        </w:rPr>
        <w:br w:type="textWrapping"/>
      </w:r>
      <w:r>
        <w:rPr>
          <w:rFonts w:hint="eastAsia" w:ascii="宋体" w:cs="宋体"/>
          <w:sz w:val="22"/>
        </w:rPr>
        <w:t>    1.根据《工业和信息化部、国家统计局、国家发展和改革委员会、财政部关于印发中小企业划型标准规定的通知》（工信部联企业[2011]300号）规定的划分标准，本公司为</w:t>
      </w:r>
      <w:r>
        <w:rPr>
          <w:rFonts w:hint="eastAsia" w:ascii="宋体" w:cs="宋体"/>
          <w:sz w:val="22"/>
          <w:u w:val="single"/>
        </w:rPr>
        <w:t xml:space="preserve">        </w:t>
      </w:r>
      <w:r>
        <w:rPr>
          <w:rFonts w:hint="eastAsia" w:ascii="宋体" w:cs="宋体"/>
          <w:sz w:val="22"/>
        </w:rPr>
        <w:t>（请填写：中型、小型、微型）企业。</w:t>
      </w:r>
      <w:r>
        <w:rPr>
          <w:rFonts w:hint="eastAsia" w:ascii="宋体" w:cs="宋体"/>
          <w:sz w:val="22"/>
        </w:rPr>
        <w:br w:type="textWrapping"/>
      </w:r>
      <w:r>
        <w:rPr>
          <w:rFonts w:hint="eastAsia" w:ascii="宋体" w:cs="宋体"/>
          <w:sz w:val="22"/>
        </w:rPr>
        <w:t>    2.本公司参加</w:t>
      </w:r>
      <w:r>
        <w:rPr>
          <w:rFonts w:hint="eastAsia" w:ascii="宋体" w:cs="宋体"/>
          <w:sz w:val="22"/>
          <w:u w:val="single"/>
        </w:rPr>
        <w:t xml:space="preserve">           </w:t>
      </w:r>
      <w:r>
        <w:rPr>
          <w:rFonts w:hint="eastAsia" w:ascii="宋体" w:cs="宋体"/>
          <w:sz w:val="22"/>
        </w:rPr>
        <w:t>单位的</w:t>
      </w:r>
      <w:r>
        <w:rPr>
          <w:rFonts w:hint="eastAsia" w:ascii="宋体" w:cs="宋体"/>
          <w:sz w:val="22"/>
          <w:u w:val="single"/>
        </w:rPr>
        <w:t xml:space="preserve">           </w:t>
      </w:r>
      <w:r>
        <w:rPr>
          <w:rFonts w:hint="eastAsia" w:ascii="宋体" w:cs="宋体"/>
          <w:sz w:val="22"/>
        </w:rPr>
        <w:t>项目采购活动由本企业提供服务。</w:t>
      </w:r>
      <w:r>
        <w:rPr>
          <w:rFonts w:hint="eastAsia" w:ascii="宋体" w:cs="宋体"/>
          <w:sz w:val="22"/>
        </w:rPr>
        <w:br w:type="textWrapping"/>
      </w:r>
      <w:r>
        <w:rPr>
          <w:rFonts w:hint="eastAsia" w:ascii="宋体" w:cs="宋体"/>
          <w:sz w:val="22"/>
        </w:rPr>
        <w:t>    本公司对上述声明的真实性负责。如有虚假，将依法承担相应责任。</w:t>
      </w:r>
    </w:p>
    <w:p>
      <w:pPr>
        <w:spacing w:line="460" w:lineRule="atLeast"/>
        <w:rPr>
          <w:rFonts w:ascii="宋体" w:cs="宋体"/>
          <w:sz w:val="22"/>
        </w:rPr>
      </w:pPr>
    </w:p>
    <w:p>
      <w:pPr>
        <w:spacing w:line="460" w:lineRule="atLeast"/>
        <w:rPr>
          <w:rFonts w:ascii="宋体" w:cs="宋体"/>
          <w:sz w:val="22"/>
        </w:rPr>
      </w:pPr>
    </w:p>
    <w:p>
      <w:pPr>
        <w:spacing w:line="460" w:lineRule="atLeast"/>
        <w:rPr>
          <w:rFonts w:ascii="宋体" w:cs="宋体"/>
          <w:sz w:val="22"/>
        </w:rPr>
      </w:pPr>
    </w:p>
    <w:p>
      <w:pPr>
        <w:spacing w:line="460" w:lineRule="atLeast"/>
        <w:rPr>
          <w:rFonts w:ascii="宋体" w:cs="宋体"/>
          <w:sz w:val="22"/>
        </w:rPr>
      </w:pPr>
      <w:r>
        <w:rPr>
          <w:rFonts w:hint="eastAsia" w:ascii="宋体" w:cs="宋体"/>
          <w:sz w:val="22"/>
        </w:rPr>
        <w:t>投标供应商（盖章）：                </w:t>
      </w:r>
      <w:r>
        <w:rPr>
          <w:rFonts w:hint="eastAsia" w:ascii="宋体" w:cs="宋体"/>
          <w:sz w:val="22"/>
        </w:rPr>
        <w:br w:type="textWrapping"/>
      </w:r>
      <w:r>
        <w:rPr>
          <w:rFonts w:hint="eastAsia" w:ascii="宋体" w:cs="宋体"/>
          <w:sz w:val="22"/>
        </w:rPr>
        <w:t>日期：                             　　　　　</w:t>
      </w:r>
    </w:p>
    <w:p>
      <w:pPr>
        <w:spacing w:line="440" w:lineRule="atLeast"/>
        <w:rPr>
          <w:rFonts w:ascii="宋体" w:cs="宋体"/>
          <w:sz w:val="22"/>
        </w:rPr>
      </w:pPr>
    </w:p>
    <w:p>
      <w:pPr>
        <w:spacing w:line="440" w:lineRule="atLeast"/>
        <w:rPr>
          <w:rFonts w:ascii="宋体" w:cs="宋体"/>
          <w:sz w:val="22"/>
        </w:rPr>
      </w:pPr>
    </w:p>
    <w:p>
      <w:pPr>
        <w:spacing w:line="440" w:lineRule="atLeast"/>
        <w:rPr>
          <w:rFonts w:ascii="宋体" w:cs="宋体"/>
          <w:sz w:val="22"/>
        </w:rPr>
      </w:pPr>
    </w:p>
    <w:p>
      <w:pPr>
        <w:spacing w:line="440" w:lineRule="atLeast"/>
        <w:rPr>
          <w:rFonts w:ascii="宋体" w:cs="宋体"/>
          <w:sz w:val="22"/>
        </w:rPr>
      </w:pPr>
    </w:p>
    <w:p>
      <w:pPr>
        <w:spacing w:line="460" w:lineRule="exact"/>
        <w:rPr>
          <w:rFonts w:ascii="宋体" w:cs="宋体"/>
          <w:sz w:val="22"/>
        </w:rPr>
      </w:pPr>
      <w:r>
        <w:rPr>
          <w:rFonts w:ascii="宋体" w:cs="宋体"/>
          <w:sz w:val="22"/>
        </w:rPr>
        <w:br w:type="page"/>
      </w:r>
      <w:r>
        <w:rPr>
          <w:rFonts w:hint="eastAsia" w:ascii="宋体" w:cs="宋体"/>
          <w:sz w:val="22"/>
        </w:rPr>
        <w:t>附件2：</w:t>
      </w:r>
    </w:p>
    <w:p>
      <w:pPr>
        <w:spacing w:line="460" w:lineRule="exact"/>
        <w:jc w:val="center"/>
        <w:rPr>
          <w:rFonts w:ascii="宋体" w:cs="宋体"/>
          <w:sz w:val="22"/>
        </w:rPr>
      </w:pPr>
      <w:bookmarkStart w:id="55" w:name="OLE_LINK14"/>
      <w:bookmarkStart w:id="56" w:name="OLE_LINK13"/>
      <w:r>
        <w:rPr>
          <w:rFonts w:hint="eastAsia" w:ascii="宋体" w:cs="宋体"/>
          <w:sz w:val="22"/>
        </w:rPr>
        <w:t>残疾人福利性单位声明函</w:t>
      </w:r>
    </w:p>
    <w:bookmarkEnd w:id="55"/>
    <w:bookmarkEnd w:id="56"/>
    <w:p>
      <w:pPr>
        <w:spacing w:line="588" w:lineRule="exact"/>
        <w:rPr>
          <w:rFonts w:ascii="宋体"/>
          <w:spacing w:val="6"/>
          <w:sz w:val="30"/>
          <w:szCs w:val="30"/>
        </w:rPr>
      </w:pPr>
    </w:p>
    <w:p>
      <w:pPr>
        <w:spacing w:line="588" w:lineRule="exact"/>
        <w:ind w:firstLine="440" w:firstLineChars="200"/>
        <w:rPr>
          <w:rFonts w:ascii="宋体" w:cs="宋体"/>
          <w:sz w:val="22"/>
        </w:rPr>
      </w:pPr>
      <w:r>
        <w:rPr>
          <w:rFonts w:hint="eastAsia" w:ascii="宋体" w:cs="宋体"/>
          <w:sz w:val="22"/>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pPr>
        <w:spacing w:line="588" w:lineRule="exact"/>
        <w:ind w:firstLine="440" w:firstLineChars="200"/>
        <w:rPr>
          <w:rFonts w:ascii="宋体" w:cs="宋体"/>
          <w:sz w:val="22"/>
        </w:rPr>
      </w:pPr>
      <w:r>
        <w:rPr>
          <w:rFonts w:hint="eastAsia" w:ascii="宋体" w:cs="宋体"/>
          <w:sz w:val="22"/>
        </w:rPr>
        <w:t>本单位对上述声明的真实性负责。如有虚假，将依法承担相应责任。</w:t>
      </w:r>
    </w:p>
    <w:p>
      <w:pPr>
        <w:spacing w:line="588" w:lineRule="exact"/>
        <w:ind w:firstLine="624" w:firstLineChars="200"/>
        <w:rPr>
          <w:rFonts w:ascii="宋体"/>
          <w:spacing w:val="6"/>
          <w:sz w:val="30"/>
          <w:szCs w:val="30"/>
        </w:rPr>
      </w:pPr>
    </w:p>
    <w:p>
      <w:pPr>
        <w:spacing w:line="588" w:lineRule="exact"/>
        <w:ind w:firstLine="624" w:firstLineChars="200"/>
        <w:rPr>
          <w:rFonts w:ascii="宋体"/>
          <w:spacing w:val="6"/>
          <w:sz w:val="30"/>
          <w:szCs w:val="30"/>
        </w:rPr>
      </w:pPr>
    </w:p>
    <w:p>
      <w:pPr>
        <w:spacing w:line="460" w:lineRule="atLeast"/>
        <w:rPr>
          <w:rFonts w:ascii="宋体" w:cs="宋体"/>
          <w:sz w:val="22"/>
        </w:rPr>
      </w:pPr>
      <w:r>
        <w:rPr>
          <w:rFonts w:hint="eastAsia" w:ascii="宋体" w:cs="宋体"/>
          <w:sz w:val="22"/>
        </w:rPr>
        <w:t>投标供应商（盖章）：                </w:t>
      </w:r>
      <w:r>
        <w:rPr>
          <w:rFonts w:hint="eastAsia" w:ascii="宋体" w:cs="宋体"/>
          <w:sz w:val="22"/>
        </w:rPr>
        <w:br w:type="textWrapping"/>
      </w:r>
      <w:r>
        <w:rPr>
          <w:rFonts w:hint="eastAsia" w:ascii="宋体" w:cs="宋体"/>
          <w:sz w:val="22"/>
        </w:rPr>
        <w:t>日期：</w:t>
      </w:r>
    </w:p>
    <w:p>
      <w:pPr>
        <w:tabs>
          <w:tab w:val="left" w:pos="4860"/>
        </w:tabs>
        <w:spacing w:line="588" w:lineRule="exact"/>
        <w:ind w:right="1560" w:firstLine="624" w:firstLineChars="200"/>
        <w:jc w:val="center"/>
        <w:rPr>
          <w:rFonts w:ascii="宋体"/>
          <w:spacing w:val="6"/>
          <w:sz w:val="30"/>
          <w:szCs w:val="30"/>
        </w:rPr>
      </w:pPr>
    </w:p>
    <w:p>
      <w:pPr>
        <w:tabs>
          <w:tab w:val="left" w:pos="4860"/>
        </w:tabs>
        <w:spacing w:line="588" w:lineRule="exact"/>
        <w:ind w:right="1560" w:firstLine="624" w:firstLineChars="200"/>
        <w:jc w:val="center"/>
        <w:rPr>
          <w:rFonts w:ascii="宋体"/>
          <w:spacing w:val="6"/>
          <w:sz w:val="30"/>
          <w:szCs w:val="30"/>
        </w:rPr>
      </w:pPr>
    </w:p>
    <w:p>
      <w:pPr>
        <w:tabs>
          <w:tab w:val="left" w:pos="4860"/>
        </w:tabs>
        <w:spacing w:line="588" w:lineRule="exact"/>
        <w:ind w:right="1560"/>
        <w:jc w:val="left"/>
        <w:rPr>
          <w:rFonts w:ascii="宋体"/>
          <w:sz w:val="22"/>
        </w:rPr>
      </w:pPr>
      <w:r>
        <w:rPr>
          <w:rFonts w:hint="eastAsia" w:ascii="宋体"/>
          <w:sz w:val="22"/>
        </w:rPr>
        <w:t>备注说明：</w:t>
      </w:r>
    </w:p>
    <w:p>
      <w:pPr>
        <w:spacing w:line="588" w:lineRule="exact"/>
        <w:ind w:firstLine="440" w:firstLineChars="200"/>
        <w:rPr>
          <w:rFonts w:ascii="宋体" w:cs="宋体"/>
          <w:sz w:val="22"/>
        </w:rPr>
      </w:pPr>
      <w:r>
        <w:rPr>
          <w:rFonts w:hint="eastAsia" w:ascii="宋体" w:cs="宋体"/>
          <w:sz w:val="22"/>
        </w:rPr>
        <w:t>1、如中标，将在中标公告中将此残疾人福利性单位声明函予以公示，接受社会监督；</w:t>
      </w:r>
    </w:p>
    <w:p>
      <w:pPr>
        <w:spacing w:line="588" w:lineRule="exact"/>
        <w:ind w:firstLine="440" w:firstLineChars="200"/>
        <w:rPr>
          <w:rFonts w:ascii="宋体" w:cs="宋体"/>
          <w:sz w:val="22"/>
        </w:rPr>
      </w:pPr>
      <w:r>
        <w:rPr>
          <w:rFonts w:ascii="宋体" w:cs="宋体"/>
          <w:sz w:val="22"/>
        </w:rPr>
        <w:t>2</w:t>
      </w:r>
      <w:r>
        <w:rPr>
          <w:rFonts w:hint="eastAsia" w:ascii="宋体" w:cs="宋体"/>
          <w:sz w:val="22"/>
        </w:rPr>
        <w:t>、供应商提供的《残疾人福利性单位声明函》与事实不符的，依照《政府采购法》第七十七条第一款的规定追究法律责任。</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r>
        <w:rPr>
          <w:rFonts w:hint="eastAsia" w:ascii="宋体" w:cs="宋体"/>
          <w:sz w:val="22"/>
        </w:rPr>
        <w:t>附件3：</w:t>
      </w:r>
    </w:p>
    <w:p>
      <w:pPr>
        <w:spacing w:line="360" w:lineRule="auto"/>
        <w:jc w:val="center"/>
        <w:rPr>
          <w:rFonts w:hAnsi="宋体"/>
          <w:b/>
          <w:sz w:val="28"/>
          <w:szCs w:val="28"/>
        </w:rPr>
      </w:pPr>
      <w:r>
        <w:rPr>
          <w:rFonts w:hint="eastAsia" w:hAnsi="宋体"/>
          <w:b/>
          <w:sz w:val="28"/>
          <w:szCs w:val="28"/>
        </w:rPr>
        <w:t>小型和微型企业（或残疾人福利性单位、监狱企业）产品说明</w:t>
      </w:r>
    </w:p>
    <w:p>
      <w:pPr>
        <w:spacing w:line="360" w:lineRule="auto"/>
        <w:rPr>
          <w:rFonts w:hAnsi="宋体"/>
          <w:sz w:val="24"/>
        </w:rPr>
      </w:pPr>
      <w:r>
        <w:rPr>
          <w:rFonts w:hint="eastAsia" w:hAnsi="宋体"/>
          <w:sz w:val="24"/>
        </w:rPr>
        <w:t>在本次投标方案中，采用符合《政府采购促进中小企业发展暂行办法》（财库[2011]181 号）、《财政部、民政部、中国残疾人联合会关于促进残疾人就业政府采购政策的通知》（财库〔2017〕141号）、《财政部、司法部关于政府采购支持监狱企业发展有关问题的通知》（财库〔2014〕68号）要求的企业产品说明如下：</w:t>
      </w:r>
    </w:p>
    <w:p>
      <w:pPr>
        <w:spacing w:line="360" w:lineRule="auto"/>
        <w:jc w:val="right"/>
        <w:rPr>
          <w:rFonts w:hAnsi="宋体"/>
          <w:sz w:val="24"/>
        </w:rPr>
      </w:pPr>
      <w:r>
        <w:rPr>
          <w:rFonts w:hint="eastAsia" w:hAnsi="宋体"/>
          <w:sz w:val="24"/>
        </w:rPr>
        <w:t>金额单位（人民币）：元</w:t>
      </w:r>
    </w:p>
    <w:tbl>
      <w:tblPr>
        <w:tblStyle w:val="15"/>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51"/>
        <w:gridCol w:w="1434"/>
        <w:gridCol w:w="1418"/>
        <w:gridCol w:w="1417"/>
        <w:gridCol w:w="992"/>
        <w:gridCol w:w="9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4" w:lineRule="exact"/>
              <w:ind w:left="137"/>
              <w:jc w:val="center"/>
              <w:textAlignment w:val="baseline"/>
              <w:rPr>
                <w:rFonts w:ascii="宋体" w:hAnsi="宋体"/>
                <w:sz w:val="24"/>
              </w:rPr>
            </w:pPr>
            <w:r>
              <w:rPr>
                <w:rFonts w:hint="eastAsia" w:ascii="宋体" w:hAnsi="宋体"/>
                <w:spacing w:val="-1"/>
                <w:kern w:val="0"/>
                <w:sz w:val="24"/>
              </w:rPr>
              <w:t>序号</w:t>
            </w:r>
          </w:p>
        </w:tc>
        <w:tc>
          <w:tcPr>
            <w:tcW w:w="951"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pacing w:val="-1"/>
                <w:kern w:val="0"/>
                <w:sz w:val="24"/>
              </w:rPr>
            </w:pPr>
            <w:r>
              <w:rPr>
                <w:rFonts w:hint="eastAsia" w:ascii="宋体" w:hAnsi="宋体"/>
                <w:spacing w:val="-1"/>
                <w:kern w:val="0"/>
                <w:sz w:val="24"/>
              </w:rPr>
              <w:t>投标产</w:t>
            </w:r>
          </w:p>
          <w:p>
            <w:pPr>
              <w:autoSpaceDE w:val="0"/>
              <w:autoSpaceDN w:val="0"/>
              <w:adjustRightInd w:val="0"/>
              <w:spacing w:line="274" w:lineRule="exact"/>
              <w:jc w:val="center"/>
              <w:textAlignment w:val="baseline"/>
              <w:rPr>
                <w:rFonts w:ascii="宋体" w:hAnsi="宋体"/>
                <w:sz w:val="24"/>
              </w:rPr>
            </w:pPr>
            <w:r>
              <w:rPr>
                <w:rFonts w:hint="eastAsia" w:ascii="宋体" w:hAnsi="宋体"/>
                <w:spacing w:val="-1"/>
                <w:kern w:val="0"/>
                <w:sz w:val="24"/>
              </w:rPr>
              <w:t>品名称</w:t>
            </w:r>
          </w:p>
        </w:tc>
        <w:tc>
          <w:tcPr>
            <w:tcW w:w="1434"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ind w:left="214"/>
              <w:jc w:val="center"/>
              <w:textAlignment w:val="baseline"/>
              <w:rPr>
                <w:rFonts w:ascii="宋体" w:hAnsi="宋体"/>
                <w:sz w:val="24"/>
              </w:rPr>
            </w:pPr>
            <w:r>
              <w:rPr>
                <w:rFonts w:hint="eastAsia" w:ascii="宋体" w:hAnsi="宋体"/>
                <w:spacing w:val="-1"/>
                <w:kern w:val="0"/>
                <w:sz w:val="24"/>
              </w:rPr>
              <w:t>产品品牌和型号</w:t>
            </w:r>
          </w:p>
        </w:tc>
        <w:tc>
          <w:tcPr>
            <w:tcW w:w="1418"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ind w:left="192"/>
              <w:jc w:val="center"/>
              <w:textAlignment w:val="baseline"/>
              <w:rPr>
                <w:rFonts w:ascii="宋体" w:hAnsi="宋体"/>
                <w:sz w:val="24"/>
              </w:rPr>
            </w:pPr>
            <w:r>
              <w:rPr>
                <w:rFonts w:hint="eastAsia" w:ascii="宋体" w:hAnsi="宋体"/>
                <w:spacing w:val="-1"/>
                <w:kern w:val="0"/>
                <w:sz w:val="24"/>
              </w:rPr>
              <w:t>制造企业联系方式</w:t>
            </w:r>
          </w:p>
        </w:tc>
        <w:tc>
          <w:tcPr>
            <w:tcW w:w="1417"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z w:val="24"/>
              </w:rPr>
            </w:pPr>
            <w:r>
              <w:rPr>
                <w:rFonts w:hint="eastAsia" w:ascii="宋体" w:hAnsi="宋体"/>
                <w:spacing w:val="-1"/>
                <w:kern w:val="0"/>
                <w:sz w:val="24"/>
              </w:rPr>
              <w:t>制造企业地址</w:t>
            </w:r>
          </w:p>
        </w:tc>
        <w:tc>
          <w:tcPr>
            <w:tcW w:w="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pacing w:val="-1"/>
                <w:kern w:val="0"/>
                <w:sz w:val="24"/>
              </w:rPr>
            </w:pPr>
            <w:r>
              <w:rPr>
                <w:rFonts w:hint="eastAsia" w:ascii="宋体" w:hAnsi="宋体"/>
                <w:spacing w:val="-1"/>
                <w:kern w:val="0"/>
                <w:sz w:val="24"/>
              </w:rPr>
              <w:t>数量</w:t>
            </w:r>
          </w:p>
        </w:tc>
        <w:tc>
          <w:tcPr>
            <w:tcW w:w="972"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pacing w:val="-1"/>
                <w:kern w:val="0"/>
                <w:sz w:val="24"/>
              </w:rPr>
            </w:pPr>
            <w:r>
              <w:rPr>
                <w:rFonts w:hint="eastAsia" w:ascii="宋体" w:hAnsi="宋体"/>
                <w:spacing w:val="-1"/>
                <w:kern w:val="0"/>
                <w:sz w:val="24"/>
              </w:rPr>
              <w:t>单价</w:t>
            </w:r>
          </w:p>
        </w:tc>
        <w:tc>
          <w:tcPr>
            <w:tcW w:w="1276" w:type="dxa"/>
            <w:tcBorders>
              <w:top w:val="single" w:color="auto" w:sz="4" w:space="0"/>
              <w:left w:val="nil"/>
              <w:bottom w:val="single" w:color="auto" w:sz="4" w:space="0"/>
              <w:right w:val="single" w:color="auto" w:sz="4" w:space="0"/>
            </w:tcBorders>
            <w:vAlign w:val="center"/>
          </w:tcPr>
          <w:p>
            <w:pPr>
              <w:autoSpaceDE w:val="0"/>
              <w:autoSpaceDN w:val="0"/>
              <w:adjustRightInd w:val="0"/>
              <w:spacing w:line="274" w:lineRule="exact"/>
              <w:jc w:val="center"/>
              <w:textAlignment w:val="baseline"/>
              <w:rPr>
                <w:rFonts w:ascii="宋体" w:hAnsi="宋体"/>
                <w:spacing w:val="-1"/>
                <w:kern w:val="0"/>
                <w:sz w:val="24"/>
              </w:rPr>
            </w:pPr>
            <w:r>
              <w:rPr>
                <w:rFonts w:hint="eastAsia" w:ascii="宋体" w:hAnsi="宋体"/>
                <w:spacing w:val="-1"/>
                <w:kern w:val="0"/>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textAlignment w:val="baseline"/>
              <w:rPr>
                <w:rFonts w:ascii="宋体" w:hAnsi="宋体"/>
                <w:sz w:val="24"/>
              </w:rPr>
            </w:pPr>
            <w:r>
              <w:rPr>
                <w:rFonts w:hint="eastAsia" w:ascii="宋体" w:hAnsi="宋体"/>
                <w:sz w:val="24"/>
              </w:rPr>
              <w:t>┄</w:t>
            </w:r>
          </w:p>
        </w:tc>
        <w:tc>
          <w:tcPr>
            <w:tcW w:w="951"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34"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8"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417"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9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972"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811"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textAlignment w:val="baseline"/>
              <w:rPr>
                <w:rFonts w:ascii="宋体" w:hAnsi="宋体"/>
                <w:sz w:val="24"/>
              </w:rPr>
            </w:pPr>
            <w:r>
              <w:rPr>
                <w:rFonts w:hint="eastAsia" w:ascii="宋体" w:hAnsi="宋体"/>
                <w:sz w:val="24"/>
              </w:rPr>
              <w:t>合计</w:t>
            </w:r>
          </w:p>
        </w:tc>
        <w:tc>
          <w:tcPr>
            <w:tcW w:w="12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textAlignment w:val="baseline"/>
              <w:rPr>
                <w:rFonts w:ascii="宋体" w:hAnsi="宋体"/>
                <w:sz w:val="24"/>
              </w:rPr>
            </w:pPr>
          </w:p>
        </w:tc>
      </w:tr>
    </w:tbl>
    <w:p>
      <w:pPr>
        <w:spacing w:line="360" w:lineRule="auto"/>
        <w:rPr>
          <w:rFonts w:hAnsi="宋体"/>
          <w:sz w:val="24"/>
        </w:rPr>
      </w:pPr>
    </w:p>
    <w:p>
      <w:pPr>
        <w:spacing w:line="360" w:lineRule="auto"/>
        <w:rPr>
          <w:rFonts w:hAnsi="宋体"/>
          <w:sz w:val="24"/>
        </w:rPr>
      </w:pPr>
      <w:r>
        <w:rPr>
          <w:rFonts w:hint="eastAsia" w:hAnsi="宋体"/>
          <w:sz w:val="24"/>
        </w:rPr>
        <w:t>填表要求：</w:t>
      </w:r>
    </w:p>
    <w:p>
      <w:pPr>
        <w:spacing w:line="360" w:lineRule="auto"/>
        <w:rPr>
          <w:rFonts w:hAnsi="宋体"/>
          <w:sz w:val="24"/>
        </w:rPr>
      </w:pPr>
      <w:r>
        <w:rPr>
          <w:rFonts w:hint="eastAsia" w:hAnsi="宋体"/>
          <w:sz w:val="24"/>
        </w:rPr>
        <w:t>1.上述小型和微型企业（或残疾人福利性单位、监狱企业）产品的生产制造商须符合《政 府采购 促进中小企业发展暂行办法》（财库[2011]181 号）、《财政部民政部、中国残疾人联合会关于促进残疾人就业政府采购政策的通知》（财库〔2017〕141号）、《财政部、司法部关于政府采购支持监狱企业发展有关问题的通知》（财库〔2014〕68号）所规定的有关条件。</w:t>
      </w:r>
    </w:p>
    <w:p>
      <w:pPr>
        <w:spacing w:line="360" w:lineRule="auto"/>
        <w:rPr>
          <w:rFonts w:hAnsi="宋体"/>
          <w:sz w:val="24"/>
        </w:rPr>
      </w:pPr>
      <w:r>
        <w:rPr>
          <w:rFonts w:hint="eastAsia" w:hAnsi="宋体"/>
          <w:sz w:val="24"/>
        </w:rPr>
        <w:t>2.以上产品名称、品牌及型号必须与投标明细报价表中列述的一一对应，如有不对应将会影响价格折扣评分。</w:t>
      </w:r>
    </w:p>
    <w:p>
      <w:pPr>
        <w:spacing w:line="360" w:lineRule="auto"/>
        <w:rPr>
          <w:rFonts w:hAnsi="宋体"/>
          <w:sz w:val="24"/>
        </w:rPr>
      </w:pPr>
      <w:r>
        <w:rPr>
          <w:rFonts w:hint="eastAsia" w:hAnsi="宋体"/>
          <w:sz w:val="24"/>
        </w:rPr>
        <w:t xml:space="preserve"> 3.上表中的“产品”包括货物及其提供的服务与工程。</w:t>
      </w:r>
    </w:p>
    <w:p>
      <w:pPr>
        <w:spacing w:line="360" w:lineRule="auto"/>
        <w:rPr>
          <w:rFonts w:hAnsi="宋体"/>
          <w:sz w:val="24"/>
        </w:rPr>
      </w:pPr>
      <w:r>
        <w:rPr>
          <w:rFonts w:hint="eastAsia" w:hAnsi="宋体"/>
          <w:sz w:val="24"/>
        </w:rPr>
        <w:t>法定代表人或其授权代表签字：</w:t>
      </w:r>
    </w:p>
    <w:p>
      <w:pPr>
        <w:spacing w:line="360" w:lineRule="auto"/>
        <w:rPr>
          <w:rFonts w:hAnsi="宋体"/>
          <w:sz w:val="24"/>
        </w:rPr>
      </w:pPr>
      <w:r>
        <w:rPr>
          <w:rFonts w:hAnsi="宋体"/>
          <w:sz w:val="24"/>
        </w:rPr>
        <w:t xml:space="preserve"> </w:t>
      </w:r>
    </w:p>
    <w:p>
      <w:pPr>
        <w:spacing w:line="360" w:lineRule="auto"/>
        <w:ind w:right="600"/>
        <w:jc w:val="right"/>
        <w:rPr>
          <w:rFonts w:hAnsi="宋体"/>
          <w:sz w:val="24"/>
        </w:rPr>
      </w:pPr>
      <w:r>
        <w:rPr>
          <w:rFonts w:hint="eastAsia" w:hAnsi="宋体"/>
          <w:sz w:val="24"/>
        </w:rPr>
        <w:t>投标人名称（盖单位公章）：</w:t>
      </w:r>
    </w:p>
    <w:p>
      <w:r>
        <w:rPr>
          <w:rFonts w:hint="eastAsia" w:hAnsi="宋体"/>
          <w:sz w:val="24"/>
        </w:rPr>
        <w:t xml:space="preserve">                                         日期：  年  月  日</w:t>
      </w:r>
    </w:p>
    <w:p>
      <w:pPr>
        <w:pStyle w:val="2"/>
      </w:pPr>
    </w:p>
    <w:p>
      <w:pPr>
        <w:pStyle w:val="2"/>
        <w:sectPr>
          <w:pgSz w:w="11906" w:h="16838"/>
          <w:pgMar w:top="1440" w:right="1800" w:bottom="1440" w:left="1800" w:header="851" w:footer="992" w:gutter="0"/>
          <w:cols w:space="425" w:num="1"/>
          <w:docGrid w:type="lines" w:linePitch="312" w:charSpace="0"/>
        </w:sectPr>
      </w:pPr>
    </w:p>
    <w:p>
      <w:pPr>
        <w:pStyle w:val="2"/>
        <w:ind w:firstLine="1920" w:firstLineChars="600"/>
        <w:rPr>
          <w:sz w:val="32"/>
          <w:szCs w:val="32"/>
        </w:rPr>
      </w:pPr>
      <w:r>
        <w:rPr>
          <w:rFonts w:hint="eastAsia"/>
          <w:sz w:val="32"/>
          <w:szCs w:val="32"/>
        </w:rPr>
        <w:t>第五章 评标定标办法</w:t>
      </w:r>
    </w:p>
    <w:p>
      <w:pPr>
        <w:pStyle w:val="2"/>
      </w:pPr>
    </w:p>
    <w:p>
      <w:pPr>
        <w:tabs>
          <w:tab w:val="left" w:pos="8820"/>
        </w:tabs>
        <w:adjustRightInd w:val="0"/>
        <w:snapToGrid w:val="0"/>
        <w:spacing w:before="156" w:beforeLines="50" w:line="460" w:lineRule="exact"/>
        <w:ind w:firstLine="440" w:firstLineChars="200"/>
        <w:rPr>
          <w:rFonts w:ascii="宋体" w:hAnsi="宋体"/>
          <w:kern w:val="0"/>
          <w:sz w:val="22"/>
        </w:rPr>
      </w:pPr>
      <w:r>
        <w:rPr>
          <w:rFonts w:hint="eastAsia" w:ascii="宋体" w:hAnsi="宋体"/>
          <w:kern w:val="0"/>
          <w:sz w:val="22"/>
        </w:rPr>
        <w:t>根据《中华人民共和国政府采购法》等有关政府采购法规，结合本次采购实际，按照公平、公正、科学、择优的原则选择中标单位，特制定本评审办法。</w:t>
      </w:r>
    </w:p>
    <w:p>
      <w:pPr>
        <w:adjustRightInd w:val="0"/>
        <w:snapToGrid w:val="0"/>
        <w:spacing w:line="460" w:lineRule="exact"/>
        <w:jc w:val="center"/>
        <w:rPr>
          <w:rFonts w:ascii="宋体" w:hAnsi="宋体"/>
          <w:kern w:val="0"/>
          <w:sz w:val="22"/>
        </w:rPr>
      </w:pPr>
      <w:r>
        <w:rPr>
          <w:rFonts w:hint="eastAsia" w:ascii="宋体" w:hAnsi="宋体"/>
          <w:kern w:val="0"/>
          <w:sz w:val="22"/>
        </w:rPr>
        <w:t>一、总则</w:t>
      </w:r>
    </w:p>
    <w:p>
      <w:pPr>
        <w:pStyle w:val="8"/>
        <w:adjustRightInd w:val="0"/>
        <w:snapToGrid w:val="0"/>
        <w:spacing w:line="460" w:lineRule="exact"/>
        <w:rPr>
          <w:rFonts w:eastAsia="宋体"/>
          <w:b w:val="0"/>
          <w:color w:val="auto"/>
          <w:sz w:val="22"/>
          <w:szCs w:val="22"/>
        </w:rPr>
      </w:pPr>
      <w:r>
        <w:rPr>
          <w:rFonts w:hint="eastAsia" w:eastAsia="宋体"/>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pPr>
        <w:adjustRightInd w:val="0"/>
        <w:snapToGrid w:val="0"/>
        <w:spacing w:line="460" w:lineRule="exact"/>
        <w:jc w:val="center"/>
        <w:rPr>
          <w:rFonts w:ascii="宋体" w:hAnsi="宋体"/>
          <w:kern w:val="0"/>
          <w:sz w:val="22"/>
        </w:rPr>
      </w:pPr>
      <w:r>
        <w:rPr>
          <w:rFonts w:hint="eastAsia" w:ascii="宋体" w:hAnsi="宋体"/>
          <w:kern w:val="0"/>
          <w:sz w:val="22"/>
        </w:rPr>
        <w:t>二、评审组织</w:t>
      </w:r>
    </w:p>
    <w:p>
      <w:pPr>
        <w:pStyle w:val="8"/>
        <w:adjustRightInd w:val="0"/>
        <w:snapToGrid w:val="0"/>
        <w:spacing w:line="460" w:lineRule="exact"/>
        <w:rPr>
          <w:rFonts w:eastAsia="宋体"/>
          <w:b w:val="0"/>
          <w:color w:val="auto"/>
          <w:sz w:val="22"/>
          <w:szCs w:val="22"/>
        </w:rPr>
      </w:pPr>
      <w:r>
        <w:rPr>
          <w:rFonts w:hint="eastAsia" w:eastAsia="宋体"/>
          <w:b w:val="0"/>
          <w:color w:val="auto"/>
          <w:sz w:val="22"/>
          <w:szCs w:val="22"/>
        </w:rPr>
        <w:t>评审工作由采购人依法组建的评标委员会负责，评标委员会由采购人代表以及评审专家库中随机抽取的有关技术、经济专家共同组成。</w:t>
      </w:r>
    </w:p>
    <w:p>
      <w:pPr>
        <w:pStyle w:val="32"/>
        <w:widowControl w:val="0"/>
        <w:pBdr>
          <w:left w:val="none" w:color="auto" w:sz="0" w:space="0"/>
          <w:bottom w:val="none" w:color="auto" w:sz="0" w:space="0"/>
          <w:right w:val="none" w:color="auto" w:sz="0" w:space="0"/>
        </w:pBdr>
        <w:adjustRightInd w:val="0"/>
        <w:snapToGrid w:val="0"/>
        <w:spacing w:before="0" w:beforeAutospacing="0" w:after="0" w:afterAutospacing="0" w:line="460" w:lineRule="exact"/>
        <w:textAlignment w:val="auto"/>
        <w:rPr>
          <w:rFonts w:ascii="宋体" w:hAnsi="宋体"/>
          <w:b w:val="0"/>
          <w:kern w:val="2"/>
          <w:sz w:val="22"/>
          <w:szCs w:val="22"/>
        </w:rPr>
      </w:pPr>
      <w:r>
        <w:rPr>
          <w:rFonts w:hint="eastAsia" w:ascii="宋体" w:hAnsi="宋体"/>
          <w:b w:val="0"/>
          <w:kern w:val="2"/>
          <w:sz w:val="22"/>
          <w:szCs w:val="22"/>
        </w:rPr>
        <w:t>三、评标程序及评审办法</w:t>
      </w:r>
    </w:p>
    <w:p>
      <w:pPr>
        <w:adjustRightInd w:val="0"/>
        <w:snapToGrid w:val="0"/>
        <w:spacing w:line="460" w:lineRule="exact"/>
        <w:ind w:firstLine="440" w:firstLineChars="200"/>
        <w:jc w:val="left"/>
        <w:rPr>
          <w:rFonts w:ascii="宋体" w:hAnsi="宋体"/>
          <w:sz w:val="22"/>
        </w:rPr>
      </w:pPr>
      <w:r>
        <w:rPr>
          <w:rFonts w:hint="eastAsia" w:ascii="宋体" w:hAnsi="宋体"/>
          <w:sz w:val="22"/>
        </w:rPr>
        <w:t>本次开标程序如下：</w:t>
      </w:r>
    </w:p>
    <w:p>
      <w:pPr>
        <w:shd w:val="clear" w:color="auto" w:fill="FFFFFF"/>
        <w:spacing w:line="460" w:lineRule="exact"/>
        <w:ind w:firstLine="440" w:firstLineChars="200"/>
        <w:rPr>
          <w:rFonts w:ascii="宋体" w:hAnsi="宋体"/>
          <w:kern w:val="0"/>
          <w:sz w:val="22"/>
        </w:rPr>
      </w:pPr>
      <w:r>
        <w:rPr>
          <w:rFonts w:hint="eastAsia" w:ascii="宋体" w:hAnsi="宋体"/>
          <w:kern w:val="0"/>
          <w:sz w:val="22"/>
        </w:rPr>
        <w:t>1、向各投标供应商发出电子加密投标文件【开始解密】通知，由供应商按招标文件规定的时间内自行进行投标文件解密。</w:t>
      </w:r>
      <w:r>
        <w:rPr>
          <w:rFonts w:hint="eastAsia" w:ascii="宋体" w:hAnsi="宋体"/>
          <w:b/>
          <w:kern w:val="0"/>
          <w:sz w:val="22"/>
        </w:rPr>
        <w:t>投标供应商在规定的时间内无法完成已递交的“电子加密投标文件”解密的，</w:t>
      </w:r>
      <w:r>
        <w:rPr>
          <w:rFonts w:ascii="宋体" w:hAnsi="宋体"/>
          <w:b/>
          <w:kern w:val="0"/>
          <w:sz w:val="22"/>
        </w:rPr>
        <w:t>其投标文件按拒收处理。</w:t>
      </w:r>
    </w:p>
    <w:p>
      <w:pPr>
        <w:adjustRightInd w:val="0"/>
        <w:snapToGrid w:val="0"/>
        <w:spacing w:line="460" w:lineRule="exact"/>
        <w:ind w:firstLine="440" w:firstLineChars="200"/>
        <w:rPr>
          <w:rFonts w:ascii="宋体" w:hAnsi="宋体"/>
          <w:sz w:val="22"/>
        </w:rPr>
      </w:pPr>
      <w:r>
        <w:rPr>
          <w:rFonts w:ascii="宋体" w:hAnsi="宋体"/>
          <w:sz w:val="22"/>
        </w:rPr>
        <w:t>2</w:t>
      </w:r>
      <w:r>
        <w:rPr>
          <w:rFonts w:hint="eastAsia" w:ascii="宋体" w:hAnsi="宋体"/>
          <w:sz w:val="22"/>
        </w:rPr>
        <w:t>、</w:t>
      </w:r>
      <w:r>
        <w:rPr>
          <w:rFonts w:ascii="宋体" w:hAnsi="宋体"/>
          <w:sz w:val="22"/>
        </w:rPr>
        <w:t>投标文件解密结束，开启资格文件，进入资格审查环节，采购人或采购代理机构将依法对投标供应商的资格进行审查。</w:t>
      </w:r>
    </w:p>
    <w:p>
      <w:pPr>
        <w:adjustRightInd w:val="0"/>
        <w:snapToGrid w:val="0"/>
        <w:spacing w:line="460" w:lineRule="exact"/>
        <w:ind w:firstLine="440" w:firstLineChars="200"/>
        <w:rPr>
          <w:rFonts w:ascii="宋体" w:hAnsi="宋体"/>
          <w:sz w:val="22"/>
        </w:rPr>
      </w:pPr>
      <w:r>
        <w:rPr>
          <w:rFonts w:ascii="宋体" w:hAnsi="宋体"/>
          <w:sz w:val="22"/>
        </w:rPr>
        <w:t>3</w:t>
      </w:r>
      <w:r>
        <w:rPr>
          <w:rFonts w:hint="eastAsia" w:ascii="宋体" w:hAnsi="宋体"/>
          <w:sz w:val="22"/>
        </w:rPr>
        <w:t>、</w:t>
      </w:r>
      <w:r>
        <w:rPr>
          <w:rFonts w:ascii="宋体" w:hAnsi="宋体"/>
          <w:sz w:val="22"/>
        </w:rPr>
        <w:t>开启资格审查通过的投标供应商的商务技术文件进入符合性审查及商务技术评审</w:t>
      </w:r>
      <w:r>
        <w:rPr>
          <w:rFonts w:hint="eastAsia" w:ascii="宋体" w:hAnsi="宋体"/>
          <w:sz w:val="22"/>
        </w:rPr>
        <w:t>。</w:t>
      </w:r>
    </w:p>
    <w:p>
      <w:pPr>
        <w:shd w:val="clear" w:color="auto" w:fill="FFFFFF"/>
        <w:spacing w:line="460" w:lineRule="exact"/>
        <w:ind w:firstLine="440" w:firstLineChars="200"/>
        <w:rPr>
          <w:rFonts w:ascii="宋体" w:hAnsi="宋体"/>
          <w:kern w:val="0"/>
          <w:sz w:val="22"/>
        </w:rPr>
      </w:pPr>
      <w:r>
        <w:rPr>
          <w:rFonts w:ascii="宋体" w:hAnsi="宋体"/>
          <w:kern w:val="0"/>
          <w:sz w:val="22"/>
        </w:rPr>
        <w:t>4</w:t>
      </w:r>
      <w:r>
        <w:rPr>
          <w:rFonts w:hint="eastAsia" w:ascii="宋体" w:hAnsi="宋体"/>
          <w:kern w:val="0"/>
          <w:sz w:val="22"/>
        </w:rPr>
        <w:t>、</w:t>
      </w:r>
      <w:r>
        <w:rPr>
          <w:rFonts w:ascii="宋体" w:hAnsi="宋体"/>
          <w:kern w:val="0"/>
          <w:sz w:val="22"/>
        </w:rPr>
        <w:t>符合性审查、商务技术评审结束后，开启符合性审查、商务技术评审有效投标供应商的报价文件。由评标委员会对报价文件的符合性等进行审查核实</w:t>
      </w:r>
      <w:r>
        <w:rPr>
          <w:rFonts w:hint="eastAsia" w:ascii="宋体" w:hAnsi="宋体"/>
          <w:kern w:val="0"/>
          <w:sz w:val="22"/>
        </w:rPr>
        <w:t>，对报价进行得分计算。</w:t>
      </w:r>
    </w:p>
    <w:p>
      <w:pPr>
        <w:adjustRightInd w:val="0"/>
        <w:snapToGrid w:val="0"/>
        <w:spacing w:line="460" w:lineRule="exact"/>
        <w:ind w:firstLine="420"/>
        <w:rPr>
          <w:rFonts w:ascii="宋体" w:hAnsi="宋体"/>
          <w:kern w:val="0"/>
          <w:sz w:val="22"/>
        </w:rPr>
      </w:pPr>
      <w:r>
        <w:rPr>
          <w:rFonts w:hint="eastAsia" w:ascii="宋体" w:hAnsi="宋体"/>
          <w:kern w:val="0"/>
          <w:sz w:val="22"/>
        </w:rPr>
        <w:t>5、根据</w:t>
      </w:r>
      <w:r>
        <w:rPr>
          <w:rFonts w:ascii="宋体" w:hAnsi="宋体"/>
          <w:kern w:val="0"/>
          <w:sz w:val="22"/>
        </w:rPr>
        <w:t>各投标供应商</w:t>
      </w:r>
      <w:r>
        <w:rPr>
          <w:rFonts w:hint="eastAsia" w:ascii="宋体" w:hAnsi="宋体"/>
          <w:kern w:val="0"/>
          <w:sz w:val="22"/>
        </w:rPr>
        <w:t>综合得分从高到低</w:t>
      </w:r>
      <w:r>
        <w:rPr>
          <w:rFonts w:ascii="宋体" w:hAnsi="宋体"/>
          <w:kern w:val="0"/>
          <w:sz w:val="22"/>
        </w:rPr>
        <w:t>进行排序，推荐中标候选供应商；综合得分最高的供应商推荐为中标供应商</w:t>
      </w:r>
      <w:r>
        <w:rPr>
          <w:rFonts w:hint="eastAsia" w:ascii="宋体" w:hAnsi="宋体"/>
          <w:kern w:val="0"/>
          <w:sz w:val="22"/>
        </w:rPr>
        <w:t>。</w:t>
      </w:r>
    </w:p>
    <w:p>
      <w:pPr>
        <w:adjustRightInd w:val="0"/>
        <w:snapToGrid w:val="0"/>
        <w:spacing w:line="460" w:lineRule="exact"/>
        <w:ind w:firstLine="420"/>
        <w:rPr>
          <w:rFonts w:ascii="宋体" w:hAnsi="宋体"/>
          <w:kern w:val="0"/>
          <w:sz w:val="22"/>
        </w:rPr>
      </w:pPr>
      <w:r>
        <w:rPr>
          <w:rFonts w:hint="eastAsia" w:ascii="宋体" w:hAnsi="宋体"/>
          <w:kern w:val="0"/>
          <w:sz w:val="22"/>
        </w:rPr>
        <w:t>6、由评标委员会向采购人推荐综合得分第一名的供应商为中标供应商，并提交评审报告。如果得分相同，以投标报价低的优先；如投标报价也相同，则以政采云系统记录的投标文件解密时间排序在前面的优先。</w:t>
      </w:r>
    </w:p>
    <w:p>
      <w:pPr>
        <w:shd w:val="clear" w:color="auto" w:fill="FFFFFF"/>
        <w:spacing w:line="460" w:lineRule="exact"/>
        <w:ind w:firstLine="440" w:firstLineChars="200"/>
        <w:rPr>
          <w:rFonts w:ascii="宋体" w:hAnsi="宋体"/>
          <w:kern w:val="0"/>
          <w:sz w:val="22"/>
        </w:rPr>
      </w:pPr>
      <w:r>
        <w:rPr>
          <w:rFonts w:hint="eastAsia" w:ascii="宋体" w:hAnsi="宋体"/>
          <w:kern w:val="0"/>
          <w:sz w:val="22"/>
        </w:rPr>
        <w:t>7、</w:t>
      </w:r>
      <w:r>
        <w:rPr>
          <w:rFonts w:ascii="宋体" w:hAnsi="宋体"/>
          <w:kern w:val="0"/>
          <w:sz w:val="22"/>
        </w:rPr>
        <w:t>评审结束后，公布采购结果。</w:t>
      </w:r>
    </w:p>
    <w:p>
      <w:pPr>
        <w:spacing w:before="156" w:beforeLines="50" w:after="156" w:afterLines="50" w:line="460" w:lineRule="exact"/>
        <w:ind w:firstLine="590" w:firstLineChars="196"/>
        <w:rPr>
          <w:rFonts w:ascii="楷体" w:hAnsi="楷体" w:eastAsia="楷体" w:cs="楷体"/>
          <w:b/>
          <w:bCs/>
          <w:color w:val="000000"/>
          <w:sz w:val="30"/>
          <w:szCs w:val="30"/>
        </w:rPr>
      </w:pPr>
    </w:p>
    <w:p>
      <w:pPr>
        <w:spacing w:before="156" w:beforeLines="50" w:after="156" w:afterLines="50" w:line="460" w:lineRule="exact"/>
        <w:ind w:firstLine="590" w:firstLineChars="196"/>
        <w:rPr>
          <w:rFonts w:ascii="楷体" w:hAnsi="楷体" w:eastAsia="楷体" w:cs="楷体"/>
          <w:b/>
          <w:color w:val="000000"/>
          <w:sz w:val="30"/>
          <w:szCs w:val="30"/>
        </w:rPr>
      </w:pPr>
      <w:r>
        <w:rPr>
          <w:rFonts w:hint="eastAsia" w:ascii="楷体" w:hAnsi="楷体" w:eastAsia="楷体" w:cs="楷体"/>
          <w:b/>
          <w:bCs/>
          <w:color w:val="000000"/>
          <w:sz w:val="30"/>
          <w:szCs w:val="30"/>
        </w:rPr>
        <w:t>四、评标内容及标准</w:t>
      </w:r>
    </w:p>
    <w:p>
      <w:pPr>
        <w:spacing w:before="156" w:beforeLines="50" w:after="156" w:afterLines="50" w:line="400" w:lineRule="exact"/>
        <w:ind w:firstLine="440" w:firstLineChars="200"/>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评分过程中采用四舍五入法，并保留小数2位。</w:t>
      </w:r>
    </w:p>
    <w:p>
      <w:pPr>
        <w:spacing w:before="156" w:beforeLines="50" w:after="156" w:afterLines="50" w:line="400" w:lineRule="exact"/>
        <w:ind w:firstLine="440" w:firstLineChars="200"/>
        <w:rPr>
          <w:rFonts w:ascii="楷体" w:hAnsi="楷体" w:eastAsia="楷体" w:cs="楷体"/>
          <w:bCs/>
          <w:color w:val="000000"/>
          <w:sz w:val="30"/>
          <w:szCs w:val="30"/>
        </w:rPr>
      </w:pPr>
      <w:r>
        <w:rPr>
          <w:rFonts w:hint="eastAsia" w:asciiTheme="minorEastAsia" w:hAnsiTheme="minorEastAsia" w:eastAsiaTheme="minorEastAsia" w:cstheme="minorEastAsia"/>
          <w:color w:val="000000"/>
          <w:sz w:val="22"/>
        </w:rPr>
        <w:t>投标人评标综合得分=价格分+(技术分+商务资信及其他分)</w:t>
      </w:r>
    </w:p>
    <w:p>
      <w:pPr>
        <w:spacing w:before="156" w:beforeLines="50" w:after="156" w:afterLines="50" w:line="400" w:lineRule="exact"/>
        <w:ind w:firstLine="440" w:firstLineChars="200"/>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价格分（</w:t>
      </w:r>
      <w:r>
        <w:rPr>
          <w:rFonts w:hint="eastAsia" w:asciiTheme="minorEastAsia" w:hAnsiTheme="minorEastAsia" w:cstheme="minorEastAsia"/>
          <w:color w:val="000000"/>
          <w:sz w:val="22"/>
          <w:lang w:val="en-US" w:eastAsia="zh-CN"/>
        </w:rPr>
        <w:t>3</w:t>
      </w:r>
      <w:r>
        <w:rPr>
          <w:rFonts w:hint="eastAsia" w:asciiTheme="minorEastAsia" w:hAnsiTheme="minorEastAsia" w:eastAsiaTheme="minorEastAsia" w:cstheme="minorEastAsia"/>
          <w:color w:val="000000"/>
          <w:sz w:val="22"/>
        </w:rPr>
        <w:t>0分）</w:t>
      </w:r>
    </w:p>
    <w:p>
      <w:pPr>
        <w:numPr>
          <w:ilvl w:val="0"/>
          <w:numId w:val="3"/>
        </w:numPr>
        <w:spacing w:before="156" w:beforeLines="50" w:after="156" w:afterLines="50" w:line="400" w:lineRule="exact"/>
        <w:ind w:firstLine="440" w:firstLineChars="200"/>
        <w:rPr>
          <w:rFonts w:asciiTheme="minorEastAsia" w:hAnsiTheme="minorEastAsia" w:eastAsiaTheme="minorEastAsia" w:cstheme="minorEastAsia"/>
          <w:color w:val="000000"/>
          <w:sz w:val="22"/>
        </w:rPr>
      </w:pPr>
      <w:r>
        <w:rPr>
          <w:rFonts w:hint="eastAsia" w:asciiTheme="minorEastAsia" w:hAnsiTheme="minorEastAsia" w:eastAsiaTheme="minorEastAsia" w:cstheme="minorEastAsia"/>
          <w:color w:val="000000"/>
          <w:sz w:val="22"/>
        </w:rPr>
        <w:t>价格分采用低价优先法计算，即满足招标文件要求且投标价格最低的投标报价为评标基准价，其他投标人的价格分按照下列公式计算：投标报价得分=（评标基准价/投标报价）×</w:t>
      </w:r>
      <w:r>
        <w:rPr>
          <w:rFonts w:hint="eastAsia" w:asciiTheme="minorEastAsia" w:hAnsiTheme="minorEastAsia" w:cstheme="minorEastAsia"/>
          <w:color w:val="000000"/>
          <w:sz w:val="22"/>
          <w:lang w:val="en-US" w:eastAsia="zh-CN"/>
        </w:rPr>
        <w:t>3</w:t>
      </w:r>
      <w:r>
        <w:rPr>
          <w:rFonts w:hint="eastAsia" w:asciiTheme="minorEastAsia" w:hAnsiTheme="minorEastAsia" w:eastAsiaTheme="minorEastAsia" w:cstheme="minorEastAsia"/>
          <w:color w:val="000000"/>
          <w:sz w:val="22"/>
        </w:rPr>
        <w:t>0%×100</w:t>
      </w:r>
    </w:p>
    <w:p>
      <w:pPr>
        <w:snapToGrid w:val="0"/>
        <w:spacing w:line="500" w:lineRule="exact"/>
        <w:ind w:firstLine="440" w:firstLineChars="200"/>
        <w:rPr>
          <w:rFonts w:asciiTheme="minorEastAsia" w:hAnsiTheme="minorEastAsia" w:eastAsiaTheme="minorEastAsia" w:cstheme="minorEastAsia"/>
          <w:smallCaps/>
          <w:color w:val="000000"/>
          <w:sz w:val="22"/>
        </w:rPr>
      </w:pPr>
      <w:r>
        <w:rPr>
          <w:rFonts w:hint="eastAsia" w:asciiTheme="minorEastAsia" w:hAnsiTheme="minorEastAsia" w:eastAsiaTheme="minorEastAsia" w:cstheme="minorEastAsia"/>
          <w:smallCaps/>
          <w:color w:val="000000"/>
          <w:sz w:val="22"/>
        </w:rPr>
        <w:t>2、依照《政府采购促进中小企业发展暂行办法》、《财政部 民政部 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p>
    <w:tbl>
      <w:tblPr>
        <w:tblStyle w:val="15"/>
        <w:tblW w:w="0" w:type="auto"/>
        <w:jc w:val="center"/>
        <w:tblLayout w:type="fixed"/>
        <w:tblCellMar>
          <w:top w:w="0" w:type="dxa"/>
          <w:left w:w="108" w:type="dxa"/>
          <w:bottom w:w="0" w:type="dxa"/>
          <w:right w:w="108" w:type="dxa"/>
        </w:tblCellMar>
      </w:tblPr>
      <w:tblGrid>
        <w:gridCol w:w="728"/>
        <w:gridCol w:w="2997"/>
        <w:gridCol w:w="2081"/>
        <w:gridCol w:w="3359"/>
      </w:tblGrid>
      <w:tr>
        <w:tblPrEx>
          <w:tblCellMar>
            <w:top w:w="0" w:type="dxa"/>
            <w:left w:w="108" w:type="dxa"/>
            <w:bottom w:w="0" w:type="dxa"/>
            <w:right w:w="108" w:type="dxa"/>
          </w:tblCellMar>
        </w:tblPrEx>
        <w:trPr>
          <w:trHeight w:val="463" w:hRule="atLeast"/>
          <w:jc w:val="center"/>
        </w:trPr>
        <w:tc>
          <w:tcPr>
            <w:tcW w:w="728" w:type="dxa"/>
            <w:tcBorders>
              <w:top w:val="single" w:color="000000" w:sz="6" w:space="0"/>
              <w:left w:val="single" w:color="000000" w:sz="6" w:space="0"/>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ind w:left="149"/>
              <w:rPr>
                <w:rFonts w:ascii="楷体" w:hAnsi="楷体" w:eastAsia="楷体" w:cs="楷体"/>
                <w:smallCaps/>
                <w:color w:val="000000"/>
                <w:sz w:val="24"/>
                <w:szCs w:val="24"/>
              </w:rPr>
            </w:pPr>
            <w:r>
              <w:rPr>
                <w:rFonts w:hint="eastAsia" w:ascii="楷体" w:hAnsi="楷体" w:eastAsia="楷体" w:cs="楷体"/>
                <w:smallCaps/>
                <w:color w:val="000000"/>
                <w:sz w:val="24"/>
                <w:szCs w:val="24"/>
              </w:rPr>
              <w:t>序号</w:t>
            </w:r>
          </w:p>
        </w:tc>
        <w:tc>
          <w:tcPr>
            <w:tcW w:w="2997"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情形</w:t>
            </w:r>
          </w:p>
        </w:tc>
        <w:tc>
          <w:tcPr>
            <w:tcW w:w="2081"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价格扣除比例</w:t>
            </w:r>
          </w:p>
        </w:tc>
        <w:tc>
          <w:tcPr>
            <w:tcW w:w="3359"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计算公式</w:t>
            </w:r>
          </w:p>
        </w:tc>
      </w:tr>
      <w:tr>
        <w:tblPrEx>
          <w:tblCellMar>
            <w:top w:w="0" w:type="dxa"/>
            <w:left w:w="108" w:type="dxa"/>
            <w:bottom w:w="0" w:type="dxa"/>
            <w:right w:w="108" w:type="dxa"/>
          </w:tblCellMar>
        </w:tblPrEx>
        <w:trPr>
          <w:trHeight w:val="1382" w:hRule="atLeast"/>
          <w:jc w:val="center"/>
        </w:trPr>
        <w:tc>
          <w:tcPr>
            <w:tcW w:w="72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1</w:t>
            </w:r>
          </w:p>
        </w:tc>
        <w:tc>
          <w:tcPr>
            <w:tcW w:w="2997"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7"/>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非联合体供应商</w:t>
            </w:r>
          </w:p>
          <w:p>
            <w:pPr>
              <w:snapToGrid w:val="0"/>
              <w:spacing w:line="460" w:lineRule="exact"/>
              <w:ind w:left="107"/>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（供应商属于小型和微型企业）</w:t>
            </w:r>
          </w:p>
        </w:tc>
        <w:tc>
          <w:tcPr>
            <w:tcW w:w="2081"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8"/>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对小型和微型企业所提供服务的价格扣除6%</w:t>
            </w:r>
          </w:p>
        </w:tc>
        <w:tc>
          <w:tcPr>
            <w:tcW w:w="3359"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ind w:left="108"/>
              <w:jc w:val="center"/>
              <w:rPr>
                <w:rFonts w:ascii="楷体" w:hAnsi="楷体" w:eastAsia="楷体" w:cs="楷体"/>
                <w:smallCaps/>
                <w:color w:val="000000"/>
                <w:sz w:val="24"/>
                <w:szCs w:val="24"/>
              </w:rPr>
            </w:pPr>
            <w:r>
              <w:rPr>
                <w:rFonts w:hint="eastAsia" w:ascii="楷体" w:hAnsi="楷体" w:eastAsia="楷体" w:cs="楷体"/>
                <w:smallCaps/>
                <w:color w:val="000000"/>
                <w:sz w:val="24"/>
                <w:szCs w:val="24"/>
              </w:rPr>
              <w:t>评审价格＝（总投标报价—小型和微型企业产品的价格）+小型和微型企业产品的价格×(1-6%)</w:t>
            </w:r>
          </w:p>
        </w:tc>
      </w:tr>
    </w:tbl>
    <w:p>
      <w:pPr>
        <w:pStyle w:val="12"/>
        <w:shd w:val="clear" w:color="auto" w:fill="FFFFFF"/>
        <w:spacing w:before="50" w:after="50" w:line="400" w:lineRule="exact"/>
        <w:rPr>
          <w:rFonts w:ascii="楷体" w:hAnsi="楷体" w:eastAsia="楷体" w:cs="楷体"/>
          <w:smallCaps/>
          <w:color w:val="000000"/>
        </w:rPr>
      </w:pPr>
      <w:r>
        <w:rPr>
          <w:rFonts w:hint="eastAsia" w:ascii="楷体" w:hAnsi="楷体" w:eastAsia="楷体" w:cs="楷体"/>
          <w:smallCaps/>
          <w:color w:val="000000"/>
        </w:rPr>
        <w:t>注：①中型企业不享受以上优惠；②小型和微型企业产品包括货物及其提供的服务与工程；③残疾人福利性单位或监狱企业视同小型、微型企业执行。</w:t>
      </w:r>
    </w:p>
    <w:p>
      <w:pPr>
        <w:pStyle w:val="12"/>
        <w:shd w:val="clear" w:color="auto" w:fill="FFFFFF"/>
        <w:spacing w:before="50" w:after="50" w:line="400" w:lineRule="exact"/>
        <w:rPr>
          <w:rFonts w:hint="eastAsia" w:ascii="Courier New" w:hAnsi="Courier New" w:cs="Courier New"/>
        </w:rPr>
      </w:pPr>
    </w:p>
    <w:p>
      <w:pPr>
        <w:pStyle w:val="12"/>
        <w:shd w:val="clear" w:color="auto" w:fill="FFFFFF"/>
        <w:spacing w:before="50" w:after="50" w:line="400" w:lineRule="exact"/>
        <w:rPr>
          <w:rFonts w:hint="eastAsia" w:ascii="Courier New" w:hAnsi="Courier New" w:cs="Courier New"/>
        </w:rPr>
      </w:pPr>
    </w:p>
    <w:p>
      <w:pPr>
        <w:pStyle w:val="12"/>
        <w:shd w:val="clear" w:color="auto" w:fill="FFFFFF"/>
        <w:spacing w:before="50" w:after="50" w:line="400" w:lineRule="exact"/>
        <w:rPr>
          <w:rFonts w:hint="eastAsia" w:ascii="Courier New" w:hAnsi="Courier New" w:cs="Courier New"/>
        </w:rPr>
      </w:pPr>
    </w:p>
    <w:p>
      <w:pPr>
        <w:pStyle w:val="12"/>
        <w:shd w:val="clear" w:color="auto" w:fill="FFFFFF"/>
        <w:spacing w:before="50" w:after="50" w:line="400" w:lineRule="exact"/>
        <w:rPr>
          <w:rFonts w:hint="eastAsia" w:ascii="Courier New" w:hAnsi="Courier New" w:cs="Courier New"/>
        </w:rPr>
      </w:pPr>
    </w:p>
    <w:p>
      <w:pPr>
        <w:pStyle w:val="12"/>
        <w:shd w:val="clear" w:color="auto" w:fill="FFFFFF"/>
        <w:spacing w:before="50" w:after="50" w:line="400" w:lineRule="exact"/>
        <w:rPr>
          <w:rFonts w:hint="eastAsia" w:ascii="Courier New" w:hAnsi="Courier New" w:cs="Courier New"/>
        </w:rPr>
      </w:pPr>
    </w:p>
    <w:p>
      <w:pPr>
        <w:pStyle w:val="12"/>
        <w:shd w:val="clear" w:color="auto" w:fill="FFFFFF"/>
        <w:spacing w:before="50" w:after="50" w:line="400" w:lineRule="exact"/>
      </w:pPr>
      <w:r>
        <w:rPr>
          <w:rFonts w:hint="eastAsia" w:ascii="Courier New" w:hAnsi="Courier New" w:cs="Courier New"/>
        </w:rPr>
        <w:t>3</w:t>
      </w:r>
      <w:r>
        <w:rPr>
          <w:rFonts w:ascii="Courier New" w:hAnsi="Courier New" w:cs="Courier New"/>
        </w:rPr>
        <w:t>.</w:t>
      </w:r>
      <w:r>
        <w:rPr>
          <w:rFonts w:hint="eastAsia" w:ascii="Courier New" w:hAnsi="Courier New" w:cs="Courier New"/>
        </w:rPr>
        <w:t>技术</w:t>
      </w:r>
      <w:r>
        <w:rPr>
          <w:rFonts w:ascii="Courier New" w:hAnsi="Courier New" w:cs="Courier New"/>
        </w:rPr>
        <w:t>、资信及商务分（</w:t>
      </w:r>
      <w:r>
        <w:rPr>
          <w:rFonts w:hint="eastAsia"/>
          <w:lang w:val="en-US" w:eastAsia="zh-CN"/>
        </w:rPr>
        <w:t>7</w:t>
      </w:r>
      <w:r>
        <w:rPr>
          <w:rFonts w:hint="eastAsia"/>
        </w:rPr>
        <w:t>0</w:t>
      </w:r>
      <w:r>
        <w:rPr>
          <w:rFonts w:hint="eastAsia" w:ascii="Courier New" w:hAnsi="Courier New" w:cs="Courier New"/>
        </w:rPr>
        <w:t>分</w:t>
      </w:r>
      <w:r>
        <w:rPr>
          <w:rFonts w:ascii="Courier New" w:hAnsi="Courier New" w:cs="Courier New"/>
        </w:rPr>
        <w:t>）</w:t>
      </w:r>
    </w:p>
    <w:tbl>
      <w:tblPr>
        <w:tblStyle w:val="15"/>
        <w:tblW w:w="9468" w:type="dxa"/>
        <w:jc w:val="center"/>
        <w:tblLayout w:type="fixed"/>
        <w:tblCellMar>
          <w:top w:w="0" w:type="dxa"/>
          <w:left w:w="0" w:type="dxa"/>
          <w:bottom w:w="0" w:type="dxa"/>
          <w:right w:w="0" w:type="dxa"/>
        </w:tblCellMar>
      </w:tblPr>
      <w:tblGrid>
        <w:gridCol w:w="949"/>
        <w:gridCol w:w="986"/>
        <w:gridCol w:w="6414"/>
        <w:gridCol w:w="1119"/>
      </w:tblGrid>
      <w:tr>
        <w:tblPrEx>
          <w:tblCellMar>
            <w:top w:w="0" w:type="dxa"/>
            <w:left w:w="0" w:type="dxa"/>
            <w:bottom w:w="0" w:type="dxa"/>
            <w:right w:w="0" w:type="dxa"/>
          </w:tblCellMar>
        </w:tblPrEx>
        <w:trPr>
          <w:trHeight w:val="760" w:hRule="atLeast"/>
          <w:jc w:val="center"/>
        </w:trPr>
        <w:tc>
          <w:tcPr>
            <w:tcW w:w="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评分内容</w:t>
            </w: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细则</w:t>
            </w:r>
          </w:p>
        </w:tc>
        <w:tc>
          <w:tcPr>
            <w:tcW w:w="6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细则内容</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r>
      <w:tr>
        <w:tblPrEx>
          <w:tblCellMar>
            <w:top w:w="0" w:type="dxa"/>
            <w:left w:w="0" w:type="dxa"/>
            <w:bottom w:w="0" w:type="dxa"/>
            <w:right w:w="0" w:type="dxa"/>
          </w:tblCellMar>
        </w:tblPrEx>
        <w:trPr>
          <w:trHeight w:val="3383" w:hRule="atLeast"/>
          <w:jc w:val="center"/>
        </w:trPr>
        <w:tc>
          <w:tcPr>
            <w:tcW w:w="9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投标报价30分</w:t>
            </w: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报价</w:t>
            </w:r>
          </w:p>
        </w:tc>
        <w:tc>
          <w:tcPr>
            <w:tcW w:w="6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本项目预算价:人民币</w:t>
            </w:r>
            <w:r>
              <w:rPr>
                <w:rFonts w:hint="eastAsia" w:ascii="仿宋" w:hAnsi="仿宋" w:eastAsia="仿宋" w:cs="仿宋"/>
                <w:i w:val="0"/>
                <w:color w:val="000000"/>
                <w:kern w:val="0"/>
                <w:sz w:val="24"/>
                <w:szCs w:val="24"/>
                <w:u w:val="single"/>
                <w:lang w:val="en-US" w:eastAsia="zh-CN" w:bidi="ar"/>
              </w:rPr>
              <w:t xml:space="preserve">     </w:t>
            </w:r>
            <w:r>
              <w:rPr>
                <w:rFonts w:hint="eastAsia" w:ascii="仿宋" w:hAnsi="仿宋" w:eastAsia="仿宋" w:cs="仿宋"/>
                <w:i w:val="0"/>
                <w:color w:val="000000"/>
                <w:kern w:val="0"/>
                <w:sz w:val="24"/>
                <w:szCs w:val="24"/>
                <w:u w:val="none"/>
                <w:lang w:val="en-US" w:eastAsia="zh-CN" w:bidi="ar"/>
              </w:rPr>
              <w:t>元，基准价为满足评标要求且投标价格最低的投标报价，投标报价得分=(基准价/投标报价) X30，四舍五入，保留两位小数。报价高于预算价(最高限价)的，为无效投标文件。(注:对于小型和微型企业(监狱和戒毒企业、残疾人福利性单位)的报价给予6%的扣除，用扣除后的价格参与评审。小型和微型企业应提供《中小企业声明函》和国家企业信用信息公示系统——小微企业名录查询记录(提供网站截图复印件);监狱企业应提供监狱企业证明材料;残疾人福利性单位应提供残疾人福利性单位声明函。以上材料未提供不享受报价优惠)。</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0-30分</w:t>
            </w:r>
          </w:p>
        </w:tc>
      </w:tr>
      <w:tr>
        <w:tblPrEx>
          <w:tblCellMar>
            <w:top w:w="0" w:type="dxa"/>
            <w:left w:w="0" w:type="dxa"/>
            <w:bottom w:w="0" w:type="dxa"/>
            <w:right w:w="0" w:type="dxa"/>
          </w:tblCellMar>
        </w:tblPrEx>
        <w:trPr>
          <w:trHeight w:val="3625" w:hRule="atLeast"/>
          <w:jc w:val="center"/>
        </w:trPr>
        <w:tc>
          <w:tcPr>
            <w:tcW w:w="94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技术资信70分</w:t>
            </w: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投标人资信实力</w:t>
            </w:r>
          </w:p>
        </w:tc>
        <w:tc>
          <w:tcPr>
            <w:tcW w:w="6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4"/>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投标人具有电子与智能化工程专业承包一级资质的，</w:t>
            </w:r>
            <w:r>
              <w:rPr>
                <w:rFonts w:hint="eastAsia" w:ascii="仿宋" w:hAnsi="仿宋" w:eastAsia="仿宋" w:cs="仿宋"/>
                <w:i w:val="0"/>
                <w:color w:val="0070C0"/>
                <w:kern w:val="0"/>
                <w:sz w:val="24"/>
                <w:szCs w:val="24"/>
                <w:u w:val="none"/>
                <w:lang w:val="en-US" w:eastAsia="zh-CN" w:bidi="ar"/>
              </w:rPr>
              <w:t>得1分，</w:t>
            </w:r>
            <w:r>
              <w:rPr>
                <w:rFonts w:hint="eastAsia" w:ascii="仿宋" w:hAnsi="仿宋" w:eastAsia="仿宋" w:cs="仿宋"/>
                <w:i w:val="0"/>
                <w:color w:val="auto"/>
                <w:kern w:val="0"/>
                <w:sz w:val="24"/>
                <w:szCs w:val="24"/>
                <w:u w:val="none"/>
                <w:lang w:val="en-US" w:eastAsia="zh-CN" w:bidi="ar"/>
              </w:rPr>
              <w:t>二级</w:t>
            </w:r>
            <w:bookmarkStart w:id="71" w:name="_GoBack"/>
            <w:bookmarkEnd w:id="71"/>
            <w:r>
              <w:rPr>
                <w:rFonts w:hint="eastAsia" w:ascii="仿宋" w:hAnsi="仿宋" w:eastAsia="仿宋" w:cs="仿宋"/>
                <w:i w:val="0"/>
                <w:color w:val="auto"/>
                <w:kern w:val="0"/>
                <w:sz w:val="24"/>
                <w:szCs w:val="24"/>
                <w:u w:val="none"/>
                <w:lang w:val="en-US" w:eastAsia="zh-CN" w:bidi="ar"/>
              </w:rPr>
              <w:t>以下不得分;</w:t>
            </w:r>
            <w:r>
              <w:rPr>
                <w:rFonts w:hint="eastAsia" w:ascii="仿宋" w:hAnsi="仿宋" w:eastAsia="仿宋" w:cs="仿宋"/>
                <w:i w:val="0"/>
                <w:color w:val="000000"/>
                <w:kern w:val="0"/>
                <w:sz w:val="24"/>
                <w:szCs w:val="24"/>
                <w:u w:val="none"/>
                <w:lang w:val="en-US" w:eastAsia="zh-CN" w:bidi="ar"/>
              </w:rPr>
              <w:t>具有建筑智能化系统设计专项</w:t>
            </w:r>
            <w:r>
              <w:rPr>
                <w:rFonts w:hint="eastAsia" w:ascii="仿宋" w:hAnsi="仿宋" w:eastAsia="仿宋" w:cs="仿宋"/>
                <w:i w:val="0"/>
                <w:color w:val="0070C0"/>
                <w:kern w:val="0"/>
                <w:sz w:val="24"/>
                <w:szCs w:val="24"/>
                <w:u w:val="none"/>
                <w:lang w:val="en-US" w:eastAsia="zh-CN" w:bidi="ar"/>
              </w:rPr>
              <w:t>乙级资质的得0.5分</w:t>
            </w:r>
            <w:r>
              <w:rPr>
                <w:rFonts w:hint="eastAsia" w:ascii="仿宋" w:hAnsi="仿宋" w:eastAsia="仿宋" w:cs="仿宋"/>
                <w:i w:val="0"/>
                <w:color w:val="000000"/>
                <w:kern w:val="0"/>
                <w:sz w:val="24"/>
                <w:szCs w:val="24"/>
                <w:u w:val="none"/>
                <w:lang w:val="en-US" w:eastAsia="zh-CN" w:bidi="ar"/>
              </w:rPr>
              <w:t xml:space="preserve">，具有甲级资质的得1分; （0-2分）                            </w:t>
            </w:r>
          </w:p>
          <w:p>
            <w:pPr>
              <w:keepNext w:val="0"/>
              <w:keepLines w:val="0"/>
              <w:widowControl/>
              <w:numPr>
                <w:ilvl w:val="0"/>
                <w:numId w:val="4"/>
              </w:numPr>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投标人具有有效期内的涉密信息系统集成省级及以上资质的，得0.5分;具有</w:t>
            </w:r>
            <w:r>
              <w:rPr>
                <w:rFonts w:hint="eastAsia" w:ascii="仿宋" w:hAnsi="仿宋" w:eastAsia="仿宋" w:cs="仿宋"/>
                <w:i w:val="0"/>
                <w:color w:val="0070C0"/>
                <w:kern w:val="0"/>
                <w:sz w:val="24"/>
                <w:szCs w:val="24"/>
                <w:u w:val="none"/>
                <w:lang w:val="en-US" w:eastAsia="zh-CN" w:bidi="ar"/>
              </w:rPr>
              <w:t>省级及以上</w:t>
            </w:r>
            <w:r>
              <w:rPr>
                <w:rFonts w:hint="eastAsia" w:ascii="仿宋" w:hAnsi="仿宋" w:eastAsia="仿宋" w:cs="仿宋"/>
                <w:i w:val="0"/>
                <w:color w:val="000000"/>
                <w:kern w:val="0"/>
                <w:sz w:val="24"/>
                <w:szCs w:val="24"/>
                <w:u w:val="none"/>
                <w:lang w:val="en-US" w:eastAsia="zh-CN" w:bidi="ar"/>
              </w:rPr>
              <w:t>高新技术企业证书的，得0.5分;</w:t>
            </w:r>
            <w:r>
              <w:rPr>
                <w:rFonts w:hint="eastAsia" w:ascii="仿宋" w:hAnsi="仿宋" w:eastAsia="仿宋" w:cs="仿宋"/>
                <w:i w:val="0"/>
                <w:color w:val="0070C0"/>
                <w:kern w:val="0"/>
                <w:sz w:val="24"/>
                <w:szCs w:val="24"/>
                <w:u w:val="none"/>
                <w:lang w:val="en-US" w:eastAsia="zh-CN" w:bidi="ar"/>
              </w:rPr>
              <w:t>（0-1分</w:t>
            </w:r>
            <w:r>
              <w:rPr>
                <w:rFonts w:hint="eastAsia" w:ascii="仿宋" w:hAnsi="仿宋" w:eastAsia="仿宋" w:cs="仿宋"/>
                <w:i w:val="0"/>
                <w:color w:val="000000"/>
                <w:kern w:val="0"/>
                <w:sz w:val="24"/>
                <w:szCs w:val="24"/>
                <w:u w:val="none"/>
                <w:lang w:val="en-US" w:eastAsia="zh-CN" w:bidi="ar"/>
              </w:rPr>
              <w:t>）</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3、投标人具有ISO</w:t>
            </w:r>
            <w:r>
              <w:rPr>
                <w:rFonts w:hint="eastAsia" w:ascii="仿宋" w:hAnsi="仿宋" w:eastAsia="仿宋" w:cs="仿宋"/>
                <w:color w:val="000000"/>
                <w:kern w:val="0"/>
                <w:sz w:val="24"/>
                <w:szCs w:val="24"/>
                <w:lang w:bidi="ar"/>
              </w:rPr>
              <w:t>20000</w:t>
            </w:r>
            <w:r>
              <w:rPr>
                <w:rFonts w:hint="eastAsia" w:ascii="仿宋" w:hAnsi="仿宋" w:eastAsia="仿宋" w:cs="仿宋"/>
                <w:i w:val="0"/>
                <w:color w:val="000000"/>
                <w:kern w:val="0"/>
                <w:sz w:val="24"/>
                <w:szCs w:val="24"/>
                <w:u w:val="none"/>
                <w:lang w:val="en-US" w:eastAsia="zh-CN" w:bidi="ar"/>
              </w:rPr>
              <w:t>信息技术服务管理体系认证、ISO</w:t>
            </w:r>
            <w:r>
              <w:rPr>
                <w:rFonts w:hint="eastAsia" w:ascii="仿宋" w:hAnsi="仿宋" w:eastAsia="仿宋" w:cs="仿宋"/>
                <w:color w:val="000000"/>
                <w:kern w:val="0"/>
                <w:sz w:val="24"/>
                <w:szCs w:val="24"/>
                <w:lang w:bidi="ar"/>
              </w:rPr>
              <w:t>27001</w:t>
            </w:r>
            <w:r>
              <w:rPr>
                <w:rFonts w:hint="eastAsia" w:ascii="仿宋" w:hAnsi="仿宋" w:eastAsia="仿宋" w:cs="仿宋"/>
                <w:i w:val="0"/>
                <w:color w:val="000000"/>
                <w:kern w:val="0"/>
                <w:sz w:val="24"/>
                <w:szCs w:val="24"/>
                <w:u w:val="none"/>
                <w:lang w:val="en-US" w:eastAsia="zh-CN" w:bidi="ar"/>
              </w:rPr>
              <w:t>信息安全管理体系认证，每项得0.5分;（0-1分）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4、投标人具有市场监督管理局颁发的“守合同重信用”AA及以上证书的，得1分。（0-1分）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注:以上证书投标时提供复印件加盖公章，否则不得分。</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FF0000"/>
                <w:kern w:val="0"/>
                <w:sz w:val="24"/>
                <w:szCs w:val="24"/>
                <w:u w:val="none"/>
                <w:lang w:val="en-US" w:eastAsia="zh-CN" w:bidi="ar"/>
              </w:rPr>
              <w:t>0-5分</w:t>
            </w:r>
          </w:p>
        </w:tc>
      </w:tr>
      <w:tr>
        <w:tblPrEx>
          <w:tblCellMar>
            <w:top w:w="0" w:type="dxa"/>
            <w:left w:w="0" w:type="dxa"/>
            <w:bottom w:w="0" w:type="dxa"/>
            <w:right w:w="0" w:type="dxa"/>
          </w:tblCellMar>
        </w:tblPrEx>
        <w:trPr>
          <w:trHeight w:val="1415"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企业业绩</w:t>
            </w:r>
          </w:p>
        </w:tc>
        <w:tc>
          <w:tcPr>
            <w:tcW w:w="6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自2017年1月1日以来，投标人具有同类项目业绩的，每个业绩得1分，最高得3分。（注：有效业绩以评标委员会集体判定为准，需提供合同作为证明材料，日期以合同签订日期为准。）（0-3分）</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70C0"/>
                <w:kern w:val="0"/>
                <w:sz w:val="24"/>
                <w:szCs w:val="24"/>
                <w:u w:val="none"/>
                <w:lang w:val="en-US" w:eastAsia="zh-CN" w:bidi="ar"/>
              </w:rPr>
              <w:t>0-3分</w:t>
            </w:r>
          </w:p>
        </w:tc>
      </w:tr>
      <w:tr>
        <w:tblPrEx>
          <w:tblCellMar>
            <w:top w:w="0" w:type="dxa"/>
            <w:left w:w="0" w:type="dxa"/>
            <w:bottom w:w="0" w:type="dxa"/>
            <w:right w:w="0" w:type="dxa"/>
          </w:tblCellMar>
        </w:tblPrEx>
        <w:trPr>
          <w:trHeight w:val="2142"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深化设计方案</w:t>
            </w:r>
          </w:p>
        </w:tc>
        <w:tc>
          <w:tcPr>
            <w:tcW w:w="6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本项目为金华市亚运保障重点项目，系统多、工期紧，为保证项目质量和进度，要求投标人自行对项目现场进行勘点调研，并在投标文件中提供针对整个项目的深化设计方案，方案中须包含相关的平面布置图（0-3分）、系统构架拓扑图（0-3分）、点位表（0-3分）、</w:t>
            </w:r>
            <w:r>
              <w:rPr>
                <w:rFonts w:hint="eastAsia" w:ascii="仿宋" w:hAnsi="仿宋" w:eastAsia="仿宋" w:cs="仿宋"/>
                <w:i w:val="0"/>
                <w:color w:val="0070C0"/>
                <w:kern w:val="0"/>
                <w:sz w:val="24"/>
                <w:szCs w:val="24"/>
                <w:u w:val="none"/>
                <w:lang w:val="en-US" w:eastAsia="zh-CN" w:bidi="ar"/>
              </w:rPr>
              <w:t>其他投标人认为需提供的方案内容（0-2分）</w:t>
            </w:r>
            <w:r>
              <w:rPr>
                <w:rFonts w:hint="eastAsia" w:ascii="仿宋" w:hAnsi="仿宋" w:eastAsia="仿宋" w:cs="仿宋"/>
                <w:i w:val="0"/>
                <w:color w:val="000000"/>
                <w:kern w:val="0"/>
                <w:sz w:val="24"/>
                <w:szCs w:val="24"/>
                <w:u w:val="none"/>
                <w:lang w:val="en-US" w:eastAsia="zh-CN" w:bidi="ar"/>
              </w:rPr>
              <w:t>。由评标委员会进行综合评分。</w:t>
            </w:r>
            <w:r>
              <w:rPr>
                <w:rFonts w:hint="eastAsia" w:ascii="仿宋" w:hAnsi="仿宋" w:eastAsia="仿宋" w:cs="仿宋"/>
                <w:i w:val="0"/>
                <w:color w:val="0070C0"/>
                <w:kern w:val="0"/>
                <w:sz w:val="24"/>
                <w:szCs w:val="24"/>
                <w:u w:val="none"/>
                <w:lang w:val="en-US" w:eastAsia="zh-CN" w:bidi="ar"/>
              </w:rPr>
              <w:t>（0-11分）</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70C0"/>
                <w:kern w:val="0"/>
                <w:sz w:val="24"/>
                <w:szCs w:val="24"/>
                <w:u w:val="none"/>
                <w:lang w:val="en-US" w:eastAsia="zh-CN" w:bidi="ar"/>
              </w:rPr>
              <w:t>0-11分</w:t>
            </w:r>
          </w:p>
        </w:tc>
      </w:tr>
      <w:tr>
        <w:tblPrEx>
          <w:tblCellMar>
            <w:top w:w="0" w:type="dxa"/>
            <w:left w:w="0" w:type="dxa"/>
            <w:bottom w:w="0" w:type="dxa"/>
            <w:right w:w="0" w:type="dxa"/>
          </w:tblCellMar>
        </w:tblPrEx>
        <w:trPr>
          <w:trHeight w:val="5050"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项目实施组织方案</w:t>
            </w:r>
          </w:p>
        </w:tc>
        <w:tc>
          <w:tcPr>
            <w:tcW w:w="6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评标委员会根据投标人针对本项目提供的项目实施组织方案进行评审，主要包括:</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项目实施方案的科学性、合理性、规范性、针对性、可操作性等，有详尽合理的实施计划安排、测试与验收计划、质量保证计划和标准、验收计划，实施方案考虑周全、重点突出，由评标委员会进行综合评分。(0-4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2、担任本项目的项目负责人具有</w:t>
            </w:r>
            <w:r>
              <w:rPr>
                <w:rFonts w:hint="eastAsia" w:ascii="仿宋" w:hAnsi="仿宋" w:eastAsia="仿宋" w:cs="仿宋"/>
                <w:i w:val="0"/>
                <w:color w:val="FF0000"/>
                <w:kern w:val="0"/>
                <w:sz w:val="24"/>
                <w:szCs w:val="24"/>
                <w:u w:val="none"/>
                <w:lang w:val="en-US" w:eastAsia="zh-CN" w:bidi="ar"/>
              </w:rPr>
              <w:t>机电工程</w:t>
            </w:r>
            <w:r>
              <w:rPr>
                <w:rFonts w:hint="eastAsia" w:ascii="仿宋" w:hAnsi="仿宋" w:eastAsia="仿宋" w:cs="仿宋"/>
                <w:i w:val="0"/>
                <w:color w:val="000000"/>
                <w:kern w:val="0"/>
                <w:sz w:val="24"/>
                <w:szCs w:val="24"/>
                <w:u w:val="none"/>
                <w:lang w:val="en-US" w:eastAsia="zh-CN" w:bidi="ar"/>
              </w:rPr>
              <w:t>专业注册一级建造师证书或注册电气工程师证书</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或信息系统管理工程师</w:t>
            </w:r>
            <w:r>
              <w:rPr>
                <w:rFonts w:hint="eastAsia" w:ascii="仿宋" w:hAnsi="仿宋" w:eastAsia="仿宋" w:cs="仿宋"/>
                <w:i w:val="0"/>
                <w:color w:val="FF0000"/>
                <w:kern w:val="0"/>
                <w:sz w:val="24"/>
                <w:szCs w:val="24"/>
                <w:u w:val="none"/>
                <w:lang w:val="en-US" w:eastAsia="zh-CN" w:bidi="ar"/>
              </w:rPr>
              <w:t>或电子与智能化工程相关专业高级工程师证书的</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 xml:space="preserve">，得1分，其余不得分。(须提供投标单位2020年1月以后连续缴纳至少3个月社保的证明材料，否则不得分)  (0-1分)                    </w:t>
            </w:r>
          </w:p>
          <w:p>
            <w:pPr>
              <w:keepNext w:val="0"/>
              <w:keepLines w:val="0"/>
              <w:widowControl/>
              <w:numPr>
                <w:ilvl w:val="0"/>
                <w:numId w:val="4"/>
              </w:numPr>
              <w:suppressLineNumbers w:val="0"/>
              <w:ind w:left="0" w:leftChars="0" w:firstLine="0" w:firstLine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担任本项目的技术负责人具有高级工程师证书的得1分，其余不得分。(须提供投标单位2020年1月以后连续</w:t>
            </w:r>
            <w:r>
              <w:rPr>
                <w:rFonts w:hint="eastAsia" w:ascii="仿宋" w:hAnsi="仿宋" w:eastAsia="仿宋" w:cs="仿宋"/>
                <w:i w:val="0"/>
                <w:color w:val="000000"/>
                <w:kern w:val="0"/>
                <w:sz w:val="24"/>
                <w:szCs w:val="24"/>
                <w:u w:val="none"/>
                <w:lang w:val="en-US" w:eastAsia="zh-CN" w:bidi="ar"/>
              </w:rPr>
              <w:t>缴纳3个月社保的证明材料，否则不得分)  (0-1分)</w:t>
            </w:r>
          </w:p>
          <w:p>
            <w:pPr>
              <w:keepNext w:val="0"/>
              <w:keepLines w:val="0"/>
              <w:widowControl/>
              <w:numPr>
                <w:ilvl w:val="0"/>
                <w:numId w:val="4"/>
              </w:numPr>
              <w:suppressLineNumbers w:val="0"/>
              <w:ind w:left="0" w:leftChars="0" w:firstLine="0" w:firstLineChars="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项目组其他实施人员的专业素质、技术能力、项目经验等情况，数量是否充足，配置是否合理等，由评标委员会进行综合评分（0-2分）</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0-8分</w:t>
            </w:r>
          </w:p>
        </w:tc>
      </w:tr>
      <w:tr>
        <w:tblPrEx>
          <w:tblCellMar>
            <w:top w:w="0" w:type="dxa"/>
            <w:left w:w="0" w:type="dxa"/>
            <w:bottom w:w="0" w:type="dxa"/>
            <w:right w:w="0" w:type="dxa"/>
          </w:tblCellMar>
        </w:tblPrEx>
        <w:trPr>
          <w:trHeight w:val="809"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质保期</w:t>
            </w:r>
          </w:p>
        </w:tc>
        <w:tc>
          <w:tcPr>
            <w:tcW w:w="6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所投产品质保期在</w:t>
            </w:r>
            <w:r>
              <w:rPr>
                <w:rFonts w:hint="eastAsia" w:ascii="仿宋" w:hAnsi="仿宋" w:eastAsia="仿宋" w:cs="仿宋"/>
                <w:i w:val="0"/>
                <w:color w:val="0070C0"/>
                <w:kern w:val="0"/>
                <w:sz w:val="24"/>
                <w:szCs w:val="24"/>
                <w:u w:val="none"/>
                <w:lang w:val="en-US" w:eastAsia="zh-CN" w:bidi="ar"/>
              </w:rPr>
              <w:t>原厂质保期限的</w:t>
            </w:r>
            <w:r>
              <w:rPr>
                <w:rFonts w:hint="eastAsia" w:ascii="仿宋" w:hAnsi="仿宋" w:eastAsia="仿宋" w:cs="仿宋"/>
                <w:i w:val="0"/>
                <w:color w:val="000000"/>
                <w:kern w:val="0"/>
                <w:sz w:val="24"/>
                <w:szCs w:val="24"/>
                <w:u w:val="none"/>
                <w:lang w:val="en-US" w:eastAsia="zh-CN" w:bidi="ar"/>
              </w:rPr>
              <w:t>基础上</w:t>
            </w:r>
            <w:r>
              <w:rPr>
                <w:rFonts w:hint="eastAsia" w:ascii="仿宋" w:hAnsi="仿宋" w:eastAsia="仿宋" w:cs="仿宋"/>
                <w:i w:val="0"/>
                <w:color w:val="0070C0"/>
                <w:kern w:val="0"/>
                <w:sz w:val="24"/>
                <w:szCs w:val="24"/>
                <w:u w:val="none"/>
                <w:lang w:val="en-US" w:eastAsia="zh-CN" w:bidi="ar"/>
              </w:rPr>
              <w:t>（质保证明中标后提供）</w:t>
            </w:r>
            <w:r>
              <w:rPr>
                <w:rFonts w:hint="eastAsia" w:ascii="仿宋" w:hAnsi="仿宋" w:eastAsia="仿宋" w:cs="仿宋"/>
                <w:i w:val="0"/>
                <w:color w:val="000000"/>
                <w:kern w:val="0"/>
                <w:sz w:val="24"/>
                <w:szCs w:val="24"/>
                <w:u w:val="none"/>
                <w:lang w:val="en-US" w:eastAsia="zh-CN" w:bidi="ar"/>
              </w:rPr>
              <w:t>，承诺每增加1年得1分，最高得2分。</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0-2分</w:t>
            </w:r>
          </w:p>
        </w:tc>
      </w:tr>
      <w:tr>
        <w:tblPrEx>
          <w:tblCellMar>
            <w:top w:w="0" w:type="dxa"/>
            <w:left w:w="0" w:type="dxa"/>
            <w:bottom w:w="0" w:type="dxa"/>
            <w:right w:w="0" w:type="dxa"/>
          </w:tblCellMar>
        </w:tblPrEx>
        <w:trPr>
          <w:trHeight w:val="2586"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6"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投标产品技术性能指标</w:t>
            </w:r>
          </w:p>
        </w:tc>
        <w:tc>
          <w:tcPr>
            <w:tcW w:w="6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1、打▲号指标为实质性要求，必须满足或优于，否则视为无效投标；</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2、投标人所投设备全部满足采购要求的得基本分</w:t>
            </w:r>
            <w:r>
              <w:rPr>
                <w:rFonts w:hint="eastAsia" w:ascii="仿宋" w:hAnsi="仿宋" w:eastAsia="仿宋" w:cs="仿宋"/>
                <w:i w:val="0"/>
                <w:color w:val="0070C0"/>
                <w:kern w:val="0"/>
                <w:sz w:val="24"/>
                <w:szCs w:val="24"/>
                <w:u w:val="none"/>
                <w:lang w:val="en-US" w:eastAsia="zh-CN" w:bidi="ar"/>
              </w:rPr>
              <w:t>18分</w:t>
            </w:r>
            <w:r>
              <w:rPr>
                <w:rFonts w:hint="eastAsia" w:ascii="仿宋" w:hAnsi="仿宋" w:eastAsia="仿宋" w:cs="仿宋"/>
                <w:i w:val="0"/>
                <w:color w:val="000000"/>
                <w:kern w:val="0"/>
                <w:sz w:val="24"/>
                <w:szCs w:val="24"/>
                <w:u w:val="none"/>
                <w:lang w:val="en-US" w:eastAsia="zh-CN" w:bidi="ar"/>
              </w:rPr>
              <w:t>，打★号指标为重要指标，有负偏离的每项扣0.5分，非重要偏离每低于一项扣0.2分，扣完该项得分为止。（0-</w:t>
            </w:r>
            <w:r>
              <w:rPr>
                <w:rFonts w:hint="eastAsia" w:ascii="仿宋" w:hAnsi="仿宋" w:eastAsia="仿宋" w:cs="仿宋"/>
                <w:i w:val="0"/>
                <w:color w:val="0070C0"/>
                <w:kern w:val="0"/>
                <w:sz w:val="24"/>
                <w:szCs w:val="24"/>
                <w:u w:val="none"/>
                <w:lang w:val="en-US" w:eastAsia="zh-CN" w:bidi="ar"/>
              </w:rPr>
              <w:t>18分</w:t>
            </w:r>
            <w:r>
              <w:rPr>
                <w:rFonts w:hint="eastAsia" w:ascii="仿宋" w:hAnsi="仿宋" w:eastAsia="仿宋" w:cs="仿宋"/>
                <w:i w:val="0"/>
                <w:color w:val="000000"/>
                <w:kern w:val="0"/>
                <w:sz w:val="24"/>
                <w:szCs w:val="24"/>
                <w:u w:val="none"/>
                <w:lang w:val="en-US" w:eastAsia="zh-CN" w:bidi="ar"/>
              </w:rPr>
              <w:t>）</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3、对性能指标、技术参数有实质性意义的正偏离或有先进程度的每项</w:t>
            </w:r>
            <w:r>
              <w:rPr>
                <w:rFonts w:hint="eastAsia" w:ascii="仿宋" w:hAnsi="仿宋" w:eastAsia="仿宋" w:cs="仿宋"/>
                <w:i w:val="0"/>
                <w:color w:val="0070C0"/>
                <w:kern w:val="0"/>
                <w:sz w:val="24"/>
                <w:szCs w:val="24"/>
                <w:u w:val="none"/>
                <w:lang w:val="en-US" w:eastAsia="zh-CN" w:bidi="ar"/>
              </w:rPr>
              <w:t>加0.5分</w:t>
            </w:r>
            <w:r>
              <w:rPr>
                <w:rFonts w:hint="eastAsia" w:ascii="仿宋" w:hAnsi="仿宋" w:eastAsia="仿宋" w:cs="仿宋"/>
                <w:i w:val="0"/>
                <w:color w:val="000000"/>
                <w:kern w:val="0"/>
                <w:sz w:val="24"/>
                <w:szCs w:val="24"/>
                <w:u w:val="none"/>
                <w:lang w:val="en-US" w:eastAsia="zh-CN" w:bidi="ar"/>
              </w:rPr>
              <w:t>；无实质性意义的正偏离不加分。是否属正偏离或有先进程度由评审专家集体认定（</w:t>
            </w:r>
            <w:r>
              <w:rPr>
                <w:rFonts w:hint="eastAsia" w:ascii="仿宋" w:hAnsi="仿宋" w:eastAsia="仿宋" w:cs="仿宋"/>
                <w:i w:val="0"/>
                <w:color w:val="0070C0"/>
                <w:kern w:val="0"/>
                <w:sz w:val="24"/>
                <w:szCs w:val="24"/>
                <w:u w:val="none"/>
                <w:lang w:val="en-US" w:eastAsia="zh-CN" w:bidi="ar"/>
              </w:rPr>
              <w:t>最高得2分</w:t>
            </w:r>
            <w:r>
              <w:rPr>
                <w:rFonts w:hint="eastAsia" w:ascii="仿宋" w:hAnsi="仿宋" w:eastAsia="仿宋" w:cs="仿宋"/>
                <w:i w:val="0"/>
                <w:color w:val="000000"/>
                <w:kern w:val="0"/>
                <w:sz w:val="24"/>
                <w:szCs w:val="24"/>
                <w:u w:val="none"/>
                <w:lang w:val="en-US" w:eastAsia="zh-CN" w:bidi="ar"/>
              </w:rPr>
              <w:t>）。</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0-20分</w:t>
            </w:r>
          </w:p>
        </w:tc>
      </w:tr>
      <w:tr>
        <w:tblPrEx>
          <w:tblCellMar>
            <w:top w:w="0" w:type="dxa"/>
            <w:left w:w="0" w:type="dxa"/>
            <w:bottom w:w="0" w:type="dxa"/>
            <w:right w:w="0" w:type="dxa"/>
          </w:tblCellMar>
        </w:tblPrEx>
        <w:trPr>
          <w:trHeight w:val="1390"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kern w:val="0"/>
                <w:sz w:val="24"/>
                <w:szCs w:val="24"/>
                <w:u w:val="none"/>
                <w:lang w:val="en-US" w:eastAsia="zh-CN" w:bidi="ar"/>
              </w:rPr>
            </w:pPr>
          </w:p>
        </w:tc>
        <w:tc>
          <w:tcPr>
            <w:tcW w:w="986"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投标产品成熟度</w:t>
            </w:r>
          </w:p>
        </w:tc>
        <w:tc>
          <w:tcPr>
            <w:tcW w:w="6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根据计算机网络系统（0-2分）、视频监控系统系统（0-2分）、体育馆专项智能化系统（0-2分）、LED显示屏系统（0-2分）等核心设备所提供的技术先进性、自主研发能力、综合赛事场馆案例等情况进行综合评分。</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0～8分</w:t>
            </w:r>
          </w:p>
        </w:tc>
      </w:tr>
      <w:tr>
        <w:tblPrEx>
          <w:tblCellMar>
            <w:top w:w="0" w:type="dxa"/>
            <w:left w:w="0" w:type="dxa"/>
            <w:bottom w:w="0" w:type="dxa"/>
            <w:right w:w="0" w:type="dxa"/>
          </w:tblCellMar>
        </w:tblPrEx>
        <w:trPr>
          <w:trHeight w:val="90"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赛时保障方案</w:t>
            </w:r>
          </w:p>
        </w:tc>
        <w:tc>
          <w:tcPr>
            <w:tcW w:w="6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投标人针对本项目提供完整的赛时保障计划、方案，根据方案的完整详实、科学合理可行性，评标委员会进行综合评分。(0-5分)</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FF0000"/>
                <w:kern w:val="0"/>
                <w:sz w:val="24"/>
                <w:szCs w:val="24"/>
                <w:u w:val="none"/>
                <w:lang w:val="en-US" w:eastAsia="zh-CN" w:bidi="ar"/>
              </w:rPr>
              <w:t>0-5分</w:t>
            </w:r>
          </w:p>
        </w:tc>
      </w:tr>
      <w:tr>
        <w:tblPrEx>
          <w:tblCellMar>
            <w:top w:w="0" w:type="dxa"/>
            <w:left w:w="0" w:type="dxa"/>
            <w:bottom w:w="0" w:type="dxa"/>
            <w:right w:w="0" w:type="dxa"/>
          </w:tblCellMar>
        </w:tblPrEx>
        <w:trPr>
          <w:trHeight w:val="1245"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售后服务其他优惠服务承诺</w:t>
            </w:r>
          </w:p>
        </w:tc>
        <w:tc>
          <w:tcPr>
            <w:tcW w:w="6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投标人承诺中标后在金华市本级（含婺城区和金东区）设有完善的售后服务网点并配备固定服务人员的得2分；在金华市本级外浙江省内设有完善的售后服务网点并配备固定服务人员的得1分；其他不得分。(0-2分)</w:t>
            </w:r>
          </w:p>
        </w:tc>
        <w:tc>
          <w:tcPr>
            <w:tcW w:w="111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0-6分</w:t>
            </w:r>
          </w:p>
        </w:tc>
      </w:tr>
      <w:tr>
        <w:tblPrEx>
          <w:tblCellMar>
            <w:top w:w="0" w:type="dxa"/>
            <w:left w:w="0" w:type="dxa"/>
            <w:bottom w:w="0" w:type="dxa"/>
            <w:right w:w="0" w:type="dxa"/>
          </w:tblCellMar>
        </w:tblPrEx>
        <w:trPr>
          <w:trHeight w:val="865"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根据投标人提供的售后服务方案，从投标人对服务内容、服务体系，备件配备，运维平台等各项因素进行综合评分。(0-2分)</w:t>
            </w:r>
          </w:p>
        </w:tc>
        <w:tc>
          <w:tcPr>
            <w:tcW w:w="11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1331"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6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根据投标人售后服务团队成员的</w:t>
            </w:r>
            <w:r>
              <w:rPr>
                <w:rFonts w:hint="eastAsia" w:ascii="仿宋" w:hAnsi="仿宋" w:eastAsia="仿宋" w:cs="仿宋"/>
                <w:i w:val="0"/>
                <w:color w:val="0070C0"/>
                <w:kern w:val="0"/>
                <w:sz w:val="24"/>
                <w:szCs w:val="24"/>
                <w:u w:val="none"/>
                <w:lang w:val="en-US" w:eastAsia="zh-CN" w:bidi="ar"/>
              </w:rPr>
              <w:t>专业素质、技术能力、项目经验、职称等级等情况，结合考虑人员数量是否充足，配置是否合理等因素，由评标委员会进行综合评分</w:t>
            </w:r>
            <w:r>
              <w:rPr>
                <w:rFonts w:hint="eastAsia" w:ascii="仿宋" w:hAnsi="仿宋" w:eastAsia="仿宋" w:cs="仿宋"/>
                <w:i w:val="0"/>
                <w:color w:val="000000"/>
                <w:kern w:val="0"/>
                <w:sz w:val="24"/>
                <w:szCs w:val="24"/>
                <w:u w:val="none"/>
                <w:lang w:val="en-US" w:eastAsia="zh-CN" w:bidi="ar"/>
              </w:rPr>
              <w:t>(以上人员须提供投标单位2020年1月以后连续缴纳至少3个月社保的证明材料，否则不得分）。(0-2分)</w:t>
            </w:r>
          </w:p>
        </w:tc>
        <w:tc>
          <w:tcPr>
            <w:tcW w:w="11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2300" w:hRule="atLeast"/>
          <w:jc w:val="center"/>
        </w:trPr>
        <w:tc>
          <w:tcPr>
            <w:tcW w:w="94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政策分</w:t>
            </w:r>
          </w:p>
        </w:tc>
        <w:tc>
          <w:tcPr>
            <w:tcW w:w="6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标人符合《政府采购货物和服务招标投标管理办法》第五条规定，属于“节约能源、保护环境、扶持不发达地区和少数民族地区等”政府采购政策落实对象的(注:“促进中小企业发展”政府采购政策评审时将在“价格分”中进行政策性价格扣除，此处不予以计分)，提供相关证明材料和政策依据，每符合一项得1分，最高可得2分;未提供相关证明材料的不得分。(提供相关证明材料和政策依据备查)。(0-2分)</w:t>
            </w:r>
          </w:p>
        </w:tc>
        <w:tc>
          <w:tcPr>
            <w:tcW w:w="11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0-2分</w:t>
            </w:r>
          </w:p>
        </w:tc>
      </w:tr>
      <w:tr>
        <w:tblPrEx>
          <w:tblCellMar>
            <w:top w:w="0" w:type="dxa"/>
            <w:left w:w="0" w:type="dxa"/>
            <w:bottom w:w="0" w:type="dxa"/>
            <w:right w:w="0" w:type="dxa"/>
          </w:tblCellMar>
        </w:tblPrEx>
        <w:trPr>
          <w:trHeight w:val="863" w:hRule="atLeast"/>
          <w:jc w:val="center"/>
        </w:trPr>
        <w:tc>
          <w:tcPr>
            <w:tcW w:w="946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sz w:val="24"/>
                <w:szCs w:val="24"/>
                <w:lang w:eastAsia="zh-CN"/>
              </w:rPr>
              <w:t>注：</w:t>
            </w:r>
            <w:r>
              <w:rPr>
                <w:rFonts w:hint="eastAsia" w:ascii="仿宋" w:hAnsi="仿宋" w:eastAsia="仿宋" w:cs="仿宋"/>
                <w:b/>
                <w:bCs/>
                <w:color w:val="000000"/>
                <w:sz w:val="24"/>
                <w:szCs w:val="24"/>
                <w:lang w:bidi="ar"/>
              </w:rPr>
              <w:t>上述相关</w:t>
            </w:r>
            <w:r>
              <w:rPr>
                <w:rFonts w:hint="eastAsia" w:ascii="仿宋" w:hAnsi="仿宋" w:eastAsia="仿宋" w:cs="仿宋"/>
                <w:b/>
                <w:bCs/>
                <w:color w:val="000000"/>
                <w:sz w:val="24"/>
                <w:szCs w:val="24"/>
                <w:lang w:eastAsia="zh-CN" w:bidi="ar"/>
              </w:rPr>
              <w:t>评分细则涉及的证书、合同等证明材料</w:t>
            </w:r>
            <w:r>
              <w:rPr>
                <w:rFonts w:hint="eastAsia" w:ascii="仿宋" w:hAnsi="仿宋" w:eastAsia="仿宋" w:cs="仿宋"/>
                <w:b/>
                <w:bCs/>
                <w:color w:val="000000"/>
                <w:sz w:val="24"/>
                <w:szCs w:val="24"/>
                <w:lang w:bidi="ar"/>
              </w:rPr>
              <w:t>原件</w:t>
            </w:r>
            <w:r>
              <w:rPr>
                <w:rFonts w:hint="eastAsia" w:ascii="仿宋" w:hAnsi="仿宋" w:eastAsia="仿宋" w:cs="仿宋"/>
                <w:b/>
                <w:bCs/>
                <w:color w:val="000000"/>
                <w:sz w:val="24"/>
                <w:szCs w:val="24"/>
                <w:lang w:eastAsia="zh-CN" w:bidi="ar"/>
              </w:rPr>
              <w:t>须在中标后提交采购人查验</w:t>
            </w:r>
            <w:r>
              <w:rPr>
                <w:rFonts w:hint="eastAsia" w:ascii="仿宋" w:hAnsi="仿宋" w:eastAsia="仿宋" w:cs="仿宋"/>
                <w:b/>
                <w:bCs/>
                <w:color w:val="000000"/>
                <w:sz w:val="24"/>
                <w:szCs w:val="24"/>
                <w:lang w:bidi="ar"/>
              </w:rPr>
              <w:t>。</w:t>
            </w:r>
            <w:r>
              <w:rPr>
                <w:rFonts w:hint="eastAsia" w:ascii="仿宋" w:hAnsi="仿宋" w:eastAsia="仿宋" w:cs="仿宋"/>
                <w:b/>
                <w:bCs/>
                <w:color w:val="000000"/>
                <w:sz w:val="24"/>
                <w:szCs w:val="24"/>
                <w:lang w:eastAsia="zh-CN" w:bidi="ar"/>
              </w:rPr>
              <w:t>如投标文件中复印件与原件不相符的，则取消其中标资格。</w:t>
            </w:r>
          </w:p>
        </w:tc>
      </w:tr>
    </w:tbl>
    <w:p>
      <w:pPr>
        <w:pStyle w:val="13"/>
        <w:widowControl w:val="0"/>
        <w:adjustRightInd w:val="0"/>
        <w:snapToGrid w:val="0"/>
        <w:spacing w:before="0" w:beforeAutospacing="0" w:after="0" w:afterAutospacing="0"/>
        <w:rPr>
          <w:rFonts w:ascii="Times New Roman" w:hAnsi="Times New Roman" w:eastAsia="黑体"/>
          <w:b/>
          <w:sz w:val="36"/>
          <w:szCs w:val="36"/>
        </w:rPr>
      </w:pPr>
    </w:p>
    <w:p>
      <w:pPr>
        <w:pStyle w:val="33"/>
        <w:numPr>
          <w:ilvl w:val="0"/>
          <w:numId w:val="5"/>
        </w:numPr>
        <w:tabs>
          <w:tab w:val="left" w:pos="430"/>
        </w:tabs>
        <w:spacing w:before="156" w:beforeLines="50" w:after="156" w:afterLines="50" w:line="240" w:lineRule="exact"/>
        <w:ind w:firstLineChars="0"/>
        <w:rPr>
          <w:rFonts w:ascii="宋体" w:hAnsi="宋体"/>
          <w:b/>
          <w:sz w:val="28"/>
          <w:szCs w:val="28"/>
        </w:rPr>
      </w:pPr>
      <w:r>
        <w:rPr>
          <w:rFonts w:hint="eastAsia" w:ascii="宋体" w:hAnsi="宋体"/>
          <w:b/>
          <w:sz w:val="28"/>
          <w:szCs w:val="28"/>
        </w:rPr>
        <w:tab/>
      </w:r>
      <w:r>
        <w:rPr>
          <w:rFonts w:hint="eastAsia" w:ascii="宋体" w:hAnsi="宋体"/>
          <w:b/>
          <w:sz w:val="28"/>
          <w:szCs w:val="28"/>
        </w:rPr>
        <w:t>技术、资信及商务分的计算</w:t>
      </w:r>
    </w:p>
    <w:p>
      <w:pPr>
        <w:spacing w:before="156" w:beforeLines="50" w:after="156" w:afterLines="50" w:line="400" w:lineRule="exact"/>
        <w:ind w:firstLine="480" w:firstLineChars="200"/>
        <w:rPr>
          <w:rFonts w:ascii="宋体" w:hAnsi="宋体"/>
          <w:sz w:val="24"/>
        </w:rPr>
      </w:pPr>
      <w:r>
        <w:rPr>
          <w:rFonts w:hint="eastAsia" w:ascii="宋体" w:hAnsi="宋体"/>
          <w:sz w:val="24"/>
        </w:rPr>
        <w:t>技术、资信及商务分按照评标委员会成员的独立评分结果汇总数、算术平均分计算，</w:t>
      </w:r>
    </w:p>
    <w:p>
      <w:pPr>
        <w:rPr>
          <w:rFonts w:hint="eastAsia" w:ascii="宋体" w:hAnsi="宋体"/>
          <w:sz w:val="24"/>
        </w:rPr>
        <w:sectPr>
          <w:pgSz w:w="11906" w:h="16838"/>
          <w:pgMar w:top="1440" w:right="1417" w:bottom="1440" w:left="1417" w:header="851" w:footer="992" w:gutter="0"/>
          <w:pgNumType w:fmt="numberInDash" w:start="1"/>
          <w:cols w:space="425" w:num="1"/>
          <w:docGrid w:type="lines" w:linePitch="312" w:charSpace="0"/>
        </w:sectPr>
      </w:pPr>
      <w:r>
        <w:rPr>
          <w:rFonts w:hint="eastAsia" w:ascii="宋体" w:hAnsi="宋体"/>
          <w:sz w:val="24"/>
        </w:rPr>
        <w:t>计算公式为：技术、资信及商务得分=（评标委员会所有成员评分合计数）/（评标委员会组成人员数）</w:t>
      </w:r>
    </w:p>
    <w:p>
      <w:pPr>
        <w:pStyle w:val="2"/>
        <w:ind w:left="165" w:leftChars="0" w:firstLine="1920" w:firstLineChars="600"/>
        <w:rPr>
          <w:rFonts w:ascii="宋体" w:hAnsi="宋体" w:eastAsia="仿宋_GB2312"/>
          <w:color w:val="000000"/>
          <w:sz w:val="32"/>
          <w:szCs w:val="32"/>
        </w:rPr>
      </w:pPr>
      <w:r>
        <w:rPr>
          <w:rFonts w:hint="eastAsia" w:ascii="宋体" w:hAnsi="宋体" w:eastAsia="仿宋_GB2312"/>
          <w:color w:val="000000"/>
          <w:sz w:val="32"/>
          <w:szCs w:val="32"/>
        </w:rPr>
        <w:t>第六章 政府</w:t>
      </w:r>
      <w:r>
        <w:rPr>
          <w:rFonts w:ascii="宋体" w:hAnsi="宋体" w:eastAsia="仿宋_GB2312"/>
          <w:color w:val="000000"/>
          <w:sz w:val="32"/>
          <w:szCs w:val="32"/>
        </w:rPr>
        <w:t>采购合同主要条款</w:t>
      </w:r>
    </w:p>
    <w:p>
      <w:pPr>
        <w:snapToGrid w:val="0"/>
        <w:spacing w:line="360" w:lineRule="auto"/>
        <w:ind w:firstLine="600" w:firstLineChars="200"/>
        <w:jc w:val="left"/>
        <w:rPr>
          <w:rFonts w:ascii="仿宋" w:hAnsi="仿宋" w:eastAsia="仿宋" w:cs="Arial"/>
          <w:b/>
          <w:color w:val="000000"/>
          <w:szCs w:val="21"/>
        </w:rPr>
      </w:pPr>
      <w:r>
        <w:rPr>
          <w:rFonts w:hint="eastAsia" w:ascii="仿宋_GB2312" w:eastAsia="仿宋_GB2312"/>
          <w:color w:val="000000"/>
          <w:sz w:val="30"/>
          <w:szCs w:val="30"/>
        </w:rPr>
        <w:t xml:space="preserve">  </w:t>
      </w:r>
      <w:r>
        <w:rPr>
          <w:rFonts w:hint="eastAsia" w:ascii="仿宋" w:hAnsi="仿宋" w:eastAsia="仿宋" w:cs="Arial"/>
          <w:b/>
          <w:color w:val="000000"/>
          <w:szCs w:val="21"/>
        </w:rPr>
        <w:t>浙江省政府采购合同指引（货物）</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项目名称：                     项目编号：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甲方：（买方）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乙方：（卖方）</w:t>
      </w:r>
    </w:p>
    <w:p>
      <w:pPr>
        <w:snapToGrid w:val="0"/>
        <w:spacing w:line="360" w:lineRule="auto"/>
        <w:ind w:left="210" w:leftChars="100" w:firstLine="210" w:firstLineChars="100"/>
        <w:jc w:val="left"/>
        <w:rPr>
          <w:rFonts w:ascii="仿宋" w:hAnsi="仿宋" w:eastAsia="仿宋" w:cs="Arial"/>
          <w:color w:val="000000"/>
          <w:szCs w:val="21"/>
        </w:rPr>
      </w:pPr>
      <w:r>
        <w:rPr>
          <w:rFonts w:ascii="仿宋" w:hAnsi="仿宋" w:eastAsia="仿宋" w:cs="Arial"/>
          <w:color w:val="000000"/>
          <w:szCs w:val="21"/>
        </w:rPr>
        <w:t xml:space="preserve">   甲、乙双方根据</w:t>
      </w:r>
      <w:r>
        <w:rPr>
          <w:rFonts w:ascii="仿宋" w:hAnsi="仿宋" w:eastAsia="仿宋" w:cs="Arial"/>
          <w:color w:val="000000"/>
          <w:szCs w:val="21"/>
          <w:u w:val="single"/>
        </w:rPr>
        <w:t>金华市政府采购中心关于</w:t>
      </w:r>
      <w:r>
        <w:rPr>
          <w:rFonts w:hint="eastAsia" w:ascii="仿宋" w:hAnsi="仿宋" w:eastAsia="仿宋" w:cs="Arial"/>
          <w:color w:val="000000"/>
          <w:szCs w:val="21"/>
          <w:u w:val="single"/>
        </w:rPr>
        <w:t xml:space="preserve"> </w:t>
      </w:r>
      <w:r>
        <w:rPr>
          <w:rFonts w:ascii="仿宋" w:hAnsi="仿宋" w:eastAsia="仿宋" w:cs="Arial"/>
          <w:color w:val="000000"/>
          <w:szCs w:val="21"/>
          <w:u w:val="single"/>
        </w:rPr>
        <w:t xml:space="preserve">     </w:t>
      </w:r>
      <w:r>
        <w:rPr>
          <w:rFonts w:hint="eastAsia" w:ascii="仿宋" w:hAnsi="仿宋" w:eastAsia="仿宋" w:cs="Arial"/>
          <w:color w:val="000000"/>
          <w:szCs w:val="21"/>
          <w:u w:val="single"/>
        </w:rPr>
        <w:t xml:space="preserve"> 单位 </w:t>
      </w:r>
      <w:r>
        <w:rPr>
          <w:rFonts w:ascii="仿宋" w:hAnsi="仿宋" w:eastAsia="仿宋" w:cs="Arial"/>
          <w:color w:val="000000"/>
          <w:szCs w:val="21"/>
          <w:u w:val="single"/>
        </w:rPr>
        <w:t xml:space="preserve">         项目公开招标</w:t>
      </w:r>
      <w:r>
        <w:rPr>
          <w:rFonts w:ascii="仿宋" w:hAnsi="仿宋" w:eastAsia="仿宋" w:cs="Arial"/>
          <w:color w:val="000000"/>
          <w:szCs w:val="21"/>
        </w:rPr>
        <w:t>的结果，签署本合同。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一、货物内容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 货物名称：</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2</w:t>
      </w:r>
      <w:r>
        <w:rPr>
          <w:rFonts w:ascii="仿宋" w:hAnsi="仿宋" w:eastAsia="仿宋" w:cs="Arial"/>
          <w:color w:val="000000"/>
          <w:szCs w:val="21"/>
        </w:rPr>
        <w:t>. 型号规格：</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3</w:t>
      </w:r>
      <w:r>
        <w:rPr>
          <w:rFonts w:ascii="仿宋" w:hAnsi="仿宋" w:eastAsia="仿宋" w:cs="Arial"/>
          <w:color w:val="000000"/>
          <w:szCs w:val="21"/>
        </w:rPr>
        <w:t>. 技术参数：</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数量（单位）：</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二、合同金额</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本合同金额为（大写）：_________元（￥______元）人民币。</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三、技术资料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乙方应按招标文件规定的时间向甲方提供使用货物的有关技术资料。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四、知识产权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乙方应保证所提供的货物或其任何一部分均不会侵犯任何第三方的知识产权。</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五、产权担保</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乙方保证所交付的货物的所有权完全属于乙方且无任何抵押、查封等产权瑕疵。</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六、履约保证金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乙方交纳人民币△元作为本合同的履约保证金。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七、转包或分包</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.本合同范围的货物，应由</w:t>
      </w:r>
      <w:r>
        <w:rPr>
          <w:rFonts w:ascii="仿宋" w:hAnsi="仿宋" w:eastAsia="仿宋" w:cs="Arial"/>
          <w:color w:val="000000"/>
          <w:szCs w:val="21"/>
        </w:rPr>
        <w:t>乙</w:t>
      </w:r>
      <w:r>
        <w:rPr>
          <w:rFonts w:hint="eastAsia" w:ascii="仿宋" w:hAnsi="仿宋" w:eastAsia="仿宋" w:cs="Arial"/>
          <w:color w:val="000000"/>
          <w:szCs w:val="21"/>
        </w:rPr>
        <w:t>方直接供应，不得转让他人供应；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.除非得到</w:t>
      </w:r>
      <w:r>
        <w:rPr>
          <w:rFonts w:ascii="仿宋" w:hAnsi="仿宋" w:eastAsia="仿宋" w:cs="Arial"/>
          <w:color w:val="000000"/>
          <w:szCs w:val="21"/>
        </w:rPr>
        <w:t>甲</w:t>
      </w:r>
      <w:r>
        <w:rPr>
          <w:rFonts w:hint="eastAsia" w:ascii="仿宋" w:hAnsi="仿宋" w:eastAsia="仿宋" w:cs="Arial"/>
          <w:color w:val="000000"/>
          <w:szCs w:val="21"/>
        </w:rPr>
        <w:t>方的书面同意，</w:t>
      </w:r>
      <w:r>
        <w:rPr>
          <w:rFonts w:ascii="仿宋" w:hAnsi="仿宋" w:eastAsia="仿宋" w:cs="Arial"/>
          <w:color w:val="000000"/>
          <w:szCs w:val="21"/>
        </w:rPr>
        <w:t>乙</w:t>
      </w:r>
      <w:r>
        <w:rPr>
          <w:rFonts w:hint="eastAsia" w:ascii="仿宋" w:hAnsi="仿宋" w:eastAsia="仿宋" w:cs="Arial"/>
          <w:color w:val="000000"/>
          <w:szCs w:val="21"/>
        </w:rPr>
        <w:t>方不得将本合同范围的货物全部或部分分包给他人供应；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.如有转让和未经</w:t>
      </w:r>
      <w:r>
        <w:rPr>
          <w:rFonts w:ascii="仿宋" w:hAnsi="仿宋" w:eastAsia="仿宋" w:cs="Arial"/>
          <w:color w:val="000000"/>
          <w:szCs w:val="21"/>
        </w:rPr>
        <w:t>甲</w:t>
      </w:r>
      <w:r>
        <w:rPr>
          <w:rFonts w:hint="eastAsia" w:ascii="仿宋" w:hAnsi="仿宋" w:eastAsia="仿宋" w:cs="Arial"/>
          <w:color w:val="000000"/>
          <w:szCs w:val="21"/>
        </w:rPr>
        <w:t>方同意的分包行为，</w:t>
      </w:r>
      <w:r>
        <w:rPr>
          <w:rFonts w:ascii="仿宋" w:hAnsi="仿宋" w:eastAsia="仿宋" w:cs="Arial"/>
          <w:color w:val="000000"/>
          <w:szCs w:val="21"/>
        </w:rPr>
        <w:t>甲</w:t>
      </w:r>
      <w:r>
        <w:rPr>
          <w:rFonts w:hint="eastAsia" w:ascii="仿宋" w:hAnsi="仿宋" w:eastAsia="仿宋" w:cs="Arial"/>
          <w:color w:val="000000"/>
          <w:szCs w:val="21"/>
        </w:rPr>
        <w:t>方有权解除合同，没收履约保证金并追究乙方的违约责任。</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八、质保期和质保金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质保期</w:t>
      </w:r>
      <w:r>
        <w:rPr>
          <w:rFonts w:ascii="仿宋" w:hAnsi="仿宋" w:eastAsia="仿宋" w:cs="Arial"/>
          <w:color w:val="000000"/>
          <w:szCs w:val="21"/>
          <w:u w:val="single"/>
        </w:rPr>
        <w:t xml:space="preserve">      </w:t>
      </w:r>
      <w:r>
        <w:rPr>
          <w:rFonts w:ascii="仿宋" w:hAnsi="仿宋" w:eastAsia="仿宋" w:cs="Arial"/>
          <w:color w:val="000000"/>
          <w:szCs w:val="21"/>
        </w:rPr>
        <w:t>年。（自交货验收合格之日起计）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质保金</w:t>
      </w:r>
      <w:r>
        <w:rPr>
          <w:rFonts w:ascii="仿宋" w:hAnsi="仿宋" w:eastAsia="仿宋" w:cs="Arial"/>
          <w:color w:val="000000"/>
          <w:szCs w:val="21"/>
          <w:u w:val="single"/>
        </w:rPr>
        <w:t xml:space="preserve">            </w:t>
      </w:r>
      <w:r>
        <w:rPr>
          <w:rFonts w:ascii="仿宋" w:hAnsi="仿宋" w:eastAsia="仿宋" w:cs="Arial"/>
          <w:color w:val="000000"/>
          <w:szCs w:val="21"/>
        </w:rPr>
        <w:t>元。（履约保证金在中标投标人按合同约定交货验收合格后自行转为质保金）</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九、交货期、交货方式及交货地点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交货期：</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交货方式：</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交货地点：</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十、货款支付</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付款方式：</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当采购数量与实际使用数量不一致时，乙</w:t>
      </w:r>
      <w:r>
        <w:rPr>
          <w:rFonts w:hint="eastAsia" w:ascii="仿宋" w:hAnsi="仿宋" w:eastAsia="仿宋" w:cs="Arial"/>
          <w:color w:val="000000"/>
          <w:szCs w:val="21"/>
        </w:rPr>
        <w:t>方</w:t>
      </w:r>
      <w:r>
        <w:rPr>
          <w:rFonts w:ascii="仿宋" w:hAnsi="仿宋" w:eastAsia="仿宋" w:cs="Arial"/>
          <w:color w:val="000000"/>
          <w:szCs w:val="21"/>
        </w:rPr>
        <w:t>应根据实际使用量供货，合同的最终结算金额按实际使用量乘以成交单价进行计算。</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十一、税费</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本合同执行中相关的一切税费均由</w:t>
      </w:r>
      <w:r>
        <w:rPr>
          <w:rFonts w:ascii="仿宋" w:hAnsi="仿宋" w:eastAsia="仿宋" w:cs="Arial"/>
          <w:color w:val="000000"/>
          <w:szCs w:val="21"/>
        </w:rPr>
        <w:t>乙</w:t>
      </w:r>
      <w:r>
        <w:rPr>
          <w:rFonts w:hint="eastAsia" w:ascii="仿宋" w:hAnsi="仿宋" w:eastAsia="仿宋" w:cs="Arial"/>
          <w:color w:val="000000"/>
          <w:szCs w:val="21"/>
        </w:rPr>
        <w:t>方负担。</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十二、质量保证及售后服务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乙方应按招标文件规定的货物性能、技术要求、质量标准向甲方提供未经使用的全新产品。</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乙方提供的货物在质</w:t>
      </w:r>
      <w:r>
        <w:rPr>
          <w:rFonts w:hint="eastAsia" w:ascii="仿宋" w:hAnsi="仿宋" w:eastAsia="仿宋" w:cs="Arial"/>
          <w:color w:val="000000"/>
          <w:szCs w:val="21"/>
        </w:rPr>
        <w:t>保</w:t>
      </w:r>
      <w:r>
        <w:rPr>
          <w:rFonts w:ascii="仿宋" w:hAnsi="仿宋" w:eastAsia="仿宋" w:cs="Arial"/>
          <w:color w:val="000000"/>
          <w:szCs w:val="21"/>
        </w:rPr>
        <w:t>期内因货物本身的质量问题发生故障，乙方应负责免费更换。对达不到技术要求者，根据实际情况，经双方协商，可按以下办法处理：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⑴更换：由乙方承担所发生的全部费用。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⑵贬值处理：由甲乙双方合议定价。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⑶退货处理：乙方应退还甲方支付的合同款，同时应承担该货物的直接费用（运输、保险、检验、货款利息及银行手续费等）。</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如在使用过程中发生质量问题，乙方在接到甲方通知后在△小时内到达甲方现场。</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在质保期内，乙方应对货物出现的质量及安全问题负责处理解决并承担一切费用。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5</w:t>
      </w:r>
      <w:r>
        <w:rPr>
          <w:rFonts w:hint="eastAsia" w:ascii="仿宋" w:hAnsi="仿宋" w:eastAsia="仿宋" w:cs="Arial"/>
          <w:color w:val="000000"/>
          <w:szCs w:val="21"/>
        </w:rPr>
        <w:t>.</w:t>
      </w:r>
      <w:r>
        <w:rPr>
          <w:rFonts w:ascii="仿宋" w:hAnsi="仿宋" w:eastAsia="仿宋" w:cs="Arial"/>
          <w:color w:val="000000"/>
          <w:szCs w:val="21"/>
        </w:rPr>
        <w:t>上述的货物免费保修期为</w:t>
      </w:r>
      <w:r>
        <w:rPr>
          <w:rFonts w:ascii="仿宋" w:hAnsi="仿宋" w:eastAsia="仿宋" w:cs="Arial"/>
          <w:color w:val="000000"/>
          <w:szCs w:val="21"/>
          <w:u w:val="single"/>
        </w:rPr>
        <w:t xml:space="preserve">     </w:t>
      </w:r>
      <w:r>
        <w:rPr>
          <w:rFonts w:ascii="仿宋" w:hAnsi="仿宋" w:eastAsia="仿宋" w:cs="Arial"/>
          <w:color w:val="000000"/>
          <w:szCs w:val="21"/>
        </w:rPr>
        <w:t>年，因人为因素出现的故障不在免费保修范围内。超过保修期的机器设备，终生维修，维修时只收部件成本费。</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十三、调试和验收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乙方交货前应对产品作出全面检查和对验收文件进行整理，并列出清单，作为甲方收货验收和使用的技术条件依据，检验的结果应随货物交甲方。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甲方对乙方提供的货物在使用前进行调试时，乙方需负责安装并培训甲方的使用操作人员，并协助甲方一起调试，直到符合技术要求，甲方才做最终验收。</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对技术复杂的货物，甲方应请国家认可的专业检测机构参与初步验收及最终验收，并由其出具质量检测报告。</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5</w:t>
      </w:r>
      <w:r>
        <w:rPr>
          <w:rFonts w:hint="eastAsia" w:ascii="仿宋" w:hAnsi="仿宋" w:eastAsia="仿宋" w:cs="Arial"/>
          <w:color w:val="000000"/>
          <w:szCs w:val="21"/>
        </w:rPr>
        <w:t>.</w:t>
      </w:r>
      <w:r>
        <w:rPr>
          <w:rFonts w:ascii="仿宋" w:hAnsi="仿宋" w:eastAsia="仿宋" w:cs="Arial"/>
          <w:color w:val="000000"/>
          <w:szCs w:val="21"/>
        </w:rPr>
        <w:t xml:space="preserve"> 验收时乙方必须在现场，验收完毕后作出验收结果报告；验收费用由乙方负责。</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十四、货物包装、发运及运输</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乙方应在货物发运前对其进行满足运输距离、防潮、防震、防锈和防破损装卸等要求包装，以保证货物安全运达甲方指定地点。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使用说明书、质量检验证明书、随配附件和工具以及清单一并附于货物内。</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乙方在货物发运手续办理完毕后24小时内或货到甲方48小时前通知甲方，以准备接货。</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货物在交付甲方前发生的风险均由乙方负责。</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5</w:t>
      </w:r>
      <w:r>
        <w:rPr>
          <w:rFonts w:hint="eastAsia" w:ascii="仿宋" w:hAnsi="仿宋" w:eastAsia="仿宋" w:cs="Arial"/>
          <w:color w:val="000000"/>
          <w:szCs w:val="21"/>
        </w:rPr>
        <w:t>.</w:t>
      </w:r>
      <w:r>
        <w:rPr>
          <w:rFonts w:ascii="仿宋" w:hAnsi="仿宋" w:eastAsia="仿宋" w:cs="Arial"/>
          <w:color w:val="000000"/>
          <w:szCs w:val="21"/>
        </w:rPr>
        <w:t xml:space="preserve"> 货物在规定的交付期限内由乙方送达甲方指定的地点视为交付，乙方同时需通知甲方货物已送达。</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十五、违约责任</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甲方无正当理由拒收货物的，甲方向乙方偿付拒收货款总值的百分之五违约金。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甲方无故逾期验收和办理货款支付手续的,甲方应按逾期付款总额每日万分之五向乙方支付违约金。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十六、不可抗力事件处理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在合同有效期内，任何一方因不可抗力事件导致不能履行合同，则合同履行期可延长，其延长期与不可抗力影响期相同。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不可抗力事件发生后，应立即通知对方，并寄送有关权威机构出具的证明。</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不可抗力事件延续120天以上，双方应通过友好协商，确定是否继续履行合同。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十七、诉讼</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双方在执行合同中所发生的一切争议，应通过协商解决。如协商不成，可向</w:t>
      </w:r>
      <w:r>
        <w:rPr>
          <w:rFonts w:hint="eastAsia" w:ascii="仿宋" w:hAnsi="仿宋" w:eastAsia="仿宋" w:cs="Arial"/>
          <w:color w:val="000000"/>
          <w:szCs w:val="21"/>
        </w:rPr>
        <w:t>甲方所在</w:t>
      </w:r>
      <w:r>
        <w:rPr>
          <w:rFonts w:ascii="仿宋" w:hAnsi="仿宋" w:eastAsia="仿宋" w:cs="Arial"/>
          <w:color w:val="000000"/>
          <w:szCs w:val="21"/>
        </w:rPr>
        <w:t>地法院起诉。</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十八、合同生效及其它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合同经双方法定代表人或授权代表签字并加盖单位公章后生效。</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合同执行中涉及采购资金和采购内容修改或补充的，须经财政部门审批，并签书面补充协议报政府采购监督管理部门备案，方可作为主合同不可分割的一部分。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本合同未尽事宜，遵照《合同法》有关条文执行。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本合同正本一式两份，具有同等法律效力，甲乙双方各执一份；副本△份，(用途)。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甲方：</w:t>
      </w:r>
      <w:r>
        <w:rPr>
          <w:rFonts w:hint="eastAsia" w:ascii="仿宋" w:hAnsi="仿宋" w:eastAsia="仿宋" w:cs="Arial"/>
          <w:color w:val="000000"/>
          <w:szCs w:val="21"/>
        </w:rPr>
        <w:t xml:space="preserve">  </w:t>
      </w:r>
      <w:r>
        <w:rPr>
          <w:rFonts w:ascii="仿宋" w:hAnsi="仿宋" w:eastAsia="仿宋" w:cs="Arial"/>
          <w:color w:val="000000"/>
          <w:szCs w:val="21"/>
        </w:rPr>
        <w:t xml:space="preserve">                      乙方：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地址：                        地址：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法定</w:t>
      </w:r>
      <w:r>
        <w:rPr>
          <w:rFonts w:hint="eastAsia" w:ascii="仿宋" w:hAnsi="仿宋" w:eastAsia="仿宋" w:cs="Arial"/>
          <w:color w:val="000000"/>
          <w:szCs w:val="21"/>
        </w:rPr>
        <w:t>（授权）</w:t>
      </w:r>
      <w:r>
        <w:rPr>
          <w:rFonts w:ascii="仿宋" w:hAnsi="仿宋" w:eastAsia="仿宋" w:cs="Arial"/>
          <w:color w:val="000000"/>
          <w:szCs w:val="21"/>
        </w:rPr>
        <w:t>代表人：          法定</w:t>
      </w:r>
      <w:r>
        <w:rPr>
          <w:rFonts w:hint="eastAsia" w:ascii="仿宋" w:hAnsi="仿宋" w:eastAsia="仿宋" w:cs="Arial"/>
          <w:color w:val="000000"/>
          <w:szCs w:val="21"/>
        </w:rPr>
        <w:t>（授权）</w:t>
      </w:r>
      <w:r>
        <w:rPr>
          <w:rFonts w:ascii="仿宋" w:hAnsi="仿宋" w:eastAsia="仿宋" w:cs="Arial"/>
          <w:color w:val="000000"/>
          <w:szCs w:val="21"/>
        </w:rPr>
        <w:t>代表人：</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签</w:t>
      </w:r>
      <w:r>
        <w:rPr>
          <w:rFonts w:hint="eastAsia" w:ascii="仿宋" w:hAnsi="仿宋" w:eastAsia="仿宋" w:cs="Arial"/>
          <w:color w:val="000000"/>
          <w:szCs w:val="21"/>
        </w:rPr>
        <w:t>字日期</w:t>
      </w:r>
      <w:r>
        <w:rPr>
          <w:rFonts w:ascii="仿宋" w:hAnsi="仿宋" w:eastAsia="仿宋" w:cs="Arial"/>
          <w:color w:val="000000"/>
          <w:szCs w:val="21"/>
        </w:rPr>
        <w:t>：   年  月  日   签</w:t>
      </w:r>
      <w:r>
        <w:rPr>
          <w:rFonts w:hint="eastAsia" w:ascii="仿宋" w:hAnsi="仿宋" w:eastAsia="仿宋" w:cs="Arial"/>
          <w:color w:val="000000"/>
          <w:szCs w:val="21"/>
        </w:rPr>
        <w:t>字</w:t>
      </w:r>
      <w:r>
        <w:rPr>
          <w:rFonts w:ascii="仿宋" w:hAnsi="仿宋" w:eastAsia="仿宋" w:cs="Arial"/>
          <w:color w:val="000000"/>
          <w:szCs w:val="21"/>
        </w:rPr>
        <w:t>日期：  年  月  日</w:t>
      </w:r>
    </w:p>
    <w:p>
      <w:pPr>
        <w:snapToGrid w:val="0"/>
        <w:spacing w:line="360" w:lineRule="auto"/>
        <w:ind w:firstLine="420" w:firstLineChars="200"/>
        <w:rPr>
          <w:rFonts w:ascii="仿宋" w:hAnsi="仿宋" w:eastAsia="仿宋" w:cs="Arial"/>
          <w:color w:val="000000"/>
          <w:szCs w:val="21"/>
        </w:rPr>
      </w:pPr>
    </w:p>
    <w:p>
      <w:pPr>
        <w:snapToGrid w:val="0"/>
        <w:spacing w:line="360" w:lineRule="auto"/>
        <w:ind w:firstLine="525" w:firstLineChars="250"/>
        <w:rPr>
          <w:rFonts w:ascii="仿宋" w:hAnsi="仿宋" w:eastAsia="仿宋" w:cs="Arial"/>
          <w:color w:val="000000"/>
          <w:szCs w:val="21"/>
        </w:rPr>
      </w:pPr>
      <w:r>
        <w:rPr>
          <w:rFonts w:hint="eastAsia" w:ascii="仿宋" w:hAnsi="仿宋" w:eastAsia="仿宋" w:cs="Arial"/>
          <w:color w:val="000000"/>
          <w:szCs w:val="21"/>
        </w:rPr>
        <w:t xml:space="preserve"> 合同鉴证方:</w:t>
      </w:r>
    </w:p>
    <w:p>
      <w:pPr>
        <w:snapToGrid w:val="0"/>
        <w:spacing w:line="360" w:lineRule="auto"/>
        <w:ind w:firstLine="630" w:firstLineChars="300"/>
        <w:rPr>
          <w:rFonts w:ascii="仿宋" w:hAnsi="仿宋" w:eastAsia="仿宋" w:cs="Arial"/>
          <w:color w:val="000000"/>
          <w:szCs w:val="21"/>
        </w:rPr>
      </w:pPr>
      <w:r>
        <w:rPr>
          <w:rFonts w:hint="eastAsia" w:ascii="仿宋" w:hAnsi="仿宋" w:eastAsia="仿宋" w:cs="Arial"/>
          <w:color w:val="000000"/>
          <w:szCs w:val="21"/>
        </w:rPr>
        <w:t>法定代表人或主要负责人:</w:t>
      </w:r>
    </w:p>
    <w:p>
      <w:pPr>
        <w:snapToGrid w:val="0"/>
        <w:spacing w:line="360" w:lineRule="auto"/>
        <w:ind w:firstLine="630" w:firstLineChars="300"/>
        <w:rPr>
          <w:rFonts w:hint="eastAsia" w:ascii="仿宋" w:hAnsi="仿宋" w:eastAsia="仿宋" w:cs="Arial"/>
          <w:color w:val="000000"/>
          <w:szCs w:val="21"/>
        </w:rPr>
      </w:pPr>
      <w:r>
        <w:rPr>
          <w:rFonts w:hint="eastAsia" w:ascii="仿宋" w:hAnsi="仿宋" w:eastAsia="仿宋" w:cs="Arial"/>
          <w:color w:val="000000"/>
          <w:szCs w:val="21"/>
        </w:rPr>
        <w:t>鉴证日期:</w:t>
      </w:r>
    </w:p>
    <w:p>
      <w:pPr>
        <w:pStyle w:val="2"/>
        <w:rPr>
          <w:rFonts w:hint="eastAsia" w:ascii="仿宋" w:hAnsi="仿宋" w:eastAsia="仿宋" w:cs="Arial"/>
          <w:color w:val="000000"/>
          <w:szCs w:val="21"/>
        </w:rPr>
      </w:pPr>
    </w:p>
    <w:p>
      <w:pPr>
        <w:autoSpaceDE w:val="0"/>
        <w:autoSpaceDN w:val="0"/>
        <w:adjustRightInd w:val="0"/>
        <w:spacing w:line="400" w:lineRule="atLeast"/>
        <w:jc w:val="center"/>
        <w:rPr>
          <w:rFonts w:hint="eastAsia" w:ascii="宋体" w:eastAsia="宋体"/>
          <w:sz w:val="22"/>
          <w:szCs w:val="22"/>
        </w:rPr>
      </w:pPr>
      <w:r>
        <w:rPr>
          <w:rFonts w:hint="eastAsia" w:ascii="宋体" w:eastAsia="宋体"/>
          <w:sz w:val="22"/>
          <w:szCs w:val="22"/>
        </w:rPr>
        <w:t>（合同签订后采购人或供应商须将合同副本送达金华市公共资源交易中心采购科（地址：金华市双龙南街858号财富大厦4楼）鉴证）</w:t>
      </w:r>
    </w:p>
    <w:p>
      <w:pPr>
        <w:pStyle w:val="2"/>
        <w:rPr>
          <w:rFonts w:hint="eastAsia" w:ascii="仿宋" w:hAnsi="仿宋" w:eastAsia="仿宋" w:cs="Arial"/>
          <w:color w:val="000000"/>
          <w:szCs w:val="21"/>
        </w:rPr>
      </w:pP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br w:type="page"/>
      </w:r>
    </w:p>
    <w:p>
      <w:pPr>
        <w:snapToGrid w:val="0"/>
        <w:spacing w:line="360" w:lineRule="auto"/>
        <w:ind w:firstLine="422" w:firstLineChars="200"/>
        <w:jc w:val="center"/>
        <w:rPr>
          <w:rFonts w:ascii="仿宋" w:hAnsi="仿宋" w:eastAsia="仿宋" w:cs="Arial"/>
          <w:b/>
          <w:color w:val="000000"/>
          <w:szCs w:val="21"/>
        </w:rPr>
      </w:pPr>
      <w:r>
        <w:rPr>
          <w:rFonts w:hint="eastAsia" w:ascii="仿宋" w:hAnsi="仿宋" w:eastAsia="仿宋" w:cs="Arial"/>
          <w:b/>
          <w:color w:val="000000"/>
          <w:szCs w:val="21"/>
        </w:rPr>
        <w:t>浙江省政府采购合同指引（服务）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项目名称：                 项目编号：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甲方：（买方）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乙方：（卖方）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甲、乙双方根据 </w:t>
      </w:r>
      <w:r>
        <w:rPr>
          <w:rFonts w:ascii="仿宋" w:hAnsi="仿宋" w:eastAsia="仿宋" w:cs="Arial"/>
          <w:color w:val="000000"/>
          <w:szCs w:val="21"/>
          <w:u w:val="single"/>
        </w:rPr>
        <w:t>金华市政府采购中心关于</w:t>
      </w:r>
      <w:r>
        <w:rPr>
          <w:rFonts w:hint="eastAsia" w:ascii="仿宋" w:hAnsi="仿宋" w:eastAsia="仿宋" w:cs="Arial"/>
          <w:color w:val="000000"/>
          <w:szCs w:val="21"/>
          <w:u w:val="single"/>
        </w:rPr>
        <w:t xml:space="preserve"> </w:t>
      </w:r>
      <w:r>
        <w:rPr>
          <w:rFonts w:ascii="仿宋" w:hAnsi="仿宋" w:eastAsia="仿宋" w:cs="Arial"/>
          <w:color w:val="000000"/>
          <w:szCs w:val="21"/>
          <w:u w:val="single"/>
        </w:rPr>
        <w:t xml:space="preserve">  单位    项目公开招标</w:t>
      </w:r>
      <w:r>
        <w:rPr>
          <w:rFonts w:ascii="仿宋" w:hAnsi="仿宋" w:eastAsia="仿宋" w:cs="Arial"/>
          <w:color w:val="000000"/>
          <w:szCs w:val="21"/>
        </w:rPr>
        <w:t>的结果，签署本合同。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一、服务内容</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二、合同金额</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本合同金额为（大写）：_________元（￥______元）人民币。</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三、技术资料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乙方应按招标文件规定的时间向甲方提供有关技术资料。</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四、知识产权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乙方应保证提供服务过程中不会侵犯任何第三方的知识产权。</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五</w:t>
      </w:r>
      <w:r>
        <w:rPr>
          <w:rFonts w:ascii="仿宋" w:hAnsi="仿宋" w:eastAsia="仿宋" w:cs="Arial"/>
          <w:b/>
          <w:color w:val="000000"/>
          <w:szCs w:val="21"/>
        </w:rPr>
        <w:t>、履约保证金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乙方交纳人民币△元作为本合同的履约保证金。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六、转包或分包</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.本合同范围的服务，应由</w:t>
      </w:r>
      <w:r>
        <w:rPr>
          <w:rFonts w:ascii="仿宋" w:hAnsi="仿宋" w:eastAsia="仿宋" w:cs="Arial"/>
          <w:color w:val="000000"/>
          <w:szCs w:val="21"/>
        </w:rPr>
        <w:t>乙</w:t>
      </w:r>
      <w:r>
        <w:rPr>
          <w:rFonts w:hint="eastAsia" w:ascii="仿宋" w:hAnsi="仿宋" w:eastAsia="仿宋" w:cs="Arial"/>
          <w:color w:val="000000"/>
          <w:szCs w:val="21"/>
        </w:rPr>
        <w:t>方直接供应，不得转让他人供应；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w:t>
      </w:r>
      <w:r>
        <w:rPr>
          <w:rFonts w:hint="eastAsia" w:ascii="仿宋" w:hAnsi="仿宋" w:eastAsia="仿宋" w:cs="Arial"/>
          <w:color w:val="000000"/>
          <w:szCs w:val="21"/>
        </w:rPr>
        <w:t>除非得到甲方的书面同意，</w:t>
      </w:r>
      <w:r>
        <w:rPr>
          <w:rFonts w:ascii="仿宋" w:hAnsi="仿宋" w:eastAsia="仿宋" w:cs="Arial"/>
          <w:color w:val="000000"/>
          <w:szCs w:val="21"/>
        </w:rPr>
        <w:t>乙</w:t>
      </w:r>
      <w:r>
        <w:rPr>
          <w:rFonts w:hint="eastAsia" w:ascii="仿宋" w:hAnsi="仿宋" w:eastAsia="仿宋" w:cs="Arial"/>
          <w:color w:val="000000"/>
          <w:szCs w:val="21"/>
        </w:rPr>
        <w:t>方不得将本合同范围的服务全部或部分分包给他人供应；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.如有转让和未经甲方同意的分包行为，甲方有权解除合同，没收履约保证金并追究乙方的违约责任。</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七</w:t>
      </w:r>
      <w:r>
        <w:rPr>
          <w:rFonts w:ascii="仿宋" w:hAnsi="仿宋" w:eastAsia="仿宋" w:cs="Arial"/>
          <w:b/>
          <w:color w:val="000000"/>
          <w:szCs w:val="21"/>
        </w:rPr>
        <w:t>、服务质量保证期和服务质量保证金(选用)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服务质量保证期</w:t>
      </w:r>
      <w:r>
        <w:rPr>
          <w:rFonts w:ascii="仿宋" w:hAnsi="仿宋" w:eastAsia="仿宋" w:cs="Arial"/>
          <w:color w:val="000000"/>
          <w:szCs w:val="21"/>
          <w:u w:val="single"/>
        </w:rPr>
        <w:t xml:space="preserve">      </w:t>
      </w:r>
      <w:r>
        <w:rPr>
          <w:rFonts w:ascii="仿宋" w:hAnsi="仿宋" w:eastAsia="仿宋" w:cs="Arial"/>
          <w:color w:val="000000"/>
          <w:szCs w:val="21"/>
        </w:rPr>
        <w:t>年。（自验收合格之日起计）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服务质量保证金</w:t>
      </w:r>
      <w:r>
        <w:rPr>
          <w:rFonts w:ascii="仿宋" w:hAnsi="仿宋" w:eastAsia="仿宋" w:cs="Arial"/>
          <w:color w:val="000000"/>
          <w:szCs w:val="21"/>
          <w:u w:val="single"/>
        </w:rPr>
        <w:t xml:space="preserve">            </w:t>
      </w:r>
      <w:r>
        <w:rPr>
          <w:rFonts w:ascii="仿宋" w:hAnsi="仿宋" w:eastAsia="仿宋" w:cs="Arial"/>
          <w:color w:val="000000"/>
          <w:szCs w:val="21"/>
        </w:rPr>
        <w:t>元。（履约保证金在中标投标人按合同约定验收合格后自行转为质保金）</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八</w:t>
      </w:r>
      <w:r>
        <w:rPr>
          <w:rFonts w:ascii="仿宋" w:hAnsi="仿宋" w:eastAsia="仿宋" w:cs="Arial"/>
          <w:b/>
          <w:color w:val="000000"/>
          <w:szCs w:val="21"/>
        </w:rPr>
        <w:t>、合同履行时间、履行方式及履行地点</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履行时间：</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履行方式：</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履行地点：</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九</w:t>
      </w:r>
      <w:r>
        <w:rPr>
          <w:rFonts w:ascii="仿宋" w:hAnsi="仿宋" w:eastAsia="仿宋" w:cs="Arial"/>
          <w:b/>
          <w:color w:val="000000"/>
          <w:szCs w:val="21"/>
        </w:rPr>
        <w:t>、款项支付</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付款方式：</w:t>
      </w:r>
    </w:p>
    <w:p>
      <w:pPr>
        <w:snapToGrid w:val="0"/>
        <w:spacing w:line="360" w:lineRule="auto"/>
        <w:ind w:firstLine="422" w:firstLineChars="200"/>
        <w:rPr>
          <w:rFonts w:ascii="仿宋" w:hAnsi="仿宋" w:eastAsia="仿宋" w:cs="Arial"/>
          <w:b/>
          <w:color w:val="000000"/>
          <w:szCs w:val="21"/>
        </w:rPr>
      </w:pPr>
      <w:r>
        <w:rPr>
          <w:rFonts w:hint="eastAsia" w:ascii="仿宋" w:hAnsi="仿宋" w:eastAsia="仿宋" w:cs="Arial"/>
          <w:b/>
          <w:color w:val="000000"/>
          <w:szCs w:val="21"/>
        </w:rPr>
        <w:t>十、税费</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本合同执行中相关的一切税费均由</w:t>
      </w:r>
      <w:r>
        <w:rPr>
          <w:rFonts w:ascii="仿宋" w:hAnsi="仿宋" w:eastAsia="仿宋" w:cs="Arial"/>
          <w:color w:val="000000"/>
          <w:szCs w:val="21"/>
        </w:rPr>
        <w:t>乙</w:t>
      </w:r>
      <w:r>
        <w:rPr>
          <w:rFonts w:hint="eastAsia" w:ascii="仿宋" w:hAnsi="仿宋" w:eastAsia="仿宋" w:cs="Arial"/>
          <w:color w:val="000000"/>
          <w:szCs w:val="21"/>
        </w:rPr>
        <w:t>方负担。</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一</w:t>
      </w:r>
      <w:r>
        <w:rPr>
          <w:rFonts w:ascii="仿宋" w:hAnsi="仿宋" w:eastAsia="仿宋" w:cs="Arial"/>
          <w:b/>
          <w:color w:val="000000"/>
          <w:szCs w:val="21"/>
        </w:rPr>
        <w:t>、质量保证及后续服务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 xml:space="preserve"> 乙方应按招标文件规定向甲方提供服务。</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 xml:space="preserve"> 乙方提供的服务成果在服务质量保证期内发生故障，乙方应负责免费提供后续服务。对达不到要求者，根据实际情况，经双方协商，可按以下办法处理：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⑴重做：由乙方承担所发生的全部费用。</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⑵贬值处理：由甲乙双方合议定价。</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⑶解除合同。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如在使用过程中发生问题，乙方在接到甲方通知后在△小时内到达甲方现场。</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在服务质量保证期内，乙方应对出现的质量及安全问题负责处理解决并承担一切费用。</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二</w:t>
      </w:r>
      <w:r>
        <w:rPr>
          <w:rFonts w:ascii="仿宋" w:hAnsi="仿宋" w:eastAsia="仿宋" w:cs="Arial"/>
          <w:b/>
          <w:color w:val="000000"/>
          <w:szCs w:val="21"/>
        </w:rPr>
        <w:t>、违约责任</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甲方无正当理由拒收接受服务的，甲方向乙方偿付合同款项百分之五作为违约金。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甲方无故逾期验收和办理款项支付手续的,甲方应按逾期付款总额每日万分之五向乙方支付违约金。</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 xml:space="preserve"> 乙方</w:t>
      </w:r>
      <w:r>
        <w:rPr>
          <w:rFonts w:hint="eastAsia" w:ascii="仿宋" w:hAnsi="仿宋" w:eastAsia="仿宋" w:cs="Arial"/>
          <w:color w:val="000000"/>
          <w:szCs w:val="21"/>
        </w:rPr>
        <w:t>未能如</w:t>
      </w:r>
      <w:r>
        <w:rPr>
          <w:rFonts w:ascii="仿宋" w:hAnsi="仿宋" w:eastAsia="仿宋" w:cs="Arial"/>
          <w:color w:val="000000"/>
          <w:szCs w:val="21"/>
        </w:rPr>
        <w:t>期提供服务的，每日向甲方支付</w:t>
      </w:r>
      <w:r>
        <w:rPr>
          <w:rFonts w:hint="eastAsia" w:ascii="仿宋" w:hAnsi="仿宋" w:eastAsia="仿宋" w:cs="Arial"/>
          <w:color w:val="000000"/>
          <w:szCs w:val="21"/>
        </w:rPr>
        <w:t>合同款项的</w:t>
      </w:r>
      <w:r>
        <w:rPr>
          <w:rFonts w:ascii="仿宋" w:hAnsi="仿宋" w:eastAsia="仿宋" w:cs="Arial"/>
          <w:color w:val="000000"/>
          <w:szCs w:val="21"/>
        </w:rPr>
        <w:t>千分之六</w:t>
      </w:r>
      <w:r>
        <w:rPr>
          <w:rFonts w:hint="eastAsia" w:ascii="仿宋" w:hAnsi="仿宋" w:eastAsia="仿宋" w:cs="Arial"/>
          <w:color w:val="000000"/>
          <w:szCs w:val="21"/>
        </w:rPr>
        <w:t>作为</w:t>
      </w:r>
      <w:r>
        <w:rPr>
          <w:rFonts w:ascii="仿宋" w:hAnsi="仿宋" w:eastAsia="仿宋" w:cs="Arial"/>
          <w:color w:val="000000"/>
          <w:szCs w:val="21"/>
        </w:rPr>
        <w:t>违约金。乙方超过约定日期10个工作日</w:t>
      </w:r>
      <w:r>
        <w:rPr>
          <w:rFonts w:hint="eastAsia" w:ascii="仿宋" w:hAnsi="仿宋" w:eastAsia="仿宋" w:cs="Arial"/>
          <w:color w:val="000000"/>
          <w:szCs w:val="21"/>
        </w:rPr>
        <w:t>仍</w:t>
      </w:r>
      <w:r>
        <w:rPr>
          <w:rFonts w:ascii="仿宋" w:hAnsi="仿宋" w:eastAsia="仿宋" w:cs="Arial"/>
          <w:color w:val="000000"/>
          <w:szCs w:val="21"/>
        </w:rPr>
        <w:t>不能</w:t>
      </w:r>
      <w:r>
        <w:rPr>
          <w:rFonts w:hint="eastAsia" w:ascii="仿宋" w:hAnsi="仿宋" w:eastAsia="仿宋" w:cs="Arial"/>
          <w:color w:val="000000"/>
          <w:szCs w:val="21"/>
        </w:rPr>
        <w:t>提供服务</w:t>
      </w:r>
      <w:r>
        <w:rPr>
          <w:rFonts w:ascii="仿宋" w:hAnsi="仿宋" w:eastAsia="仿宋" w:cs="Arial"/>
          <w:color w:val="000000"/>
          <w:szCs w:val="21"/>
        </w:rPr>
        <w:t>的，甲方可解除本合同。乙方因</w:t>
      </w:r>
      <w:r>
        <w:rPr>
          <w:rFonts w:hint="eastAsia" w:ascii="仿宋" w:hAnsi="仿宋" w:eastAsia="仿宋" w:cs="Arial"/>
          <w:color w:val="000000"/>
          <w:szCs w:val="21"/>
        </w:rPr>
        <w:t>未能如</w:t>
      </w:r>
      <w:r>
        <w:rPr>
          <w:rFonts w:ascii="仿宋" w:hAnsi="仿宋" w:eastAsia="仿宋" w:cs="Arial"/>
          <w:color w:val="000000"/>
          <w:szCs w:val="21"/>
        </w:rPr>
        <w:t xml:space="preserve">期提供服务或因其他违约行为导致甲方解除合同的，乙方应向甲方支付合同总值5%的违约金，如造成甲方损失超过违约金的，超出部分由乙方继续承担赔偿责任。 </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三</w:t>
      </w:r>
      <w:r>
        <w:rPr>
          <w:rFonts w:ascii="仿宋" w:hAnsi="仿宋" w:eastAsia="仿宋" w:cs="Arial"/>
          <w:b/>
          <w:color w:val="000000"/>
          <w:szCs w:val="21"/>
        </w:rPr>
        <w:t>、不可抗力事件处理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在合同有效期内，任何一方因不可抗力事件导致不能履行合同，则合同履行期可延长，其延长期与不可抗力影响期相同。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不可抗力事件发生后，应立即通知对方，并寄送有关权威机构出具的证明。</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不可抗力事件延续120天以上，双方应通过友好协商，确定是否继续履行合同。</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四</w:t>
      </w:r>
      <w:r>
        <w:rPr>
          <w:rFonts w:ascii="仿宋" w:hAnsi="仿宋" w:eastAsia="仿宋" w:cs="Arial"/>
          <w:b/>
          <w:color w:val="000000"/>
          <w:szCs w:val="21"/>
        </w:rPr>
        <w:t>、诉讼</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 双方在执行合同中所发生的一切争议，应通过协商解决。如协商不成，可向</w:t>
      </w:r>
      <w:r>
        <w:rPr>
          <w:rFonts w:hint="eastAsia" w:ascii="仿宋" w:hAnsi="仿宋" w:eastAsia="仿宋" w:cs="Arial"/>
          <w:color w:val="000000"/>
          <w:szCs w:val="21"/>
        </w:rPr>
        <w:t>甲方所在</w:t>
      </w:r>
      <w:r>
        <w:rPr>
          <w:rFonts w:ascii="仿宋" w:hAnsi="仿宋" w:eastAsia="仿宋" w:cs="Arial"/>
          <w:color w:val="000000"/>
          <w:szCs w:val="21"/>
        </w:rPr>
        <w:t>地法院起诉。</w:t>
      </w:r>
    </w:p>
    <w:p>
      <w:pPr>
        <w:snapToGrid w:val="0"/>
        <w:spacing w:line="360" w:lineRule="auto"/>
        <w:ind w:firstLine="422" w:firstLineChars="200"/>
        <w:rPr>
          <w:rFonts w:ascii="仿宋" w:hAnsi="仿宋" w:eastAsia="仿宋" w:cs="Arial"/>
          <w:b/>
          <w:color w:val="000000"/>
          <w:szCs w:val="21"/>
        </w:rPr>
      </w:pPr>
      <w:r>
        <w:rPr>
          <w:rFonts w:ascii="仿宋" w:hAnsi="仿宋" w:eastAsia="仿宋" w:cs="Arial"/>
          <w:b/>
          <w:color w:val="000000"/>
          <w:szCs w:val="21"/>
        </w:rPr>
        <w:t>十</w:t>
      </w:r>
      <w:r>
        <w:rPr>
          <w:rFonts w:hint="eastAsia" w:ascii="仿宋" w:hAnsi="仿宋" w:eastAsia="仿宋" w:cs="Arial"/>
          <w:b/>
          <w:color w:val="000000"/>
          <w:szCs w:val="21"/>
        </w:rPr>
        <w:t>五</w:t>
      </w:r>
      <w:r>
        <w:rPr>
          <w:rFonts w:ascii="仿宋" w:hAnsi="仿宋" w:eastAsia="仿宋" w:cs="Arial"/>
          <w:b/>
          <w:color w:val="000000"/>
          <w:szCs w:val="21"/>
        </w:rPr>
        <w:t>、合同生效及其它</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1</w:t>
      </w:r>
      <w:r>
        <w:rPr>
          <w:rFonts w:hint="eastAsia" w:ascii="仿宋" w:hAnsi="仿宋" w:eastAsia="仿宋" w:cs="Arial"/>
          <w:color w:val="000000"/>
          <w:szCs w:val="21"/>
        </w:rPr>
        <w:t>．</w:t>
      </w:r>
      <w:r>
        <w:rPr>
          <w:rFonts w:ascii="仿宋" w:hAnsi="仿宋" w:eastAsia="仿宋" w:cs="Arial"/>
          <w:color w:val="000000"/>
          <w:szCs w:val="21"/>
        </w:rPr>
        <w:t>合同经双方法定代表人或授权代表签字并加盖单位公章后生效。</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2</w:t>
      </w:r>
      <w:r>
        <w:rPr>
          <w:rFonts w:hint="eastAsia" w:ascii="仿宋" w:hAnsi="仿宋" w:eastAsia="仿宋" w:cs="Arial"/>
          <w:color w:val="000000"/>
          <w:szCs w:val="21"/>
        </w:rPr>
        <w:t>．</w:t>
      </w:r>
      <w:r>
        <w:rPr>
          <w:rFonts w:ascii="仿宋" w:hAnsi="仿宋" w:eastAsia="仿宋" w:cs="Arial"/>
          <w:color w:val="000000"/>
          <w:szCs w:val="21"/>
        </w:rPr>
        <w:t>合同执行中涉及采购资金和采购内容修改或补充的，须经财政部门审批，并签书面补充协议报政府采购监督管理部门备案，方可作为主合同不可分割的一部分。</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3</w:t>
      </w:r>
      <w:r>
        <w:rPr>
          <w:rFonts w:hint="eastAsia" w:ascii="仿宋" w:hAnsi="仿宋" w:eastAsia="仿宋" w:cs="Arial"/>
          <w:color w:val="000000"/>
          <w:szCs w:val="21"/>
        </w:rPr>
        <w:t>．</w:t>
      </w:r>
      <w:r>
        <w:rPr>
          <w:rFonts w:ascii="仿宋" w:hAnsi="仿宋" w:eastAsia="仿宋" w:cs="Arial"/>
          <w:color w:val="000000"/>
          <w:szCs w:val="21"/>
        </w:rPr>
        <w:t>本合同未尽事宜，遵照《合同法》有关条文执行。</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4</w:t>
      </w:r>
      <w:r>
        <w:rPr>
          <w:rFonts w:hint="eastAsia" w:ascii="仿宋" w:hAnsi="仿宋" w:eastAsia="仿宋" w:cs="Arial"/>
          <w:color w:val="000000"/>
          <w:szCs w:val="21"/>
        </w:rPr>
        <w:t>．</w:t>
      </w:r>
      <w:r>
        <w:rPr>
          <w:rFonts w:ascii="仿宋" w:hAnsi="仿宋" w:eastAsia="仿宋" w:cs="Arial"/>
          <w:color w:val="000000"/>
          <w:szCs w:val="21"/>
        </w:rPr>
        <w:t>本合同正本一式两份，具有同等法律效力，甲乙双方各执一份；副本△份，(用途)。</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甲方：                       乙方：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 xml:space="preserve">地址：                       地址： </w:t>
      </w:r>
    </w:p>
    <w:p>
      <w:pPr>
        <w:snapToGrid w:val="0"/>
        <w:spacing w:line="360" w:lineRule="auto"/>
        <w:ind w:firstLine="420" w:firstLineChars="200"/>
        <w:rPr>
          <w:rFonts w:ascii="仿宋" w:hAnsi="仿宋" w:eastAsia="仿宋" w:cs="Arial"/>
          <w:color w:val="000000"/>
          <w:szCs w:val="21"/>
        </w:rPr>
      </w:pPr>
      <w:r>
        <w:rPr>
          <w:rFonts w:ascii="仿宋" w:hAnsi="仿宋" w:eastAsia="仿宋" w:cs="Arial"/>
          <w:color w:val="000000"/>
          <w:szCs w:val="21"/>
        </w:rPr>
        <w:t>法定</w:t>
      </w:r>
      <w:r>
        <w:rPr>
          <w:rFonts w:hint="eastAsia" w:ascii="仿宋" w:hAnsi="仿宋" w:eastAsia="仿宋" w:cs="Arial"/>
          <w:color w:val="000000"/>
          <w:szCs w:val="21"/>
        </w:rPr>
        <w:t>（授权）</w:t>
      </w:r>
      <w:r>
        <w:rPr>
          <w:rFonts w:ascii="仿宋" w:hAnsi="仿宋" w:eastAsia="仿宋" w:cs="Arial"/>
          <w:color w:val="000000"/>
          <w:szCs w:val="21"/>
        </w:rPr>
        <w:t>代表人：         法定</w:t>
      </w:r>
      <w:r>
        <w:rPr>
          <w:rFonts w:hint="eastAsia" w:ascii="仿宋" w:hAnsi="仿宋" w:eastAsia="仿宋" w:cs="Arial"/>
          <w:color w:val="000000"/>
          <w:szCs w:val="21"/>
        </w:rPr>
        <w:t>（授权）</w:t>
      </w:r>
      <w:r>
        <w:rPr>
          <w:rFonts w:ascii="仿宋" w:hAnsi="仿宋" w:eastAsia="仿宋" w:cs="Arial"/>
          <w:color w:val="000000"/>
          <w:szCs w:val="21"/>
        </w:rPr>
        <w:t>代表人：</w:t>
      </w:r>
    </w:p>
    <w:p>
      <w:pPr>
        <w:snapToGrid w:val="0"/>
        <w:spacing w:line="360" w:lineRule="auto"/>
        <w:ind w:firstLine="315" w:firstLineChars="150"/>
        <w:rPr>
          <w:rFonts w:ascii="仿宋" w:hAnsi="仿宋" w:eastAsia="仿宋" w:cs="Arial"/>
          <w:color w:val="000000"/>
          <w:szCs w:val="21"/>
        </w:rPr>
      </w:pPr>
      <w:r>
        <w:rPr>
          <w:rFonts w:ascii="仿宋" w:hAnsi="仿宋" w:eastAsia="仿宋" w:cs="Arial"/>
          <w:color w:val="000000"/>
          <w:szCs w:val="21"/>
        </w:rPr>
        <w:t xml:space="preserve"> 签</w:t>
      </w:r>
      <w:r>
        <w:rPr>
          <w:rFonts w:hint="eastAsia" w:ascii="仿宋" w:hAnsi="仿宋" w:eastAsia="仿宋" w:cs="Arial"/>
          <w:color w:val="000000"/>
          <w:szCs w:val="21"/>
        </w:rPr>
        <w:t>字日期</w:t>
      </w:r>
      <w:r>
        <w:rPr>
          <w:rFonts w:ascii="仿宋" w:hAnsi="仿宋" w:eastAsia="仿宋" w:cs="Arial"/>
          <w:color w:val="000000"/>
          <w:szCs w:val="21"/>
        </w:rPr>
        <w:t xml:space="preserve">：    年  月  日  </w:t>
      </w:r>
      <w:r>
        <w:rPr>
          <w:rFonts w:hint="eastAsia" w:ascii="仿宋" w:hAnsi="仿宋" w:eastAsia="仿宋" w:cs="Arial"/>
          <w:color w:val="000000"/>
          <w:szCs w:val="21"/>
        </w:rPr>
        <w:t xml:space="preserve"> </w:t>
      </w:r>
      <w:r>
        <w:rPr>
          <w:rFonts w:ascii="仿宋" w:hAnsi="仿宋" w:eastAsia="仿宋" w:cs="Arial"/>
          <w:color w:val="000000"/>
          <w:szCs w:val="21"/>
        </w:rPr>
        <w:t xml:space="preserve">    签</w:t>
      </w:r>
      <w:r>
        <w:rPr>
          <w:rFonts w:hint="eastAsia" w:ascii="仿宋" w:hAnsi="仿宋" w:eastAsia="仿宋" w:cs="Arial"/>
          <w:color w:val="000000"/>
          <w:szCs w:val="21"/>
        </w:rPr>
        <w:t>字</w:t>
      </w:r>
      <w:r>
        <w:rPr>
          <w:rFonts w:ascii="仿宋" w:hAnsi="仿宋" w:eastAsia="仿宋" w:cs="Arial"/>
          <w:color w:val="000000"/>
          <w:szCs w:val="21"/>
        </w:rPr>
        <w:t>日期：   年  月  日</w:t>
      </w:r>
    </w:p>
    <w:p>
      <w:pPr>
        <w:snapToGrid w:val="0"/>
        <w:spacing w:line="360" w:lineRule="auto"/>
        <w:ind w:firstLine="420" w:firstLineChars="200"/>
        <w:rPr>
          <w:rFonts w:ascii="仿宋" w:hAnsi="仿宋" w:eastAsia="仿宋" w:cs="Arial"/>
          <w:color w:val="000000"/>
          <w:szCs w:val="21"/>
        </w:rPr>
      </w:pP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合同鉴证方:</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法定（授权）代表人或主要负责人:</w:t>
      </w:r>
    </w:p>
    <w:p>
      <w:pPr>
        <w:snapToGrid w:val="0"/>
        <w:spacing w:line="360" w:lineRule="auto"/>
        <w:ind w:firstLine="420" w:firstLineChars="200"/>
        <w:rPr>
          <w:rFonts w:hint="eastAsia" w:ascii="仿宋" w:hAnsi="仿宋" w:eastAsia="仿宋" w:cs="Arial"/>
          <w:color w:val="000000"/>
          <w:szCs w:val="21"/>
        </w:rPr>
      </w:pPr>
      <w:r>
        <w:rPr>
          <w:rFonts w:hint="eastAsia" w:ascii="仿宋" w:hAnsi="仿宋" w:eastAsia="仿宋" w:cs="Arial"/>
          <w:color w:val="000000"/>
          <w:szCs w:val="21"/>
        </w:rPr>
        <w:t>鉴证日期:</w:t>
      </w:r>
    </w:p>
    <w:p>
      <w:pPr>
        <w:pStyle w:val="2"/>
        <w:rPr>
          <w:rFonts w:hint="eastAsia" w:ascii="仿宋" w:hAnsi="仿宋" w:eastAsia="仿宋" w:cs="Arial"/>
          <w:color w:val="000000"/>
          <w:szCs w:val="21"/>
        </w:rPr>
      </w:pPr>
    </w:p>
    <w:p>
      <w:pPr>
        <w:pStyle w:val="2"/>
        <w:rPr>
          <w:rFonts w:hint="eastAsia" w:ascii="仿宋" w:hAnsi="仿宋" w:eastAsia="仿宋" w:cs="Arial"/>
          <w:color w:val="000000"/>
          <w:szCs w:val="21"/>
        </w:rPr>
      </w:pPr>
    </w:p>
    <w:p>
      <w:pPr>
        <w:autoSpaceDE w:val="0"/>
        <w:autoSpaceDN w:val="0"/>
        <w:adjustRightInd w:val="0"/>
        <w:spacing w:line="400" w:lineRule="atLeast"/>
        <w:jc w:val="center"/>
        <w:rPr>
          <w:rFonts w:hint="eastAsia" w:ascii="宋体" w:eastAsia="宋体"/>
          <w:sz w:val="22"/>
          <w:szCs w:val="22"/>
        </w:rPr>
      </w:pPr>
      <w:r>
        <w:rPr>
          <w:rFonts w:hint="eastAsia" w:ascii="宋体" w:eastAsia="宋体"/>
          <w:sz w:val="22"/>
          <w:szCs w:val="22"/>
        </w:rPr>
        <w:t>（合同签订后采购人或供应商须将合同副本送达金华市公共资源交易中心采购科（地址：金华市双龙南街858号财富大厦4楼）鉴证）</w:t>
      </w:r>
    </w:p>
    <w:p>
      <w:pPr>
        <w:pStyle w:val="2"/>
        <w:rPr>
          <w:rFonts w:hint="eastAsia" w:ascii="仿宋" w:hAnsi="仿宋" w:eastAsia="仿宋" w:cs="Arial"/>
          <w:color w:val="000000"/>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adjustRightInd w:val="0"/>
        <w:spacing w:line="420" w:lineRule="exact"/>
        <w:jc w:val="center"/>
        <w:rPr>
          <w:rFonts w:ascii="宋体"/>
          <w:sz w:val="36"/>
          <w:lang w:val="zh-CN"/>
        </w:rPr>
      </w:pPr>
      <w:bookmarkStart w:id="57" w:name="_Toc25524"/>
      <w:r>
        <w:rPr>
          <w:rFonts w:hint="eastAsia" w:ascii="宋体"/>
          <w:sz w:val="36"/>
          <w:lang w:val="zh-CN"/>
        </w:rPr>
        <w:t>第六部分</w:t>
      </w:r>
      <w:r>
        <w:rPr>
          <w:rFonts w:ascii="宋体"/>
          <w:sz w:val="36"/>
          <w:lang w:val="zh-CN"/>
        </w:rPr>
        <w:t xml:space="preserve">    </w:t>
      </w:r>
      <w:r>
        <w:rPr>
          <w:rFonts w:hint="eastAsia" w:ascii="宋体"/>
          <w:sz w:val="36"/>
          <w:lang w:val="zh-CN"/>
        </w:rPr>
        <w:t>附件</w:t>
      </w:r>
      <w:r>
        <w:rPr>
          <w:rFonts w:ascii="宋体"/>
          <w:sz w:val="36"/>
        </w:rPr>
        <w:t>—</w:t>
      </w:r>
      <w:r>
        <w:rPr>
          <w:rFonts w:hint="eastAsia" w:ascii="宋体"/>
          <w:sz w:val="36"/>
          <w:lang w:val="zh-CN"/>
        </w:rPr>
        <w:t>投标文件格式</w:t>
      </w:r>
    </w:p>
    <w:p>
      <w:pPr>
        <w:autoSpaceDE w:val="0"/>
        <w:autoSpaceDN w:val="0"/>
        <w:adjustRightInd w:val="0"/>
        <w:spacing w:beforeLines="100" w:line="460" w:lineRule="atLeast"/>
        <w:jc w:val="center"/>
        <w:rPr>
          <w:rFonts w:ascii="宋体"/>
          <w:sz w:val="36"/>
        </w:rPr>
      </w:pPr>
      <w:r>
        <w:rPr>
          <w:rFonts w:hint="eastAsia" w:ascii="宋体"/>
          <w:sz w:val="36"/>
        </w:rPr>
        <w:t>一、资格文件格式</w:t>
      </w:r>
    </w:p>
    <w:p>
      <w:pPr>
        <w:autoSpaceDE w:val="0"/>
        <w:autoSpaceDN w:val="0"/>
        <w:adjustRightInd w:val="0"/>
        <w:spacing w:afterLines="100" w:line="460" w:lineRule="atLeast"/>
        <w:rPr>
          <w:rFonts w:ascii="宋体" w:hAnsi="Courier New" w:cs="Arial"/>
          <w:sz w:val="22"/>
        </w:rPr>
      </w:pPr>
      <w:r>
        <w:rPr>
          <w:rFonts w:hint="eastAsia" w:ascii="宋体" w:hAnsi="Courier New" w:cs="Arial"/>
          <w:sz w:val="22"/>
        </w:rPr>
        <w:t>附件一</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具有履行合同所必需的设备和专业技术能力的承诺函</w:t>
      </w:r>
    </w:p>
    <w:p>
      <w:pPr>
        <w:spacing w:line="460" w:lineRule="exact"/>
        <w:rPr>
          <w:rFonts w:ascii="宋体" w:cs="黑体"/>
          <w:sz w:val="22"/>
          <w:u w:val="single"/>
        </w:rPr>
      </w:pPr>
    </w:p>
    <w:p>
      <w:pPr>
        <w:spacing w:line="460" w:lineRule="exact"/>
        <w:rPr>
          <w:rFonts w:ascii="宋体" w:cs="黑体"/>
          <w:sz w:val="22"/>
          <w:u w:val="single"/>
        </w:rPr>
      </w:pPr>
      <w:r>
        <w:rPr>
          <w:rFonts w:hint="eastAsia" w:ascii="宋体" w:cs="黑体"/>
          <w:sz w:val="22"/>
          <w:u w:val="single"/>
        </w:rPr>
        <w:t>金华市政府采购中心：</w:t>
      </w:r>
    </w:p>
    <w:p>
      <w:pPr>
        <w:widowControl/>
        <w:snapToGrid w:val="0"/>
        <w:spacing w:line="460" w:lineRule="exact"/>
        <w:ind w:firstLine="440" w:firstLineChars="200"/>
        <w:jc w:val="left"/>
        <w:rPr>
          <w:rFonts w:ascii="宋体" w:cs="Courier New"/>
          <w:sz w:val="22"/>
        </w:rPr>
      </w:pPr>
    </w:p>
    <w:p>
      <w:pPr>
        <w:widowControl/>
        <w:snapToGrid w:val="0"/>
        <w:spacing w:line="500" w:lineRule="exact"/>
        <w:ind w:firstLine="440" w:firstLineChars="200"/>
        <w:jc w:val="left"/>
        <w:rPr>
          <w:rFonts w:ascii="宋体" w:cs="Courier New"/>
          <w:sz w:val="22"/>
        </w:rPr>
      </w:pPr>
      <w:r>
        <w:rPr>
          <w:rFonts w:hint="eastAsia" w:ascii="宋体" w:cs="Courier New"/>
          <w:sz w:val="22"/>
        </w:rPr>
        <w:t>我方</w:t>
      </w:r>
      <w:r>
        <w:rPr>
          <w:rFonts w:hint="eastAsia" w:ascii="宋体" w:cs="Courier New"/>
          <w:sz w:val="22"/>
          <w:u w:val="single"/>
        </w:rPr>
        <w:t xml:space="preserve"> （供应商）</w:t>
      </w:r>
      <w:r>
        <w:rPr>
          <w:rFonts w:hint="eastAsia" w:ascii="宋体" w:cs="Courier New"/>
          <w:sz w:val="22"/>
        </w:rPr>
        <w:t>承诺具有履行合同所必需的设备和专业技术能力。如有虚假，采购人可取消我方任何资格（投标/中标/签订合同），我方对此无任何异议。</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日期：</w:t>
      </w:r>
    </w:p>
    <w:p>
      <w:pPr>
        <w:autoSpaceDE w:val="0"/>
        <w:autoSpaceDN w:val="0"/>
        <w:adjustRightInd w:val="0"/>
        <w:spacing w:afterLines="100" w:line="460" w:lineRule="atLeast"/>
        <w:rPr>
          <w:rFonts w:ascii="宋体" w:hAnsi="Courier New" w:cs="Arial"/>
          <w:sz w:val="22"/>
        </w:rPr>
      </w:pPr>
      <w:r>
        <w:rPr>
          <w:rFonts w:ascii="宋体"/>
          <w:sz w:val="36"/>
        </w:rPr>
        <w:br w:type="page"/>
      </w:r>
      <w:r>
        <w:rPr>
          <w:rFonts w:hint="eastAsia" w:ascii="宋体" w:hAnsi="Courier New" w:cs="Arial"/>
          <w:sz w:val="22"/>
        </w:rPr>
        <w:t>附件二</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依法缴纳税收和社会保障资金的承诺函</w:t>
      </w:r>
    </w:p>
    <w:p>
      <w:pPr>
        <w:spacing w:line="460" w:lineRule="exact"/>
        <w:rPr>
          <w:rFonts w:ascii="宋体" w:cs="黑体"/>
          <w:sz w:val="22"/>
          <w:u w:val="single"/>
        </w:rPr>
      </w:pPr>
      <w:r>
        <w:rPr>
          <w:rFonts w:hint="eastAsia" w:ascii="宋体" w:cs="黑体"/>
          <w:sz w:val="22"/>
          <w:u w:val="single"/>
        </w:rPr>
        <w:t>金华市政府采购中心：</w:t>
      </w:r>
    </w:p>
    <w:p>
      <w:pPr>
        <w:spacing w:line="460" w:lineRule="exact"/>
        <w:ind w:firstLine="440" w:firstLineChars="200"/>
        <w:rPr>
          <w:rFonts w:ascii="宋体" w:cs="黑体"/>
          <w:sz w:val="22"/>
        </w:rPr>
      </w:pPr>
    </w:p>
    <w:p>
      <w:pPr>
        <w:spacing w:line="460" w:lineRule="exact"/>
        <w:ind w:firstLine="440" w:firstLineChars="200"/>
        <w:rPr>
          <w:rFonts w:ascii="宋体" w:cs="黑体"/>
          <w:sz w:val="22"/>
        </w:rPr>
      </w:pPr>
      <w:r>
        <w:rPr>
          <w:rFonts w:hint="eastAsia" w:ascii="宋体" w:cs="黑体"/>
          <w:sz w:val="22"/>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ascii="宋体" w:cs="黑体"/>
          <w:sz w:val="22"/>
        </w:rPr>
      </w:pPr>
    </w:p>
    <w:p>
      <w:pPr>
        <w:spacing w:line="460" w:lineRule="exact"/>
        <w:ind w:firstLine="440" w:firstLineChars="200"/>
        <w:rPr>
          <w:rFonts w:ascii="宋体" w:cs="黑体"/>
          <w:sz w:val="22"/>
        </w:rPr>
      </w:pPr>
      <w:r>
        <w:rPr>
          <w:rFonts w:hint="eastAsia" w:ascii="宋体" w:cs="黑体"/>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 xml:space="preserve">日期： </w:t>
      </w:r>
    </w:p>
    <w:p>
      <w:pPr>
        <w:widowControl/>
        <w:snapToGrid w:val="0"/>
        <w:spacing w:line="460" w:lineRule="exact"/>
        <w:ind w:firstLine="440" w:firstLineChars="200"/>
        <w:jc w:val="left"/>
        <w:rPr>
          <w:rFonts w:ascii="宋体" w:cs="Courier New"/>
          <w:sz w:val="22"/>
        </w:rPr>
      </w:pPr>
    </w:p>
    <w:p>
      <w:pPr>
        <w:autoSpaceDE w:val="0"/>
        <w:autoSpaceDN w:val="0"/>
        <w:adjustRightInd w:val="0"/>
        <w:spacing w:afterLines="100" w:line="460" w:lineRule="atLeast"/>
        <w:rPr>
          <w:rFonts w:ascii="宋体" w:hAnsi="Courier New" w:cs="Arial"/>
          <w:sz w:val="22"/>
        </w:rPr>
      </w:pPr>
      <w:bookmarkStart w:id="58" w:name="_Toc6606"/>
      <w:bookmarkStart w:id="59" w:name="_Toc31784"/>
      <w:bookmarkStart w:id="60" w:name="_Toc18304"/>
      <w:bookmarkStart w:id="61" w:name="_Toc33194406"/>
      <w:bookmarkStart w:id="62" w:name="_Toc11360"/>
      <w:bookmarkStart w:id="63" w:name="_Toc13669"/>
      <w:bookmarkStart w:id="64" w:name="_Toc31544"/>
      <w:bookmarkStart w:id="65" w:name="_Toc14589"/>
      <w:bookmarkStart w:id="66" w:name="_Toc28957"/>
      <w:bookmarkStart w:id="67" w:name="_Toc10630"/>
      <w:bookmarkStart w:id="68" w:name="_Toc27119255"/>
      <w:bookmarkStart w:id="69" w:name="_Toc14988"/>
      <w:r>
        <w:rPr>
          <w:rFonts w:ascii="宋体"/>
          <w:sz w:val="30"/>
          <w:lang w:val="zh-CN"/>
        </w:rPr>
        <w:br w:type="page"/>
      </w:r>
      <w:r>
        <w:rPr>
          <w:rFonts w:hint="eastAsia" w:ascii="宋体" w:hAnsi="Courier New" w:cs="Arial"/>
          <w:sz w:val="22"/>
        </w:rPr>
        <w:t>附件三</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参加政府采购活动前3年内在经营活动中没有重大违法记录的声明函</w:t>
      </w:r>
      <w:bookmarkEnd w:id="58"/>
      <w:bookmarkEnd w:id="59"/>
      <w:bookmarkEnd w:id="60"/>
      <w:bookmarkEnd w:id="61"/>
      <w:bookmarkEnd w:id="62"/>
      <w:bookmarkEnd w:id="63"/>
      <w:bookmarkEnd w:id="64"/>
      <w:bookmarkEnd w:id="65"/>
      <w:bookmarkEnd w:id="66"/>
      <w:bookmarkEnd w:id="67"/>
      <w:bookmarkEnd w:id="68"/>
      <w:bookmarkEnd w:id="69"/>
    </w:p>
    <w:p>
      <w:pPr>
        <w:spacing w:line="460" w:lineRule="exact"/>
        <w:rPr>
          <w:rFonts w:ascii="宋体" w:cs="黑体"/>
          <w:sz w:val="22"/>
          <w:u w:val="single"/>
        </w:rPr>
      </w:pPr>
    </w:p>
    <w:p>
      <w:pPr>
        <w:spacing w:line="460" w:lineRule="exact"/>
        <w:rPr>
          <w:rFonts w:ascii="宋体" w:cs="黑体"/>
          <w:sz w:val="22"/>
          <w:u w:val="single"/>
        </w:rPr>
      </w:pPr>
      <w:r>
        <w:rPr>
          <w:rFonts w:hint="eastAsia" w:ascii="宋体" w:cs="黑体"/>
          <w:sz w:val="22"/>
          <w:u w:val="single"/>
        </w:rPr>
        <w:t>金华市政府采购中心：</w:t>
      </w:r>
    </w:p>
    <w:p>
      <w:pPr>
        <w:widowControl/>
        <w:snapToGrid w:val="0"/>
        <w:spacing w:line="460" w:lineRule="exact"/>
        <w:ind w:firstLine="440" w:firstLineChars="200"/>
        <w:jc w:val="left"/>
        <w:rPr>
          <w:rFonts w:ascii="宋体" w:cs="Courier New"/>
          <w:sz w:val="22"/>
        </w:rPr>
      </w:pPr>
      <w:r>
        <w:rPr>
          <w:rFonts w:hint="eastAsia" w:ascii="宋体" w:cs="Courier New"/>
          <w:sz w:val="22"/>
        </w:rPr>
        <w:t>我方</w:t>
      </w:r>
      <w:r>
        <w:rPr>
          <w:rFonts w:hint="eastAsia" w:ascii="宋体" w:cs="Courier New"/>
          <w:sz w:val="22"/>
          <w:u w:val="single"/>
        </w:rPr>
        <w:t xml:space="preserve"> （供应商）</w:t>
      </w:r>
      <w:r>
        <w:rPr>
          <w:rFonts w:hint="eastAsia" w:ascii="宋体" w:cs="Courier New"/>
          <w:sz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 xml:space="preserve">日期：  </w:t>
      </w:r>
    </w:p>
    <w:p>
      <w:pPr>
        <w:autoSpaceDE w:val="0"/>
        <w:autoSpaceDN w:val="0"/>
        <w:adjustRightInd w:val="0"/>
        <w:spacing w:line="460" w:lineRule="atLeast"/>
        <w:rPr>
          <w:rFonts w:ascii="宋体"/>
          <w:sz w:val="36"/>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snapToGrid w:val="0"/>
        <w:spacing w:line="500" w:lineRule="atLeast"/>
        <w:rPr>
          <w:rFonts w:ascii="宋体"/>
          <w:sz w:val="30"/>
          <w:szCs w:val="30"/>
        </w:rPr>
      </w:pPr>
    </w:p>
    <w:p>
      <w:pPr>
        <w:pStyle w:val="10"/>
      </w:pPr>
    </w:p>
    <w:p>
      <w:pPr>
        <w:autoSpaceDE w:val="0"/>
        <w:autoSpaceDN w:val="0"/>
        <w:adjustRightInd w:val="0"/>
        <w:spacing w:afterLines="100" w:line="460" w:lineRule="atLeast"/>
        <w:rPr>
          <w:rFonts w:ascii="宋体" w:hAnsi="Courier New" w:cs="Arial"/>
          <w:sz w:val="22"/>
        </w:rPr>
      </w:pPr>
    </w:p>
    <w:p>
      <w:pPr>
        <w:autoSpaceDE w:val="0"/>
        <w:autoSpaceDN w:val="0"/>
        <w:adjustRightInd w:val="0"/>
        <w:spacing w:afterLines="100" w:line="460" w:lineRule="atLeast"/>
        <w:rPr>
          <w:rFonts w:ascii="宋体" w:hAnsi="Courier New" w:cs="Arial"/>
          <w:sz w:val="22"/>
        </w:rPr>
      </w:pPr>
      <w:r>
        <w:rPr>
          <w:rFonts w:hint="eastAsia" w:ascii="宋体" w:hAnsi="Courier New" w:cs="Arial"/>
          <w:sz w:val="22"/>
        </w:rPr>
        <w:t>附件四</w:t>
      </w:r>
    </w:p>
    <w:p>
      <w:pPr>
        <w:tabs>
          <w:tab w:val="left" w:pos="1080"/>
        </w:tabs>
        <w:autoSpaceDE w:val="0"/>
        <w:autoSpaceDN w:val="0"/>
        <w:adjustRightInd w:val="0"/>
        <w:spacing w:line="460" w:lineRule="atLeast"/>
        <w:jc w:val="center"/>
        <w:rPr>
          <w:rFonts w:ascii="宋体" w:cs="仿宋_GB2312"/>
          <w:sz w:val="30"/>
          <w:szCs w:val="30"/>
          <w:lang w:val="zh-CN"/>
        </w:rPr>
      </w:pPr>
      <w:r>
        <w:rPr>
          <w:rFonts w:hint="eastAsia" w:ascii="宋体" w:cs="仿宋_GB2312"/>
          <w:sz w:val="30"/>
          <w:szCs w:val="30"/>
          <w:lang w:val="zh-CN"/>
        </w:rPr>
        <w:t>投标供应商参与政府采购活动投标资格声明函</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620" w:type="dxa"/>
          </w:tcPr>
          <w:p>
            <w:pPr>
              <w:pStyle w:val="6"/>
              <w:adjustRightInd w:val="0"/>
              <w:snapToGrid w:val="0"/>
              <w:spacing w:before="120" w:after="120" w:line="440" w:lineRule="exact"/>
              <w:rPr>
                <w:rFonts w:hAnsi="宋体"/>
                <w:sz w:val="22"/>
                <w:szCs w:val="22"/>
              </w:rPr>
            </w:pPr>
            <w:r>
              <w:rPr>
                <w:rFonts w:hAnsi="宋体"/>
                <w:sz w:val="22"/>
                <w:szCs w:val="22"/>
              </w:rPr>
              <w:t>项目名称</w:t>
            </w:r>
          </w:p>
        </w:tc>
        <w:tc>
          <w:tcPr>
            <w:tcW w:w="7992" w:type="dxa"/>
          </w:tcPr>
          <w:p>
            <w:pPr>
              <w:pStyle w:val="6"/>
              <w:adjustRightInd w:val="0"/>
              <w:snapToGrid w:val="0"/>
              <w:spacing w:before="120" w:after="120" w:line="440" w:lineRule="exact"/>
              <w:ind w:left="422" w:firstLine="331"/>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20" w:type="dxa"/>
          </w:tcPr>
          <w:p>
            <w:pPr>
              <w:pStyle w:val="6"/>
              <w:adjustRightInd w:val="0"/>
              <w:snapToGrid w:val="0"/>
              <w:spacing w:before="120" w:after="120" w:line="440" w:lineRule="exact"/>
              <w:rPr>
                <w:rFonts w:hAnsi="宋体"/>
                <w:sz w:val="22"/>
                <w:szCs w:val="22"/>
              </w:rPr>
            </w:pPr>
            <w:r>
              <w:rPr>
                <w:rFonts w:hAnsi="宋体"/>
                <w:sz w:val="22"/>
                <w:szCs w:val="22"/>
              </w:rPr>
              <w:t>招标编号</w:t>
            </w:r>
          </w:p>
        </w:tc>
        <w:tc>
          <w:tcPr>
            <w:tcW w:w="7992" w:type="dxa"/>
          </w:tcPr>
          <w:p>
            <w:pPr>
              <w:pStyle w:val="6"/>
              <w:adjustRightInd w:val="0"/>
              <w:snapToGrid w:val="0"/>
              <w:spacing w:before="120" w:after="120" w:line="440" w:lineRule="exact"/>
              <w:ind w:left="422" w:firstLine="361"/>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6"/>
              <w:adjustRightInd w:val="0"/>
              <w:snapToGrid w:val="0"/>
              <w:spacing w:before="120" w:after="120" w:line="440" w:lineRule="exact"/>
              <w:rPr>
                <w:rFonts w:hAnsi="宋体"/>
                <w:sz w:val="22"/>
                <w:szCs w:val="22"/>
              </w:rPr>
            </w:pPr>
            <w:r>
              <w:rPr>
                <w:rFonts w:hAnsi="宋体"/>
                <w:sz w:val="22"/>
                <w:szCs w:val="22"/>
              </w:rPr>
              <w:t>时    间</w:t>
            </w:r>
          </w:p>
        </w:tc>
        <w:tc>
          <w:tcPr>
            <w:tcW w:w="7992" w:type="dxa"/>
          </w:tcPr>
          <w:p>
            <w:pPr>
              <w:pStyle w:val="6"/>
              <w:adjustRightInd w:val="0"/>
              <w:snapToGrid w:val="0"/>
              <w:spacing w:before="120" w:after="120" w:line="440" w:lineRule="exact"/>
              <w:rPr>
                <w:rFonts w:hAnsi="宋体"/>
                <w:sz w:val="22"/>
                <w:szCs w:val="22"/>
              </w:rPr>
            </w:pPr>
            <w:r>
              <w:rPr>
                <w:rFonts w:hAnsi="宋体" w:cs="宋体"/>
                <w:sz w:val="22"/>
                <w:szCs w:val="22"/>
              </w:rPr>
              <w:t>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tcPr>
          <w:p>
            <w:pPr>
              <w:pStyle w:val="6"/>
              <w:adjustRightInd w:val="0"/>
              <w:snapToGrid w:val="0"/>
              <w:spacing w:before="120" w:after="120"/>
              <w:ind w:firstLine="450"/>
              <w:rPr>
                <w:rFonts w:hAnsi="宋体"/>
                <w:sz w:val="20"/>
              </w:rPr>
            </w:pPr>
            <w:r>
              <w:rPr>
                <w:rFonts w:hAnsi="宋体"/>
                <w:sz w:val="20"/>
              </w:rPr>
              <w:t>1、根据政府采购法第二十二条规定，我单位满足以下条件，并已经在投标文件中提供了相应的证明材料：</w:t>
            </w:r>
          </w:p>
          <w:p>
            <w:pPr>
              <w:pStyle w:val="6"/>
              <w:adjustRightInd w:val="0"/>
              <w:snapToGrid w:val="0"/>
              <w:spacing w:before="120" w:after="120"/>
              <w:ind w:firstLine="450"/>
              <w:rPr>
                <w:rFonts w:hAnsi="宋体"/>
                <w:sz w:val="20"/>
              </w:rPr>
            </w:pPr>
            <w:r>
              <w:rPr>
                <w:rFonts w:hAnsi="宋体"/>
                <w:sz w:val="20"/>
              </w:rPr>
              <w:t xml:space="preserve">（一）具有独立承担民事责任的能力； </w:t>
            </w:r>
            <w:r>
              <w:rPr>
                <w:rFonts w:hAnsi="宋体"/>
                <w:sz w:val="20"/>
              </w:rPr>
              <w:br w:type="textWrapping"/>
            </w:r>
            <w:r>
              <w:rPr>
                <w:rFonts w:hAnsi="宋体"/>
                <w:sz w:val="20"/>
              </w:rPr>
              <w:t xml:space="preserve">　　（二）具有良好的商业信誉和健全的财务会计制度； </w:t>
            </w:r>
            <w:r>
              <w:rPr>
                <w:rFonts w:hAnsi="宋体"/>
                <w:sz w:val="20"/>
              </w:rPr>
              <w:br w:type="textWrapping"/>
            </w:r>
            <w:r>
              <w:rPr>
                <w:rFonts w:hAnsi="宋体"/>
                <w:sz w:val="20"/>
              </w:rPr>
              <w:t xml:space="preserve">　　（三）具有履行合同所必需的设备和专业技术能力； </w:t>
            </w:r>
            <w:r>
              <w:rPr>
                <w:rFonts w:hAnsi="宋体"/>
                <w:sz w:val="20"/>
              </w:rPr>
              <w:br w:type="textWrapping"/>
            </w:r>
            <w:r>
              <w:rPr>
                <w:rFonts w:hAnsi="宋体"/>
                <w:sz w:val="20"/>
              </w:rPr>
              <w:t xml:space="preserve">　　（四）有依法缴纳税收和社会保障资金的良好记录； </w:t>
            </w:r>
            <w:r>
              <w:rPr>
                <w:rFonts w:hAnsi="宋体"/>
                <w:sz w:val="20"/>
              </w:rPr>
              <w:br w:type="textWrapping"/>
            </w:r>
            <w:r>
              <w:rPr>
                <w:rFonts w:hAnsi="宋体"/>
                <w:sz w:val="20"/>
              </w:rPr>
              <w:t xml:space="preserve">　　（五）参加政府采购活动前三年内，在经营活动中没有重大违法记录； </w:t>
            </w:r>
            <w:r>
              <w:rPr>
                <w:rFonts w:hAnsi="宋体"/>
                <w:sz w:val="20"/>
              </w:rPr>
              <w:br w:type="textWrapping"/>
            </w:r>
            <w:r>
              <w:rPr>
                <w:rFonts w:hAnsi="宋体"/>
                <w:sz w:val="20"/>
              </w:rPr>
              <w:t xml:space="preserve">　　（六）法律、行政法规规定的其他条件。 </w:t>
            </w:r>
          </w:p>
          <w:p>
            <w:pPr>
              <w:pStyle w:val="6"/>
              <w:adjustRightInd w:val="0"/>
              <w:snapToGrid w:val="0"/>
              <w:spacing w:before="120" w:after="120"/>
              <w:ind w:firstLine="450"/>
              <w:rPr>
                <w:rFonts w:hAnsi="宋体"/>
                <w:sz w:val="20"/>
              </w:rPr>
            </w:pPr>
            <w:r>
              <w:rPr>
                <w:rFonts w:hAnsi="宋体"/>
                <w:sz w:val="20"/>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Pr>
                <w:rFonts w:hAnsi="宋体"/>
                <w:sz w:val="20"/>
                <w:u w:val="single"/>
              </w:rPr>
              <w:t>□存在/□不存在</w:t>
            </w:r>
            <w:r>
              <w:rPr>
                <w:rFonts w:hAnsi="宋体"/>
                <w:sz w:val="20"/>
              </w:rPr>
              <w:t>上述文件规定依法限制参与政府采购的情况。（说明：在□上打√</w:t>
            </w:r>
            <w:r>
              <w:rPr>
                <w:rFonts w:hAnsi="宋体" w:cs="MS Mincho"/>
                <w:sz w:val="20"/>
              </w:rPr>
              <w:t>。</w:t>
            </w:r>
            <w:r>
              <w:rPr>
                <w:rFonts w:hAnsi="宋体"/>
                <w:sz w:val="20"/>
              </w:rPr>
              <w:t>）</w:t>
            </w:r>
          </w:p>
          <w:p>
            <w:pPr>
              <w:tabs>
                <w:tab w:val="center" w:pos="4483"/>
              </w:tabs>
              <w:adjustRightInd w:val="0"/>
              <w:spacing w:line="400" w:lineRule="exact"/>
              <w:ind w:firstLine="400"/>
              <w:rPr>
                <w:rFonts w:ascii="宋体"/>
                <w:sz w:val="20"/>
              </w:rPr>
            </w:pPr>
            <w:r>
              <w:rPr>
                <w:rFonts w:ascii="宋体"/>
                <w:sz w:val="20"/>
              </w:rPr>
              <w:t>3、我单位□没有被限制参加政府采购活动/□在参加政府采购活动前3年内因违法经营被禁止在一定期限内参加政府采购活动，但期限届满，已可以参加政府采购活动。（说明：在□上打√</w:t>
            </w:r>
            <w:r>
              <w:rPr>
                <w:rFonts w:ascii="宋体" w:cs="MS Mincho"/>
                <w:sz w:val="20"/>
              </w:rPr>
              <w:t>。</w:t>
            </w:r>
            <w:r>
              <w:rPr>
                <w:rFonts w:ascii="宋体"/>
                <w:sz w:val="20"/>
              </w:rPr>
              <w:t>）</w:t>
            </w:r>
          </w:p>
          <w:p>
            <w:pPr>
              <w:tabs>
                <w:tab w:val="center" w:pos="4483"/>
              </w:tabs>
              <w:adjustRightInd w:val="0"/>
              <w:spacing w:line="400" w:lineRule="exact"/>
              <w:ind w:firstLine="400"/>
              <w:rPr>
                <w:rFonts w:ascii="宋体" w:cs="宋体"/>
                <w:sz w:val="20"/>
                <w:u w:val="single"/>
              </w:rPr>
            </w:pPr>
            <w:r>
              <w:rPr>
                <w:rFonts w:hint="eastAsia" w:ascii="宋体" w:cs="宋体"/>
                <w:sz w:val="20"/>
              </w:rPr>
              <w:t>4、我单位参与本项目政府采购活动3年内其它重大违法记录（重大违法记录，是指投标供应商因违法经营受到刑事处罚或者责令停产停业、吊销许可证或者执照、较大数额罚款等行政处罚）情况声明：</w:t>
            </w:r>
            <w:r>
              <w:rPr>
                <w:rFonts w:hint="eastAsia" w:ascii="宋体" w:cs="宋体"/>
                <w:sz w:val="20"/>
                <w:u w:val="single"/>
              </w:rPr>
              <w:t xml:space="preserve">                    </w:t>
            </w:r>
          </w:p>
          <w:p>
            <w:pPr>
              <w:tabs>
                <w:tab w:val="center" w:pos="4483"/>
              </w:tabs>
              <w:adjustRightInd w:val="0"/>
              <w:spacing w:line="400" w:lineRule="exact"/>
              <w:ind w:firstLine="400"/>
              <w:rPr>
                <w:rFonts w:ascii="宋体" w:cs="宋体"/>
                <w:sz w:val="20"/>
              </w:rPr>
            </w:pPr>
            <w:r>
              <w:rPr>
                <w:rFonts w:hint="eastAsia" w:ascii="宋体" w:cs="宋体"/>
                <w:sz w:val="20"/>
              </w:rPr>
              <w:t>5、我单位符合本项目特定资格条件：</w:t>
            </w:r>
            <w:r>
              <w:rPr>
                <w:rFonts w:hint="eastAsia" w:ascii="宋体" w:cs="宋体"/>
                <w:sz w:val="20"/>
                <w:u w:val="single"/>
              </w:rPr>
              <w:t xml:space="preserve">               </w:t>
            </w:r>
            <w:r>
              <w:rPr>
                <w:rFonts w:hint="eastAsia" w:ascii="宋体" w:cs="宋体"/>
                <w:sz w:val="20"/>
              </w:rPr>
              <w:t>的要求，并在投标文件中提供了相应的证明材料（招标文件没有要求特定资格条件的，本条款空格处可以空白）</w:t>
            </w:r>
          </w:p>
          <w:p>
            <w:pPr>
              <w:tabs>
                <w:tab w:val="center" w:pos="4483"/>
              </w:tabs>
              <w:adjustRightInd w:val="0"/>
              <w:spacing w:line="400" w:lineRule="exact"/>
              <w:ind w:firstLine="400" w:firstLineChars="200"/>
              <w:rPr>
                <w:rFonts w:ascii="宋体"/>
                <w:bCs/>
                <w:sz w:val="20"/>
              </w:rPr>
            </w:pPr>
            <w:r>
              <w:rPr>
                <w:rFonts w:hint="eastAsia" w:ascii="宋体" w:cs="宋体"/>
                <w:sz w:val="20"/>
              </w:rPr>
              <w:t>6、本公司所提交的本声明和陈述均是真实的、准确的。若与真实情况不符，本公司愿意承担由此而产生的一切后果。我方提供了全部能提供的资料和数据，我们同意遵照贵方要求出示有关证明文件。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vAlign w:val="center"/>
          </w:tcPr>
          <w:p>
            <w:pPr>
              <w:pStyle w:val="6"/>
              <w:adjustRightInd w:val="0"/>
              <w:snapToGrid w:val="0"/>
              <w:spacing w:before="120" w:after="120" w:line="440" w:lineRule="exact"/>
              <w:rPr>
                <w:rFonts w:hAnsi="宋体"/>
                <w:sz w:val="22"/>
                <w:szCs w:val="22"/>
              </w:rPr>
            </w:pPr>
            <w:r>
              <w:rPr>
                <w:rFonts w:hAnsi="宋体"/>
                <w:sz w:val="22"/>
                <w:szCs w:val="22"/>
              </w:rPr>
              <w:t>投标供应商（盖章）：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vAlign w:val="center"/>
          </w:tcPr>
          <w:p>
            <w:pPr>
              <w:pStyle w:val="6"/>
              <w:adjustRightInd w:val="0"/>
              <w:snapToGrid w:val="0"/>
              <w:spacing w:before="120" w:after="120" w:line="440" w:lineRule="exact"/>
              <w:rPr>
                <w:rFonts w:hAnsi="宋体"/>
                <w:sz w:val="22"/>
                <w:szCs w:val="22"/>
              </w:rPr>
            </w:pPr>
            <w:r>
              <w:rPr>
                <w:rFonts w:hAnsi="宋体"/>
                <w:sz w:val="22"/>
                <w:szCs w:val="22"/>
              </w:rPr>
              <w:t>法定代表人或</w:t>
            </w:r>
            <w:r>
              <w:rPr>
                <w:rFonts w:hint="eastAsia" w:cs="Courier New"/>
                <w:sz w:val="22"/>
                <w:szCs w:val="22"/>
              </w:rPr>
              <w:t>其</w:t>
            </w:r>
            <w:r>
              <w:rPr>
                <w:rFonts w:hAnsi="宋体"/>
                <w:sz w:val="22"/>
                <w:szCs w:val="22"/>
              </w:rPr>
              <w:t>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vAlign w:val="center"/>
          </w:tcPr>
          <w:p>
            <w:pPr>
              <w:pStyle w:val="6"/>
              <w:adjustRightInd w:val="0"/>
              <w:snapToGrid w:val="0"/>
              <w:spacing w:before="120" w:after="120" w:line="440" w:lineRule="exact"/>
              <w:rPr>
                <w:rFonts w:hAnsi="宋体"/>
                <w:sz w:val="22"/>
                <w:szCs w:val="22"/>
              </w:rPr>
            </w:pPr>
            <w:r>
              <w:rPr>
                <w:rFonts w:hAnsi="宋体"/>
                <w:sz w:val="22"/>
                <w:szCs w:val="22"/>
              </w:rPr>
              <w:t>签署日期：</w:t>
            </w:r>
          </w:p>
        </w:tc>
      </w:tr>
    </w:tbl>
    <w:p>
      <w:pPr>
        <w:autoSpaceDE w:val="0"/>
        <w:autoSpaceDN w:val="0"/>
        <w:adjustRightInd w:val="0"/>
        <w:spacing w:afterLines="100" w:line="460" w:lineRule="atLeast"/>
        <w:rPr>
          <w:rFonts w:ascii="宋体"/>
          <w:sz w:val="30"/>
          <w:szCs w:val="30"/>
        </w:rPr>
      </w:pPr>
      <w:r>
        <w:rPr>
          <w:rFonts w:ascii="宋体"/>
          <w:sz w:val="36"/>
        </w:rPr>
        <w:br w:type="page"/>
      </w:r>
      <w:r>
        <w:rPr>
          <w:rFonts w:hint="eastAsia" w:ascii="宋体" w:hAnsi="Courier New" w:cs="Arial"/>
          <w:sz w:val="22"/>
        </w:rPr>
        <w:t>附件五</w:t>
      </w:r>
    </w:p>
    <w:p>
      <w:pPr>
        <w:autoSpaceDE w:val="0"/>
        <w:autoSpaceDN w:val="0"/>
        <w:adjustRightInd w:val="0"/>
        <w:spacing w:line="460" w:lineRule="atLeast"/>
        <w:jc w:val="center"/>
        <w:rPr>
          <w:rFonts w:ascii="宋体"/>
          <w:sz w:val="30"/>
          <w:szCs w:val="30"/>
          <w:lang w:val="zh-CN"/>
        </w:rPr>
      </w:pPr>
      <w:r>
        <w:rPr>
          <w:rFonts w:hint="eastAsia" w:ascii="宋体"/>
          <w:sz w:val="30"/>
          <w:szCs w:val="30"/>
          <w:lang w:val="zh-CN"/>
        </w:rPr>
        <w:t>与参加本次项目同一合同项下政府采购活动的其他供应商不存在单位负责人为同一人或者直接控股、管理关系的承诺函</w:t>
      </w:r>
    </w:p>
    <w:p>
      <w:pPr>
        <w:spacing w:line="460" w:lineRule="exact"/>
        <w:rPr>
          <w:rFonts w:ascii="宋体" w:cs="黑体"/>
          <w:sz w:val="22"/>
          <w:u w:val="single"/>
        </w:rPr>
      </w:pPr>
    </w:p>
    <w:p>
      <w:pPr>
        <w:spacing w:line="460" w:lineRule="exact"/>
        <w:rPr>
          <w:rFonts w:ascii="宋体" w:cs="黑体"/>
          <w:sz w:val="22"/>
          <w:u w:val="single"/>
        </w:rPr>
      </w:pPr>
      <w:r>
        <w:rPr>
          <w:rFonts w:hint="eastAsia" w:ascii="宋体" w:cs="黑体"/>
          <w:sz w:val="22"/>
          <w:u w:val="single"/>
        </w:rPr>
        <w:t>金华市政府采购中心：</w:t>
      </w:r>
    </w:p>
    <w:p>
      <w:pPr>
        <w:widowControl/>
        <w:snapToGrid w:val="0"/>
        <w:spacing w:line="460" w:lineRule="exact"/>
        <w:ind w:firstLine="440" w:firstLineChars="200"/>
        <w:jc w:val="left"/>
        <w:rPr>
          <w:rFonts w:ascii="宋体" w:cs="Courier New"/>
          <w:sz w:val="22"/>
        </w:rPr>
      </w:pPr>
      <w:r>
        <w:rPr>
          <w:rFonts w:hint="eastAsia" w:ascii="宋体" w:cs="Courier New"/>
          <w:sz w:val="22"/>
        </w:rPr>
        <w:t>我方郑重承诺，我方此次参加</w:t>
      </w:r>
      <w:r>
        <w:rPr>
          <w:rFonts w:hint="eastAsia" w:ascii="宋体"/>
          <w:sz w:val="22"/>
          <w:u w:val="single"/>
        </w:rPr>
        <w:t xml:space="preserve">                         （项目名称）</w:t>
      </w:r>
      <w:r>
        <w:rPr>
          <w:rFonts w:hint="eastAsia" w:ascii="宋体" w:cs="Courier New"/>
          <w:sz w:val="22"/>
        </w:rPr>
        <w:t>的投标，与参加本次项目同一合同项下政府采购活动的其他供应商不存在单位负责人为同一人或者直接控股、管理关系。如有虚假或隐瞒，愿意承担一切后果。</w:t>
      </w:r>
    </w:p>
    <w:p>
      <w:pPr>
        <w:pStyle w:val="14"/>
        <w:ind w:firstLine="210"/>
        <w:rPr>
          <w:rFonts w:ascii="宋体" w:hAnsi="宋体"/>
        </w:rPr>
      </w:pPr>
    </w:p>
    <w:p>
      <w:pPr>
        <w:widowControl/>
        <w:snapToGrid w:val="0"/>
        <w:spacing w:line="460" w:lineRule="exact"/>
        <w:ind w:firstLine="440" w:firstLineChars="200"/>
        <w:jc w:val="left"/>
        <w:rPr>
          <w:rFonts w:ascii="宋体" w:cs="Courier New"/>
          <w:sz w:val="22"/>
        </w:rPr>
      </w:pPr>
      <w:r>
        <w:rPr>
          <w:rFonts w:hint="eastAsia" w:ascii="宋体" w:cs="Courier New"/>
          <w:sz w:val="22"/>
        </w:rPr>
        <w:t>特此承诺！</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40" w:firstLineChars="200"/>
        <w:jc w:val="left"/>
        <w:rPr>
          <w:rFonts w:ascii="宋体" w:cs="Courier New"/>
          <w:sz w:val="22"/>
        </w:rPr>
      </w:pPr>
      <w:r>
        <w:rPr>
          <w:rFonts w:hint="eastAsia" w:ascii="宋体" w:cs="Courier New"/>
          <w:sz w:val="22"/>
        </w:rPr>
        <w:t>投标供应商（盖章） ：</w:t>
      </w:r>
    </w:p>
    <w:p>
      <w:pPr>
        <w:widowControl/>
        <w:snapToGrid w:val="0"/>
        <w:spacing w:line="460" w:lineRule="exact"/>
        <w:ind w:firstLine="440" w:firstLineChars="200"/>
        <w:jc w:val="left"/>
        <w:rPr>
          <w:rFonts w:ascii="宋体" w:cs="Courier New"/>
          <w:sz w:val="22"/>
        </w:rPr>
      </w:pPr>
      <w:r>
        <w:rPr>
          <w:rFonts w:hint="eastAsia" w:ascii="宋体" w:cs="Courier New"/>
          <w:sz w:val="22"/>
        </w:rPr>
        <w:t>法定代表人或其授权代表（签字或盖章）：</w:t>
      </w:r>
    </w:p>
    <w:p>
      <w:pPr>
        <w:widowControl/>
        <w:snapToGrid w:val="0"/>
        <w:spacing w:line="460" w:lineRule="exact"/>
        <w:ind w:firstLine="440" w:firstLineChars="200"/>
        <w:jc w:val="left"/>
        <w:rPr>
          <w:rFonts w:ascii="宋体" w:cs="Courier New"/>
          <w:sz w:val="22"/>
        </w:rPr>
      </w:pPr>
      <w:r>
        <w:rPr>
          <w:rFonts w:hint="eastAsia" w:ascii="宋体" w:cs="Courier New"/>
          <w:sz w:val="22"/>
        </w:rPr>
        <w:t>日期：</w:t>
      </w:r>
    </w:p>
    <w:p>
      <w:pPr>
        <w:autoSpaceDE w:val="0"/>
        <w:autoSpaceDN w:val="0"/>
        <w:adjustRightInd w:val="0"/>
        <w:spacing w:line="460" w:lineRule="atLeast"/>
        <w:jc w:val="center"/>
        <w:rPr>
          <w:rFonts w:ascii="宋体"/>
          <w:sz w:val="36"/>
        </w:rPr>
        <w:sectPr>
          <w:pgSz w:w="11906" w:h="16838"/>
          <w:pgMar w:top="1440" w:right="1106" w:bottom="1440" w:left="1622" w:header="851" w:footer="992" w:gutter="0"/>
          <w:pgBorders>
            <w:top w:val="none" w:sz="0" w:space="0"/>
            <w:left w:val="none" w:sz="0" w:space="0"/>
            <w:bottom w:val="none" w:sz="0" w:space="0"/>
            <w:right w:val="none" w:sz="0" w:space="0"/>
          </w:pgBorders>
          <w:cols w:space="720" w:num="1"/>
          <w:docGrid w:linePitch="312" w:charSpace="0"/>
        </w:sectPr>
      </w:pPr>
    </w:p>
    <w:p>
      <w:pPr>
        <w:snapToGrid w:val="0"/>
        <w:spacing w:line="360" w:lineRule="auto"/>
        <w:ind w:firstLine="600" w:firstLineChars="200"/>
        <w:jc w:val="center"/>
        <w:rPr>
          <w:rFonts w:ascii="仿宋" w:hAnsi="仿宋" w:eastAsia="仿宋" w:cs="Arial"/>
          <w:b/>
          <w:color w:val="000000"/>
          <w:sz w:val="30"/>
          <w:szCs w:val="30"/>
        </w:rPr>
      </w:pPr>
      <w:r>
        <w:rPr>
          <w:sz w:val="30"/>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-139065</wp:posOffset>
                </wp:positionV>
                <wp:extent cx="762000" cy="317500"/>
                <wp:effectExtent l="0" t="0" r="0" b="6350"/>
                <wp:wrapNone/>
                <wp:docPr id="2" name="文本框 2"/>
                <wp:cNvGraphicFramePr/>
                <a:graphic xmlns:a="http://schemas.openxmlformats.org/drawingml/2006/main">
                  <a:graphicData uri="http://schemas.microsoft.com/office/word/2010/wordprocessingShape">
                    <wps:wsp>
                      <wps:cNvSpPr txBox="1"/>
                      <wps:spPr>
                        <a:xfrm>
                          <a:off x="1039495" y="1002030"/>
                          <a:ext cx="762000" cy="317500"/>
                        </a:xfrm>
                        <a:prstGeom prst="rect">
                          <a:avLst/>
                        </a:prstGeom>
                        <a:solidFill>
                          <a:srgbClr val="FFFFFF"/>
                        </a:solidFill>
                        <a:ln w="6350">
                          <a:noFill/>
                        </a:ln>
                        <a:effectLst/>
                      </wps:spPr>
                      <wps:txbx>
                        <w:txbxContent>
                          <w:p>
                            <w:r>
                              <w:rPr>
                                <w:rFonts w:hint="eastAsia"/>
                              </w:rPr>
                              <w:t>附件六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0.95pt;height:25pt;width:60pt;z-index:251658240;mso-width-relative:page;mso-height-relative:page;" fillcolor="#FFFFFF" filled="t" stroked="f" coordsize="21600,21600" o:gfxdata="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PMCF9QAAAAJAQAADwAAAAAAAAABACAAAAAiAAAAZHJz&#10;L2Rvd25yZXYueG1sUEsBAhQAFAAAAAgAh07iQPW/NA5BAgAAWgQAAA4AAAAAAAAAAQAgAAAAIwEA&#10;AGRycy9lMm9Eb2MueG1sUEsFBgAAAAAGAAYAWQEAANYFAAAAAA==&#10;">
                <v:fill on="t" focussize="0,0"/>
                <v:stroke on="f" weight="0.5pt"/>
                <v:imagedata o:title=""/>
                <o:lock v:ext="edit" aspectratio="f"/>
                <v:textbox>
                  <w:txbxContent>
                    <w:p>
                      <w:r>
                        <w:rPr>
                          <w:rFonts w:hint="eastAsia"/>
                        </w:rPr>
                        <w:t>附件六</w:t>
                      </w:r>
                    </w:p>
                  </w:txbxContent>
                </v:textbox>
              </v:shape>
            </w:pict>
          </mc:Fallback>
        </mc:AlternateContent>
      </w:r>
      <w:r>
        <w:rPr>
          <w:rFonts w:hint="eastAsia" w:ascii="仿宋" w:hAnsi="仿宋" w:eastAsia="仿宋" w:cs="Arial"/>
          <w:b/>
          <w:color w:val="000000"/>
          <w:sz w:val="30"/>
          <w:szCs w:val="30"/>
        </w:rPr>
        <w:t>开标一览表（货物类）</w:t>
      </w:r>
    </w:p>
    <w:p>
      <w:pPr>
        <w:snapToGrid w:val="0"/>
        <w:spacing w:line="360" w:lineRule="auto"/>
        <w:ind w:firstLine="480" w:firstLineChars="200"/>
        <w:rPr>
          <w:rFonts w:ascii="仿宋" w:hAnsi="仿宋" w:eastAsia="仿宋" w:cs="Arial"/>
          <w:color w:val="000000"/>
          <w:sz w:val="24"/>
          <w:szCs w:val="24"/>
        </w:rPr>
      </w:pPr>
      <w:r>
        <w:rPr>
          <w:rFonts w:hint="eastAsia" w:ascii="仿宋" w:hAnsi="仿宋" w:eastAsia="仿宋" w:cs="Arial"/>
          <w:color w:val="000000"/>
          <w:sz w:val="24"/>
          <w:szCs w:val="24"/>
        </w:rPr>
        <w:t>招标编号：</w:t>
      </w:r>
      <w:r>
        <w:rPr>
          <w:rFonts w:ascii="仿宋" w:hAnsi="仿宋" w:eastAsia="仿宋" w:cs="Arial"/>
          <w:color w:val="000000"/>
          <w:sz w:val="24"/>
          <w:szCs w:val="24"/>
          <w:u w:val="single"/>
        </w:rPr>
        <w:t xml:space="preserve">                     </w:t>
      </w:r>
      <w:r>
        <w:rPr>
          <w:rFonts w:hint="eastAsia" w:ascii="仿宋" w:hAnsi="仿宋" w:eastAsia="仿宋" w:cs="Arial"/>
          <w:color w:val="000000"/>
          <w:sz w:val="24"/>
          <w:szCs w:val="24"/>
        </w:rPr>
        <w:t>投标人名称：</w:t>
      </w:r>
      <w:r>
        <w:rPr>
          <w:rFonts w:ascii="仿宋" w:hAnsi="仿宋" w:eastAsia="仿宋" w:cs="Arial"/>
          <w:color w:val="000000"/>
          <w:sz w:val="24"/>
          <w:szCs w:val="24"/>
          <w:u w:val="single"/>
        </w:rPr>
        <w:t xml:space="preserve">                           </w:t>
      </w:r>
      <w:r>
        <w:rPr>
          <w:rFonts w:ascii="仿宋" w:hAnsi="仿宋" w:eastAsia="仿宋" w:cs="Arial"/>
          <w:color w:val="000000"/>
          <w:sz w:val="24"/>
          <w:szCs w:val="24"/>
        </w:rPr>
        <w:t xml:space="preserve">  </w:t>
      </w:r>
      <w:r>
        <w:rPr>
          <w:rFonts w:hint="eastAsia" w:ascii="仿宋" w:hAnsi="仿宋" w:eastAsia="仿宋" w:cs="Arial"/>
          <w:color w:val="000000"/>
          <w:sz w:val="24"/>
          <w:szCs w:val="24"/>
        </w:rPr>
        <w:t>单位：元</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8"/>
        <w:gridCol w:w="2234"/>
        <w:gridCol w:w="885"/>
        <w:gridCol w:w="1014"/>
        <w:gridCol w:w="3106"/>
        <w:gridCol w:w="2001"/>
        <w:gridCol w:w="1090"/>
        <w:gridCol w:w="15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rPr>
                <w:rFonts w:hint="eastAsia" w:eastAsia="宋体"/>
                <w:sz w:val="24"/>
                <w:szCs w:val="24"/>
                <w:lang w:eastAsia="zh-CN"/>
              </w:rPr>
            </w:pPr>
            <w:r>
              <w:rPr>
                <w:rFonts w:hint="eastAsia"/>
                <w:sz w:val="24"/>
                <w:szCs w:val="24"/>
                <w:lang w:val="en-US" w:eastAsia="zh-CN"/>
              </w:rPr>
              <w:t>序号</w:t>
            </w: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货物名称</w:t>
            </w: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数量</w:t>
            </w: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产地</w:t>
            </w: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品牌及厂家</w:t>
            </w: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规格型号</w:t>
            </w: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单价</w:t>
            </w: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1"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rPr>
                <w:sz w:val="24"/>
                <w:szCs w:val="24"/>
              </w:rPr>
            </w:pPr>
          </w:p>
          <w:p>
            <w:pPr>
              <w:rPr>
                <w:sz w:val="24"/>
                <w:szCs w:val="24"/>
              </w:rPr>
            </w:pP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2"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1228"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23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885"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14"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3106"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2001"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0468" w:type="dxa"/>
            <w:gridSpan w:val="6"/>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投标费用及利润</w:t>
            </w:r>
          </w:p>
        </w:tc>
        <w:tc>
          <w:tcPr>
            <w:tcW w:w="1090" w:type="dxa"/>
            <w:tcBorders>
              <w:top w:val="single" w:color="auto" w:sz="4" w:space="0"/>
              <w:left w:val="single" w:color="auto" w:sz="4" w:space="0"/>
              <w:bottom w:val="single" w:color="auto" w:sz="4" w:space="0"/>
              <w:right w:val="single" w:color="auto" w:sz="4" w:space="0"/>
            </w:tcBorders>
            <w:vAlign w:val="center"/>
          </w:tcPr>
          <w:p>
            <w:pPr>
              <w:rPr>
                <w:sz w:val="24"/>
                <w:szCs w:val="24"/>
              </w:rPr>
            </w:pPr>
          </w:p>
        </w:tc>
        <w:tc>
          <w:tcPr>
            <w:tcW w:w="1537" w:type="dxa"/>
            <w:tcBorders>
              <w:top w:val="single" w:color="auto" w:sz="4" w:space="0"/>
              <w:left w:val="single" w:color="auto" w:sz="4" w:space="0"/>
              <w:bottom w:val="single" w:color="auto" w:sz="4" w:space="0"/>
              <w:right w:val="single" w:color="auto" w:sz="4" w:space="0"/>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3095" w:type="dxa"/>
            <w:gridSpan w:val="8"/>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sz w:val="24"/>
                <w:szCs w:val="24"/>
              </w:rPr>
              <w:t>合计金额大写：</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w:t>
            </w:r>
            <w:r>
              <w:rPr>
                <w:sz w:val="24"/>
                <w:szCs w:val="24"/>
              </w:rPr>
              <w:t xml:space="preserve">            </w:t>
            </w:r>
          </w:p>
        </w:tc>
      </w:tr>
    </w:tbl>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注</w:t>
      </w:r>
      <w:r>
        <w:rPr>
          <w:rFonts w:ascii="仿宋" w:hAnsi="仿宋" w:eastAsia="仿宋" w:cs="Arial"/>
          <w:color w:val="000000"/>
          <w:szCs w:val="21"/>
        </w:rPr>
        <w:t>: 1</w:t>
      </w:r>
      <w:r>
        <w:rPr>
          <w:rFonts w:hint="eastAsia" w:ascii="仿宋" w:hAnsi="仿宋" w:eastAsia="仿宋" w:cs="Arial"/>
          <w:color w:val="000000"/>
          <w:szCs w:val="21"/>
        </w:rPr>
        <w:t>、不提供此表格的将视为没有实质性响应招标文件。</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lang w:val="en-US" w:eastAsia="zh-CN"/>
        </w:rPr>
        <w:t>2</w:t>
      </w:r>
      <w:r>
        <w:rPr>
          <w:rFonts w:hint="eastAsia" w:ascii="仿宋" w:hAnsi="仿宋" w:eastAsia="仿宋" w:cs="Arial"/>
          <w:color w:val="000000"/>
          <w:szCs w:val="21"/>
        </w:rPr>
        <w:t>、投标费用包括项目实施所需的人工费、服务费、运输费、安装调试费、购买及制作标书费、税费及其他一切费用。</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lang w:val="en-US" w:eastAsia="zh-CN"/>
        </w:rPr>
        <w:t>3</w:t>
      </w:r>
      <w:r>
        <w:rPr>
          <w:rFonts w:hint="eastAsia" w:ascii="仿宋" w:hAnsi="仿宋" w:eastAsia="仿宋" w:cs="Arial"/>
          <w:color w:val="000000"/>
          <w:szCs w:val="21"/>
        </w:rPr>
        <w:t>、以上报价应与“投标设备报价明细表”中的“投标总价”相一致。</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法定代表人或授权代表（签字或盖章）：</w:t>
      </w:r>
      <w:r>
        <w:rPr>
          <w:rFonts w:ascii="仿宋" w:hAnsi="仿宋" w:eastAsia="仿宋" w:cs="Arial"/>
          <w:color w:val="000000"/>
          <w:szCs w:val="21"/>
        </w:rPr>
        <w:t xml:space="preserve">                    </w:t>
      </w:r>
    </w:p>
    <w:p>
      <w:pPr>
        <w:snapToGrid w:val="0"/>
        <w:spacing w:line="360" w:lineRule="auto"/>
        <w:ind w:firstLine="420" w:firstLineChars="200"/>
        <w:rPr>
          <w:rFonts w:ascii="仿宋" w:hAnsi="仿宋" w:eastAsia="仿宋" w:cs="Arial"/>
          <w:color w:val="000000"/>
          <w:szCs w:val="21"/>
        </w:rPr>
      </w:pPr>
      <w:r>
        <w:rPr>
          <w:rFonts w:hint="eastAsia" w:ascii="仿宋" w:hAnsi="仿宋" w:eastAsia="仿宋" w:cs="Arial"/>
          <w:color w:val="000000"/>
          <w:szCs w:val="21"/>
        </w:rPr>
        <w:t>投标人名称（盖章）：</w:t>
      </w:r>
      <w:r>
        <w:rPr>
          <w:rFonts w:ascii="仿宋" w:hAnsi="仿宋" w:eastAsia="仿宋" w:cs="Arial"/>
          <w:color w:val="000000"/>
          <w:szCs w:val="21"/>
        </w:rPr>
        <w:t xml:space="preserve">                         </w:t>
      </w:r>
      <w:r>
        <w:rPr>
          <w:rFonts w:hint="eastAsia" w:ascii="仿宋" w:hAnsi="仿宋" w:eastAsia="仿宋" w:cs="Arial"/>
          <w:color w:val="000000"/>
          <w:szCs w:val="21"/>
        </w:rPr>
        <w:t xml:space="preserve">              </w:t>
      </w:r>
      <w:r>
        <w:rPr>
          <w:rFonts w:ascii="仿宋" w:hAnsi="仿宋" w:eastAsia="仿宋" w:cs="Arial"/>
          <w:color w:val="000000"/>
          <w:szCs w:val="21"/>
        </w:rPr>
        <w:t xml:space="preserve">        </w:t>
      </w:r>
      <w:r>
        <w:rPr>
          <w:rFonts w:hint="eastAsia" w:ascii="仿宋" w:hAnsi="仿宋" w:eastAsia="仿宋" w:cs="Arial"/>
          <w:color w:val="000000"/>
          <w:szCs w:val="21"/>
        </w:rPr>
        <w:t>日期：</w:t>
      </w:r>
      <w:r>
        <w:rPr>
          <w:rFonts w:ascii="仿宋" w:hAnsi="仿宋" w:eastAsia="仿宋" w:cs="Arial"/>
          <w:color w:val="000000"/>
          <w:szCs w:val="21"/>
        </w:rPr>
        <w:t xml:space="preserve">    </w:t>
      </w:r>
      <w:r>
        <w:rPr>
          <w:rFonts w:hint="eastAsia" w:ascii="仿宋" w:hAnsi="仿宋" w:eastAsia="仿宋" w:cs="Arial"/>
          <w:color w:val="000000"/>
          <w:szCs w:val="21"/>
        </w:rPr>
        <w:t>年</w:t>
      </w:r>
      <w:r>
        <w:rPr>
          <w:rFonts w:ascii="仿宋" w:hAnsi="仿宋" w:eastAsia="仿宋" w:cs="Arial"/>
          <w:color w:val="000000"/>
          <w:szCs w:val="21"/>
        </w:rPr>
        <w:t xml:space="preserve">   </w:t>
      </w:r>
      <w:r>
        <w:rPr>
          <w:rFonts w:hint="eastAsia" w:ascii="仿宋" w:hAnsi="仿宋" w:eastAsia="仿宋" w:cs="Arial"/>
          <w:color w:val="000000"/>
          <w:szCs w:val="21"/>
        </w:rPr>
        <w:t>月</w:t>
      </w:r>
      <w:r>
        <w:rPr>
          <w:rFonts w:ascii="仿宋" w:hAnsi="仿宋" w:eastAsia="仿宋" w:cs="Arial"/>
          <w:color w:val="000000"/>
          <w:szCs w:val="21"/>
        </w:rPr>
        <w:t xml:space="preserve">   </w:t>
      </w:r>
      <w:r>
        <w:rPr>
          <w:rFonts w:hint="eastAsia" w:ascii="仿宋" w:hAnsi="仿宋" w:eastAsia="仿宋" w:cs="Arial"/>
          <w:color w:val="000000"/>
          <w:szCs w:val="21"/>
        </w:rPr>
        <w:t>日</w:t>
      </w:r>
    </w:p>
    <w:p>
      <w:pPr>
        <w:snapToGrid w:val="0"/>
        <w:spacing w:line="360" w:lineRule="auto"/>
        <w:ind w:firstLine="420" w:firstLineChars="200"/>
        <w:rPr>
          <w:rFonts w:ascii="仿宋" w:hAnsi="仿宋" w:eastAsia="仿宋" w:cs="Arial"/>
          <w:color w:val="000000"/>
          <w:szCs w:val="21"/>
        </w:rPr>
        <w:sectPr>
          <w:pgSz w:w="16838" w:h="11906" w:orient="landscape"/>
          <w:pgMar w:top="1797" w:right="1474" w:bottom="1797" w:left="1247" w:header="851" w:footer="851" w:gutter="0"/>
          <w:pgBorders>
            <w:top w:val="none" w:sz="0" w:space="0"/>
            <w:left w:val="none" w:sz="0" w:space="0"/>
            <w:bottom w:val="none" w:sz="0" w:space="0"/>
            <w:right w:val="none" w:sz="0" w:space="0"/>
          </w:pgBorders>
          <w:cols w:space="720" w:num="1"/>
          <w:titlePg/>
          <w:docGrid w:linePitch="312" w:charSpace="0"/>
        </w:sectPr>
      </w:pPr>
    </w:p>
    <w:bookmarkEnd w:id="57"/>
    <w:p>
      <w:pPr>
        <w:autoSpaceDE w:val="0"/>
        <w:autoSpaceDN w:val="0"/>
        <w:adjustRightInd w:val="0"/>
        <w:spacing w:line="460" w:lineRule="atLeast"/>
        <w:jc w:val="left"/>
        <w:rPr>
          <w:rFonts w:ascii="宋体" w:hAnsi="Courier New" w:cs="Arial"/>
          <w:sz w:val="22"/>
        </w:rPr>
      </w:pPr>
      <w:bookmarkStart w:id="70" w:name="_Toc157410896"/>
      <w:r>
        <w:rPr>
          <w:rFonts w:hint="eastAsia" w:ascii="宋体" w:hAnsi="Courier New" w:cs="Arial"/>
          <w:sz w:val="22"/>
        </w:rPr>
        <w:t>附件七</w:t>
      </w:r>
    </w:p>
    <w:bookmarkEnd w:id="70"/>
    <w:p>
      <w:pPr>
        <w:snapToGrid w:val="0"/>
        <w:spacing w:line="360" w:lineRule="auto"/>
        <w:ind w:firstLine="720" w:firstLineChars="200"/>
        <w:jc w:val="center"/>
        <w:rPr>
          <w:rFonts w:ascii="宋体"/>
          <w:sz w:val="36"/>
          <w:szCs w:val="36"/>
          <w:lang w:val="zh-CN"/>
        </w:rPr>
      </w:pPr>
      <w:r>
        <w:rPr>
          <w:rFonts w:hint="eastAsia" w:ascii="宋体"/>
          <w:sz w:val="36"/>
          <w:szCs w:val="36"/>
          <w:lang w:val="zh-CN"/>
        </w:rPr>
        <w:t>投标费用明细表</w:t>
      </w:r>
    </w:p>
    <w:p>
      <w:pPr>
        <w:snapToGrid w:val="0"/>
        <w:spacing w:line="360" w:lineRule="auto"/>
        <w:ind w:firstLine="560" w:firstLineChars="200"/>
        <w:rPr>
          <w:rFonts w:ascii="仿宋" w:hAnsi="仿宋" w:eastAsia="仿宋" w:cs="Arial"/>
          <w:color w:val="000000"/>
          <w:sz w:val="28"/>
          <w:szCs w:val="28"/>
        </w:rPr>
      </w:pPr>
      <w:r>
        <w:rPr>
          <w:rFonts w:ascii="仿宋" w:hAnsi="仿宋" w:eastAsia="仿宋" w:cs="Arial"/>
          <w:color w:val="000000"/>
          <w:sz w:val="28"/>
          <w:szCs w:val="28"/>
        </w:rPr>
        <w:t xml:space="preserve">                       金额单位：</w:t>
      </w:r>
      <w:r>
        <w:rPr>
          <w:rFonts w:hint="eastAsia" w:ascii="仿宋" w:hAnsi="仿宋" w:eastAsia="仿宋" w:cs="Arial"/>
          <w:color w:val="000000"/>
          <w:sz w:val="28"/>
          <w:szCs w:val="28"/>
          <w:lang w:val="en-US" w:eastAsia="zh-CN"/>
        </w:rPr>
        <w:t xml:space="preserve">   </w:t>
      </w:r>
      <w:r>
        <w:rPr>
          <w:rFonts w:ascii="仿宋" w:hAnsi="仿宋" w:eastAsia="仿宋" w:cs="Arial"/>
          <w:color w:val="000000"/>
          <w:sz w:val="28"/>
          <w:szCs w:val="28"/>
        </w:rPr>
        <w:t>人民币（元）</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1374"/>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序号</w:t>
            </w: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设备名称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szCs w:val="24"/>
              </w:rPr>
              <w:t>品牌</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规格型号</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rFonts w:hint="eastAsia"/>
                <w:sz w:val="24"/>
                <w:szCs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sz w:val="24"/>
                <w:szCs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56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r>
              <w:rPr>
                <w:rFonts w:hint="eastAsia"/>
                <w:sz w:val="24"/>
                <w:szCs w:val="24"/>
              </w:rPr>
              <w:t>投 标 总</w:t>
            </w:r>
            <w:r>
              <w:rPr>
                <w:sz w:val="24"/>
                <w:szCs w:val="24"/>
              </w:rPr>
              <w:t xml:space="preserve">  </w:t>
            </w:r>
            <w:r>
              <w:rPr>
                <w:rFonts w:hint="eastAsia"/>
                <w:sz w:val="24"/>
                <w:szCs w:val="24"/>
              </w:rPr>
              <w:t>价</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rPr>
                <w:sz w:val="24"/>
                <w:szCs w:val="24"/>
              </w:rPr>
            </w:pPr>
          </w:p>
        </w:tc>
      </w:tr>
    </w:tbl>
    <w:p>
      <w:pPr>
        <w:snapToGrid w:val="0"/>
        <w:spacing w:line="360" w:lineRule="auto"/>
        <w:ind w:firstLine="280" w:firstLineChars="100"/>
        <w:rPr>
          <w:rFonts w:ascii="仿宋" w:hAnsi="仿宋" w:eastAsia="仿宋" w:cs="Arial"/>
          <w:color w:val="000000"/>
          <w:sz w:val="28"/>
          <w:szCs w:val="28"/>
        </w:rPr>
      </w:pPr>
      <w:r>
        <w:rPr>
          <w:rFonts w:hint="eastAsia" w:ascii="仿宋" w:hAnsi="仿宋" w:eastAsia="仿宋" w:cs="Arial"/>
          <w:color w:val="000000"/>
          <w:sz w:val="28"/>
          <w:szCs w:val="28"/>
        </w:rPr>
        <w:t>授权代表签名：</w:t>
      </w:r>
      <w:r>
        <w:rPr>
          <w:rFonts w:ascii="仿宋" w:hAnsi="仿宋" w:eastAsia="仿宋" w:cs="Arial"/>
          <w:color w:val="000000"/>
          <w:sz w:val="28"/>
          <w:szCs w:val="28"/>
        </w:rPr>
        <w:t xml:space="preserve">          </w:t>
      </w:r>
    </w:p>
    <w:p>
      <w:pPr>
        <w:snapToGrid w:val="0"/>
        <w:spacing w:line="500" w:lineRule="atLeast"/>
        <w:ind w:firstLine="280" w:firstLineChars="100"/>
        <w:rPr>
          <w:rFonts w:ascii="宋体"/>
          <w:sz w:val="22"/>
        </w:rPr>
      </w:pPr>
      <w:r>
        <w:rPr>
          <w:rFonts w:hint="eastAsia" w:ascii="仿宋" w:hAnsi="仿宋" w:eastAsia="仿宋" w:cs="Arial"/>
          <w:color w:val="000000"/>
          <w:sz w:val="28"/>
          <w:szCs w:val="28"/>
        </w:rPr>
        <w:t>投标人盖章：</w:t>
      </w:r>
      <w:r>
        <w:rPr>
          <w:rFonts w:ascii="仿宋" w:hAnsi="仿宋" w:eastAsia="仿宋" w:cs="Arial"/>
          <w:color w:val="000000"/>
          <w:sz w:val="28"/>
          <w:szCs w:val="28"/>
        </w:rPr>
        <w:t xml:space="preserve">                          </w:t>
      </w:r>
      <w:r>
        <w:rPr>
          <w:rFonts w:hint="eastAsia" w:ascii="仿宋" w:hAnsi="仿宋" w:eastAsia="仿宋" w:cs="Arial"/>
          <w:color w:val="000000"/>
          <w:sz w:val="28"/>
          <w:szCs w:val="28"/>
        </w:rPr>
        <w:t>日</w:t>
      </w:r>
      <w:r>
        <w:rPr>
          <w:rFonts w:ascii="仿宋" w:hAnsi="仿宋" w:eastAsia="仿宋" w:cs="Arial"/>
          <w:color w:val="000000"/>
          <w:sz w:val="28"/>
          <w:szCs w:val="28"/>
        </w:rPr>
        <w:t xml:space="preserve">  </w:t>
      </w:r>
      <w:r>
        <w:rPr>
          <w:rFonts w:hint="eastAsia" w:ascii="仿宋" w:hAnsi="仿宋" w:eastAsia="仿宋" w:cs="Arial"/>
          <w:color w:val="000000"/>
          <w:sz w:val="28"/>
          <w:szCs w:val="28"/>
        </w:rPr>
        <w:t>期：</w:t>
      </w:r>
    </w:p>
    <w:p>
      <w:pPr>
        <w:snapToGrid w:val="0"/>
        <w:spacing w:line="500" w:lineRule="atLeast"/>
        <w:ind w:firstLine="220" w:firstLineChars="100"/>
        <w:rPr>
          <w:rFonts w:ascii="宋体"/>
          <w:sz w:val="22"/>
        </w:rPr>
      </w:pPr>
      <w:r>
        <w:rPr>
          <w:rFonts w:hint="eastAsia" w:ascii="宋体"/>
          <w:sz w:val="22"/>
        </w:rPr>
        <w:t>注：</w:t>
      </w:r>
      <w:r>
        <w:rPr>
          <w:rFonts w:ascii="宋体"/>
          <w:sz w:val="22"/>
        </w:rPr>
        <w:t>1、</w:t>
      </w:r>
      <w:r>
        <w:rPr>
          <w:rFonts w:hint="eastAsia" w:ascii="宋体"/>
          <w:sz w:val="22"/>
        </w:rPr>
        <w:t>上表中的总计</w:t>
      </w:r>
      <w:r>
        <w:rPr>
          <w:rFonts w:ascii="宋体"/>
          <w:sz w:val="22"/>
        </w:rPr>
        <w:t>报价应与开标一览表中投标</w:t>
      </w:r>
      <w:r>
        <w:rPr>
          <w:rFonts w:hint="eastAsia" w:ascii="宋体"/>
          <w:sz w:val="22"/>
        </w:rPr>
        <w:t>报</w:t>
      </w:r>
      <w:r>
        <w:rPr>
          <w:rFonts w:ascii="宋体"/>
          <w:sz w:val="22"/>
        </w:rPr>
        <w:t>价相一致。</w:t>
      </w:r>
    </w:p>
    <w:p>
      <w:pPr>
        <w:snapToGrid w:val="0"/>
        <w:spacing w:line="500" w:lineRule="atLeast"/>
        <w:ind w:firstLine="660" w:firstLineChars="300"/>
        <w:rPr>
          <w:rFonts w:ascii="宋体"/>
          <w:sz w:val="22"/>
        </w:rPr>
      </w:pPr>
      <w:r>
        <w:rPr>
          <w:rFonts w:hint="eastAsia" w:ascii="宋体"/>
          <w:sz w:val="22"/>
        </w:rPr>
        <w:t>2</w:t>
      </w:r>
      <w:r>
        <w:rPr>
          <w:rFonts w:ascii="宋体"/>
          <w:sz w:val="22"/>
        </w:rPr>
        <w:t>、本表所列费用为本项目的全部费用，未列费用均为综合考虑。</w:t>
      </w:r>
    </w:p>
    <w:p>
      <w:pPr>
        <w:snapToGrid w:val="0"/>
        <w:spacing w:line="500" w:lineRule="atLeast"/>
        <w:ind w:firstLine="660" w:firstLineChars="300"/>
        <w:rPr>
          <w:rFonts w:ascii="宋体"/>
          <w:sz w:val="22"/>
        </w:rPr>
      </w:pPr>
      <w:r>
        <w:rPr>
          <w:rFonts w:hint="eastAsia" w:ascii="宋体"/>
          <w:sz w:val="22"/>
        </w:rPr>
        <w:t>3、以上格式可改动，投标供应商可根据本表结合实际自行扩充。</w:t>
      </w:r>
    </w:p>
    <w:p>
      <w:pPr>
        <w:snapToGrid w:val="0"/>
        <w:spacing w:line="500" w:lineRule="atLeast"/>
        <w:ind w:firstLine="660" w:firstLineChars="300"/>
        <w:rPr>
          <w:rFonts w:ascii="宋体"/>
          <w:sz w:val="22"/>
        </w:rPr>
      </w:pPr>
      <w:r>
        <w:rPr>
          <w:rFonts w:hint="eastAsia" w:ascii="宋体"/>
          <w:sz w:val="22"/>
        </w:rPr>
        <w:t>4、根据《中华人民共和国政府采购法实施条例》第四十三条规定，在中标或者成交公告的内容中增加本表，请各供应商认真填写，确保相关数据的真实性、完整性和合理性。</w:t>
      </w:r>
    </w:p>
    <w:p>
      <w:pPr>
        <w:rPr>
          <w:rFonts w:ascii="宋体"/>
          <w:sz w:val="36"/>
          <w:szCs w:val="36"/>
          <w:lang w:val="zh-CN"/>
        </w:rPr>
      </w:pPr>
      <w:r>
        <w:rPr>
          <w:rFonts w:hint="eastAsia" w:ascii="宋体"/>
          <w:sz w:val="36"/>
          <w:szCs w:val="36"/>
          <w:lang w:val="zh-CN"/>
        </w:rPr>
        <w:br w:type="page"/>
      </w:r>
    </w:p>
    <w:p>
      <w:pPr>
        <w:snapToGrid w:val="0"/>
        <w:spacing w:line="500" w:lineRule="atLeast"/>
        <w:jc w:val="center"/>
        <w:rPr>
          <w:rFonts w:ascii="宋体"/>
          <w:sz w:val="36"/>
          <w:szCs w:val="36"/>
          <w:lang w:val="zh-CN"/>
        </w:rPr>
      </w:pPr>
      <w:r>
        <w:rPr>
          <w:rFonts w:hint="eastAsia" w:ascii="宋体"/>
          <w:sz w:val="36"/>
          <w:szCs w:val="36"/>
          <w:lang w:val="zh-CN"/>
        </w:rPr>
        <w:t>三、商务技术文件格式</w:t>
      </w:r>
    </w:p>
    <w:p>
      <w:pPr>
        <w:snapToGrid w:val="0"/>
        <w:spacing w:line="500" w:lineRule="atLeast"/>
        <w:rPr>
          <w:rFonts w:ascii="宋体"/>
          <w:sz w:val="30"/>
          <w:szCs w:val="30"/>
        </w:rPr>
      </w:pPr>
      <w:r>
        <w:rPr>
          <w:rFonts w:hint="eastAsia" w:ascii="宋体" w:hAnsi="Courier New" w:cs="Arial"/>
          <w:sz w:val="22"/>
        </w:rPr>
        <w:t>附件八</w:t>
      </w:r>
    </w:p>
    <w:p>
      <w:pPr>
        <w:autoSpaceDE w:val="0"/>
        <w:autoSpaceDN w:val="0"/>
        <w:adjustRightInd w:val="0"/>
        <w:spacing w:line="460" w:lineRule="atLeast"/>
        <w:jc w:val="center"/>
        <w:rPr>
          <w:rFonts w:ascii="宋体"/>
          <w:sz w:val="36"/>
          <w:lang w:val="zh-CN"/>
        </w:rPr>
      </w:pPr>
      <w:r>
        <w:rPr>
          <w:rFonts w:hint="eastAsia" w:ascii="宋体"/>
          <w:sz w:val="36"/>
          <w:lang w:val="zh-CN"/>
        </w:rPr>
        <w:t>投</w:t>
      </w:r>
      <w:r>
        <w:rPr>
          <w:rFonts w:ascii="宋体"/>
          <w:sz w:val="36"/>
          <w:lang w:val="zh-CN"/>
        </w:rPr>
        <w:t xml:space="preserve">  </w:t>
      </w:r>
      <w:r>
        <w:rPr>
          <w:rFonts w:hint="eastAsia" w:ascii="宋体"/>
          <w:sz w:val="36"/>
          <w:lang w:val="zh-CN"/>
        </w:rPr>
        <w:t>标</w:t>
      </w:r>
      <w:r>
        <w:rPr>
          <w:rFonts w:ascii="宋体"/>
          <w:sz w:val="36"/>
          <w:lang w:val="zh-CN"/>
        </w:rPr>
        <w:t xml:space="preserve">  </w:t>
      </w:r>
      <w:r>
        <w:rPr>
          <w:rFonts w:hint="eastAsia" w:ascii="宋体"/>
          <w:sz w:val="36"/>
          <w:lang w:val="zh-CN"/>
        </w:rPr>
        <w:t>函</w:t>
      </w:r>
    </w:p>
    <w:p>
      <w:pPr>
        <w:snapToGrid w:val="0"/>
        <w:spacing w:line="360" w:lineRule="auto"/>
        <w:rPr>
          <w:rFonts w:ascii="宋体"/>
          <w:sz w:val="22"/>
        </w:rPr>
      </w:pPr>
      <w:r>
        <w:rPr>
          <w:rFonts w:hint="eastAsia" w:ascii="宋体"/>
          <w:sz w:val="22"/>
        </w:rPr>
        <w:t>致：</w:t>
      </w:r>
      <w:r>
        <w:rPr>
          <w:rFonts w:ascii="宋体"/>
          <w:sz w:val="22"/>
        </w:rPr>
        <w:t>_______     __</w:t>
      </w:r>
      <w:r>
        <w:rPr>
          <w:rFonts w:hint="eastAsia" w:ascii="宋体"/>
          <w:sz w:val="22"/>
        </w:rPr>
        <w:t>（招标采购单位名称）：</w:t>
      </w:r>
    </w:p>
    <w:p>
      <w:pPr>
        <w:snapToGrid w:val="0"/>
        <w:spacing w:line="360" w:lineRule="auto"/>
        <w:ind w:firstLine="480"/>
        <w:rPr>
          <w:rFonts w:ascii="宋体"/>
          <w:sz w:val="22"/>
        </w:rPr>
      </w:pPr>
      <w:r>
        <w:rPr>
          <w:rFonts w:hint="eastAsia" w:ascii="宋体"/>
          <w:sz w:val="22"/>
        </w:rPr>
        <w:t>根据贵方为</w:t>
      </w:r>
      <w:r>
        <w:rPr>
          <w:rFonts w:ascii="宋体"/>
          <w:sz w:val="22"/>
        </w:rPr>
        <w:t xml:space="preserve">                             </w:t>
      </w:r>
      <w:r>
        <w:rPr>
          <w:rFonts w:hint="eastAsia" w:ascii="宋体"/>
          <w:sz w:val="22"/>
        </w:rPr>
        <w:t>项目的招标公告</w:t>
      </w:r>
      <w:r>
        <w:rPr>
          <w:rFonts w:ascii="宋体"/>
          <w:sz w:val="22"/>
        </w:rPr>
        <w:t>/</w:t>
      </w:r>
      <w:r>
        <w:rPr>
          <w:rFonts w:hint="eastAsia" w:ascii="宋体"/>
          <w:sz w:val="22"/>
        </w:rPr>
        <w:t>投标邀请书</w:t>
      </w:r>
    </w:p>
    <w:p>
      <w:pPr>
        <w:snapToGrid w:val="0"/>
        <w:spacing w:line="360" w:lineRule="auto"/>
        <w:rPr>
          <w:rFonts w:ascii="宋体"/>
          <w:sz w:val="22"/>
        </w:rPr>
      </w:pPr>
      <w:r>
        <w:rPr>
          <w:rFonts w:hint="eastAsia" w:ascii="宋体"/>
          <w:sz w:val="22"/>
        </w:rPr>
        <w:t>（项目编号：</w:t>
      </w:r>
      <w:r>
        <w:rPr>
          <w:rFonts w:ascii="宋体"/>
          <w:sz w:val="22"/>
        </w:rPr>
        <w:t>_____     __</w:t>
      </w:r>
      <w:r>
        <w:rPr>
          <w:rFonts w:hint="eastAsia" w:ascii="宋体"/>
          <w:sz w:val="22"/>
        </w:rPr>
        <w:t>），签字代表</w:t>
      </w:r>
      <w:r>
        <w:rPr>
          <w:rFonts w:ascii="宋体"/>
          <w:sz w:val="22"/>
        </w:rPr>
        <w:t xml:space="preserve">_______     </w:t>
      </w:r>
      <w:r>
        <w:rPr>
          <w:rFonts w:hint="eastAsia" w:ascii="宋体"/>
          <w:sz w:val="22"/>
        </w:rPr>
        <w:t>（全名）经正式授权并代表投标人</w:t>
      </w:r>
      <w:r>
        <w:rPr>
          <w:rFonts w:ascii="宋体"/>
          <w:sz w:val="22"/>
        </w:rPr>
        <w:t>_______                    __</w:t>
      </w:r>
      <w:r>
        <w:rPr>
          <w:rFonts w:hint="eastAsia" w:ascii="宋体"/>
          <w:sz w:val="22"/>
        </w:rPr>
        <w:t>（投标人名称）提交资信</w:t>
      </w:r>
      <w:r>
        <w:rPr>
          <w:rFonts w:ascii="宋体"/>
          <w:sz w:val="22"/>
        </w:rPr>
        <w:t>/</w:t>
      </w:r>
      <w:r>
        <w:rPr>
          <w:rFonts w:hint="eastAsia" w:ascii="宋体"/>
          <w:sz w:val="22"/>
        </w:rPr>
        <w:t>商务文件、技术文件、报价文件正本各一份、副本</w:t>
      </w:r>
      <w:r>
        <w:rPr>
          <w:rFonts w:ascii="宋体"/>
          <w:sz w:val="22"/>
        </w:rPr>
        <w:t xml:space="preserve">      </w:t>
      </w:r>
      <w:r>
        <w:rPr>
          <w:rFonts w:hint="eastAsia" w:ascii="宋体"/>
          <w:sz w:val="22"/>
        </w:rPr>
        <w:t>份。</w:t>
      </w:r>
    </w:p>
    <w:p>
      <w:pPr>
        <w:snapToGrid w:val="0"/>
        <w:spacing w:line="360" w:lineRule="auto"/>
        <w:ind w:firstLine="440" w:firstLineChars="200"/>
        <w:rPr>
          <w:rFonts w:ascii="宋体"/>
          <w:sz w:val="22"/>
        </w:rPr>
      </w:pPr>
      <w:r>
        <w:rPr>
          <w:rFonts w:hint="eastAsia" w:ascii="宋体"/>
          <w:sz w:val="22"/>
        </w:rPr>
        <w:t>据此函，签字代表宣布同意如下：</w:t>
      </w:r>
    </w:p>
    <w:p>
      <w:pPr>
        <w:snapToGrid w:val="0"/>
        <w:spacing w:line="360" w:lineRule="auto"/>
        <w:ind w:firstLine="440" w:firstLineChars="200"/>
        <w:rPr>
          <w:rFonts w:ascii="宋体"/>
          <w:sz w:val="22"/>
        </w:rPr>
      </w:pPr>
      <w:r>
        <w:rPr>
          <w:rFonts w:ascii="宋体"/>
          <w:sz w:val="22"/>
        </w:rPr>
        <w:t>1</w:t>
      </w:r>
      <w:r>
        <w:rPr>
          <w:rFonts w:hint="eastAsia" w:ascii="宋体"/>
          <w:sz w:val="22"/>
        </w:rPr>
        <w:t>.投标人已详细审查全部“招标文件”，包括修改文件（如有的话）以及全部参考资料和有关附件，已经了解我方对于招标文件、采购过程、采购结果有依法进行询问、质疑、投诉的权利及相关渠道和要求。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40" w:firstLineChars="200"/>
        <w:rPr>
          <w:rFonts w:ascii="宋体"/>
          <w:sz w:val="22"/>
        </w:rPr>
      </w:pPr>
      <w:r>
        <w:rPr>
          <w:rFonts w:ascii="宋体"/>
          <w:sz w:val="22"/>
        </w:rPr>
        <w:t>2</w:t>
      </w:r>
      <w:r>
        <w:rPr>
          <w:rFonts w:hint="eastAsia" w:ascii="宋体"/>
          <w:sz w:val="22"/>
        </w:rPr>
        <w:t>.投标人在投标之前已经与贵方进行了充分的沟通，完全理解并接受招标文件的各项规定和要求，对招标文件的合理性、合法性不再有异议。</w:t>
      </w:r>
    </w:p>
    <w:p>
      <w:pPr>
        <w:snapToGrid w:val="0"/>
        <w:spacing w:line="360" w:lineRule="auto"/>
        <w:ind w:firstLine="440" w:firstLineChars="200"/>
        <w:rPr>
          <w:rFonts w:ascii="宋体"/>
          <w:sz w:val="22"/>
        </w:rPr>
      </w:pPr>
      <w:r>
        <w:rPr>
          <w:rFonts w:ascii="宋体"/>
          <w:sz w:val="22"/>
        </w:rPr>
        <w:t>3</w:t>
      </w:r>
      <w:r>
        <w:rPr>
          <w:rFonts w:hint="eastAsia" w:ascii="宋体"/>
          <w:sz w:val="22"/>
        </w:rPr>
        <w:t>.本投标有效期自开标日起</w:t>
      </w:r>
      <w:r>
        <w:rPr>
          <w:rFonts w:ascii="宋体"/>
          <w:sz w:val="22"/>
        </w:rPr>
        <w:t xml:space="preserve"> ______</w:t>
      </w:r>
      <w:r>
        <w:rPr>
          <w:rFonts w:hint="eastAsia" w:ascii="宋体"/>
          <w:sz w:val="22"/>
        </w:rPr>
        <w:t>个日。</w:t>
      </w:r>
    </w:p>
    <w:p>
      <w:pPr>
        <w:snapToGrid w:val="0"/>
        <w:spacing w:line="360" w:lineRule="auto"/>
        <w:ind w:firstLine="440" w:firstLineChars="200"/>
        <w:rPr>
          <w:rFonts w:ascii="宋体"/>
          <w:sz w:val="22"/>
        </w:rPr>
      </w:pPr>
      <w:r>
        <w:rPr>
          <w:rFonts w:ascii="宋体"/>
          <w:sz w:val="22"/>
        </w:rPr>
        <w:t>4</w:t>
      </w:r>
      <w:r>
        <w:rPr>
          <w:rFonts w:hint="eastAsia" w:ascii="宋体"/>
          <w:sz w:val="22"/>
        </w:rPr>
        <w:t>.如中标，本投标文件至本项目合同履行完毕止均保持有效，本投标人将按“招标文件”及政府采购法律、法规的规定履行合同责任和义务。</w:t>
      </w:r>
    </w:p>
    <w:p>
      <w:pPr>
        <w:snapToGrid w:val="0"/>
        <w:spacing w:line="360" w:lineRule="auto"/>
        <w:ind w:firstLine="440" w:firstLineChars="200"/>
        <w:rPr>
          <w:rFonts w:ascii="宋体"/>
          <w:sz w:val="22"/>
        </w:rPr>
      </w:pPr>
      <w:r>
        <w:rPr>
          <w:rFonts w:ascii="宋体"/>
          <w:sz w:val="22"/>
        </w:rPr>
        <w:t>5</w:t>
      </w:r>
      <w:r>
        <w:rPr>
          <w:rFonts w:hint="eastAsia" w:ascii="宋体"/>
          <w:sz w:val="22"/>
        </w:rPr>
        <w:t>.投标人同意按照贵方要求提供与投标有关的一切数据或资料。</w:t>
      </w:r>
    </w:p>
    <w:p>
      <w:pPr>
        <w:snapToGrid w:val="0"/>
        <w:spacing w:line="360" w:lineRule="auto"/>
        <w:ind w:firstLine="440" w:firstLineChars="200"/>
        <w:rPr>
          <w:rFonts w:ascii="宋体"/>
          <w:sz w:val="22"/>
        </w:rPr>
      </w:pPr>
      <w:r>
        <w:rPr>
          <w:rFonts w:ascii="宋体"/>
          <w:sz w:val="22"/>
        </w:rPr>
        <w:t>6</w:t>
      </w:r>
      <w:r>
        <w:rPr>
          <w:rFonts w:hint="eastAsia" w:ascii="宋体"/>
          <w:sz w:val="22"/>
        </w:rPr>
        <w:t>.与本投标有关的一切正式往来信函请寄：</w:t>
      </w:r>
    </w:p>
    <w:p>
      <w:pPr>
        <w:snapToGrid w:val="0"/>
        <w:spacing w:line="360" w:lineRule="auto"/>
        <w:rPr>
          <w:rFonts w:ascii="宋体"/>
          <w:sz w:val="22"/>
        </w:rPr>
      </w:pPr>
      <w:r>
        <w:rPr>
          <w:rFonts w:hint="eastAsia" w:ascii="宋体"/>
          <w:sz w:val="22"/>
        </w:rPr>
        <w:t>地址：</w:t>
      </w:r>
      <w:r>
        <w:rPr>
          <w:rFonts w:ascii="宋体"/>
          <w:sz w:val="22"/>
        </w:rPr>
        <w:t>__________        _____</w:t>
      </w:r>
      <w:r>
        <w:rPr>
          <w:rFonts w:hint="eastAsia" w:ascii="宋体"/>
          <w:sz w:val="22"/>
        </w:rPr>
        <w:t>邮编：</w:t>
      </w:r>
      <w:r>
        <w:rPr>
          <w:rFonts w:ascii="宋体"/>
          <w:sz w:val="22"/>
        </w:rPr>
        <w:t xml:space="preserve">__________   </w:t>
      </w:r>
      <w:r>
        <w:rPr>
          <w:rFonts w:hint="eastAsia" w:ascii="宋体"/>
          <w:sz w:val="22"/>
        </w:rPr>
        <w:t>电话：</w:t>
      </w:r>
      <w:r>
        <w:rPr>
          <w:rFonts w:ascii="宋体"/>
          <w:sz w:val="22"/>
        </w:rPr>
        <w:t>______________</w:t>
      </w:r>
    </w:p>
    <w:p>
      <w:pPr>
        <w:snapToGrid w:val="0"/>
        <w:spacing w:line="360" w:lineRule="auto"/>
        <w:rPr>
          <w:rFonts w:ascii="宋体"/>
          <w:sz w:val="22"/>
        </w:rPr>
      </w:pPr>
      <w:r>
        <w:rPr>
          <w:rFonts w:hint="eastAsia" w:ascii="宋体"/>
          <w:sz w:val="22"/>
        </w:rPr>
        <w:t>传真：</w:t>
      </w:r>
      <w:r>
        <w:rPr>
          <w:rFonts w:ascii="宋体"/>
          <w:sz w:val="22"/>
        </w:rPr>
        <w:t>______________</w:t>
      </w:r>
      <w:r>
        <w:rPr>
          <w:rFonts w:hint="eastAsia" w:ascii="宋体"/>
          <w:sz w:val="22"/>
        </w:rPr>
        <w:t>投标人代表姓名</w:t>
      </w:r>
      <w:r>
        <w:rPr>
          <w:rFonts w:ascii="宋体"/>
          <w:sz w:val="22"/>
        </w:rPr>
        <w:t xml:space="preserve"> ___________  </w:t>
      </w:r>
      <w:r>
        <w:rPr>
          <w:rFonts w:hint="eastAsia" w:ascii="宋体"/>
          <w:sz w:val="22"/>
        </w:rPr>
        <w:t>职务：</w:t>
      </w:r>
      <w:r>
        <w:rPr>
          <w:rFonts w:ascii="宋体"/>
          <w:sz w:val="22"/>
        </w:rPr>
        <w:t>______ _______</w:t>
      </w:r>
    </w:p>
    <w:p>
      <w:pPr>
        <w:snapToGrid w:val="0"/>
        <w:spacing w:line="360" w:lineRule="auto"/>
        <w:rPr>
          <w:rFonts w:ascii="宋体"/>
          <w:sz w:val="22"/>
        </w:rPr>
      </w:pPr>
      <w:r>
        <w:rPr>
          <w:rFonts w:hint="eastAsia" w:ascii="宋体"/>
          <w:sz w:val="22"/>
        </w:rPr>
        <w:t>投标人名称</w:t>
      </w:r>
      <w:r>
        <w:rPr>
          <w:rFonts w:ascii="宋体"/>
          <w:sz w:val="22"/>
        </w:rPr>
        <w:t>(</w:t>
      </w:r>
      <w:r>
        <w:rPr>
          <w:rFonts w:hint="eastAsia" w:ascii="宋体"/>
          <w:sz w:val="22"/>
        </w:rPr>
        <w:t>公章</w:t>
      </w:r>
      <w:r>
        <w:rPr>
          <w:rFonts w:ascii="宋体"/>
          <w:sz w:val="22"/>
        </w:rPr>
        <w:t>):___________________</w:t>
      </w:r>
    </w:p>
    <w:p>
      <w:pPr>
        <w:snapToGrid w:val="0"/>
        <w:spacing w:line="360" w:lineRule="auto"/>
        <w:rPr>
          <w:rFonts w:ascii="宋体"/>
          <w:sz w:val="22"/>
        </w:rPr>
      </w:pPr>
      <w:r>
        <w:rPr>
          <w:rFonts w:hint="eastAsia" w:ascii="宋体"/>
          <w:sz w:val="22"/>
        </w:rPr>
        <w:t>开户银行：</w:t>
      </w:r>
      <w:r>
        <w:rPr>
          <w:rFonts w:ascii="宋体"/>
          <w:sz w:val="22"/>
        </w:rPr>
        <w:t xml:space="preserve">                         </w:t>
      </w:r>
      <w:r>
        <w:rPr>
          <w:rFonts w:hint="eastAsia" w:ascii="宋体"/>
          <w:sz w:val="22"/>
        </w:rPr>
        <w:t>银行帐号：</w:t>
      </w:r>
      <w:r>
        <w:rPr>
          <w:rFonts w:ascii="宋体"/>
          <w:sz w:val="22"/>
        </w:rPr>
        <w:t xml:space="preserve">                     </w:t>
      </w:r>
    </w:p>
    <w:p>
      <w:pPr>
        <w:snapToGrid w:val="0"/>
        <w:spacing w:line="360" w:lineRule="auto"/>
        <w:jc w:val="center"/>
        <w:rPr>
          <w:rFonts w:ascii="宋体"/>
          <w:sz w:val="22"/>
        </w:rPr>
      </w:pPr>
      <w:r>
        <w:rPr>
          <w:rFonts w:hint="eastAsia" w:ascii="宋体"/>
          <w:sz w:val="22"/>
        </w:rPr>
        <w:t>授权代表签字</w:t>
      </w:r>
      <w:r>
        <w:rPr>
          <w:rFonts w:ascii="宋体"/>
          <w:sz w:val="22"/>
        </w:rPr>
        <w:t xml:space="preserve">:___________                      </w:t>
      </w:r>
      <w:r>
        <w:rPr>
          <w:rFonts w:hint="eastAsia" w:ascii="宋体"/>
          <w:sz w:val="22"/>
        </w:rPr>
        <w:t>日期</w:t>
      </w:r>
      <w:r>
        <w:rPr>
          <w:rFonts w:ascii="宋体"/>
          <w:sz w:val="22"/>
        </w:rPr>
        <w:t>:_____</w:t>
      </w:r>
      <w:r>
        <w:rPr>
          <w:rFonts w:hint="eastAsia" w:ascii="宋体"/>
          <w:sz w:val="22"/>
        </w:rPr>
        <w:t>年</w:t>
      </w:r>
      <w:r>
        <w:rPr>
          <w:rFonts w:ascii="宋体"/>
          <w:sz w:val="22"/>
        </w:rPr>
        <w:t>___</w:t>
      </w:r>
      <w:r>
        <w:rPr>
          <w:rFonts w:hint="eastAsia" w:ascii="宋体"/>
          <w:sz w:val="22"/>
        </w:rPr>
        <w:t>月</w:t>
      </w:r>
      <w:r>
        <w:rPr>
          <w:rFonts w:ascii="宋体"/>
          <w:sz w:val="22"/>
        </w:rPr>
        <w:t>___</w:t>
      </w:r>
      <w:r>
        <w:rPr>
          <w:rFonts w:hint="eastAsia" w:ascii="宋体"/>
          <w:sz w:val="22"/>
        </w:rPr>
        <w:t>日</w:t>
      </w:r>
    </w:p>
    <w:p>
      <w:pPr>
        <w:autoSpaceDE w:val="0"/>
        <w:autoSpaceDN w:val="0"/>
        <w:adjustRightInd w:val="0"/>
        <w:spacing w:line="460" w:lineRule="exact"/>
        <w:rPr>
          <w:rFonts w:ascii="宋体"/>
          <w:sz w:val="22"/>
        </w:rPr>
      </w:pPr>
    </w:p>
    <w:p>
      <w:pPr>
        <w:snapToGrid w:val="0"/>
        <w:spacing w:line="500" w:lineRule="atLeast"/>
        <w:rPr>
          <w:rFonts w:ascii="宋体"/>
          <w:sz w:val="30"/>
          <w:szCs w:val="30"/>
        </w:rPr>
      </w:pPr>
    </w:p>
    <w:p>
      <w:pPr>
        <w:autoSpaceDE w:val="0"/>
        <w:autoSpaceDN w:val="0"/>
        <w:adjustRightInd w:val="0"/>
        <w:spacing w:line="460" w:lineRule="atLeast"/>
        <w:rPr>
          <w:rFonts w:ascii="宋体"/>
          <w:sz w:val="32"/>
          <w:lang w:val="zh-CN"/>
        </w:rPr>
      </w:pPr>
    </w:p>
    <w:p>
      <w:pPr>
        <w:rPr>
          <w:rFonts w:ascii="宋体" w:hAnsi="Courier New" w:cs="Arial"/>
          <w:sz w:val="22"/>
        </w:rPr>
      </w:pPr>
      <w:r>
        <w:rPr>
          <w:rFonts w:hint="eastAsia" w:ascii="宋体" w:hAnsi="Courier New" w:cs="Arial"/>
          <w:sz w:val="22"/>
        </w:rPr>
        <w:br w:type="page"/>
      </w:r>
    </w:p>
    <w:p>
      <w:pPr>
        <w:autoSpaceDE w:val="0"/>
        <w:autoSpaceDN w:val="0"/>
        <w:adjustRightInd w:val="0"/>
        <w:spacing w:line="460" w:lineRule="atLeast"/>
        <w:rPr>
          <w:rFonts w:ascii="宋体"/>
          <w:sz w:val="32"/>
          <w:lang w:val="zh-CN"/>
        </w:rPr>
      </w:pPr>
      <w:r>
        <w:rPr>
          <w:rFonts w:hint="eastAsia" w:ascii="宋体" w:hAnsi="Courier New" w:cs="Arial"/>
          <w:sz w:val="22"/>
        </w:rPr>
        <w:t>附件九</w:t>
      </w:r>
    </w:p>
    <w:p>
      <w:pPr>
        <w:tabs>
          <w:tab w:val="left" w:pos="1080"/>
        </w:tabs>
        <w:autoSpaceDE w:val="0"/>
        <w:autoSpaceDN w:val="0"/>
        <w:adjustRightInd w:val="0"/>
        <w:spacing w:line="460" w:lineRule="atLeast"/>
        <w:jc w:val="center"/>
        <w:rPr>
          <w:rFonts w:ascii="宋体" w:cs="仿宋_GB2312"/>
          <w:sz w:val="36"/>
          <w:szCs w:val="36"/>
          <w:lang w:val="zh-CN"/>
        </w:rPr>
      </w:pPr>
      <w:r>
        <w:rPr>
          <w:rFonts w:hint="eastAsia" w:ascii="宋体" w:cs="仿宋_GB2312"/>
          <w:sz w:val="36"/>
          <w:szCs w:val="36"/>
          <w:lang w:val="zh-CN"/>
        </w:rPr>
        <w:t>法定代表人授权书</w:t>
      </w:r>
    </w:p>
    <w:p>
      <w:pPr>
        <w:spacing w:line="460" w:lineRule="exact"/>
        <w:rPr>
          <w:rFonts w:ascii="宋体" w:cs="黑体"/>
          <w:sz w:val="22"/>
          <w:u w:val="single"/>
        </w:rPr>
      </w:pPr>
      <w:r>
        <w:rPr>
          <w:rFonts w:hint="eastAsia" w:ascii="宋体" w:cs="黑体"/>
          <w:sz w:val="22"/>
          <w:u w:val="single"/>
        </w:rPr>
        <w:t>金华市政府采购中心：</w:t>
      </w:r>
    </w:p>
    <w:p>
      <w:pPr>
        <w:snapToGrid w:val="0"/>
        <w:spacing w:line="580" w:lineRule="atLeast"/>
        <w:ind w:firstLine="440" w:firstLineChars="200"/>
        <w:rPr>
          <w:rFonts w:ascii="宋体"/>
          <w:sz w:val="22"/>
        </w:rPr>
      </w:pPr>
      <w:r>
        <w:rPr>
          <w:rFonts w:hint="eastAsia" w:ascii="宋体"/>
          <w:sz w:val="22"/>
        </w:rPr>
        <w:t>本授权委托书声明：我</w:t>
      </w:r>
      <w:r>
        <w:rPr>
          <w:rFonts w:hint="eastAsia" w:ascii="宋体"/>
          <w:sz w:val="22"/>
          <w:u w:val="single"/>
        </w:rPr>
        <w:t xml:space="preserve">   （法定代表人姓名）   </w:t>
      </w:r>
      <w:r>
        <w:rPr>
          <w:rFonts w:hint="eastAsia" w:ascii="宋体"/>
          <w:sz w:val="22"/>
        </w:rPr>
        <w:t>系</w:t>
      </w:r>
      <w:r>
        <w:rPr>
          <w:rFonts w:hint="eastAsia" w:ascii="宋体"/>
          <w:sz w:val="22"/>
          <w:u w:val="single"/>
        </w:rPr>
        <w:t xml:space="preserve">   （供 应 商 名 称）  </w:t>
      </w:r>
      <w:r>
        <w:rPr>
          <w:rFonts w:hint="eastAsia" w:ascii="宋体"/>
          <w:sz w:val="22"/>
        </w:rPr>
        <w:t>的法定代表人，现授权委托</w:t>
      </w:r>
      <w:r>
        <w:rPr>
          <w:rFonts w:hint="eastAsia" w:ascii="宋体"/>
          <w:sz w:val="22"/>
          <w:u w:val="single"/>
        </w:rPr>
        <w:t xml:space="preserve">  （单 位 名 称）   </w:t>
      </w:r>
      <w:r>
        <w:rPr>
          <w:rFonts w:hint="eastAsia" w:ascii="宋体"/>
          <w:sz w:val="22"/>
        </w:rPr>
        <w:t>的</w:t>
      </w:r>
      <w:r>
        <w:rPr>
          <w:rFonts w:hint="eastAsia" w:ascii="宋体"/>
          <w:sz w:val="22"/>
          <w:u w:val="single"/>
        </w:rPr>
        <w:t xml:space="preserve">  （授权代表姓名）  </w:t>
      </w:r>
      <w:r>
        <w:rPr>
          <w:rFonts w:hint="eastAsia" w:ascii="宋体"/>
          <w:sz w:val="22"/>
        </w:rPr>
        <w:t>为我公司法定代表人授权代表，参加贵处组织的</w:t>
      </w:r>
      <w:r>
        <w:rPr>
          <w:rFonts w:hint="eastAsia" w:ascii="宋体"/>
          <w:sz w:val="22"/>
          <w:u w:val="single"/>
        </w:rPr>
        <w:t xml:space="preserve">  （招标项目名称，括号中填写项目编号）  </w:t>
      </w:r>
      <w:r>
        <w:rPr>
          <w:rFonts w:hint="eastAsia" w:ascii="宋体"/>
          <w:sz w:val="22"/>
        </w:rPr>
        <w:t>项目投标，全权处理本次招投标活动中的一切事宜，我承认授权代表全权代表本项目的投标文件的内容。</w:t>
      </w:r>
    </w:p>
    <w:p>
      <w:pPr>
        <w:snapToGrid w:val="0"/>
        <w:spacing w:line="580" w:lineRule="atLeast"/>
        <w:ind w:firstLine="440" w:firstLineChars="200"/>
        <w:rPr>
          <w:rFonts w:ascii="宋体"/>
          <w:sz w:val="22"/>
        </w:rPr>
      </w:pPr>
      <w:r>
        <w:rPr>
          <w:rFonts w:hint="eastAsia" w:ascii="宋体"/>
          <w:sz w:val="22"/>
        </w:rPr>
        <w:t>授权代表无转授权，特此授权。</w:t>
      </w:r>
    </w:p>
    <w:p>
      <w:pPr>
        <w:snapToGrid w:val="0"/>
        <w:ind w:left="2092" w:leftChars="996" w:firstLine="330" w:firstLineChars="150"/>
        <w:rPr>
          <w:rFonts w:ascii="宋体"/>
          <w:sz w:val="22"/>
          <w:u w:val="single"/>
        </w:rPr>
      </w:pPr>
      <w:r>
        <w:rPr>
          <w:rFonts w:hint="eastAsia" w:ascii="宋体"/>
          <w:sz w:val="22"/>
        </w:rPr>
        <w:t xml:space="preserve"> 授权代表：</w:t>
      </w:r>
      <w:r>
        <w:rPr>
          <w:rFonts w:hint="eastAsia" w:ascii="宋体"/>
          <w:sz w:val="22"/>
          <w:u w:val="single"/>
        </w:rPr>
        <w:t xml:space="preserve">          </w:t>
      </w:r>
      <w:r>
        <w:rPr>
          <w:rFonts w:hint="eastAsia" w:ascii="宋体"/>
          <w:sz w:val="22"/>
        </w:rPr>
        <w:t xml:space="preserve"> 性别 ：</w:t>
      </w:r>
      <w:r>
        <w:rPr>
          <w:rFonts w:hint="eastAsia" w:ascii="宋体"/>
          <w:sz w:val="22"/>
          <w:u w:val="single"/>
        </w:rPr>
        <w:t xml:space="preserve">         </w:t>
      </w:r>
      <w:r>
        <w:rPr>
          <w:rFonts w:hint="eastAsia" w:ascii="宋体"/>
          <w:sz w:val="22"/>
        </w:rPr>
        <w:t xml:space="preserve"> 年龄：</w:t>
      </w:r>
      <w:r>
        <w:rPr>
          <w:rFonts w:hint="eastAsia" w:ascii="宋体"/>
          <w:sz w:val="22"/>
          <w:u w:val="single"/>
        </w:rPr>
        <w:t xml:space="preserve">         </w:t>
      </w:r>
      <w:r>
        <w:rPr>
          <w:rFonts w:hint="eastAsia" w:ascii="宋体"/>
          <w:sz w:val="22"/>
        </w:rPr>
        <w:t xml:space="preserve"> </w:t>
      </w:r>
    </w:p>
    <w:p>
      <w:pPr>
        <w:snapToGrid w:val="0"/>
        <w:ind w:left="2100" w:leftChars="1000" w:firstLine="440" w:firstLineChars="200"/>
        <w:rPr>
          <w:rFonts w:ascii="宋体"/>
          <w:sz w:val="22"/>
          <w:u w:val="single"/>
        </w:rPr>
      </w:pPr>
      <w:r>
        <w:rPr>
          <w:rFonts w:hint="eastAsia" w:ascii="宋体"/>
          <w:sz w:val="22"/>
        </w:rPr>
        <w:t>详细通讯地址：</w:t>
      </w:r>
      <w:r>
        <w:rPr>
          <w:rFonts w:hint="eastAsia" w:ascii="宋体"/>
          <w:sz w:val="22"/>
          <w:u w:val="single"/>
        </w:rPr>
        <w:t xml:space="preserve">                  </w:t>
      </w:r>
      <w:r>
        <w:rPr>
          <w:rFonts w:hint="eastAsia" w:ascii="宋体"/>
          <w:sz w:val="22"/>
        </w:rPr>
        <w:t xml:space="preserve"> 邮政编码：</w:t>
      </w:r>
      <w:r>
        <w:rPr>
          <w:rFonts w:hint="eastAsia" w:ascii="宋体"/>
          <w:sz w:val="22"/>
          <w:u w:val="single"/>
        </w:rPr>
        <w:t xml:space="preserve">           </w:t>
      </w:r>
    </w:p>
    <w:p>
      <w:pPr>
        <w:snapToGrid w:val="0"/>
        <w:ind w:left="1" w:firstLine="2510" w:firstLineChars="1141"/>
        <w:rPr>
          <w:rFonts w:ascii="宋体"/>
          <w:sz w:val="22"/>
          <w:u w:val="single"/>
        </w:rPr>
      </w:pPr>
      <w:r>
        <w:rPr>
          <w:rFonts w:hint="eastAsia" w:ascii="宋体"/>
          <w:sz w:val="22"/>
        </w:rPr>
        <w:t>电话：</w:t>
      </w:r>
      <w:r>
        <w:rPr>
          <w:rFonts w:hint="eastAsia" w:ascii="宋体"/>
          <w:sz w:val="22"/>
          <w:u w:val="single"/>
        </w:rPr>
        <w:t xml:space="preserve">                   </w:t>
      </w:r>
      <w:r>
        <w:rPr>
          <w:rFonts w:hint="eastAsia" w:ascii="宋体"/>
          <w:sz w:val="22"/>
        </w:rPr>
        <w:t xml:space="preserve"> 传真：</w:t>
      </w:r>
      <w:r>
        <w:rPr>
          <w:rFonts w:hint="eastAsia" w:ascii="宋体"/>
          <w:sz w:val="22"/>
          <w:u w:val="single"/>
        </w:rPr>
        <w:t xml:space="preserve">                      </w:t>
      </w:r>
    </w:p>
    <w:p>
      <w:pPr>
        <w:snapToGrid w:val="0"/>
        <w:ind w:left="1" w:firstLine="422" w:firstLineChars="192"/>
        <w:rPr>
          <w:rFonts w:ascii="宋体"/>
          <w:sz w:val="22"/>
        </w:rPr>
      </w:pPr>
      <w:r>
        <w:rPr>
          <w:rFonts w:hint="eastAsia" w:ascii="宋体"/>
          <w:sz w:val="22"/>
        </w:rPr>
        <w:t xml:space="preserve">                   投标供应商：</w:t>
      </w:r>
      <w:r>
        <w:rPr>
          <w:rFonts w:hint="eastAsia" w:ascii="宋体"/>
          <w:sz w:val="22"/>
          <w:u w:val="single"/>
        </w:rPr>
        <w:t xml:space="preserve">                                      （盖章）</w:t>
      </w:r>
    </w:p>
    <w:p>
      <w:pPr>
        <w:snapToGrid w:val="0"/>
        <w:ind w:left="2100" w:right="440"/>
        <w:jc w:val="center"/>
        <w:rPr>
          <w:rFonts w:ascii="宋体"/>
          <w:sz w:val="22"/>
        </w:rPr>
      </w:pPr>
      <w:r>
        <w:rPr>
          <w:rFonts w:hint="eastAsia" w:ascii="宋体"/>
          <w:sz w:val="22"/>
        </w:rPr>
        <w:t xml:space="preserve">   法定代表人：</w:t>
      </w:r>
      <w:r>
        <w:rPr>
          <w:rFonts w:hint="eastAsia" w:ascii="宋体"/>
          <w:sz w:val="22"/>
          <w:u w:val="single"/>
        </w:rPr>
        <w:t xml:space="preserve">                                  （签字或盖章）</w:t>
      </w:r>
    </w:p>
    <w:p>
      <w:pPr>
        <w:pStyle w:val="6"/>
        <w:adjustRightInd w:val="0"/>
        <w:snapToGrid w:val="0"/>
        <w:spacing w:before="120" w:after="120" w:line="240" w:lineRule="auto"/>
        <w:ind w:firstLine="2530" w:firstLineChars="1150"/>
        <w:rPr>
          <w:rFonts w:hAnsi="宋体"/>
          <w:sz w:val="22"/>
          <w:szCs w:val="22"/>
        </w:rPr>
      </w:pPr>
      <w:r>
        <w:rPr>
          <w:rFonts w:hint="eastAsia" w:hAnsi="宋体"/>
          <w:sz w:val="22"/>
          <w:szCs w:val="22"/>
        </w:rPr>
        <w:t>授权委托日期：</w:t>
      </w:r>
      <w:r>
        <w:rPr>
          <w:rFonts w:hint="eastAsia" w:hAnsi="宋体"/>
          <w:sz w:val="22"/>
          <w:szCs w:val="22"/>
          <w:u w:val="single"/>
        </w:rPr>
        <w:t xml:space="preserve">     </w:t>
      </w:r>
      <w:r>
        <w:rPr>
          <w:rFonts w:hint="eastAsia" w:hAnsi="宋体"/>
          <w:sz w:val="22"/>
          <w:szCs w:val="22"/>
        </w:rPr>
        <w:t xml:space="preserve">年 </w:t>
      </w:r>
      <w:r>
        <w:rPr>
          <w:rFonts w:hint="eastAsia" w:hAnsi="宋体"/>
          <w:sz w:val="22"/>
          <w:szCs w:val="22"/>
          <w:u w:val="single"/>
        </w:rPr>
        <w:t xml:space="preserve">    </w:t>
      </w:r>
      <w:r>
        <w:rPr>
          <w:rFonts w:hint="eastAsia" w:hAnsi="宋体"/>
          <w:sz w:val="22"/>
          <w:szCs w:val="22"/>
        </w:rPr>
        <w:t>月</w:t>
      </w:r>
      <w:r>
        <w:rPr>
          <w:rFonts w:hint="eastAsia" w:hAnsi="宋体"/>
          <w:sz w:val="22"/>
          <w:szCs w:val="22"/>
          <w:u w:val="single"/>
        </w:rPr>
        <w:t xml:space="preserve">     </w:t>
      </w:r>
      <w:r>
        <w:rPr>
          <w:rFonts w:hint="eastAsia" w:hAnsi="宋体"/>
          <w:sz w:val="22"/>
          <w:szCs w:val="22"/>
        </w:rPr>
        <w:t>日</w:t>
      </w:r>
    </w:p>
    <w:tbl>
      <w:tblPr>
        <w:tblStyle w:val="15"/>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722" w:type="dxa"/>
            <w:vAlign w:val="center"/>
          </w:tcPr>
          <w:p>
            <w:pPr>
              <w:pStyle w:val="6"/>
              <w:spacing w:before="120" w:after="120" w:line="440" w:lineRule="atLeast"/>
              <w:jc w:val="center"/>
              <w:rPr>
                <w:rFonts w:hAnsi="宋体"/>
                <w:sz w:val="36"/>
              </w:rPr>
            </w:pPr>
            <w:r>
              <w:rPr>
                <w:rFonts w:hint="eastAsia" w:hAnsi="宋体"/>
                <w:sz w:val="36"/>
              </w:rPr>
              <w:t>粘贴授权代表身份证复印件或影印件</w:t>
            </w:r>
          </w:p>
        </w:tc>
      </w:tr>
    </w:tbl>
    <w:p>
      <w:pPr>
        <w:pStyle w:val="6"/>
        <w:adjustRightInd w:val="0"/>
        <w:snapToGrid w:val="0"/>
        <w:spacing w:before="120" w:after="120" w:line="580" w:lineRule="atLeast"/>
        <w:jc w:val="center"/>
        <w:rPr>
          <w:rFonts w:hAnsi="宋体"/>
          <w:sz w:val="22"/>
          <w:szCs w:val="22"/>
        </w:rPr>
      </w:pPr>
    </w:p>
    <w:p>
      <w:pPr>
        <w:pStyle w:val="6"/>
        <w:snapToGrid w:val="0"/>
        <w:spacing w:before="120" w:after="120" w:line="580" w:lineRule="atLeast"/>
        <w:rPr>
          <w:rFonts w:hAnsi="宋体" w:cs="Arial"/>
          <w:sz w:val="22"/>
          <w:szCs w:val="22"/>
          <w:u w:val="thick"/>
        </w:rPr>
      </w:pPr>
    </w:p>
    <w:p>
      <w:pPr>
        <w:pStyle w:val="6"/>
        <w:snapToGrid w:val="0"/>
        <w:spacing w:before="120" w:after="120" w:line="580" w:lineRule="atLeast"/>
        <w:rPr>
          <w:rFonts w:hAnsi="宋体" w:cs="Arial"/>
          <w:sz w:val="22"/>
          <w:szCs w:val="22"/>
          <w:u w:val="thick"/>
        </w:rPr>
      </w:pPr>
    </w:p>
    <w:p>
      <w:pPr>
        <w:pStyle w:val="6"/>
        <w:snapToGrid w:val="0"/>
        <w:spacing w:before="120" w:after="120" w:line="580" w:lineRule="atLeast"/>
        <w:rPr>
          <w:rFonts w:hAnsi="宋体" w:cs="Arial"/>
          <w:sz w:val="22"/>
          <w:szCs w:val="22"/>
          <w:u w:val="thick"/>
        </w:rPr>
      </w:pPr>
    </w:p>
    <w:p>
      <w:pPr>
        <w:pStyle w:val="6"/>
        <w:adjustRightInd w:val="0"/>
        <w:snapToGrid w:val="0"/>
        <w:spacing w:before="120" w:after="120" w:line="360" w:lineRule="exact"/>
        <w:rPr>
          <w:rFonts w:hAnsi="宋体"/>
          <w:sz w:val="22"/>
        </w:rPr>
      </w:pPr>
    </w:p>
    <w:tbl>
      <w:tblPr>
        <w:tblStyle w:val="15"/>
        <w:tblpPr w:leftFromText="180" w:rightFromText="180" w:vertAnchor="text" w:tblpXSpec="center"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722" w:type="dxa"/>
            <w:vAlign w:val="center"/>
          </w:tcPr>
          <w:p>
            <w:pPr>
              <w:pStyle w:val="6"/>
              <w:spacing w:before="120" w:after="120" w:line="440" w:lineRule="atLeast"/>
              <w:jc w:val="center"/>
              <w:rPr>
                <w:rFonts w:hAnsi="宋体"/>
                <w:sz w:val="36"/>
              </w:rPr>
            </w:pPr>
            <w:r>
              <w:rPr>
                <w:rFonts w:hint="eastAsia" w:hAnsi="宋体"/>
                <w:sz w:val="36"/>
              </w:rPr>
              <w:t>粘贴法定代表人身份证复印件或影印件</w:t>
            </w:r>
          </w:p>
        </w:tc>
      </w:tr>
    </w:tbl>
    <w:p>
      <w:pPr>
        <w:pStyle w:val="6"/>
        <w:snapToGrid w:val="0"/>
        <w:spacing w:before="120" w:after="120" w:line="580" w:lineRule="atLeast"/>
        <w:rPr>
          <w:rFonts w:hAnsi="宋体" w:cs="Arial"/>
          <w:sz w:val="22"/>
          <w:szCs w:val="22"/>
          <w:u w:val="thick"/>
        </w:rPr>
      </w:pPr>
    </w:p>
    <w:p>
      <w:pPr>
        <w:pStyle w:val="6"/>
        <w:snapToGrid w:val="0"/>
        <w:spacing w:before="120" w:after="120" w:line="580" w:lineRule="atLeast"/>
        <w:rPr>
          <w:rFonts w:hAnsi="宋体" w:cs="Arial"/>
          <w:sz w:val="22"/>
          <w:szCs w:val="22"/>
          <w:u w:val="thick"/>
        </w:rPr>
      </w:pPr>
    </w:p>
    <w:p>
      <w:pPr>
        <w:snapToGrid w:val="0"/>
        <w:spacing w:line="500" w:lineRule="atLeast"/>
        <w:rPr>
          <w:rFonts w:ascii="宋体"/>
          <w:sz w:val="30"/>
          <w:szCs w:val="30"/>
        </w:rPr>
      </w:pPr>
    </w:p>
    <w:p>
      <w:pPr>
        <w:snapToGrid w:val="0"/>
        <w:spacing w:line="500" w:lineRule="atLeast"/>
        <w:rPr>
          <w:rFonts w:ascii="宋体"/>
          <w:sz w:val="30"/>
          <w:szCs w:val="30"/>
        </w:rPr>
      </w:pPr>
    </w:p>
    <w:p>
      <w:pPr>
        <w:autoSpaceDE w:val="0"/>
        <w:autoSpaceDN w:val="0"/>
        <w:adjustRightInd w:val="0"/>
        <w:snapToGrid w:val="0"/>
        <w:spacing w:line="460" w:lineRule="atLeast"/>
        <w:ind w:firstLine="440" w:firstLineChars="200"/>
        <w:textAlignment w:val="bottom"/>
        <w:rPr>
          <w:rFonts w:ascii="宋体" w:cs="Arial"/>
          <w:sz w:val="22"/>
        </w:rPr>
      </w:pPr>
      <w:r>
        <w:rPr>
          <w:rFonts w:hint="eastAsia" w:ascii="宋体" w:cs="Arial"/>
          <w:sz w:val="22"/>
        </w:rPr>
        <w:t>注：法定代表人授权书中法定代表人必须签字或盖章，否则做无效投标处理</w:t>
      </w:r>
      <w:r>
        <w:rPr>
          <w:rFonts w:ascii="宋体" w:cs="Arial"/>
          <w:sz w:val="22"/>
        </w:rPr>
        <w:t>。</w:t>
      </w:r>
    </w:p>
    <w:p>
      <w:pPr>
        <w:snapToGrid w:val="0"/>
        <w:spacing w:line="500" w:lineRule="atLeast"/>
        <w:rPr>
          <w:rFonts w:ascii="宋体"/>
          <w:sz w:val="30"/>
          <w:szCs w:val="30"/>
        </w:rPr>
      </w:pPr>
      <w:r>
        <w:rPr>
          <w:rFonts w:ascii="宋体"/>
          <w:sz w:val="30"/>
          <w:szCs w:val="30"/>
        </w:rPr>
        <w:br w:type="page"/>
      </w:r>
      <w:r>
        <w:rPr>
          <w:rFonts w:hint="eastAsia" w:ascii="宋体" w:hAnsi="Courier New" w:cs="Arial"/>
          <w:sz w:val="22"/>
        </w:rPr>
        <w:t>附件十</w:t>
      </w:r>
    </w:p>
    <w:p>
      <w:pPr>
        <w:snapToGrid w:val="0"/>
        <w:spacing w:line="500" w:lineRule="atLeast"/>
        <w:jc w:val="center"/>
        <w:rPr>
          <w:rFonts w:ascii="宋体"/>
          <w:sz w:val="36"/>
          <w:szCs w:val="36"/>
          <w:lang w:val="zh-CN"/>
        </w:rPr>
      </w:pPr>
      <w:r>
        <w:rPr>
          <w:rFonts w:hint="eastAsia" w:ascii="宋体"/>
          <w:sz w:val="36"/>
          <w:szCs w:val="36"/>
          <w:lang w:val="zh-CN"/>
        </w:rPr>
        <w:t>法定代表人诚信投标承诺书</w:t>
      </w:r>
    </w:p>
    <w:p>
      <w:pPr>
        <w:spacing w:line="460" w:lineRule="atLeast"/>
        <w:jc w:val="left"/>
        <w:rPr>
          <w:rFonts w:ascii="宋体"/>
          <w:sz w:val="22"/>
        </w:rPr>
      </w:pPr>
      <w:r>
        <w:rPr>
          <w:rFonts w:hint="eastAsia" w:ascii="宋体"/>
          <w:sz w:val="22"/>
        </w:rPr>
        <w:t>本人以企业法定代表人的身份郑重承诺：</w:t>
      </w:r>
    </w:p>
    <w:p>
      <w:pPr>
        <w:spacing w:line="460" w:lineRule="atLeast"/>
        <w:ind w:firstLine="440" w:firstLineChars="200"/>
        <w:jc w:val="left"/>
        <w:rPr>
          <w:rFonts w:ascii="宋体"/>
          <w:sz w:val="22"/>
        </w:rPr>
      </w:pPr>
      <w:r>
        <w:rPr>
          <w:rFonts w:hint="eastAsia" w:ascii="宋体"/>
          <w:sz w:val="22"/>
        </w:rPr>
        <w:t>将遵循公开、公平、公正和诚信信用的原则参加</w:t>
      </w:r>
      <w:r>
        <w:rPr>
          <w:rFonts w:hint="eastAsia" w:ascii="宋体" w:cs="楷体_GB2312"/>
          <w:sz w:val="22"/>
          <w:u w:val="single"/>
        </w:rPr>
        <w:t xml:space="preserve">              项目（招标编号：   ）</w:t>
      </w:r>
      <w:r>
        <w:rPr>
          <w:rFonts w:hint="eastAsia" w:ascii="宋体"/>
          <w:sz w:val="22"/>
        </w:rPr>
        <w:t>的投标；</w:t>
      </w:r>
    </w:p>
    <w:p>
      <w:pPr>
        <w:spacing w:line="460" w:lineRule="atLeast"/>
        <w:ind w:firstLine="440" w:firstLineChars="200"/>
        <w:jc w:val="left"/>
        <w:rPr>
          <w:rFonts w:ascii="宋体"/>
          <w:sz w:val="22"/>
          <w:u w:val="single"/>
        </w:rPr>
      </w:pPr>
      <w:r>
        <w:rPr>
          <w:rFonts w:hint="eastAsia" w:ascii="宋体"/>
          <w:sz w:val="22"/>
        </w:rPr>
        <w:t>一、杜绝以收取管理费等形式的一切挂靠、违法转包、分包行为；并选派有丰富经验、无不良行为记录的项目管理人员、技术人员，严格按招标文件、投标文件及合同等要求保证拟派人员的到岗率。</w:t>
      </w:r>
    </w:p>
    <w:p>
      <w:pPr>
        <w:spacing w:line="460" w:lineRule="atLeast"/>
        <w:ind w:firstLine="440" w:firstLineChars="200"/>
        <w:jc w:val="left"/>
        <w:rPr>
          <w:rFonts w:ascii="宋体"/>
          <w:sz w:val="22"/>
        </w:rPr>
      </w:pPr>
      <w:r>
        <w:rPr>
          <w:rFonts w:hint="eastAsia" w:ascii="宋体"/>
          <w:sz w:val="22"/>
        </w:rPr>
        <w:t>二、投标文件所提供的一切材料都是真实、有效、合法的。</w:t>
      </w:r>
    </w:p>
    <w:p>
      <w:pPr>
        <w:spacing w:line="460" w:lineRule="atLeast"/>
        <w:ind w:firstLine="440" w:firstLineChars="200"/>
        <w:jc w:val="left"/>
        <w:rPr>
          <w:rFonts w:ascii="宋体"/>
          <w:sz w:val="22"/>
        </w:rPr>
      </w:pPr>
      <w:r>
        <w:rPr>
          <w:rFonts w:hint="eastAsia" w:ascii="宋体"/>
          <w:sz w:val="22"/>
        </w:rPr>
        <w:t>三、不与其他投标人相互串通投标报价，不排挤其他投标人的公平竞争，不损害招标人或其他投标人的合法权益。</w:t>
      </w:r>
    </w:p>
    <w:p>
      <w:pPr>
        <w:spacing w:line="460" w:lineRule="atLeast"/>
        <w:ind w:firstLine="440" w:firstLineChars="200"/>
        <w:jc w:val="left"/>
        <w:rPr>
          <w:rFonts w:ascii="宋体"/>
          <w:sz w:val="22"/>
        </w:rPr>
      </w:pPr>
      <w:r>
        <w:rPr>
          <w:rFonts w:hint="eastAsia" w:ascii="宋体"/>
          <w:sz w:val="22"/>
        </w:rPr>
        <w:t>四、不与采购人或采购机构串通投标，不损害国家利益，社会公共利益或其他人的合法权益。</w:t>
      </w:r>
    </w:p>
    <w:p>
      <w:pPr>
        <w:spacing w:line="460" w:lineRule="atLeast"/>
        <w:ind w:firstLine="440" w:firstLineChars="200"/>
        <w:jc w:val="left"/>
        <w:rPr>
          <w:rFonts w:ascii="宋体"/>
          <w:sz w:val="22"/>
        </w:rPr>
      </w:pPr>
      <w:r>
        <w:rPr>
          <w:rFonts w:hint="eastAsia" w:ascii="宋体"/>
          <w:sz w:val="22"/>
        </w:rPr>
        <w:t>五、不向采购人或者评标委员会成员行贿以牟取中标。</w:t>
      </w:r>
    </w:p>
    <w:p>
      <w:pPr>
        <w:spacing w:line="460" w:lineRule="atLeast"/>
        <w:ind w:firstLine="440" w:firstLineChars="200"/>
        <w:jc w:val="left"/>
        <w:rPr>
          <w:rFonts w:ascii="宋体"/>
          <w:sz w:val="22"/>
        </w:rPr>
      </w:pPr>
      <w:r>
        <w:rPr>
          <w:rFonts w:hint="eastAsia" w:ascii="宋体"/>
          <w:sz w:val="22"/>
        </w:rPr>
        <w:t>六、不以其他人名义投标或者以其他方式弄虚作假，骗取中标。</w:t>
      </w:r>
    </w:p>
    <w:p>
      <w:pPr>
        <w:spacing w:line="460" w:lineRule="atLeast"/>
        <w:ind w:firstLine="440" w:firstLineChars="200"/>
        <w:jc w:val="left"/>
        <w:rPr>
          <w:rFonts w:ascii="宋体"/>
          <w:sz w:val="22"/>
        </w:rPr>
      </w:pPr>
      <w:r>
        <w:rPr>
          <w:rFonts w:hint="eastAsia" w:ascii="宋体"/>
          <w:sz w:val="22"/>
        </w:rPr>
        <w:t>七、不在开标后进行虚假恶意投诉。</w:t>
      </w:r>
    </w:p>
    <w:p>
      <w:pPr>
        <w:spacing w:line="460" w:lineRule="atLeast"/>
        <w:ind w:firstLine="440" w:firstLineChars="200"/>
        <w:jc w:val="left"/>
        <w:rPr>
          <w:rFonts w:ascii="宋体"/>
          <w:sz w:val="22"/>
        </w:rPr>
      </w:pPr>
      <w:r>
        <w:rPr>
          <w:rFonts w:hint="eastAsia" w:ascii="宋体"/>
          <w:sz w:val="22"/>
        </w:rPr>
        <w:t>八、我单位没有被政府机关</w:t>
      </w:r>
      <w:r>
        <w:rPr>
          <w:rFonts w:ascii="宋体"/>
          <w:sz w:val="22"/>
        </w:rPr>
        <w:t>列入失信被执行人</w:t>
      </w:r>
      <w:r>
        <w:rPr>
          <w:rFonts w:hint="eastAsia" w:ascii="宋体"/>
          <w:sz w:val="22"/>
        </w:rPr>
        <w:t>名单</w:t>
      </w:r>
      <w:r>
        <w:rPr>
          <w:rFonts w:ascii="宋体"/>
          <w:sz w:val="22"/>
        </w:rPr>
        <w:t>、重大税收违法案件当事人名单、政府采购严重违法失信行为记录名单及其他不符合《中华人民共和国政府采购法》第二十二条规定条件</w:t>
      </w:r>
      <w:r>
        <w:rPr>
          <w:rFonts w:hint="eastAsia" w:ascii="宋体"/>
          <w:sz w:val="22"/>
        </w:rPr>
        <w:t>的情形（《中华人民共和国政府采购法实施条例》第十九条规定的情形除外）。</w:t>
      </w:r>
    </w:p>
    <w:p>
      <w:pPr>
        <w:spacing w:line="460" w:lineRule="atLeast"/>
        <w:ind w:firstLine="440" w:firstLineChars="200"/>
        <w:rPr>
          <w:rFonts w:ascii="宋体"/>
          <w:sz w:val="22"/>
        </w:rPr>
      </w:pPr>
      <w:r>
        <w:rPr>
          <w:rFonts w:hint="eastAsia" w:ascii="宋体"/>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sz w:val="22"/>
        </w:rPr>
      </w:pPr>
    </w:p>
    <w:p>
      <w:pPr>
        <w:spacing w:line="460" w:lineRule="atLeast"/>
        <w:ind w:right="1120"/>
        <w:rPr>
          <w:rFonts w:ascii="宋体"/>
          <w:sz w:val="22"/>
        </w:rPr>
      </w:pPr>
      <w:r>
        <w:rPr>
          <w:rFonts w:hint="eastAsia" w:ascii="宋体"/>
          <w:sz w:val="22"/>
        </w:rPr>
        <w:t>投标供应商（盖章）</w:t>
      </w:r>
    </w:p>
    <w:p>
      <w:pPr>
        <w:spacing w:line="460" w:lineRule="atLeast"/>
        <w:ind w:right="1120"/>
        <w:rPr>
          <w:rFonts w:ascii="宋体"/>
          <w:sz w:val="22"/>
        </w:rPr>
      </w:pPr>
      <w:r>
        <w:rPr>
          <w:rFonts w:hint="eastAsia" w:ascii="宋体"/>
          <w:sz w:val="22"/>
        </w:rPr>
        <w:t>法定代表人（签字或盖章）：</w:t>
      </w:r>
    </w:p>
    <w:p>
      <w:pPr>
        <w:snapToGrid w:val="0"/>
        <w:spacing w:line="500" w:lineRule="atLeast"/>
        <w:rPr>
          <w:rFonts w:ascii="宋体"/>
          <w:sz w:val="30"/>
          <w:szCs w:val="30"/>
        </w:rPr>
      </w:pPr>
      <w:r>
        <w:rPr>
          <w:rFonts w:hint="eastAsia" w:ascii="宋体"/>
          <w:sz w:val="22"/>
        </w:rPr>
        <w:t xml:space="preserve">承诺书签署日期：  </w:t>
      </w:r>
    </w:p>
    <w:p>
      <w:pPr>
        <w:autoSpaceDE w:val="0"/>
        <w:autoSpaceDN w:val="0"/>
        <w:adjustRightInd w:val="0"/>
        <w:spacing w:line="460" w:lineRule="atLeast"/>
        <w:jc w:val="left"/>
        <w:rPr>
          <w:rFonts w:ascii="宋体"/>
          <w:sz w:val="32"/>
        </w:rPr>
      </w:pPr>
    </w:p>
    <w:p>
      <w:pPr>
        <w:autoSpaceDE w:val="0"/>
        <w:autoSpaceDN w:val="0"/>
        <w:adjustRightInd w:val="0"/>
        <w:spacing w:line="460" w:lineRule="atLeast"/>
        <w:jc w:val="left"/>
        <w:rPr>
          <w:rFonts w:ascii="宋体"/>
          <w:sz w:val="32"/>
        </w:rPr>
      </w:pPr>
    </w:p>
    <w:p>
      <w:pPr>
        <w:autoSpaceDE w:val="0"/>
        <w:autoSpaceDN w:val="0"/>
        <w:adjustRightInd w:val="0"/>
        <w:spacing w:line="460" w:lineRule="atLeast"/>
        <w:jc w:val="left"/>
        <w:rPr>
          <w:rFonts w:ascii="宋体"/>
          <w:sz w:val="22"/>
        </w:rPr>
        <w:sectPr>
          <w:pgSz w:w="11906" w:h="16838"/>
          <w:pgMar w:top="1440" w:right="1106" w:bottom="1440" w:left="1622" w:header="851" w:footer="992" w:gutter="0"/>
          <w:pgBorders>
            <w:top w:val="none" w:sz="0" w:space="0"/>
            <w:left w:val="none" w:sz="0" w:space="0"/>
            <w:bottom w:val="none" w:sz="0" w:space="0"/>
            <w:right w:val="none" w:sz="0" w:space="0"/>
          </w:pgBorders>
          <w:cols w:space="720" w:num="1"/>
          <w:docGrid w:linePitch="312" w:charSpace="0"/>
        </w:sectPr>
      </w:pPr>
    </w:p>
    <w:p>
      <w:pPr>
        <w:pStyle w:val="6"/>
        <w:spacing w:before="156" w:after="156" w:line="460" w:lineRule="atLeast"/>
        <w:rPr>
          <w:rFonts w:hAnsi="宋体"/>
          <w:sz w:val="32"/>
        </w:rPr>
      </w:pPr>
      <w:r>
        <w:rPr>
          <w:rFonts w:hint="eastAsia" w:cs="Arial"/>
          <w:sz w:val="22"/>
          <w:szCs w:val="22"/>
        </w:rPr>
        <w:t>附件十一</w:t>
      </w:r>
    </w:p>
    <w:p>
      <w:pPr>
        <w:pStyle w:val="6"/>
        <w:spacing w:before="156" w:after="156" w:line="440" w:lineRule="atLeast"/>
        <w:jc w:val="center"/>
        <w:rPr>
          <w:rFonts w:hAnsi="宋体" w:cs="Arial"/>
          <w:bCs/>
          <w:sz w:val="36"/>
          <w:szCs w:val="36"/>
        </w:rPr>
      </w:pPr>
      <w:r>
        <w:rPr>
          <w:rFonts w:hint="eastAsia" w:hAnsi="宋体" w:cs="Arial"/>
          <w:bCs/>
          <w:sz w:val="36"/>
          <w:szCs w:val="36"/>
        </w:rPr>
        <w:t>投标供应商业绩</w:t>
      </w:r>
    </w:p>
    <w:tbl>
      <w:tblPr>
        <w:tblStyle w:val="15"/>
        <w:tblW w:w="9659"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66"/>
        <w:gridCol w:w="1477"/>
        <w:gridCol w:w="1491"/>
        <w:gridCol w:w="1555"/>
        <w:gridCol w:w="1556"/>
        <w:gridCol w:w="1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jc w:val="center"/>
              <w:rPr>
                <w:rFonts w:hAnsi="宋体"/>
                <w:sz w:val="22"/>
                <w:szCs w:val="22"/>
              </w:rPr>
            </w:pPr>
            <w:r>
              <w:rPr>
                <w:rFonts w:hint="eastAsia" w:hAnsi="宋体"/>
                <w:sz w:val="22"/>
                <w:szCs w:val="22"/>
              </w:rPr>
              <w:t>序号</w:t>
            </w:r>
          </w:p>
        </w:tc>
        <w:tc>
          <w:tcPr>
            <w:tcW w:w="1266" w:type="dxa"/>
            <w:tcBorders>
              <w:right w:val="single" w:color="000000" w:sz="4" w:space="0"/>
            </w:tcBorders>
          </w:tcPr>
          <w:p>
            <w:pPr>
              <w:pStyle w:val="6"/>
              <w:adjustRightInd w:val="0"/>
              <w:snapToGrid w:val="0"/>
              <w:spacing w:before="156" w:after="156" w:line="440" w:lineRule="atLeast"/>
              <w:jc w:val="center"/>
              <w:rPr>
                <w:rFonts w:hAnsi="宋体"/>
                <w:sz w:val="22"/>
                <w:szCs w:val="22"/>
              </w:rPr>
            </w:pPr>
            <w:r>
              <w:rPr>
                <w:rFonts w:hint="eastAsia" w:hAnsi="宋体"/>
                <w:sz w:val="22"/>
                <w:szCs w:val="22"/>
              </w:rPr>
              <w:t>签订时间</w:t>
            </w:r>
          </w:p>
        </w:tc>
        <w:tc>
          <w:tcPr>
            <w:tcW w:w="1477" w:type="dxa"/>
            <w:tcBorders>
              <w:left w:val="single" w:color="000000" w:sz="4" w:space="0"/>
            </w:tcBorders>
          </w:tcPr>
          <w:p>
            <w:pPr>
              <w:pStyle w:val="6"/>
              <w:adjustRightInd w:val="0"/>
              <w:snapToGrid w:val="0"/>
              <w:spacing w:before="156" w:after="156" w:line="440" w:lineRule="atLeast"/>
              <w:jc w:val="center"/>
              <w:rPr>
                <w:rFonts w:hAnsi="宋体"/>
                <w:sz w:val="22"/>
                <w:szCs w:val="22"/>
              </w:rPr>
            </w:pPr>
            <w:r>
              <w:rPr>
                <w:rFonts w:hint="eastAsia" w:hAnsi="宋体"/>
                <w:sz w:val="22"/>
                <w:szCs w:val="22"/>
              </w:rPr>
              <w:t>业主名称</w:t>
            </w:r>
          </w:p>
        </w:tc>
        <w:tc>
          <w:tcPr>
            <w:tcW w:w="1491" w:type="dxa"/>
          </w:tcPr>
          <w:p>
            <w:pPr>
              <w:pStyle w:val="6"/>
              <w:adjustRightInd w:val="0"/>
              <w:snapToGrid w:val="0"/>
              <w:spacing w:before="156" w:after="156" w:line="440" w:lineRule="atLeast"/>
              <w:jc w:val="center"/>
              <w:rPr>
                <w:rFonts w:hAnsi="宋体"/>
                <w:sz w:val="22"/>
                <w:szCs w:val="22"/>
              </w:rPr>
            </w:pPr>
            <w:r>
              <w:rPr>
                <w:rFonts w:hint="eastAsia" w:hAnsi="宋体"/>
                <w:sz w:val="22"/>
                <w:szCs w:val="22"/>
              </w:rPr>
              <w:t>合同金额</w:t>
            </w:r>
          </w:p>
        </w:tc>
        <w:tc>
          <w:tcPr>
            <w:tcW w:w="1555" w:type="dxa"/>
          </w:tcPr>
          <w:p>
            <w:pPr>
              <w:pStyle w:val="6"/>
              <w:adjustRightInd w:val="0"/>
              <w:snapToGrid w:val="0"/>
              <w:spacing w:before="156" w:after="156" w:line="440" w:lineRule="atLeast"/>
              <w:jc w:val="center"/>
              <w:rPr>
                <w:rFonts w:hAnsi="宋体"/>
                <w:sz w:val="22"/>
                <w:szCs w:val="22"/>
              </w:rPr>
            </w:pPr>
            <w:r>
              <w:rPr>
                <w:rFonts w:hint="eastAsia" w:hAnsi="宋体"/>
                <w:sz w:val="22"/>
                <w:szCs w:val="22"/>
              </w:rPr>
              <w:t>联系人</w:t>
            </w:r>
          </w:p>
        </w:tc>
        <w:tc>
          <w:tcPr>
            <w:tcW w:w="1556" w:type="dxa"/>
          </w:tcPr>
          <w:p>
            <w:pPr>
              <w:pStyle w:val="6"/>
              <w:adjustRightInd w:val="0"/>
              <w:snapToGrid w:val="0"/>
              <w:spacing w:before="156" w:after="156" w:line="440" w:lineRule="atLeast"/>
              <w:jc w:val="center"/>
              <w:rPr>
                <w:rFonts w:hAnsi="宋体"/>
                <w:sz w:val="22"/>
                <w:szCs w:val="22"/>
              </w:rPr>
            </w:pPr>
            <w:r>
              <w:rPr>
                <w:rFonts w:hint="eastAsia" w:hAnsi="宋体"/>
                <w:sz w:val="22"/>
                <w:szCs w:val="22"/>
              </w:rPr>
              <w:t>联系电话</w:t>
            </w:r>
          </w:p>
        </w:tc>
        <w:tc>
          <w:tcPr>
            <w:tcW w:w="1556" w:type="dxa"/>
          </w:tcPr>
          <w:p>
            <w:pPr>
              <w:pStyle w:val="6"/>
              <w:adjustRightInd w:val="0"/>
              <w:snapToGrid w:val="0"/>
              <w:spacing w:before="156" w:after="156" w:line="440" w:lineRule="atLeast"/>
              <w:jc w:val="center"/>
              <w:rPr>
                <w:rFonts w:hAnsi="宋体"/>
                <w:sz w:val="22"/>
                <w:szCs w:val="22"/>
              </w:rPr>
            </w:pPr>
            <w:r>
              <w:rPr>
                <w:rFonts w:hint="eastAsia" w:hAnsi="宋体"/>
                <w:sz w:val="22"/>
                <w:szCs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trPr>
        <w:tc>
          <w:tcPr>
            <w:tcW w:w="758" w:type="dxa"/>
          </w:tcPr>
          <w:p>
            <w:pPr>
              <w:pStyle w:val="6"/>
              <w:adjustRightInd w:val="0"/>
              <w:snapToGrid w:val="0"/>
              <w:spacing w:before="156" w:after="156" w:line="440" w:lineRule="atLeast"/>
              <w:rPr>
                <w:rFonts w:hAnsi="宋体"/>
                <w:sz w:val="22"/>
                <w:szCs w:val="22"/>
              </w:rPr>
            </w:pPr>
          </w:p>
        </w:tc>
        <w:tc>
          <w:tcPr>
            <w:tcW w:w="1266" w:type="dxa"/>
            <w:tcBorders>
              <w:right w:val="single" w:color="000000" w:sz="4" w:space="0"/>
            </w:tcBorders>
          </w:tcPr>
          <w:p>
            <w:pPr>
              <w:pStyle w:val="6"/>
              <w:adjustRightInd w:val="0"/>
              <w:snapToGrid w:val="0"/>
              <w:spacing w:before="156" w:after="156" w:line="440" w:lineRule="atLeast"/>
              <w:rPr>
                <w:rFonts w:hAnsi="宋体"/>
                <w:sz w:val="22"/>
                <w:szCs w:val="22"/>
              </w:rPr>
            </w:pPr>
          </w:p>
        </w:tc>
        <w:tc>
          <w:tcPr>
            <w:tcW w:w="1477" w:type="dxa"/>
            <w:tcBorders>
              <w:left w:val="single" w:color="000000" w:sz="4" w:space="0"/>
            </w:tcBorders>
          </w:tcPr>
          <w:p>
            <w:pPr>
              <w:pStyle w:val="6"/>
              <w:adjustRightInd w:val="0"/>
              <w:snapToGrid w:val="0"/>
              <w:spacing w:before="156" w:after="156" w:line="440" w:lineRule="atLeast"/>
              <w:rPr>
                <w:rFonts w:hAnsi="宋体"/>
                <w:sz w:val="22"/>
                <w:szCs w:val="22"/>
              </w:rPr>
            </w:pPr>
          </w:p>
        </w:tc>
        <w:tc>
          <w:tcPr>
            <w:tcW w:w="1491" w:type="dxa"/>
          </w:tcPr>
          <w:p>
            <w:pPr>
              <w:pStyle w:val="6"/>
              <w:adjustRightInd w:val="0"/>
              <w:snapToGrid w:val="0"/>
              <w:spacing w:before="156" w:after="156" w:line="440" w:lineRule="atLeast"/>
              <w:rPr>
                <w:rFonts w:hAnsi="宋体"/>
                <w:sz w:val="22"/>
                <w:szCs w:val="22"/>
              </w:rPr>
            </w:pPr>
          </w:p>
        </w:tc>
        <w:tc>
          <w:tcPr>
            <w:tcW w:w="1555"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c>
          <w:tcPr>
            <w:tcW w:w="1556" w:type="dxa"/>
          </w:tcPr>
          <w:p>
            <w:pPr>
              <w:pStyle w:val="6"/>
              <w:adjustRightInd w:val="0"/>
              <w:snapToGrid w:val="0"/>
              <w:spacing w:before="156" w:after="156" w:line="440" w:lineRule="atLeast"/>
              <w:rPr>
                <w:rFonts w:hAnsi="宋体"/>
                <w:sz w:val="22"/>
                <w:szCs w:val="22"/>
              </w:rPr>
            </w:pPr>
          </w:p>
        </w:tc>
      </w:tr>
    </w:tbl>
    <w:p>
      <w:pPr>
        <w:pStyle w:val="6"/>
        <w:spacing w:before="156" w:after="156" w:line="440" w:lineRule="atLeast"/>
        <w:rPr>
          <w:rFonts w:hAnsi="宋体" w:cs="Arial"/>
          <w:bCs/>
          <w:sz w:val="36"/>
          <w:szCs w:val="36"/>
        </w:rPr>
      </w:pPr>
      <w:r>
        <w:rPr>
          <w:rFonts w:hint="eastAsia" w:hAnsi="宋体"/>
          <w:sz w:val="22"/>
          <w:szCs w:val="22"/>
        </w:rPr>
        <w:t>说明：按评分标准要求提供。</w:t>
      </w:r>
    </w:p>
    <w:p>
      <w:pPr>
        <w:pStyle w:val="6"/>
        <w:spacing w:before="156" w:after="156" w:line="440" w:lineRule="atLeast"/>
        <w:jc w:val="center"/>
        <w:rPr>
          <w:rFonts w:hAnsi="宋体" w:cs="Arial"/>
          <w:bCs/>
          <w:sz w:val="36"/>
          <w:szCs w:val="36"/>
        </w:rPr>
      </w:pPr>
    </w:p>
    <w:p>
      <w:pPr>
        <w:pStyle w:val="6"/>
        <w:spacing w:before="156" w:after="156" w:line="440" w:lineRule="atLeast"/>
        <w:jc w:val="left"/>
        <w:rPr>
          <w:rFonts w:hAnsi="宋体" w:cs="Arial"/>
          <w:bCs/>
          <w:sz w:val="36"/>
          <w:szCs w:val="36"/>
        </w:rPr>
      </w:pPr>
      <w:r>
        <w:rPr>
          <w:rFonts w:hint="eastAsia"/>
          <w:sz w:val="22"/>
        </w:rPr>
        <w:t>投标供应商（盖章）</w:t>
      </w:r>
      <w:r>
        <w:rPr>
          <w:rFonts w:hint="eastAsia"/>
          <w:sz w:val="22"/>
          <w:u w:val="single"/>
        </w:rPr>
        <w:t xml:space="preserve">              </w:t>
      </w:r>
    </w:p>
    <w:p>
      <w:pPr>
        <w:pStyle w:val="6"/>
        <w:spacing w:before="156" w:after="156" w:line="440" w:lineRule="atLeast"/>
        <w:jc w:val="center"/>
        <w:rPr>
          <w:rFonts w:hAnsi="宋体" w:cs="Arial"/>
          <w:bCs/>
          <w:sz w:val="36"/>
          <w:szCs w:val="36"/>
        </w:rPr>
      </w:pPr>
    </w:p>
    <w:p>
      <w:pPr>
        <w:pStyle w:val="6"/>
        <w:spacing w:before="156" w:after="156" w:line="460" w:lineRule="atLeast"/>
        <w:rPr>
          <w:rFonts w:hAnsi="宋体"/>
          <w:sz w:val="36"/>
          <w:szCs w:val="36"/>
        </w:rPr>
      </w:pPr>
      <w:r>
        <w:rPr>
          <w:rFonts w:hint="eastAsia" w:cs="Arial"/>
          <w:sz w:val="22"/>
          <w:szCs w:val="22"/>
        </w:rPr>
        <w:t>附件十二</w:t>
      </w:r>
    </w:p>
    <w:p>
      <w:pPr>
        <w:pStyle w:val="6"/>
        <w:spacing w:before="156" w:after="156" w:line="460" w:lineRule="atLeast"/>
        <w:jc w:val="center"/>
        <w:rPr>
          <w:rFonts w:hAnsi="宋体"/>
          <w:sz w:val="36"/>
          <w:szCs w:val="36"/>
        </w:rPr>
      </w:pPr>
      <w:r>
        <w:rPr>
          <w:rFonts w:hint="eastAsia" w:hAnsi="宋体"/>
          <w:sz w:val="36"/>
          <w:szCs w:val="36"/>
        </w:rPr>
        <w:t>拟派本项目成员组成表</w:t>
      </w:r>
    </w:p>
    <w:p>
      <w:pPr>
        <w:spacing w:line="400" w:lineRule="exact"/>
        <w:rPr>
          <w:rFonts w:ascii="宋体"/>
          <w:bCs/>
          <w:sz w:val="22"/>
        </w:rPr>
      </w:pPr>
      <w:r>
        <w:rPr>
          <w:rFonts w:hint="eastAsia" w:ascii="宋体"/>
          <w:sz w:val="22"/>
        </w:rPr>
        <w:t>项目名称：                                               招标编号：</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40"/>
        <w:gridCol w:w="1126"/>
        <w:gridCol w:w="690"/>
        <w:gridCol w:w="690"/>
        <w:gridCol w:w="1457"/>
        <w:gridCol w:w="1134"/>
        <w:gridCol w:w="26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1140" w:type="dxa"/>
            <w:vAlign w:val="center"/>
          </w:tcPr>
          <w:p>
            <w:pPr>
              <w:jc w:val="center"/>
              <w:rPr>
                <w:rFonts w:ascii="宋体"/>
                <w:bCs/>
                <w:sz w:val="20"/>
              </w:rPr>
            </w:pPr>
            <w:r>
              <w:rPr>
                <w:rFonts w:hint="eastAsia" w:ascii="宋体"/>
                <w:bCs/>
                <w:sz w:val="20"/>
              </w:rPr>
              <w:t>姓名</w:t>
            </w:r>
          </w:p>
        </w:tc>
        <w:tc>
          <w:tcPr>
            <w:tcW w:w="1126" w:type="dxa"/>
            <w:vAlign w:val="center"/>
          </w:tcPr>
          <w:p>
            <w:pPr>
              <w:jc w:val="center"/>
              <w:rPr>
                <w:rFonts w:ascii="宋体"/>
                <w:bCs/>
                <w:sz w:val="20"/>
              </w:rPr>
            </w:pPr>
            <w:r>
              <w:rPr>
                <w:rFonts w:hint="eastAsia" w:ascii="宋体"/>
                <w:bCs/>
                <w:sz w:val="20"/>
              </w:rPr>
              <w:t>本项目担任工作</w:t>
            </w:r>
          </w:p>
        </w:tc>
        <w:tc>
          <w:tcPr>
            <w:tcW w:w="690" w:type="dxa"/>
            <w:vAlign w:val="center"/>
          </w:tcPr>
          <w:p>
            <w:pPr>
              <w:jc w:val="center"/>
              <w:rPr>
                <w:rFonts w:ascii="宋体"/>
                <w:bCs/>
                <w:sz w:val="20"/>
              </w:rPr>
            </w:pPr>
            <w:r>
              <w:rPr>
                <w:rFonts w:hint="eastAsia" w:ascii="宋体"/>
                <w:bCs/>
                <w:sz w:val="20"/>
              </w:rPr>
              <w:t>年龄</w:t>
            </w:r>
          </w:p>
        </w:tc>
        <w:tc>
          <w:tcPr>
            <w:tcW w:w="690" w:type="dxa"/>
            <w:vAlign w:val="center"/>
          </w:tcPr>
          <w:p>
            <w:pPr>
              <w:jc w:val="center"/>
              <w:rPr>
                <w:rFonts w:ascii="宋体"/>
                <w:bCs/>
                <w:sz w:val="20"/>
              </w:rPr>
            </w:pPr>
            <w:r>
              <w:rPr>
                <w:rFonts w:hint="eastAsia" w:ascii="宋体"/>
                <w:bCs/>
                <w:sz w:val="20"/>
              </w:rPr>
              <w:t>性别</w:t>
            </w:r>
          </w:p>
        </w:tc>
        <w:tc>
          <w:tcPr>
            <w:tcW w:w="1457" w:type="dxa"/>
            <w:vAlign w:val="center"/>
          </w:tcPr>
          <w:p>
            <w:pPr>
              <w:jc w:val="center"/>
              <w:rPr>
                <w:rFonts w:ascii="宋体"/>
                <w:bCs/>
                <w:sz w:val="20"/>
              </w:rPr>
            </w:pPr>
            <w:r>
              <w:rPr>
                <w:rFonts w:hint="eastAsia" w:ascii="宋体"/>
                <w:bCs/>
                <w:sz w:val="20"/>
              </w:rPr>
              <w:t>职称或资格</w:t>
            </w:r>
          </w:p>
        </w:tc>
        <w:tc>
          <w:tcPr>
            <w:tcW w:w="1134" w:type="dxa"/>
            <w:vAlign w:val="center"/>
          </w:tcPr>
          <w:p>
            <w:pPr>
              <w:jc w:val="center"/>
              <w:rPr>
                <w:rFonts w:ascii="宋体"/>
                <w:bCs/>
                <w:sz w:val="20"/>
              </w:rPr>
            </w:pPr>
            <w:r>
              <w:rPr>
                <w:rFonts w:hint="eastAsia" w:ascii="宋体"/>
                <w:bCs/>
                <w:sz w:val="20"/>
              </w:rPr>
              <w:t xml:space="preserve">专业 </w:t>
            </w:r>
          </w:p>
        </w:tc>
        <w:tc>
          <w:tcPr>
            <w:tcW w:w="2693" w:type="dxa"/>
            <w:vAlign w:val="center"/>
          </w:tcPr>
          <w:p>
            <w:pPr>
              <w:jc w:val="center"/>
              <w:rPr>
                <w:rFonts w:ascii="宋体"/>
                <w:bCs/>
                <w:sz w:val="20"/>
              </w:rPr>
            </w:pPr>
            <w:r>
              <w:rPr>
                <w:rFonts w:hint="eastAsia" w:ascii="宋体"/>
                <w:bCs/>
                <w:sz w:val="20"/>
              </w:rPr>
              <w:t>类似工作经验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pStyle w:val="34"/>
              <w:widowControl w:val="0"/>
              <w:pBdr>
                <w:left w:val="none" w:color="auto" w:sz="0" w:space="0"/>
                <w:bottom w:val="none" w:color="auto" w:sz="0" w:space="0"/>
                <w:right w:val="none" w:color="auto" w:sz="0" w:space="0"/>
              </w:pBdr>
              <w:spacing w:before="0" w:beforeAutospacing="0" w:after="0" w:afterAutospacing="0" w:line="360" w:lineRule="auto"/>
              <w:textAlignment w:val="auto"/>
              <w:rPr>
                <w:rFonts w:ascii="宋体" w:hAnsi="宋体" w:eastAsia="宋体"/>
                <w:sz w:val="20"/>
                <w:szCs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pStyle w:val="7"/>
              <w:spacing w:line="360" w:lineRule="auto"/>
              <w:ind w:left="525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1140" w:type="dxa"/>
            <w:vAlign w:val="center"/>
          </w:tcPr>
          <w:p>
            <w:pPr>
              <w:spacing w:line="360" w:lineRule="auto"/>
              <w:rPr>
                <w:rFonts w:ascii="宋体"/>
                <w:sz w:val="20"/>
              </w:rPr>
            </w:pPr>
          </w:p>
        </w:tc>
        <w:tc>
          <w:tcPr>
            <w:tcW w:w="1126"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690" w:type="dxa"/>
            <w:vAlign w:val="center"/>
          </w:tcPr>
          <w:p>
            <w:pPr>
              <w:spacing w:line="360" w:lineRule="auto"/>
              <w:rPr>
                <w:rFonts w:ascii="宋体"/>
                <w:sz w:val="20"/>
              </w:rPr>
            </w:pPr>
          </w:p>
        </w:tc>
        <w:tc>
          <w:tcPr>
            <w:tcW w:w="1457" w:type="dxa"/>
            <w:vAlign w:val="center"/>
          </w:tcPr>
          <w:p>
            <w:pPr>
              <w:spacing w:line="360" w:lineRule="auto"/>
              <w:rPr>
                <w:rFonts w:ascii="宋体"/>
                <w:sz w:val="20"/>
              </w:rPr>
            </w:pPr>
          </w:p>
        </w:tc>
        <w:tc>
          <w:tcPr>
            <w:tcW w:w="1134" w:type="dxa"/>
            <w:vAlign w:val="center"/>
          </w:tcPr>
          <w:p>
            <w:pPr>
              <w:spacing w:line="360" w:lineRule="auto"/>
              <w:rPr>
                <w:rFonts w:ascii="宋体"/>
                <w:sz w:val="20"/>
              </w:rPr>
            </w:pPr>
          </w:p>
        </w:tc>
        <w:tc>
          <w:tcPr>
            <w:tcW w:w="2693" w:type="dxa"/>
            <w:vAlign w:val="center"/>
          </w:tcPr>
          <w:p>
            <w:pPr>
              <w:spacing w:line="360" w:lineRule="auto"/>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8930" w:type="dxa"/>
            <w:gridSpan w:val="7"/>
            <w:vAlign w:val="center"/>
          </w:tcPr>
          <w:p>
            <w:pPr>
              <w:spacing w:line="360" w:lineRule="auto"/>
              <w:rPr>
                <w:rFonts w:ascii="宋体"/>
                <w:sz w:val="20"/>
              </w:rPr>
            </w:pPr>
          </w:p>
        </w:tc>
      </w:tr>
    </w:tbl>
    <w:p>
      <w:pPr>
        <w:autoSpaceDE w:val="0"/>
        <w:autoSpaceDN w:val="0"/>
        <w:adjustRightInd w:val="0"/>
        <w:spacing w:line="360" w:lineRule="auto"/>
        <w:rPr>
          <w:rFonts w:ascii="宋体"/>
          <w:sz w:val="22"/>
        </w:rPr>
      </w:pPr>
      <w:r>
        <w:rPr>
          <w:rFonts w:hint="eastAsia" w:ascii="宋体"/>
          <w:sz w:val="22"/>
        </w:rPr>
        <w:t>注：1、本表人员</w:t>
      </w:r>
      <w:r>
        <w:rPr>
          <w:rFonts w:hint="eastAsia"/>
          <w:sz w:val="22"/>
        </w:rPr>
        <w:t>如有证书的，同时</w:t>
      </w:r>
      <w:r>
        <w:rPr>
          <w:sz w:val="22"/>
        </w:rPr>
        <w:t>提供</w:t>
      </w:r>
      <w:r>
        <w:rPr>
          <w:rFonts w:hint="eastAsia"/>
          <w:sz w:val="22"/>
        </w:rPr>
        <w:t>证书</w:t>
      </w:r>
      <w:r>
        <w:rPr>
          <w:rFonts w:hint="eastAsia" w:ascii="宋体"/>
          <w:sz w:val="22"/>
        </w:rPr>
        <w:t>及2020年1月以后连续缴纳3个月社保的证明材料</w:t>
      </w:r>
      <w:r>
        <w:rPr>
          <w:rFonts w:hint="eastAsia" w:ascii="宋体"/>
          <w:sz w:val="22"/>
          <w:lang w:val="en-US" w:eastAsia="zh-CN"/>
        </w:rPr>
        <w:t>复印件或</w:t>
      </w:r>
      <w:r>
        <w:rPr>
          <w:sz w:val="22"/>
        </w:rPr>
        <w:t>扫描件加盖公章</w:t>
      </w:r>
      <w:r>
        <w:rPr>
          <w:rFonts w:hint="eastAsia" w:ascii="宋体"/>
          <w:sz w:val="22"/>
        </w:rPr>
        <w:t>。</w:t>
      </w:r>
    </w:p>
    <w:p>
      <w:pPr>
        <w:autoSpaceDE w:val="0"/>
        <w:autoSpaceDN w:val="0"/>
        <w:adjustRightInd w:val="0"/>
        <w:spacing w:line="360" w:lineRule="auto"/>
        <w:ind w:firstLine="323" w:firstLineChars="147"/>
        <w:rPr>
          <w:rFonts w:ascii="宋体"/>
          <w:sz w:val="22"/>
        </w:rPr>
      </w:pPr>
      <w:r>
        <w:rPr>
          <w:rFonts w:hint="eastAsia" w:ascii="宋体"/>
          <w:sz w:val="22"/>
        </w:rPr>
        <w:t xml:space="preserve"> 2</w:t>
      </w:r>
      <w:r>
        <w:rPr>
          <w:rFonts w:ascii="宋体"/>
          <w:sz w:val="22"/>
        </w:rPr>
        <w:t>、</w:t>
      </w:r>
      <w:r>
        <w:rPr>
          <w:rFonts w:hint="eastAsia" w:ascii="宋体"/>
          <w:sz w:val="22"/>
        </w:rPr>
        <w:t>列入本表人员如要更换，需经采购单位同意；擅自更换或不到位属违约行为。</w:t>
      </w:r>
    </w:p>
    <w:p>
      <w:pPr>
        <w:snapToGrid w:val="0"/>
        <w:spacing w:line="500" w:lineRule="atLeast"/>
        <w:ind w:firstLine="550" w:firstLineChars="250"/>
        <w:rPr>
          <w:rFonts w:ascii="宋体"/>
          <w:sz w:val="22"/>
        </w:rPr>
      </w:pPr>
      <w:r>
        <w:rPr>
          <w:rFonts w:hint="eastAsia" w:ascii="宋体"/>
          <w:sz w:val="22"/>
        </w:rPr>
        <w:t>投标供应商（盖章）：</w:t>
      </w:r>
    </w:p>
    <w:p>
      <w:pPr>
        <w:snapToGrid w:val="0"/>
        <w:spacing w:line="500" w:lineRule="atLeast"/>
        <w:ind w:firstLine="550" w:firstLineChars="250"/>
        <w:rPr>
          <w:rFonts w:ascii="宋体"/>
          <w:sz w:val="22"/>
        </w:rPr>
      </w:pPr>
      <w:r>
        <w:rPr>
          <w:rFonts w:hint="eastAsia" w:ascii="宋体"/>
          <w:sz w:val="22"/>
          <w:lang w:val="zh-CN"/>
        </w:rPr>
        <w:t>法定代表人或</w:t>
      </w:r>
      <w:r>
        <w:rPr>
          <w:rFonts w:hint="eastAsia" w:ascii="宋体" w:cs="Courier New"/>
          <w:sz w:val="22"/>
        </w:rPr>
        <w:t>其</w:t>
      </w:r>
      <w:r>
        <w:rPr>
          <w:rFonts w:hint="eastAsia" w:ascii="宋体"/>
          <w:sz w:val="22"/>
          <w:lang w:val="zh-CN"/>
        </w:rPr>
        <w:t>授权代表（签字或盖章）</w:t>
      </w:r>
      <w:r>
        <w:rPr>
          <w:rFonts w:hint="eastAsia" w:ascii="宋体"/>
          <w:sz w:val="22"/>
        </w:rPr>
        <w:t>：</w:t>
      </w:r>
    </w:p>
    <w:p>
      <w:pPr>
        <w:snapToGrid w:val="0"/>
        <w:spacing w:line="500" w:lineRule="atLeast"/>
        <w:ind w:firstLine="550" w:firstLineChars="250"/>
        <w:rPr>
          <w:rFonts w:ascii="宋体"/>
        </w:rPr>
      </w:pPr>
      <w:r>
        <w:rPr>
          <w:rFonts w:hint="eastAsia" w:ascii="宋体"/>
          <w:sz w:val="22"/>
        </w:rPr>
        <w:t xml:space="preserve">日期：  </w:t>
      </w:r>
      <w:r>
        <w:rPr>
          <w:rFonts w:hint="eastAsia" w:ascii="宋体"/>
        </w:rPr>
        <w:t xml:space="preserve">          </w:t>
      </w:r>
    </w:p>
    <w:p>
      <w:pPr>
        <w:adjustRightInd w:val="0"/>
        <w:snapToGrid w:val="0"/>
        <w:outlineLvl w:val="1"/>
        <w:rPr>
          <w:rFonts w:ascii="宋体"/>
          <w:sz w:val="32"/>
          <w:szCs w:val="32"/>
        </w:rPr>
      </w:pPr>
    </w:p>
    <w:p>
      <w:pPr>
        <w:autoSpaceDE w:val="0"/>
        <w:autoSpaceDN w:val="0"/>
        <w:adjustRightInd w:val="0"/>
        <w:spacing w:line="460" w:lineRule="atLeast"/>
        <w:rPr>
          <w:rFonts w:ascii="宋体"/>
          <w:sz w:val="36"/>
          <w:lang w:val="zh-CN"/>
        </w:rPr>
      </w:pPr>
      <w:r>
        <w:rPr>
          <w:rFonts w:hint="eastAsia" w:ascii="宋体" w:hAnsi="Courier New" w:cs="Arial"/>
          <w:sz w:val="22"/>
        </w:rPr>
        <w:t>附件十三</w:t>
      </w:r>
    </w:p>
    <w:p>
      <w:pPr>
        <w:autoSpaceDE w:val="0"/>
        <w:autoSpaceDN w:val="0"/>
        <w:adjustRightInd w:val="0"/>
        <w:spacing w:line="460" w:lineRule="atLeast"/>
        <w:ind w:firstLine="3592" w:firstLineChars="998"/>
        <w:rPr>
          <w:rFonts w:ascii="宋体"/>
          <w:sz w:val="36"/>
          <w:lang w:val="zh-CN"/>
        </w:rPr>
      </w:pPr>
      <w:r>
        <w:rPr>
          <w:rFonts w:hint="eastAsia" w:ascii="宋体"/>
          <w:sz w:val="36"/>
          <w:lang w:val="zh-CN"/>
        </w:rPr>
        <w:t>偏离表</w:t>
      </w:r>
    </w:p>
    <w:tbl>
      <w:tblPr>
        <w:tblStyle w:val="15"/>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2"/>
        <w:gridCol w:w="1710"/>
        <w:gridCol w:w="2664"/>
        <w:gridCol w:w="2110"/>
        <w:gridCol w:w="18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5" w:hRule="atLeast"/>
        </w:trPr>
        <w:tc>
          <w:tcPr>
            <w:tcW w:w="9197" w:type="dxa"/>
            <w:gridSpan w:val="5"/>
            <w:vAlign w:val="center"/>
          </w:tcPr>
          <w:p>
            <w:pPr>
              <w:autoSpaceDE w:val="0"/>
              <w:autoSpaceDN w:val="0"/>
              <w:adjustRightInd w:val="0"/>
              <w:spacing w:line="460" w:lineRule="atLeast"/>
              <w:jc w:val="center"/>
              <w:rPr>
                <w:rFonts w:ascii="宋体"/>
                <w:sz w:val="22"/>
                <w:lang w:val="zh-CN"/>
              </w:rPr>
            </w:pPr>
            <w:r>
              <w:rPr>
                <w:rFonts w:ascii="宋体"/>
                <w:sz w:val="22"/>
                <w:lang w:val="zh-CN"/>
              </w:rPr>
              <w:t>商务</w:t>
            </w:r>
            <w:r>
              <w:rPr>
                <w:rFonts w:hint="eastAsia" w:ascii="宋体"/>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序</w:t>
            </w:r>
            <w:r>
              <w:rPr>
                <w:rFonts w:ascii="宋体"/>
                <w:sz w:val="22"/>
                <w:lang w:val="zh-CN"/>
              </w:rPr>
              <w:t xml:space="preserve"> </w:t>
            </w:r>
            <w:r>
              <w:rPr>
                <w:rFonts w:hint="eastAsia" w:ascii="宋体"/>
                <w:sz w:val="22"/>
                <w:lang w:val="zh-CN"/>
              </w:rPr>
              <w:t>号</w:t>
            </w:r>
          </w:p>
        </w:tc>
        <w:tc>
          <w:tcPr>
            <w:tcW w:w="17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内容</w:t>
            </w:r>
          </w:p>
        </w:tc>
        <w:tc>
          <w:tcPr>
            <w:tcW w:w="2664"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招标文件规范要求</w:t>
            </w:r>
          </w:p>
        </w:tc>
        <w:tc>
          <w:tcPr>
            <w:tcW w:w="21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投标文件对应规范</w:t>
            </w:r>
          </w:p>
        </w:tc>
        <w:tc>
          <w:tcPr>
            <w:tcW w:w="1831"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备</w:t>
            </w:r>
            <w:r>
              <w:rPr>
                <w:rFonts w:ascii="宋体"/>
                <w:sz w:val="22"/>
                <w:lang w:val="zh-CN"/>
              </w:rPr>
              <w:t xml:space="preserve"> </w:t>
            </w:r>
            <w:r>
              <w:rPr>
                <w:rFonts w:hint="eastAsia" w:ascii="宋体"/>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9197" w:type="dxa"/>
            <w:gridSpan w:val="5"/>
          </w:tcPr>
          <w:p>
            <w:pPr>
              <w:autoSpaceDE w:val="0"/>
              <w:autoSpaceDN w:val="0"/>
              <w:adjustRightInd w:val="0"/>
              <w:spacing w:line="460" w:lineRule="atLeast"/>
              <w:jc w:val="center"/>
              <w:rPr>
                <w:rFonts w:ascii="宋体"/>
                <w:sz w:val="22"/>
                <w:lang w:val="zh-CN"/>
              </w:rPr>
            </w:pPr>
            <w:r>
              <w:rPr>
                <w:rFonts w:ascii="宋体"/>
                <w:sz w:val="22"/>
                <w:lang w:val="zh-CN"/>
              </w:rPr>
              <w:t>技术</w:t>
            </w:r>
            <w:r>
              <w:rPr>
                <w:rFonts w:hint="eastAsia" w:ascii="宋体"/>
                <w:sz w:val="22"/>
                <w:lang w:val="zh-CN"/>
              </w:rPr>
              <w:t>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序</w:t>
            </w:r>
            <w:r>
              <w:rPr>
                <w:rFonts w:ascii="宋体"/>
                <w:sz w:val="22"/>
                <w:lang w:val="zh-CN"/>
              </w:rPr>
              <w:t xml:space="preserve"> </w:t>
            </w:r>
            <w:r>
              <w:rPr>
                <w:rFonts w:hint="eastAsia" w:ascii="宋体"/>
                <w:sz w:val="22"/>
                <w:lang w:val="zh-CN"/>
              </w:rPr>
              <w:t>号</w:t>
            </w:r>
          </w:p>
        </w:tc>
        <w:tc>
          <w:tcPr>
            <w:tcW w:w="17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内容</w:t>
            </w:r>
          </w:p>
        </w:tc>
        <w:tc>
          <w:tcPr>
            <w:tcW w:w="2664"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招标文件规范要求</w:t>
            </w:r>
          </w:p>
        </w:tc>
        <w:tc>
          <w:tcPr>
            <w:tcW w:w="2110"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投标文件对应规范</w:t>
            </w:r>
          </w:p>
        </w:tc>
        <w:tc>
          <w:tcPr>
            <w:tcW w:w="1831" w:type="dxa"/>
            <w:vAlign w:val="center"/>
          </w:tcPr>
          <w:p>
            <w:pPr>
              <w:autoSpaceDE w:val="0"/>
              <w:autoSpaceDN w:val="0"/>
              <w:adjustRightInd w:val="0"/>
              <w:spacing w:line="460" w:lineRule="atLeast"/>
              <w:jc w:val="center"/>
              <w:rPr>
                <w:rFonts w:ascii="宋体"/>
                <w:sz w:val="22"/>
                <w:lang w:val="zh-CN"/>
              </w:rPr>
            </w:pPr>
            <w:r>
              <w:rPr>
                <w:rFonts w:hint="eastAsia" w:ascii="宋体"/>
                <w:sz w:val="22"/>
                <w:lang w:val="zh-CN"/>
              </w:rPr>
              <w:t>备</w:t>
            </w:r>
            <w:r>
              <w:rPr>
                <w:rFonts w:ascii="宋体"/>
                <w:sz w:val="22"/>
                <w:lang w:val="zh-CN"/>
              </w:rPr>
              <w:t xml:space="preserve"> </w:t>
            </w:r>
            <w:r>
              <w:rPr>
                <w:rFonts w:hint="eastAsia" w:ascii="宋体"/>
                <w:sz w:val="22"/>
                <w:lang w:val="zh-CN"/>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6" w:hRule="atLeast"/>
        </w:trPr>
        <w:tc>
          <w:tcPr>
            <w:tcW w:w="882" w:type="dxa"/>
          </w:tcPr>
          <w:p>
            <w:pPr>
              <w:autoSpaceDE w:val="0"/>
              <w:autoSpaceDN w:val="0"/>
              <w:adjustRightInd w:val="0"/>
              <w:spacing w:line="460" w:lineRule="atLeast"/>
              <w:jc w:val="center"/>
              <w:rPr>
                <w:rFonts w:ascii="宋体"/>
                <w:sz w:val="22"/>
                <w:lang w:val="zh-CN"/>
              </w:rPr>
            </w:pPr>
          </w:p>
        </w:tc>
        <w:tc>
          <w:tcPr>
            <w:tcW w:w="1710" w:type="dxa"/>
          </w:tcPr>
          <w:p>
            <w:pPr>
              <w:autoSpaceDE w:val="0"/>
              <w:autoSpaceDN w:val="0"/>
              <w:adjustRightInd w:val="0"/>
              <w:spacing w:line="460" w:lineRule="atLeast"/>
              <w:jc w:val="center"/>
              <w:rPr>
                <w:rFonts w:ascii="宋体"/>
                <w:sz w:val="22"/>
                <w:lang w:val="zh-CN"/>
              </w:rPr>
            </w:pPr>
          </w:p>
        </w:tc>
        <w:tc>
          <w:tcPr>
            <w:tcW w:w="2664" w:type="dxa"/>
          </w:tcPr>
          <w:p>
            <w:pPr>
              <w:autoSpaceDE w:val="0"/>
              <w:autoSpaceDN w:val="0"/>
              <w:adjustRightInd w:val="0"/>
              <w:spacing w:line="460" w:lineRule="atLeast"/>
              <w:jc w:val="center"/>
              <w:rPr>
                <w:rFonts w:ascii="宋体"/>
                <w:sz w:val="22"/>
                <w:lang w:val="zh-CN"/>
              </w:rPr>
            </w:pPr>
          </w:p>
        </w:tc>
        <w:tc>
          <w:tcPr>
            <w:tcW w:w="2110" w:type="dxa"/>
          </w:tcPr>
          <w:p>
            <w:pPr>
              <w:autoSpaceDE w:val="0"/>
              <w:autoSpaceDN w:val="0"/>
              <w:adjustRightInd w:val="0"/>
              <w:spacing w:line="460" w:lineRule="atLeast"/>
              <w:jc w:val="center"/>
              <w:rPr>
                <w:rFonts w:ascii="宋体"/>
                <w:sz w:val="22"/>
                <w:lang w:val="zh-CN"/>
              </w:rPr>
            </w:pPr>
          </w:p>
        </w:tc>
        <w:tc>
          <w:tcPr>
            <w:tcW w:w="1831" w:type="dxa"/>
          </w:tcPr>
          <w:p>
            <w:pPr>
              <w:autoSpaceDE w:val="0"/>
              <w:autoSpaceDN w:val="0"/>
              <w:adjustRightInd w:val="0"/>
              <w:spacing w:line="460" w:lineRule="atLeast"/>
              <w:jc w:val="center"/>
              <w:rPr>
                <w:rFonts w:ascii="宋体"/>
                <w:sz w:val="22"/>
                <w:lang w:val="zh-CN"/>
              </w:rPr>
            </w:pPr>
          </w:p>
        </w:tc>
      </w:tr>
    </w:tbl>
    <w:p>
      <w:pPr>
        <w:rPr>
          <w:rFonts w:ascii="宋体"/>
          <w:sz w:val="22"/>
          <w:lang w:val="zh-CN"/>
        </w:rPr>
      </w:pPr>
      <w:r>
        <w:rPr>
          <w:rFonts w:hint="eastAsia" w:ascii="宋体"/>
          <w:sz w:val="22"/>
          <w:lang w:val="zh-CN"/>
        </w:rPr>
        <w:t>备注添正偏离、负偏离或无偏离。</w:t>
      </w:r>
    </w:p>
    <w:p>
      <w:pPr>
        <w:rPr>
          <w:rFonts w:ascii="宋体"/>
        </w:rPr>
      </w:pPr>
      <w:r>
        <w:rPr>
          <w:rFonts w:hint="eastAsia" w:ascii="宋体"/>
          <w:sz w:val="22"/>
          <w:lang w:val="zh-CN"/>
        </w:rPr>
        <w:t>投标供应商盖章：</w:t>
      </w:r>
      <w:r>
        <w:rPr>
          <w:rFonts w:hint="eastAsia" w:ascii="宋体"/>
          <w:sz w:val="22"/>
          <w:u w:val="single"/>
          <w:lang w:val="zh-CN"/>
        </w:rPr>
        <w:t xml:space="preserve">           </w:t>
      </w:r>
    </w:p>
    <w:p>
      <w:pPr>
        <w:spacing w:beforeLines="50" w:afterLines="50" w:line="460" w:lineRule="atLeast"/>
        <w:ind w:right="-10"/>
        <w:jc w:val="center"/>
        <w:rPr>
          <w:rFonts w:ascii="宋体"/>
          <w:sz w:val="36"/>
        </w:rPr>
      </w:pPr>
    </w:p>
    <w:p>
      <w:pPr>
        <w:spacing w:beforeLines="50" w:afterLines="50" w:line="460" w:lineRule="atLeast"/>
        <w:ind w:right="-10"/>
        <w:jc w:val="center"/>
        <w:rPr>
          <w:rFonts w:ascii="宋体"/>
          <w:sz w:val="36"/>
        </w:rPr>
      </w:pPr>
    </w:p>
    <w:p>
      <w:pPr>
        <w:spacing w:beforeLines="50" w:afterLines="50" w:line="460" w:lineRule="atLeast"/>
        <w:ind w:right="-10"/>
        <w:jc w:val="center"/>
        <w:rPr>
          <w:rFonts w:ascii="宋体"/>
          <w:sz w:val="36"/>
        </w:rPr>
      </w:pPr>
    </w:p>
    <w:p>
      <w:pPr>
        <w:spacing w:beforeLines="50" w:afterLines="50" w:line="460" w:lineRule="atLeast"/>
        <w:ind w:right="-10"/>
        <w:rPr>
          <w:rFonts w:ascii="宋体"/>
          <w:sz w:val="36"/>
        </w:rPr>
      </w:pPr>
    </w:p>
    <w:p>
      <w:pPr>
        <w:rPr>
          <w:rFonts w:ascii="宋体" w:hAnsi="Courier New" w:cs="Arial"/>
          <w:sz w:val="22"/>
        </w:rPr>
      </w:pPr>
      <w:r>
        <w:rPr>
          <w:rFonts w:hint="eastAsia" w:ascii="宋体" w:hAnsi="Courier New" w:cs="Arial"/>
          <w:sz w:val="22"/>
        </w:rPr>
        <w:br w:type="page"/>
      </w:r>
    </w:p>
    <w:p>
      <w:pPr>
        <w:autoSpaceDE w:val="0"/>
        <w:autoSpaceDN w:val="0"/>
        <w:adjustRightInd w:val="0"/>
        <w:spacing w:line="460" w:lineRule="atLeast"/>
        <w:rPr>
          <w:rFonts w:ascii="宋体"/>
          <w:sz w:val="36"/>
          <w:lang w:val="zh-CN"/>
        </w:rPr>
      </w:pPr>
      <w:r>
        <w:rPr>
          <w:rFonts w:hint="eastAsia" w:ascii="宋体" w:hAnsi="Courier New" w:cs="Arial"/>
          <w:sz w:val="22"/>
        </w:rPr>
        <w:t>附件十四</w:t>
      </w:r>
    </w:p>
    <w:p>
      <w:pPr>
        <w:spacing w:line="400" w:lineRule="exact"/>
        <w:ind w:left="1440" w:hanging="1440" w:hangingChars="400"/>
        <w:jc w:val="center"/>
        <w:rPr>
          <w:rFonts w:ascii="宋体" w:cs="Arial"/>
          <w:bCs/>
          <w:sz w:val="36"/>
          <w:szCs w:val="36"/>
        </w:rPr>
      </w:pPr>
      <w:r>
        <w:rPr>
          <w:rFonts w:hint="eastAsia" w:ascii="宋体" w:cs="Arial"/>
          <w:bCs/>
          <w:sz w:val="36"/>
          <w:szCs w:val="36"/>
        </w:rPr>
        <w:t>投入本项目的主要设备表</w:t>
      </w:r>
    </w:p>
    <w:p>
      <w:pPr>
        <w:spacing w:line="400" w:lineRule="exact"/>
        <w:ind w:left="1280" w:hanging="1280" w:hangingChars="400"/>
        <w:jc w:val="center"/>
        <w:rPr>
          <w:rFonts w:ascii="宋体" w:cs="Arial"/>
          <w:bCs/>
          <w:sz w:val="32"/>
        </w:rPr>
      </w:pPr>
    </w:p>
    <w:p>
      <w:pPr>
        <w:spacing w:line="380" w:lineRule="exact"/>
        <w:rPr>
          <w:rFonts w:ascii="宋体"/>
          <w:bCs/>
          <w:sz w:val="22"/>
        </w:rPr>
      </w:pPr>
      <w:r>
        <w:rPr>
          <w:rFonts w:hint="eastAsia" w:ascii="宋体"/>
          <w:bCs/>
          <w:sz w:val="22"/>
        </w:rPr>
        <w:t>项目名称：                                          招标编号：</w:t>
      </w:r>
    </w:p>
    <w:tbl>
      <w:tblPr>
        <w:tblStyle w:val="15"/>
        <w:tblW w:w="90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2099"/>
        <w:gridCol w:w="1666"/>
        <w:gridCol w:w="1306"/>
        <w:gridCol w:w="962"/>
        <w:gridCol w:w="851"/>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6" w:hRule="atLeast"/>
        </w:trPr>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序号</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设备名称</w:t>
            </w:r>
          </w:p>
        </w:tc>
        <w:tc>
          <w:tcPr>
            <w:tcW w:w="16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规格型号</w:t>
            </w:r>
          </w:p>
        </w:tc>
        <w:tc>
          <w:tcPr>
            <w:tcW w:w="1306"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品牌</w:t>
            </w:r>
          </w:p>
        </w:tc>
        <w:tc>
          <w:tcPr>
            <w:tcW w:w="962"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数量</w:t>
            </w:r>
          </w:p>
        </w:tc>
        <w:tc>
          <w:tcPr>
            <w:tcW w:w="851"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单位</w:t>
            </w:r>
          </w:p>
        </w:tc>
        <w:tc>
          <w:tcPr>
            <w:tcW w:w="1312" w:type="dxa"/>
            <w:tcBorders>
              <w:top w:val="single" w:color="auto" w:sz="4" w:space="0"/>
              <w:left w:val="single" w:color="auto" w:sz="4" w:space="0"/>
              <w:right w:val="single" w:color="auto" w:sz="4" w:space="0"/>
            </w:tcBorders>
            <w:vAlign w:val="center"/>
          </w:tcPr>
          <w:p>
            <w:pPr>
              <w:spacing w:line="400" w:lineRule="exact"/>
              <w:jc w:val="center"/>
              <w:rPr>
                <w:rFonts w:ascii="宋体" w:cs="Arial"/>
                <w:sz w:val="22"/>
              </w:rPr>
            </w:pPr>
            <w:r>
              <w:rPr>
                <w:rFonts w:hint="eastAsia" w:ascii="宋体" w:cs="Arial"/>
                <w:sz w:val="22"/>
              </w:rPr>
              <w:t>使用年限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2099"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66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06"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96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851"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c>
          <w:tcPr>
            <w:tcW w:w="1312" w:type="dxa"/>
            <w:tcBorders>
              <w:top w:val="single" w:color="auto" w:sz="4" w:space="0"/>
              <w:left w:val="single" w:color="auto" w:sz="4" w:space="0"/>
              <w:bottom w:val="single" w:color="auto" w:sz="4" w:space="0"/>
              <w:right w:val="single" w:color="auto" w:sz="4" w:space="0"/>
            </w:tcBorders>
          </w:tcPr>
          <w:p>
            <w:pPr>
              <w:spacing w:line="400" w:lineRule="exact"/>
              <w:rPr>
                <w:rFonts w:ascii="宋体" w:cs="Arial"/>
                <w:sz w:val="22"/>
              </w:rPr>
            </w:pPr>
          </w:p>
        </w:tc>
      </w:tr>
    </w:tbl>
    <w:p>
      <w:pPr>
        <w:pStyle w:val="6"/>
        <w:spacing w:before="156" w:after="156" w:line="400" w:lineRule="atLeast"/>
        <w:rPr>
          <w:rFonts w:hAnsi="宋体"/>
          <w:bCs/>
          <w:sz w:val="22"/>
          <w:szCs w:val="22"/>
        </w:rPr>
      </w:pPr>
      <w:r>
        <w:rPr>
          <w:rFonts w:hint="eastAsia" w:hAnsi="宋体"/>
          <w:sz w:val="22"/>
          <w:szCs w:val="22"/>
        </w:rPr>
        <w:t>注：1、</w:t>
      </w:r>
      <w:r>
        <w:rPr>
          <w:rFonts w:hint="eastAsia" w:hAnsi="宋体"/>
          <w:bCs/>
          <w:sz w:val="22"/>
          <w:szCs w:val="22"/>
        </w:rPr>
        <w:t>表格可以延续。</w:t>
      </w:r>
    </w:p>
    <w:p>
      <w:pPr>
        <w:pStyle w:val="6"/>
        <w:spacing w:before="156" w:after="156" w:line="400" w:lineRule="atLeast"/>
        <w:ind w:left="1"/>
        <w:rPr>
          <w:rFonts w:hAnsi="宋体"/>
          <w:bCs/>
          <w:sz w:val="22"/>
          <w:szCs w:val="22"/>
        </w:rPr>
      </w:pPr>
    </w:p>
    <w:p>
      <w:pPr>
        <w:pStyle w:val="6"/>
        <w:spacing w:before="156" w:after="156" w:line="400" w:lineRule="atLeast"/>
        <w:ind w:left="425" w:hanging="424" w:hangingChars="193"/>
        <w:rPr>
          <w:rFonts w:hAnsi="宋体"/>
          <w:sz w:val="22"/>
        </w:rPr>
      </w:pPr>
    </w:p>
    <w:p>
      <w:pPr>
        <w:snapToGrid w:val="0"/>
        <w:spacing w:line="500" w:lineRule="atLeast"/>
        <w:ind w:firstLine="550" w:firstLineChars="250"/>
        <w:rPr>
          <w:rFonts w:ascii="宋体"/>
          <w:sz w:val="22"/>
        </w:rPr>
      </w:pPr>
      <w:r>
        <w:rPr>
          <w:rFonts w:hint="eastAsia" w:ascii="宋体"/>
          <w:sz w:val="22"/>
        </w:rPr>
        <w:t>投标供应商（盖章）：</w:t>
      </w:r>
    </w:p>
    <w:p>
      <w:pPr>
        <w:snapToGrid w:val="0"/>
        <w:spacing w:line="500" w:lineRule="atLeast"/>
        <w:ind w:firstLine="550" w:firstLineChars="250"/>
        <w:rPr>
          <w:rFonts w:ascii="宋体"/>
          <w:sz w:val="22"/>
        </w:rPr>
      </w:pPr>
      <w:r>
        <w:rPr>
          <w:rFonts w:hint="eastAsia" w:ascii="宋体"/>
          <w:sz w:val="22"/>
        </w:rPr>
        <w:t>法定代表人或</w:t>
      </w:r>
      <w:r>
        <w:rPr>
          <w:rFonts w:hint="eastAsia" w:ascii="宋体" w:cs="Courier New"/>
          <w:sz w:val="22"/>
        </w:rPr>
        <w:t>其</w:t>
      </w:r>
      <w:r>
        <w:rPr>
          <w:rFonts w:hint="eastAsia" w:ascii="宋体"/>
          <w:sz w:val="22"/>
        </w:rPr>
        <w:t>授权代表（签字或盖章）：</w:t>
      </w:r>
    </w:p>
    <w:p>
      <w:pPr>
        <w:ind w:firstLine="550" w:firstLineChars="250"/>
        <w:rPr>
          <w:rFonts w:ascii="宋体"/>
          <w:sz w:val="22"/>
        </w:rPr>
      </w:pPr>
    </w:p>
    <w:p>
      <w:r>
        <w:rPr>
          <w:rFonts w:hint="eastAsia" w:ascii="宋体"/>
          <w:sz w:val="22"/>
        </w:rPr>
        <w:t xml:space="preserve">日期： </w:t>
      </w:r>
    </w:p>
    <w:p>
      <w:pPr>
        <w:pStyle w:val="14"/>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14923"/>
    </w:sdtPr>
    <w:sdtContent>
      <w:p>
        <w:pPr>
          <w:pStyle w:val="9"/>
          <w:jc w:val="right"/>
        </w:pPr>
        <w:r>
          <w:fldChar w:fldCharType="begin"/>
        </w:r>
        <w:r>
          <w:instrText xml:space="preserve"> PAGE   \* MERGEFORMAT </w:instrText>
        </w:r>
        <w:r>
          <w:fldChar w:fldCharType="separate"/>
        </w:r>
        <w:r>
          <w:rPr>
            <w:lang w:val="zh-CN"/>
          </w:rPr>
          <w:t>19</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94480"/>
    <w:multiLevelType w:val="singleLevel"/>
    <w:tmpl w:val="8E894480"/>
    <w:lvl w:ilvl="0" w:tentative="0">
      <w:start w:val="1"/>
      <w:numFmt w:val="decimal"/>
      <w:lvlText w:val="%1."/>
      <w:lvlJc w:val="left"/>
      <w:pPr>
        <w:tabs>
          <w:tab w:val="left" w:pos="312"/>
        </w:tabs>
      </w:pPr>
    </w:lvl>
  </w:abstractNum>
  <w:abstractNum w:abstractNumId="1">
    <w:nsid w:val="12754277"/>
    <w:multiLevelType w:val="multilevel"/>
    <w:tmpl w:val="12754277"/>
    <w:lvl w:ilvl="0" w:tentative="0">
      <w:start w:val="5"/>
      <w:numFmt w:val="japaneseCounting"/>
      <w:lvlText w:val="%1、"/>
      <w:lvlJc w:val="left"/>
      <w:pPr>
        <w:ind w:left="1173" w:hanging="720"/>
      </w:pPr>
      <w:rPr>
        <w:rFonts w:hint="default"/>
      </w:rPr>
    </w:lvl>
    <w:lvl w:ilvl="1" w:tentative="0">
      <w:start w:val="1"/>
      <w:numFmt w:val="lowerLetter"/>
      <w:lvlText w:val="%2)"/>
      <w:lvlJc w:val="left"/>
      <w:pPr>
        <w:ind w:left="1293" w:hanging="420"/>
      </w:pPr>
    </w:lvl>
    <w:lvl w:ilvl="2" w:tentative="0">
      <w:start w:val="1"/>
      <w:numFmt w:val="lowerRoman"/>
      <w:lvlText w:val="%3."/>
      <w:lvlJc w:val="right"/>
      <w:pPr>
        <w:ind w:left="1713" w:hanging="420"/>
      </w:pPr>
    </w:lvl>
    <w:lvl w:ilvl="3" w:tentative="0">
      <w:start w:val="1"/>
      <w:numFmt w:val="decimal"/>
      <w:lvlText w:val="%4."/>
      <w:lvlJc w:val="left"/>
      <w:pPr>
        <w:ind w:left="2133" w:hanging="420"/>
      </w:pPr>
    </w:lvl>
    <w:lvl w:ilvl="4" w:tentative="0">
      <w:start w:val="1"/>
      <w:numFmt w:val="lowerLetter"/>
      <w:lvlText w:val="%5)"/>
      <w:lvlJc w:val="left"/>
      <w:pPr>
        <w:ind w:left="2553" w:hanging="420"/>
      </w:pPr>
    </w:lvl>
    <w:lvl w:ilvl="5" w:tentative="0">
      <w:start w:val="1"/>
      <w:numFmt w:val="lowerRoman"/>
      <w:lvlText w:val="%6."/>
      <w:lvlJc w:val="right"/>
      <w:pPr>
        <w:ind w:left="2973" w:hanging="420"/>
      </w:pPr>
    </w:lvl>
    <w:lvl w:ilvl="6" w:tentative="0">
      <w:start w:val="1"/>
      <w:numFmt w:val="decimal"/>
      <w:lvlText w:val="%7."/>
      <w:lvlJc w:val="left"/>
      <w:pPr>
        <w:ind w:left="3393" w:hanging="420"/>
      </w:pPr>
    </w:lvl>
    <w:lvl w:ilvl="7" w:tentative="0">
      <w:start w:val="1"/>
      <w:numFmt w:val="lowerLetter"/>
      <w:lvlText w:val="%8)"/>
      <w:lvlJc w:val="left"/>
      <w:pPr>
        <w:ind w:left="3813" w:hanging="420"/>
      </w:pPr>
    </w:lvl>
    <w:lvl w:ilvl="8" w:tentative="0">
      <w:start w:val="1"/>
      <w:numFmt w:val="lowerRoman"/>
      <w:lvlText w:val="%9."/>
      <w:lvlJc w:val="right"/>
      <w:pPr>
        <w:ind w:left="4233" w:hanging="420"/>
      </w:pPr>
    </w:lvl>
  </w:abstractNum>
  <w:abstractNum w:abstractNumId="2">
    <w:nsid w:val="24143B26"/>
    <w:multiLevelType w:val="singleLevel"/>
    <w:tmpl w:val="24143B26"/>
    <w:lvl w:ilvl="0" w:tentative="0">
      <w:start w:val="1"/>
      <w:numFmt w:val="decimal"/>
      <w:suff w:val="nothing"/>
      <w:lvlText w:val="%1、"/>
      <w:lvlJc w:val="left"/>
    </w:lvl>
  </w:abstractNum>
  <w:abstractNum w:abstractNumId="3">
    <w:nsid w:val="48923548"/>
    <w:multiLevelType w:val="singleLevel"/>
    <w:tmpl w:val="48923548"/>
    <w:lvl w:ilvl="0" w:tentative="0">
      <w:start w:val="1"/>
      <w:numFmt w:val="decimal"/>
      <w:suff w:val="nothing"/>
      <w:lvlText w:val="%1、"/>
      <w:lvlJc w:val="left"/>
    </w:lvl>
  </w:abstractNum>
  <w:abstractNum w:abstractNumId="4">
    <w:nsid w:val="7C657597"/>
    <w:multiLevelType w:val="multilevel"/>
    <w:tmpl w:val="7C657597"/>
    <w:lvl w:ilvl="0" w:tentative="0">
      <w:start w:val="1"/>
      <w:numFmt w:val="japaneseCounting"/>
      <w:lvlText w:val="第%1章"/>
      <w:lvlJc w:val="left"/>
      <w:pPr>
        <w:ind w:left="1365" w:hanging="1200"/>
      </w:pPr>
      <w:rPr>
        <w:rFonts w:hint="default"/>
      </w:rPr>
    </w:lvl>
    <w:lvl w:ilvl="1" w:tentative="0">
      <w:start w:val="1"/>
      <w:numFmt w:val="lowerLetter"/>
      <w:lvlText w:val="%2)"/>
      <w:lvlJc w:val="left"/>
      <w:pPr>
        <w:ind w:left="1005" w:hanging="420"/>
      </w:p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43350"/>
    <w:rsid w:val="07814C00"/>
    <w:rsid w:val="08A4623E"/>
    <w:rsid w:val="0C5F49FC"/>
    <w:rsid w:val="1FA30C01"/>
    <w:rsid w:val="28F77562"/>
    <w:rsid w:val="32443350"/>
    <w:rsid w:val="36910A83"/>
    <w:rsid w:val="58B16572"/>
    <w:rsid w:val="5D552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6">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240" w:lineRule="auto"/>
      <w:ind w:left="420" w:leftChars="200" w:firstLine="420" w:firstLineChars="200"/>
    </w:pPr>
    <w:rPr>
      <w:rFonts w:ascii="Times New Roman" w:hAnsi="Times New Roman"/>
      <w:spacing w:val="0"/>
      <w:sz w:val="21"/>
    </w:rPr>
  </w:style>
  <w:style w:type="paragraph" w:styleId="3">
    <w:name w:val="Body Text Indent"/>
    <w:basedOn w:val="1"/>
    <w:unhideWhenUsed/>
    <w:qFormat/>
    <w:uiPriority w:val="99"/>
    <w:pPr>
      <w:spacing w:line="200" w:lineRule="exact"/>
      <w:ind w:firstLine="301"/>
    </w:pPr>
    <w:rPr>
      <w:rFonts w:ascii="宋体" w:hAnsi="Courier New"/>
      <w:spacing w:val="-4"/>
      <w:sz w:val="18"/>
      <w:szCs w:val="20"/>
    </w:rPr>
  </w:style>
  <w:style w:type="paragraph" w:styleId="4">
    <w:name w:val="Normal Indent"/>
    <w:basedOn w:val="1"/>
    <w:qFormat/>
    <w:uiPriority w:val="0"/>
    <w:pPr>
      <w:ind w:firstLine="420" w:firstLineChars="200"/>
    </w:pPr>
  </w:style>
  <w:style w:type="paragraph" w:styleId="5">
    <w:name w:val="Body Text"/>
    <w:basedOn w:val="1"/>
    <w:qFormat/>
    <w:uiPriority w:val="0"/>
    <w:rPr>
      <w:rFonts w:eastAsia="黑体"/>
      <w:b/>
      <w:bCs/>
      <w:spacing w:val="20"/>
      <w:kern w:val="52"/>
      <w:sz w:val="56"/>
      <w:szCs w:val="24"/>
    </w:rPr>
  </w:style>
  <w:style w:type="paragraph" w:styleId="6">
    <w:name w:val="Plain Text"/>
    <w:basedOn w:val="1"/>
    <w:unhideWhenUsed/>
    <w:qFormat/>
    <w:uiPriority w:val="99"/>
    <w:pPr>
      <w:spacing w:beforeLines="50" w:afterLines="50" w:line="400" w:lineRule="exact"/>
    </w:pPr>
    <w:rPr>
      <w:rFonts w:ascii="宋体" w:hAnsi="Courier New"/>
      <w:sz w:val="24"/>
      <w:szCs w:val="24"/>
    </w:rPr>
  </w:style>
  <w:style w:type="paragraph" w:styleId="7">
    <w:name w:val="Date"/>
    <w:basedOn w:val="1"/>
    <w:next w:val="1"/>
    <w:qFormat/>
    <w:uiPriority w:val="0"/>
    <w:pPr>
      <w:ind w:left="100" w:leftChars="2500"/>
    </w:pPr>
    <w:rPr>
      <w:sz w:val="24"/>
    </w:rPr>
  </w:style>
  <w:style w:type="paragraph" w:styleId="8">
    <w:name w:val="Body Text Indent 2"/>
    <w:qFormat/>
    <w:uiPriority w:val="0"/>
    <w:pPr>
      <w:spacing w:line="480" w:lineRule="atLeast"/>
      <w:ind w:firstLine="480"/>
      <w:jc w:val="both"/>
    </w:pPr>
    <w:rPr>
      <w:rFonts w:ascii="宋体" w:hAnsi="宋体" w:eastAsia="仿宋_GB2312" w:cs="Times New Roman"/>
      <w:b/>
      <w:color w:val="000000"/>
      <w:sz w:val="24"/>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footnote text"/>
    <w:basedOn w:val="1"/>
    <w:qFormat/>
    <w:uiPriority w:val="0"/>
    <w:pPr>
      <w:snapToGrid w:val="0"/>
      <w:jc w:val="left"/>
    </w:pPr>
    <w:rPr>
      <w:sz w:val="18"/>
    </w:rPr>
  </w:style>
  <w:style w:type="paragraph" w:styleId="11">
    <w:name w:val="table of figures"/>
    <w:basedOn w:val="1"/>
    <w:next w:val="1"/>
    <w:unhideWhenUsed/>
    <w:qFormat/>
    <w:uiPriority w:val="99"/>
    <w:pPr>
      <w:tabs>
        <w:tab w:val="left" w:pos="1270"/>
      </w:tabs>
      <w:spacing w:line="360" w:lineRule="auto"/>
      <w:ind w:left="1270" w:hanging="420"/>
      <w:jc w:val="left"/>
    </w:pPr>
    <w:rPr>
      <w:smallCaps/>
      <w:sz w:val="20"/>
      <w:szCs w:val="20"/>
    </w:rPr>
  </w:style>
  <w:style w:type="paragraph" w:styleId="1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qFormat/>
    <w:uiPriority w:val="0"/>
    <w:pPr>
      <w:widowControl/>
      <w:spacing w:before="100" w:beforeAutospacing="1" w:after="100" w:afterAutospacing="1"/>
      <w:jc w:val="left"/>
    </w:pPr>
    <w:rPr>
      <w:rFonts w:ascii="宋体" w:hAnsi="宋体" w:cs="宋体"/>
      <w:color w:val="003399"/>
      <w:kern w:val="0"/>
      <w:sz w:val="18"/>
      <w:szCs w:val="18"/>
    </w:rPr>
  </w:style>
  <w:style w:type="paragraph" w:styleId="14">
    <w:name w:val="Body Text First Indent"/>
    <w:basedOn w:val="5"/>
    <w:qFormat/>
    <w:uiPriority w:val="0"/>
    <w:pPr>
      <w:adjustRightInd w:val="0"/>
      <w:spacing w:after="120" w:line="360" w:lineRule="auto"/>
      <w:ind w:firstLine="420"/>
      <w:textAlignment w:val="baseline"/>
    </w:pPr>
    <w:rPr>
      <w:rFonts w:eastAsia="楷体_GB2312"/>
      <w:b w:val="0"/>
      <w:bCs w:val="0"/>
      <w:spacing w:val="0"/>
      <w:kern w:val="0"/>
      <w:sz w:val="24"/>
      <w:szCs w:val="20"/>
    </w:rPr>
  </w:style>
  <w:style w:type="character" w:styleId="17">
    <w:name w:val="Hyperlink"/>
    <w:qFormat/>
    <w:uiPriority w:val="99"/>
    <w:rPr>
      <w:color w:val="0000FF"/>
      <w:u w:val="single"/>
    </w:rPr>
  </w:style>
  <w:style w:type="paragraph" w:customStyle="1" w:styleId="18">
    <w:name w:val="正文缩进1"/>
    <w:basedOn w:val="1"/>
    <w:qFormat/>
    <w:uiPriority w:val="0"/>
    <w:pPr>
      <w:widowControl/>
      <w:ind w:firstLine="420"/>
      <w:jc w:val="left"/>
    </w:pPr>
    <w:rPr>
      <w:kern w:val="0"/>
      <w:szCs w:val="20"/>
    </w:rPr>
  </w:style>
  <w:style w:type="character" w:customStyle="1" w:styleId="19">
    <w:name w:val="font11"/>
    <w:basedOn w:val="16"/>
    <w:qFormat/>
    <w:uiPriority w:val="0"/>
    <w:rPr>
      <w:rFonts w:hint="eastAsia" w:ascii="宋体" w:hAnsi="宋体" w:eastAsia="宋体" w:cs="宋体"/>
      <w:color w:val="000000"/>
      <w:sz w:val="20"/>
      <w:szCs w:val="20"/>
      <w:u w:val="none"/>
      <w:vertAlign w:val="superscript"/>
    </w:rPr>
  </w:style>
  <w:style w:type="character" w:customStyle="1" w:styleId="20">
    <w:name w:val="font21"/>
    <w:basedOn w:val="16"/>
    <w:qFormat/>
    <w:uiPriority w:val="0"/>
    <w:rPr>
      <w:rFonts w:hint="eastAsia" w:ascii="宋体" w:hAnsi="宋体" w:eastAsia="宋体" w:cs="宋体"/>
      <w:color w:val="000000"/>
      <w:sz w:val="20"/>
      <w:szCs w:val="20"/>
      <w:u w:val="none"/>
    </w:rPr>
  </w:style>
  <w:style w:type="character" w:customStyle="1" w:styleId="21">
    <w:name w:val="font51"/>
    <w:basedOn w:val="16"/>
    <w:qFormat/>
    <w:uiPriority w:val="0"/>
    <w:rPr>
      <w:rFonts w:ascii="Calibri" w:hAnsi="Calibri" w:cs="Calibri"/>
      <w:color w:val="000000"/>
      <w:sz w:val="20"/>
      <w:szCs w:val="20"/>
      <w:u w:val="none"/>
    </w:rPr>
  </w:style>
  <w:style w:type="character" w:customStyle="1" w:styleId="22">
    <w:name w:val="font41"/>
    <w:basedOn w:val="16"/>
    <w:qFormat/>
    <w:uiPriority w:val="0"/>
    <w:rPr>
      <w:rFonts w:hint="eastAsia" w:ascii="宋体" w:hAnsi="宋体" w:eastAsia="宋体" w:cs="宋体"/>
      <w:color w:val="000000"/>
      <w:sz w:val="20"/>
      <w:szCs w:val="20"/>
      <w:u w:val="none"/>
    </w:rPr>
  </w:style>
  <w:style w:type="character" w:customStyle="1" w:styleId="23">
    <w:name w:val="font101"/>
    <w:basedOn w:val="16"/>
    <w:qFormat/>
    <w:uiPriority w:val="0"/>
    <w:rPr>
      <w:rFonts w:hint="eastAsia" w:ascii="宋体" w:hAnsi="宋体" w:eastAsia="宋体" w:cs="宋体"/>
      <w:b/>
      <w:color w:val="000000"/>
      <w:sz w:val="20"/>
      <w:szCs w:val="20"/>
      <w:u w:val="none"/>
    </w:rPr>
  </w:style>
  <w:style w:type="character" w:customStyle="1" w:styleId="24">
    <w:name w:val="font81"/>
    <w:basedOn w:val="16"/>
    <w:qFormat/>
    <w:uiPriority w:val="0"/>
    <w:rPr>
      <w:rFonts w:hint="eastAsia" w:ascii="宋体" w:hAnsi="宋体" w:eastAsia="宋体" w:cs="宋体"/>
      <w:color w:val="000000"/>
      <w:sz w:val="20"/>
      <w:szCs w:val="20"/>
      <w:u w:val="none"/>
    </w:rPr>
  </w:style>
  <w:style w:type="character" w:customStyle="1" w:styleId="25">
    <w:name w:val="font61"/>
    <w:basedOn w:val="16"/>
    <w:qFormat/>
    <w:uiPriority w:val="0"/>
    <w:rPr>
      <w:rFonts w:hint="eastAsia" w:ascii="宋体" w:hAnsi="宋体" w:eastAsia="宋体" w:cs="宋体"/>
      <w:b/>
      <w:color w:val="000000"/>
      <w:sz w:val="20"/>
      <w:szCs w:val="20"/>
      <w:u w:val="none"/>
    </w:rPr>
  </w:style>
  <w:style w:type="character" w:customStyle="1" w:styleId="26">
    <w:name w:val="font71"/>
    <w:basedOn w:val="16"/>
    <w:qFormat/>
    <w:uiPriority w:val="0"/>
    <w:rPr>
      <w:rFonts w:hint="eastAsia" w:ascii="宋体" w:hAnsi="宋体" w:eastAsia="宋体" w:cs="宋体"/>
      <w:color w:val="000000"/>
      <w:sz w:val="20"/>
      <w:szCs w:val="20"/>
      <w:u w:val="none"/>
    </w:rPr>
  </w:style>
  <w:style w:type="character" w:customStyle="1" w:styleId="27">
    <w:name w:val="font121"/>
    <w:basedOn w:val="16"/>
    <w:qFormat/>
    <w:uiPriority w:val="0"/>
    <w:rPr>
      <w:rFonts w:hint="eastAsia" w:ascii="宋体" w:hAnsi="宋体" w:eastAsia="宋体" w:cs="宋体"/>
      <w:color w:val="000000"/>
      <w:sz w:val="18"/>
      <w:szCs w:val="18"/>
      <w:u w:val="none"/>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正文段"/>
    <w:basedOn w:val="1"/>
    <w:qFormat/>
    <w:uiPriority w:val="0"/>
    <w:pPr>
      <w:widowControl/>
      <w:snapToGrid w:val="0"/>
      <w:spacing w:afterLines="50"/>
      <w:ind w:firstLine="200" w:firstLineChars="200"/>
    </w:pPr>
    <w:rPr>
      <w:kern w:val="0"/>
      <w:sz w:val="24"/>
      <w:szCs w:val="20"/>
    </w:rPr>
  </w:style>
  <w:style w:type="paragraph" w:customStyle="1" w:styleId="30">
    <w:name w:val="一级标题"/>
    <w:basedOn w:val="6"/>
    <w:qFormat/>
    <w:uiPriority w:val="0"/>
    <w:pPr>
      <w:spacing w:line="360" w:lineRule="auto"/>
      <w:jc w:val="center"/>
    </w:pPr>
    <w:rPr>
      <w:rFonts w:hAnsi="宋体"/>
      <w:b/>
      <w:sz w:val="36"/>
      <w:szCs w:val="36"/>
    </w:rPr>
  </w:style>
  <w:style w:type="paragraph" w:customStyle="1" w:styleId="31">
    <w:name w:val="正文2"/>
    <w:basedOn w:val="1"/>
    <w:qFormat/>
    <w:uiPriority w:val="0"/>
    <w:pPr>
      <w:spacing w:before="156" w:line="360" w:lineRule="auto"/>
      <w:ind w:firstLine="510" w:firstLineChars="200"/>
    </w:pPr>
    <w:rPr>
      <w:sz w:val="24"/>
    </w:rPr>
  </w:style>
  <w:style w:type="paragraph" w:customStyle="1" w:styleId="32">
    <w:name w:val="xl77"/>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Times New Roman"/>
      <w:b/>
      <w:sz w:val="28"/>
      <w:lang w:val="en-US" w:eastAsia="zh-CN" w:bidi="ar-SA"/>
    </w:rPr>
  </w:style>
  <w:style w:type="paragraph" w:styleId="33">
    <w:name w:val="List Paragraph"/>
    <w:basedOn w:val="1"/>
    <w:unhideWhenUsed/>
    <w:qFormat/>
    <w:uiPriority w:val="99"/>
    <w:pPr>
      <w:ind w:firstLine="420" w:firstLineChars="200"/>
    </w:pPr>
  </w:style>
  <w:style w:type="paragraph" w:customStyle="1" w:styleId="34">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2020-07-21T03:28:00Z</dcterms:created>
  <dc:creator>心渃相依～</dc:creator>
  <cp:lastModifiedBy>心渃相依～</cp:lastModifiedBy>
  <dcterms:modified xsi:type="dcterms:W3CDTF">2020-07-24T01:13:01Z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