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idowControl w:val="0"/>
        <w:adjustRightInd w:val="0"/>
        <w:snapToGrid w:val="0"/>
        <w:jc w:val="both"/>
        <w:rPr>
          <w:color w:val="auto"/>
          <w:sz w:val="10"/>
        </w:rPr>
      </w:pPr>
      <w:r>
        <w:rPr>
          <w:color w:val="auto"/>
          <w:sz w:val="32"/>
        </w:rPr>
        <w:t xml:space="preserve">                         </w:t>
      </w:r>
      <w:r>
        <w:rPr>
          <w:color w:val="auto"/>
          <w:sz w:val="10"/>
        </w:rPr>
        <w:t xml:space="preserve">                                                                                     </w:t>
      </w:r>
    </w:p>
    <w:p>
      <w:pPr>
        <w:pStyle w:val="25"/>
        <w:widowControl w:val="0"/>
        <w:adjustRightInd w:val="0"/>
        <w:snapToGrid w:val="0"/>
        <w:jc w:val="both"/>
        <w:rPr>
          <w:color w:val="auto"/>
          <w:sz w:val="72"/>
          <w:szCs w:val="72"/>
        </w:rPr>
      </w:pPr>
      <w:r>
        <w:rPr>
          <w:color w:val="auto"/>
          <w:sz w:val="32"/>
        </w:rPr>
        <w:t xml:space="preserve">          </w:t>
      </w:r>
    </w:p>
    <w:p>
      <w:pPr>
        <w:pStyle w:val="25"/>
        <w:widowControl w:val="0"/>
        <w:adjustRightInd w:val="0"/>
        <w:snapToGrid w:val="0"/>
        <w:jc w:val="both"/>
        <w:rPr>
          <w:color w:val="auto"/>
          <w:sz w:val="72"/>
          <w:szCs w:val="72"/>
        </w:rPr>
      </w:pPr>
    </w:p>
    <w:p>
      <w:pPr>
        <w:pStyle w:val="25"/>
        <w:widowControl w:val="0"/>
        <w:adjustRightInd w:val="0"/>
        <w:snapToGrid w:val="0"/>
        <w:jc w:val="both"/>
        <w:rPr>
          <w:color w:val="auto"/>
          <w:sz w:val="72"/>
          <w:szCs w:val="72"/>
        </w:rPr>
      </w:pPr>
    </w:p>
    <w:p>
      <w:pPr>
        <w:pStyle w:val="25"/>
        <w:widowControl w:val="0"/>
        <w:adjustRightInd w:val="0"/>
        <w:snapToGrid w:val="0"/>
        <w:rPr>
          <w:rFonts w:hint="eastAsia"/>
          <w:color w:val="auto"/>
          <w:sz w:val="36"/>
          <w:szCs w:val="36"/>
        </w:rPr>
      </w:pPr>
    </w:p>
    <w:p>
      <w:pPr>
        <w:pStyle w:val="25"/>
        <w:widowControl w:val="0"/>
        <w:adjustRightInd w:val="0"/>
        <w:snapToGrid w:val="0"/>
        <w:jc w:val="center"/>
        <w:rPr>
          <w:rFonts w:ascii="Times New Roman" w:hAnsi="Times New Roman"/>
          <w:color w:val="auto"/>
          <w:sz w:val="84"/>
        </w:rPr>
      </w:pPr>
      <w:r>
        <w:rPr>
          <w:rFonts w:ascii="Times New Roman" w:hAnsi="Times New Roman"/>
          <w:color w:val="auto"/>
          <w:sz w:val="84"/>
        </w:rPr>
        <w:t>公开招标文件</w:t>
      </w:r>
    </w:p>
    <w:p>
      <w:pPr>
        <w:pStyle w:val="25"/>
        <w:widowControl w:val="0"/>
        <w:adjustRightInd w:val="0"/>
        <w:snapToGrid w:val="0"/>
        <w:ind w:firstLine="1440" w:firstLineChars="400"/>
        <w:jc w:val="both"/>
        <w:rPr>
          <w:rFonts w:hint="eastAsia" w:ascii="Times New Roman" w:hAnsi="Times New Roman"/>
          <w:color w:val="auto"/>
          <w:sz w:val="36"/>
        </w:rPr>
      </w:pPr>
      <w:r>
        <w:rPr>
          <w:rFonts w:ascii="Times New Roman" w:hAnsi="Times New Roman"/>
          <w:color w:val="auto"/>
          <w:sz w:val="36"/>
        </w:rPr>
        <w:t>编号：</w:t>
      </w:r>
      <w:r>
        <w:rPr>
          <w:rFonts w:hint="eastAsia" w:ascii="Times New Roman" w:hAnsi="Times New Roman"/>
          <w:color w:val="auto"/>
          <w:sz w:val="36"/>
        </w:rPr>
        <w:t>YG2022-HW4702-ZFCG245</w:t>
      </w:r>
    </w:p>
    <w:p>
      <w:pPr>
        <w:widowControl w:val="0"/>
        <w:adjustRightInd w:val="0"/>
        <w:snapToGrid w:val="0"/>
        <w:spacing w:line="360" w:lineRule="auto"/>
        <w:jc w:val="center"/>
        <w:rPr>
          <w:rFonts w:hint="eastAsia"/>
          <w:color w:val="auto"/>
          <w:sz w:val="36"/>
        </w:rPr>
      </w:pPr>
      <w:r>
        <w:rPr>
          <w:rFonts w:hint="eastAsia"/>
          <w:color w:val="auto"/>
          <w:sz w:val="36"/>
        </w:rPr>
        <w:t xml:space="preserve">                </w:t>
      </w:r>
      <w:r>
        <w:rPr>
          <w:color w:val="auto"/>
          <w:sz w:val="36"/>
        </w:rPr>
        <w:t>项目：</w:t>
      </w:r>
      <w:r>
        <w:rPr>
          <w:rFonts w:hint="eastAsia"/>
          <w:color w:val="auto"/>
          <w:sz w:val="36"/>
        </w:rPr>
        <w:t>金东区中医院新建工程净化工程（含医疗气体）设备采购项目</w:t>
      </w:r>
    </w:p>
    <w:p>
      <w:pPr>
        <w:widowControl w:val="0"/>
        <w:adjustRightInd w:val="0"/>
        <w:snapToGrid w:val="0"/>
        <w:spacing w:line="360" w:lineRule="exact"/>
        <w:rPr>
          <w:b/>
          <w:color w:val="auto"/>
          <w:sz w:val="44"/>
        </w:rPr>
      </w:pPr>
    </w:p>
    <w:p>
      <w:pPr>
        <w:widowControl w:val="0"/>
        <w:adjustRightInd w:val="0"/>
        <w:snapToGrid w:val="0"/>
        <w:spacing w:line="360" w:lineRule="exact"/>
        <w:rPr>
          <w:b/>
          <w:color w:val="auto"/>
          <w:sz w:val="44"/>
        </w:rPr>
      </w:pPr>
    </w:p>
    <w:p>
      <w:pPr>
        <w:widowControl w:val="0"/>
        <w:adjustRightInd w:val="0"/>
        <w:snapToGrid w:val="0"/>
        <w:spacing w:line="360" w:lineRule="exact"/>
        <w:rPr>
          <w:b/>
          <w:color w:val="auto"/>
          <w:sz w:val="44"/>
        </w:rPr>
      </w:pPr>
    </w:p>
    <w:p>
      <w:pPr>
        <w:widowControl w:val="0"/>
        <w:adjustRightInd w:val="0"/>
        <w:snapToGrid w:val="0"/>
        <w:spacing w:line="360" w:lineRule="exact"/>
        <w:rPr>
          <w:b/>
          <w:color w:val="auto"/>
          <w:sz w:val="44"/>
        </w:rPr>
      </w:pPr>
    </w:p>
    <w:p>
      <w:pPr>
        <w:widowControl w:val="0"/>
        <w:adjustRightInd w:val="0"/>
        <w:snapToGrid w:val="0"/>
        <w:spacing w:line="360" w:lineRule="exact"/>
        <w:rPr>
          <w:b/>
          <w:color w:val="auto"/>
          <w:sz w:val="44"/>
        </w:rPr>
      </w:pPr>
    </w:p>
    <w:p>
      <w:pPr>
        <w:widowControl w:val="0"/>
        <w:adjustRightInd w:val="0"/>
        <w:snapToGrid w:val="0"/>
        <w:spacing w:line="360" w:lineRule="exact"/>
        <w:rPr>
          <w:b/>
          <w:color w:val="auto"/>
          <w:sz w:val="44"/>
        </w:rPr>
      </w:pPr>
    </w:p>
    <w:p>
      <w:pPr>
        <w:widowControl w:val="0"/>
        <w:adjustRightInd w:val="0"/>
        <w:snapToGrid w:val="0"/>
        <w:spacing w:line="360" w:lineRule="exact"/>
        <w:rPr>
          <w:b/>
          <w:color w:val="auto"/>
          <w:sz w:val="44"/>
        </w:rPr>
      </w:pPr>
    </w:p>
    <w:p>
      <w:pPr>
        <w:widowControl w:val="0"/>
        <w:adjustRightInd w:val="0"/>
        <w:snapToGrid w:val="0"/>
        <w:spacing w:line="360" w:lineRule="exact"/>
        <w:rPr>
          <w:b/>
          <w:color w:val="auto"/>
          <w:sz w:val="44"/>
        </w:rPr>
      </w:pPr>
    </w:p>
    <w:p>
      <w:pPr>
        <w:pStyle w:val="44"/>
        <w:ind w:left="480" w:firstLine="480"/>
        <w:rPr>
          <w:rFonts w:hint="eastAsia"/>
          <w:color w:val="auto"/>
        </w:rPr>
      </w:pPr>
    </w:p>
    <w:p>
      <w:pPr>
        <w:pStyle w:val="25"/>
        <w:widowControl w:val="0"/>
        <w:adjustRightInd w:val="0"/>
        <w:snapToGrid w:val="0"/>
        <w:spacing w:before="120" w:beforeLines="50" w:beforeAutospacing="0" w:after="120" w:afterLines="50" w:afterAutospacing="0"/>
        <w:ind w:left="-180" w:leftChars="-75" w:firstLine="2448" w:firstLineChars="871"/>
        <w:jc w:val="both"/>
        <w:rPr>
          <w:rFonts w:hint="eastAsia" w:ascii="Times New Roman" w:hAnsi="Times New Roman"/>
          <w:b/>
          <w:bCs/>
          <w:color w:val="auto"/>
          <w:sz w:val="28"/>
        </w:rPr>
      </w:pPr>
      <w:r>
        <w:rPr>
          <w:rFonts w:ascii="Times New Roman" w:hAnsi="Times New Roman"/>
          <w:b/>
          <w:bCs/>
          <w:color w:val="auto"/>
          <w:sz w:val="28"/>
        </w:rPr>
        <w:t>采 购 人：</w:t>
      </w:r>
      <w:r>
        <w:rPr>
          <w:rFonts w:hint="eastAsia" w:ascii="Times New Roman" w:hAnsi="Times New Roman"/>
          <w:b/>
          <w:bCs/>
          <w:color w:val="auto"/>
          <w:sz w:val="28"/>
        </w:rPr>
        <w:t>金华市金东区中医院</w:t>
      </w:r>
    </w:p>
    <w:p>
      <w:pPr>
        <w:pStyle w:val="25"/>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color w:val="auto"/>
          <w:sz w:val="28"/>
        </w:rPr>
      </w:pPr>
      <w:r>
        <w:rPr>
          <w:rFonts w:ascii="Times New Roman" w:hAnsi="Times New Roman"/>
          <w:b/>
          <w:bCs/>
          <w:color w:val="auto"/>
          <w:sz w:val="28"/>
        </w:rPr>
        <w:t>代理机构：浙江金华阳光招标代理有限公司</w:t>
      </w:r>
    </w:p>
    <w:p>
      <w:pPr>
        <w:pStyle w:val="25"/>
        <w:widowControl w:val="0"/>
        <w:adjustRightInd w:val="0"/>
        <w:snapToGrid w:val="0"/>
        <w:spacing w:before="120" w:beforeLines="50" w:beforeAutospacing="0" w:after="120" w:afterLines="50" w:afterAutospacing="0"/>
        <w:ind w:left="-180" w:leftChars="-75" w:firstLine="2448" w:firstLineChars="871"/>
        <w:jc w:val="both"/>
        <w:rPr>
          <w:rFonts w:hint="eastAsia" w:ascii="Times New Roman" w:hAnsi="Times New Roman"/>
          <w:b/>
          <w:bCs/>
          <w:color w:val="auto"/>
          <w:sz w:val="28"/>
        </w:rPr>
      </w:pPr>
      <w:r>
        <w:rPr>
          <w:rFonts w:ascii="Times New Roman" w:hAnsi="Times New Roman"/>
          <w:b/>
          <w:bCs/>
          <w:color w:val="auto"/>
          <w:sz w:val="28"/>
        </w:rPr>
        <w:t>监管部门：金华市</w:t>
      </w:r>
      <w:r>
        <w:rPr>
          <w:rFonts w:hint="eastAsia" w:ascii="Times New Roman" w:hAnsi="Times New Roman"/>
          <w:b/>
          <w:bCs/>
          <w:color w:val="auto"/>
          <w:sz w:val="28"/>
        </w:rPr>
        <w:t>金东区</w:t>
      </w:r>
      <w:r>
        <w:rPr>
          <w:rFonts w:ascii="Times New Roman" w:hAnsi="Times New Roman"/>
          <w:b/>
          <w:bCs/>
          <w:color w:val="auto"/>
          <w:sz w:val="28"/>
        </w:rPr>
        <w:t>财政局政府采购监管</w:t>
      </w:r>
      <w:r>
        <w:rPr>
          <w:rFonts w:hint="eastAsia" w:ascii="Times New Roman" w:hAnsi="Times New Roman"/>
          <w:b/>
          <w:bCs/>
          <w:color w:val="auto"/>
          <w:sz w:val="28"/>
        </w:rPr>
        <w:t>科</w:t>
      </w:r>
    </w:p>
    <w:p>
      <w:pPr>
        <w:pStyle w:val="25"/>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color w:val="auto"/>
          <w:sz w:val="28"/>
        </w:rPr>
      </w:pPr>
      <w:r>
        <w:rPr>
          <w:rFonts w:ascii="Times New Roman" w:hAnsi="Times New Roman"/>
          <w:b/>
          <w:bCs/>
          <w:color w:val="auto"/>
          <w:sz w:val="28"/>
        </w:rPr>
        <w:t>编制日期：</w:t>
      </w:r>
      <w:r>
        <w:rPr>
          <w:rFonts w:ascii="Times New Roman" w:hAnsi="Times New Roman"/>
          <w:b/>
          <w:color w:val="auto"/>
          <w:sz w:val="28"/>
        </w:rPr>
        <w:t>二〇二二年</w:t>
      </w:r>
      <w:r>
        <w:rPr>
          <w:rFonts w:hint="eastAsia" w:ascii="Times New Roman" w:hAnsi="Times New Roman"/>
          <w:b/>
          <w:color w:val="auto"/>
          <w:sz w:val="28"/>
        </w:rPr>
        <w:t>十</w:t>
      </w:r>
      <w:r>
        <w:rPr>
          <w:rFonts w:ascii="Times New Roman" w:hAnsi="Times New Roman"/>
          <w:b/>
          <w:color w:val="auto"/>
          <w:sz w:val="28"/>
        </w:rPr>
        <w:t>月</w:t>
      </w:r>
    </w:p>
    <w:p>
      <w:pPr>
        <w:widowControl w:val="0"/>
        <w:adjustRightInd w:val="0"/>
        <w:snapToGrid w:val="0"/>
        <w:spacing w:line="360" w:lineRule="auto"/>
        <w:jc w:val="center"/>
        <w:rPr>
          <w:rFonts w:hint="eastAsia" w:ascii="宋体" w:hAnsi="宋体"/>
          <w:b/>
          <w:bCs/>
          <w:color w:val="auto"/>
          <w:sz w:val="48"/>
        </w:rPr>
      </w:pPr>
      <w:r>
        <w:rPr>
          <w:rFonts w:ascii="宋体" w:hAnsi="宋体"/>
          <w:b/>
          <w:bCs/>
          <w:color w:val="auto"/>
          <w:sz w:val="48"/>
        </w:rPr>
        <w:br w:type="page"/>
      </w:r>
    </w:p>
    <w:p>
      <w:pPr>
        <w:widowControl w:val="0"/>
        <w:adjustRightInd w:val="0"/>
        <w:snapToGrid w:val="0"/>
        <w:spacing w:line="360" w:lineRule="auto"/>
        <w:jc w:val="center"/>
        <w:rPr>
          <w:rFonts w:hint="eastAsia" w:ascii="宋体" w:hAnsi="宋体"/>
          <w:b/>
          <w:bCs/>
          <w:color w:val="auto"/>
          <w:sz w:val="52"/>
          <w:szCs w:val="52"/>
        </w:rPr>
      </w:pPr>
      <w:r>
        <w:rPr>
          <w:rFonts w:ascii="宋体" w:hAnsi="宋体"/>
          <w:b/>
          <w:bCs/>
          <w:color w:val="auto"/>
          <w:sz w:val="52"/>
          <w:szCs w:val="52"/>
        </w:rPr>
        <w:t>招 标 文 件 目 录</w:t>
      </w:r>
    </w:p>
    <w:p>
      <w:pPr>
        <w:pStyle w:val="32"/>
        <w:tabs>
          <w:tab w:val="right" w:leader="dot" w:pos="8990"/>
        </w:tabs>
        <w:spacing w:line="480" w:lineRule="auto"/>
        <w:rPr>
          <w:rFonts w:hAnsi="等线"/>
          <w:b w:val="0"/>
          <w:bCs w:val="0"/>
          <w:caps w:val="0"/>
          <w:color w:val="auto"/>
          <w:kern w:val="2"/>
          <w:sz w:val="28"/>
          <w:szCs w:val="32"/>
        </w:rPr>
      </w:pPr>
      <w:r>
        <w:rPr>
          <w:rFonts w:ascii="宋体" w:hAnsi="宋体" w:eastAsia="宋体"/>
          <w:color w:val="auto"/>
          <w:sz w:val="36"/>
          <w:szCs w:val="36"/>
        </w:rPr>
        <w:fldChar w:fldCharType="begin"/>
      </w:r>
      <w:r>
        <w:rPr>
          <w:rFonts w:ascii="宋体" w:hAnsi="宋体" w:eastAsia="宋体"/>
          <w:color w:val="auto"/>
          <w:sz w:val="36"/>
          <w:szCs w:val="36"/>
        </w:rPr>
        <w:instrText xml:space="preserve"> </w:instrText>
      </w:r>
      <w:r>
        <w:rPr>
          <w:rFonts w:hint="eastAsia" w:ascii="宋体" w:hAnsi="宋体" w:eastAsia="宋体"/>
          <w:color w:val="auto"/>
          <w:sz w:val="36"/>
          <w:szCs w:val="36"/>
        </w:rPr>
        <w:instrText xml:space="preserve">TOC \o "1-3" \h \z \u</w:instrText>
      </w:r>
      <w:r>
        <w:rPr>
          <w:rFonts w:ascii="宋体" w:hAnsi="宋体" w:eastAsia="宋体"/>
          <w:color w:val="auto"/>
          <w:sz w:val="36"/>
          <w:szCs w:val="36"/>
        </w:rPr>
        <w:instrText xml:space="preserve"> </w:instrText>
      </w:r>
      <w:r>
        <w:rPr>
          <w:rFonts w:ascii="宋体" w:hAnsi="宋体" w:eastAsia="宋体"/>
          <w:color w:val="auto"/>
          <w:sz w:val="36"/>
          <w:szCs w:val="36"/>
        </w:rPr>
        <w:fldChar w:fldCharType="separate"/>
      </w:r>
      <w:r>
        <w:rPr>
          <w:rStyle w:val="52"/>
          <w:color w:val="auto"/>
          <w:sz w:val="24"/>
          <w:szCs w:val="24"/>
        </w:rPr>
        <w:fldChar w:fldCharType="begin"/>
      </w:r>
      <w:r>
        <w:rPr>
          <w:rStyle w:val="52"/>
          <w:color w:val="auto"/>
          <w:sz w:val="24"/>
          <w:szCs w:val="24"/>
        </w:rPr>
        <w:instrText xml:space="preserve"> </w:instrText>
      </w:r>
      <w:r>
        <w:rPr>
          <w:color w:val="auto"/>
          <w:sz w:val="24"/>
          <w:szCs w:val="24"/>
        </w:rPr>
        <w:instrText xml:space="preserve">HYPERLINK \l "_Toc93668159"</w:instrText>
      </w:r>
      <w:r>
        <w:rPr>
          <w:rStyle w:val="52"/>
          <w:color w:val="auto"/>
          <w:sz w:val="24"/>
          <w:szCs w:val="24"/>
        </w:rPr>
        <w:instrText xml:space="preserve"> </w:instrText>
      </w:r>
      <w:r>
        <w:rPr>
          <w:rStyle w:val="52"/>
          <w:color w:val="auto"/>
          <w:sz w:val="24"/>
          <w:szCs w:val="24"/>
        </w:rPr>
        <w:fldChar w:fldCharType="separate"/>
      </w:r>
      <w:r>
        <w:rPr>
          <w:rStyle w:val="52"/>
          <w:rFonts w:ascii="宋体" w:hAnsi="宋体"/>
          <w:color w:val="auto"/>
          <w:sz w:val="24"/>
          <w:szCs w:val="24"/>
        </w:rPr>
        <w:t>第一章  招标公告</w:t>
      </w:r>
      <w:r>
        <w:rPr>
          <w:color w:val="auto"/>
          <w:sz w:val="24"/>
          <w:szCs w:val="24"/>
        </w:rPr>
        <w:tab/>
      </w:r>
      <w:r>
        <w:rPr>
          <w:color w:val="auto"/>
          <w:sz w:val="24"/>
          <w:szCs w:val="24"/>
        </w:rPr>
        <w:fldChar w:fldCharType="begin"/>
      </w:r>
      <w:r>
        <w:rPr>
          <w:color w:val="auto"/>
          <w:sz w:val="24"/>
          <w:szCs w:val="24"/>
        </w:rPr>
        <w:instrText xml:space="preserve"> PAGEREF _Toc93668159 \h </w:instrText>
      </w:r>
      <w:r>
        <w:rPr>
          <w:color w:val="auto"/>
          <w:sz w:val="24"/>
          <w:szCs w:val="24"/>
        </w:rPr>
        <w:fldChar w:fldCharType="separate"/>
      </w:r>
      <w:r>
        <w:rPr>
          <w:color w:val="auto"/>
          <w:sz w:val="24"/>
          <w:szCs w:val="24"/>
        </w:rPr>
        <w:t>4</w:t>
      </w:r>
      <w:r>
        <w:rPr>
          <w:color w:val="auto"/>
          <w:sz w:val="24"/>
          <w:szCs w:val="24"/>
        </w:rPr>
        <w:fldChar w:fldCharType="end"/>
      </w:r>
      <w:r>
        <w:rPr>
          <w:rStyle w:val="52"/>
          <w:color w:val="auto"/>
          <w:sz w:val="24"/>
          <w:szCs w:val="24"/>
        </w:rPr>
        <w:fldChar w:fldCharType="end"/>
      </w:r>
    </w:p>
    <w:p>
      <w:pPr>
        <w:pStyle w:val="32"/>
        <w:tabs>
          <w:tab w:val="right" w:leader="dot" w:pos="8990"/>
        </w:tabs>
        <w:spacing w:line="480" w:lineRule="auto"/>
        <w:rPr>
          <w:rFonts w:hAnsi="等线"/>
          <w:b w:val="0"/>
          <w:bCs w:val="0"/>
          <w:caps w:val="0"/>
          <w:color w:val="auto"/>
          <w:kern w:val="2"/>
          <w:sz w:val="28"/>
          <w:szCs w:val="32"/>
        </w:rPr>
      </w:pPr>
      <w:r>
        <w:rPr>
          <w:rStyle w:val="52"/>
          <w:color w:val="auto"/>
          <w:sz w:val="24"/>
          <w:szCs w:val="24"/>
        </w:rPr>
        <w:fldChar w:fldCharType="begin"/>
      </w:r>
      <w:r>
        <w:rPr>
          <w:rStyle w:val="52"/>
          <w:color w:val="auto"/>
          <w:sz w:val="24"/>
          <w:szCs w:val="24"/>
        </w:rPr>
        <w:instrText xml:space="preserve"> </w:instrText>
      </w:r>
      <w:r>
        <w:rPr>
          <w:color w:val="auto"/>
          <w:sz w:val="24"/>
          <w:szCs w:val="24"/>
        </w:rPr>
        <w:instrText xml:space="preserve">HYPERLINK \l "_Toc93668160"</w:instrText>
      </w:r>
      <w:r>
        <w:rPr>
          <w:rStyle w:val="52"/>
          <w:color w:val="auto"/>
          <w:sz w:val="24"/>
          <w:szCs w:val="24"/>
        </w:rPr>
        <w:instrText xml:space="preserve"> </w:instrText>
      </w:r>
      <w:r>
        <w:rPr>
          <w:rStyle w:val="52"/>
          <w:color w:val="auto"/>
          <w:sz w:val="24"/>
          <w:szCs w:val="24"/>
        </w:rPr>
        <w:fldChar w:fldCharType="separate"/>
      </w:r>
      <w:r>
        <w:rPr>
          <w:rStyle w:val="52"/>
          <w:rFonts w:ascii="宋体" w:hAnsi="宋体"/>
          <w:color w:val="auto"/>
          <w:sz w:val="24"/>
          <w:szCs w:val="24"/>
        </w:rPr>
        <w:t>第二章  前附表</w:t>
      </w:r>
      <w:r>
        <w:rPr>
          <w:color w:val="auto"/>
          <w:sz w:val="24"/>
          <w:szCs w:val="24"/>
        </w:rPr>
        <w:tab/>
      </w:r>
      <w:r>
        <w:rPr>
          <w:color w:val="auto"/>
          <w:sz w:val="24"/>
          <w:szCs w:val="24"/>
        </w:rPr>
        <w:fldChar w:fldCharType="begin"/>
      </w:r>
      <w:r>
        <w:rPr>
          <w:color w:val="auto"/>
          <w:sz w:val="24"/>
          <w:szCs w:val="24"/>
        </w:rPr>
        <w:instrText xml:space="preserve"> PAGEREF _Toc93668160 \h </w:instrText>
      </w:r>
      <w:r>
        <w:rPr>
          <w:color w:val="auto"/>
          <w:sz w:val="24"/>
          <w:szCs w:val="24"/>
        </w:rPr>
        <w:fldChar w:fldCharType="separate"/>
      </w:r>
      <w:r>
        <w:rPr>
          <w:color w:val="auto"/>
          <w:sz w:val="24"/>
          <w:szCs w:val="24"/>
        </w:rPr>
        <w:t>9</w:t>
      </w:r>
      <w:r>
        <w:rPr>
          <w:color w:val="auto"/>
          <w:sz w:val="24"/>
          <w:szCs w:val="24"/>
        </w:rPr>
        <w:fldChar w:fldCharType="end"/>
      </w:r>
      <w:r>
        <w:rPr>
          <w:rStyle w:val="52"/>
          <w:color w:val="auto"/>
          <w:sz w:val="24"/>
          <w:szCs w:val="24"/>
        </w:rPr>
        <w:fldChar w:fldCharType="end"/>
      </w:r>
    </w:p>
    <w:p>
      <w:pPr>
        <w:pStyle w:val="32"/>
        <w:tabs>
          <w:tab w:val="right" w:leader="dot" w:pos="8990"/>
        </w:tabs>
        <w:spacing w:line="480" w:lineRule="auto"/>
        <w:rPr>
          <w:rFonts w:hAnsi="等线"/>
          <w:b w:val="0"/>
          <w:bCs w:val="0"/>
          <w:caps w:val="0"/>
          <w:color w:val="auto"/>
          <w:kern w:val="2"/>
          <w:sz w:val="28"/>
          <w:szCs w:val="32"/>
        </w:rPr>
      </w:pPr>
      <w:r>
        <w:rPr>
          <w:rStyle w:val="52"/>
          <w:color w:val="auto"/>
          <w:sz w:val="24"/>
          <w:szCs w:val="24"/>
        </w:rPr>
        <w:fldChar w:fldCharType="begin"/>
      </w:r>
      <w:r>
        <w:rPr>
          <w:rStyle w:val="52"/>
          <w:color w:val="auto"/>
          <w:sz w:val="24"/>
          <w:szCs w:val="24"/>
        </w:rPr>
        <w:instrText xml:space="preserve"> </w:instrText>
      </w:r>
      <w:r>
        <w:rPr>
          <w:color w:val="auto"/>
          <w:sz w:val="24"/>
          <w:szCs w:val="24"/>
        </w:rPr>
        <w:instrText xml:space="preserve">HYPERLINK \l "_Toc93668161"</w:instrText>
      </w:r>
      <w:r>
        <w:rPr>
          <w:rStyle w:val="52"/>
          <w:color w:val="auto"/>
          <w:sz w:val="24"/>
          <w:szCs w:val="24"/>
        </w:rPr>
        <w:instrText xml:space="preserve"> </w:instrText>
      </w:r>
      <w:r>
        <w:rPr>
          <w:rStyle w:val="52"/>
          <w:color w:val="auto"/>
          <w:sz w:val="24"/>
          <w:szCs w:val="24"/>
        </w:rPr>
        <w:fldChar w:fldCharType="separate"/>
      </w:r>
      <w:r>
        <w:rPr>
          <w:rStyle w:val="52"/>
          <w:rFonts w:ascii="宋体" w:hAnsi="宋体"/>
          <w:color w:val="auto"/>
          <w:sz w:val="24"/>
          <w:szCs w:val="24"/>
        </w:rPr>
        <w:t>第三章  项目技术规范和要求</w:t>
      </w:r>
      <w:r>
        <w:rPr>
          <w:color w:val="auto"/>
          <w:sz w:val="24"/>
          <w:szCs w:val="24"/>
        </w:rPr>
        <w:tab/>
      </w:r>
      <w:r>
        <w:rPr>
          <w:color w:val="auto"/>
          <w:sz w:val="24"/>
          <w:szCs w:val="24"/>
        </w:rPr>
        <w:fldChar w:fldCharType="begin"/>
      </w:r>
      <w:r>
        <w:rPr>
          <w:color w:val="auto"/>
          <w:sz w:val="24"/>
          <w:szCs w:val="24"/>
        </w:rPr>
        <w:instrText xml:space="preserve"> PAGEREF _Toc93668161 \h </w:instrText>
      </w:r>
      <w:r>
        <w:rPr>
          <w:color w:val="auto"/>
          <w:sz w:val="24"/>
          <w:szCs w:val="24"/>
        </w:rPr>
        <w:fldChar w:fldCharType="separate"/>
      </w:r>
      <w:r>
        <w:rPr>
          <w:color w:val="auto"/>
          <w:sz w:val="24"/>
          <w:szCs w:val="24"/>
        </w:rPr>
        <w:t>13</w:t>
      </w:r>
      <w:r>
        <w:rPr>
          <w:color w:val="auto"/>
          <w:sz w:val="24"/>
          <w:szCs w:val="24"/>
        </w:rPr>
        <w:fldChar w:fldCharType="end"/>
      </w:r>
      <w:r>
        <w:rPr>
          <w:rStyle w:val="52"/>
          <w:color w:val="auto"/>
          <w:sz w:val="24"/>
          <w:szCs w:val="24"/>
        </w:rPr>
        <w:fldChar w:fldCharType="end"/>
      </w:r>
    </w:p>
    <w:p>
      <w:pPr>
        <w:pStyle w:val="32"/>
        <w:tabs>
          <w:tab w:val="right" w:leader="dot" w:pos="8990"/>
        </w:tabs>
        <w:spacing w:line="480" w:lineRule="auto"/>
        <w:rPr>
          <w:rFonts w:hAnsi="等线"/>
          <w:b w:val="0"/>
          <w:bCs w:val="0"/>
          <w:caps w:val="0"/>
          <w:color w:val="auto"/>
          <w:kern w:val="2"/>
          <w:sz w:val="28"/>
          <w:szCs w:val="32"/>
        </w:rPr>
      </w:pPr>
      <w:r>
        <w:rPr>
          <w:rStyle w:val="52"/>
          <w:color w:val="auto"/>
          <w:sz w:val="24"/>
          <w:szCs w:val="24"/>
        </w:rPr>
        <w:fldChar w:fldCharType="begin"/>
      </w:r>
      <w:r>
        <w:rPr>
          <w:rStyle w:val="52"/>
          <w:color w:val="auto"/>
          <w:sz w:val="24"/>
          <w:szCs w:val="24"/>
        </w:rPr>
        <w:instrText xml:space="preserve"> </w:instrText>
      </w:r>
      <w:r>
        <w:rPr>
          <w:color w:val="auto"/>
          <w:sz w:val="24"/>
          <w:szCs w:val="24"/>
        </w:rPr>
        <w:instrText xml:space="preserve">HYPERLINK \l "_Toc93668162"</w:instrText>
      </w:r>
      <w:r>
        <w:rPr>
          <w:rStyle w:val="52"/>
          <w:color w:val="auto"/>
          <w:sz w:val="24"/>
          <w:szCs w:val="24"/>
        </w:rPr>
        <w:instrText xml:space="preserve"> </w:instrText>
      </w:r>
      <w:r>
        <w:rPr>
          <w:rStyle w:val="52"/>
          <w:color w:val="auto"/>
          <w:sz w:val="24"/>
          <w:szCs w:val="24"/>
        </w:rPr>
        <w:fldChar w:fldCharType="separate"/>
      </w:r>
      <w:r>
        <w:rPr>
          <w:rStyle w:val="52"/>
          <w:rFonts w:ascii="宋体" w:hAnsi="宋体"/>
          <w:color w:val="auto"/>
          <w:sz w:val="24"/>
          <w:szCs w:val="24"/>
        </w:rPr>
        <w:t>第四章  投标人须知</w:t>
      </w:r>
      <w:r>
        <w:rPr>
          <w:color w:val="auto"/>
          <w:sz w:val="24"/>
          <w:szCs w:val="24"/>
        </w:rPr>
        <w:tab/>
      </w:r>
      <w:r>
        <w:rPr>
          <w:color w:val="auto"/>
          <w:sz w:val="24"/>
          <w:szCs w:val="24"/>
        </w:rPr>
        <w:fldChar w:fldCharType="begin"/>
      </w:r>
      <w:r>
        <w:rPr>
          <w:color w:val="auto"/>
          <w:sz w:val="24"/>
          <w:szCs w:val="24"/>
        </w:rPr>
        <w:instrText xml:space="preserve"> PAGEREF _Toc93668162 \h </w:instrText>
      </w:r>
      <w:r>
        <w:rPr>
          <w:color w:val="auto"/>
          <w:sz w:val="24"/>
          <w:szCs w:val="24"/>
        </w:rPr>
        <w:fldChar w:fldCharType="separate"/>
      </w:r>
      <w:r>
        <w:rPr>
          <w:color w:val="auto"/>
          <w:sz w:val="24"/>
          <w:szCs w:val="24"/>
        </w:rPr>
        <w:t>62</w:t>
      </w:r>
      <w:r>
        <w:rPr>
          <w:color w:val="auto"/>
          <w:sz w:val="24"/>
          <w:szCs w:val="24"/>
        </w:rPr>
        <w:fldChar w:fldCharType="end"/>
      </w:r>
      <w:r>
        <w:rPr>
          <w:rStyle w:val="52"/>
          <w:color w:val="auto"/>
          <w:sz w:val="24"/>
          <w:szCs w:val="24"/>
        </w:rPr>
        <w:fldChar w:fldCharType="end"/>
      </w:r>
    </w:p>
    <w:p>
      <w:pPr>
        <w:pStyle w:val="32"/>
        <w:tabs>
          <w:tab w:val="right" w:leader="dot" w:pos="8990"/>
        </w:tabs>
        <w:spacing w:line="480" w:lineRule="auto"/>
        <w:rPr>
          <w:rFonts w:hAnsi="等线"/>
          <w:b w:val="0"/>
          <w:bCs w:val="0"/>
          <w:caps w:val="0"/>
          <w:color w:val="auto"/>
          <w:kern w:val="2"/>
          <w:sz w:val="28"/>
          <w:szCs w:val="32"/>
        </w:rPr>
      </w:pPr>
      <w:r>
        <w:rPr>
          <w:rStyle w:val="52"/>
          <w:color w:val="auto"/>
          <w:sz w:val="24"/>
          <w:szCs w:val="24"/>
        </w:rPr>
        <w:fldChar w:fldCharType="begin"/>
      </w:r>
      <w:r>
        <w:rPr>
          <w:rStyle w:val="52"/>
          <w:color w:val="auto"/>
          <w:sz w:val="24"/>
          <w:szCs w:val="24"/>
        </w:rPr>
        <w:instrText xml:space="preserve"> </w:instrText>
      </w:r>
      <w:r>
        <w:rPr>
          <w:color w:val="auto"/>
          <w:sz w:val="24"/>
          <w:szCs w:val="24"/>
        </w:rPr>
        <w:instrText xml:space="preserve">HYPERLINK \l "_Toc93668163"</w:instrText>
      </w:r>
      <w:r>
        <w:rPr>
          <w:rStyle w:val="52"/>
          <w:color w:val="auto"/>
          <w:sz w:val="24"/>
          <w:szCs w:val="24"/>
        </w:rPr>
        <w:instrText xml:space="preserve"> </w:instrText>
      </w:r>
      <w:r>
        <w:rPr>
          <w:rStyle w:val="52"/>
          <w:color w:val="auto"/>
          <w:sz w:val="24"/>
          <w:szCs w:val="24"/>
        </w:rPr>
        <w:fldChar w:fldCharType="separate"/>
      </w:r>
      <w:r>
        <w:rPr>
          <w:rStyle w:val="52"/>
          <w:rFonts w:ascii="宋体" w:hAnsi="宋体"/>
          <w:color w:val="auto"/>
          <w:sz w:val="24"/>
          <w:szCs w:val="24"/>
        </w:rPr>
        <w:t>第五章  评标办法</w:t>
      </w:r>
      <w:r>
        <w:rPr>
          <w:color w:val="auto"/>
          <w:sz w:val="24"/>
          <w:szCs w:val="24"/>
        </w:rPr>
        <w:tab/>
      </w:r>
      <w:r>
        <w:rPr>
          <w:color w:val="auto"/>
          <w:sz w:val="24"/>
          <w:szCs w:val="24"/>
        </w:rPr>
        <w:fldChar w:fldCharType="begin"/>
      </w:r>
      <w:r>
        <w:rPr>
          <w:color w:val="auto"/>
          <w:sz w:val="24"/>
          <w:szCs w:val="24"/>
        </w:rPr>
        <w:instrText xml:space="preserve"> PAGEREF _Toc93668163 \h </w:instrText>
      </w:r>
      <w:r>
        <w:rPr>
          <w:color w:val="auto"/>
          <w:sz w:val="24"/>
          <w:szCs w:val="24"/>
        </w:rPr>
        <w:fldChar w:fldCharType="separate"/>
      </w:r>
      <w:r>
        <w:rPr>
          <w:color w:val="auto"/>
          <w:sz w:val="24"/>
          <w:szCs w:val="24"/>
        </w:rPr>
        <w:t>75</w:t>
      </w:r>
      <w:r>
        <w:rPr>
          <w:color w:val="auto"/>
          <w:sz w:val="24"/>
          <w:szCs w:val="24"/>
        </w:rPr>
        <w:fldChar w:fldCharType="end"/>
      </w:r>
      <w:r>
        <w:rPr>
          <w:rStyle w:val="52"/>
          <w:color w:val="auto"/>
          <w:sz w:val="24"/>
          <w:szCs w:val="24"/>
        </w:rPr>
        <w:fldChar w:fldCharType="end"/>
      </w:r>
    </w:p>
    <w:p>
      <w:pPr>
        <w:pStyle w:val="32"/>
        <w:tabs>
          <w:tab w:val="right" w:leader="dot" w:pos="8990"/>
        </w:tabs>
        <w:spacing w:line="480" w:lineRule="auto"/>
        <w:rPr>
          <w:rFonts w:hAnsi="等线"/>
          <w:b w:val="0"/>
          <w:bCs w:val="0"/>
          <w:caps w:val="0"/>
          <w:color w:val="auto"/>
          <w:kern w:val="2"/>
          <w:sz w:val="28"/>
          <w:szCs w:val="32"/>
        </w:rPr>
      </w:pPr>
      <w:r>
        <w:rPr>
          <w:rStyle w:val="52"/>
          <w:color w:val="auto"/>
          <w:sz w:val="24"/>
          <w:szCs w:val="24"/>
        </w:rPr>
        <w:fldChar w:fldCharType="begin"/>
      </w:r>
      <w:r>
        <w:rPr>
          <w:rStyle w:val="52"/>
          <w:color w:val="auto"/>
          <w:sz w:val="24"/>
          <w:szCs w:val="24"/>
        </w:rPr>
        <w:instrText xml:space="preserve"> </w:instrText>
      </w:r>
      <w:r>
        <w:rPr>
          <w:color w:val="auto"/>
          <w:sz w:val="24"/>
          <w:szCs w:val="24"/>
        </w:rPr>
        <w:instrText xml:space="preserve">HYPERLINK \l "_Toc93668164"</w:instrText>
      </w:r>
      <w:r>
        <w:rPr>
          <w:rStyle w:val="52"/>
          <w:color w:val="auto"/>
          <w:sz w:val="24"/>
          <w:szCs w:val="24"/>
        </w:rPr>
        <w:instrText xml:space="preserve"> </w:instrText>
      </w:r>
      <w:r>
        <w:rPr>
          <w:rStyle w:val="52"/>
          <w:color w:val="auto"/>
          <w:sz w:val="24"/>
          <w:szCs w:val="24"/>
        </w:rPr>
        <w:fldChar w:fldCharType="separate"/>
      </w:r>
      <w:r>
        <w:rPr>
          <w:rStyle w:val="52"/>
          <w:rFonts w:ascii="宋体" w:hAnsi="宋体"/>
          <w:color w:val="auto"/>
          <w:sz w:val="24"/>
          <w:szCs w:val="24"/>
        </w:rPr>
        <w:t>第六章  合同</w:t>
      </w:r>
      <w:bookmarkStart w:id="0" w:name="_Hlt93671328"/>
      <w:bookmarkStart w:id="1" w:name="_Hlt93671327"/>
      <w:r>
        <w:rPr>
          <w:rStyle w:val="52"/>
          <w:rFonts w:ascii="宋体" w:hAnsi="宋体"/>
          <w:color w:val="auto"/>
          <w:sz w:val="24"/>
          <w:szCs w:val="24"/>
        </w:rPr>
        <w:t>范</w:t>
      </w:r>
      <w:bookmarkEnd w:id="0"/>
      <w:bookmarkEnd w:id="1"/>
      <w:r>
        <w:rPr>
          <w:rStyle w:val="52"/>
          <w:rFonts w:ascii="宋体" w:hAnsi="宋体"/>
          <w:color w:val="auto"/>
          <w:sz w:val="24"/>
          <w:szCs w:val="24"/>
        </w:rPr>
        <w:t>本</w:t>
      </w:r>
      <w:r>
        <w:rPr>
          <w:color w:val="auto"/>
          <w:sz w:val="24"/>
          <w:szCs w:val="24"/>
        </w:rPr>
        <w:tab/>
      </w:r>
      <w:r>
        <w:rPr>
          <w:color w:val="auto"/>
          <w:sz w:val="24"/>
          <w:szCs w:val="24"/>
        </w:rPr>
        <w:fldChar w:fldCharType="begin"/>
      </w:r>
      <w:r>
        <w:rPr>
          <w:color w:val="auto"/>
          <w:sz w:val="24"/>
          <w:szCs w:val="24"/>
        </w:rPr>
        <w:instrText xml:space="preserve"> PAGEREF _Toc93668164 \h </w:instrText>
      </w:r>
      <w:r>
        <w:rPr>
          <w:color w:val="auto"/>
          <w:sz w:val="24"/>
          <w:szCs w:val="24"/>
        </w:rPr>
        <w:fldChar w:fldCharType="separate"/>
      </w:r>
      <w:r>
        <w:rPr>
          <w:color w:val="auto"/>
          <w:sz w:val="24"/>
          <w:szCs w:val="24"/>
        </w:rPr>
        <w:t>81</w:t>
      </w:r>
      <w:r>
        <w:rPr>
          <w:color w:val="auto"/>
          <w:sz w:val="24"/>
          <w:szCs w:val="24"/>
        </w:rPr>
        <w:fldChar w:fldCharType="end"/>
      </w:r>
      <w:r>
        <w:rPr>
          <w:rStyle w:val="52"/>
          <w:color w:val="auto"/>
          <w:sz w:val="24"/>
          <w:szCs w:val="24"/>
        </w:rPr>
        <w:fldChar w:fldCharType="end"/>
      </w:r>
    </w:p>
    <w:p>
      <w:pPr>
        <w:pStyle w:val="32"/>
        <w:tabs>
          <w:tab w:val="right" w:leader="dot" w:pos="8990"/>
        </w:tabs>
        <w:spacing w:line="480" w:lineRule="auto"/>
        <w:rPr>
          <w:rFonts w:hAnsi="等线"/>
          <w:b w:val="0"/>
          <w:bCs w:val="0"/>
          <w:caps w:val="0"/>
          <w:color w:val="auto"/>
          <w:kern w:val="2"/>
          <w:sz w:val="28"/>
          <w:szCs w:val="32"/>
        </w:rPr>
      </w:pPr>
      <w:r>
        <w:rPr>
          <w:rStyle w:val="52"/>
          <w:color w:val="auto"/>
          <w:sz w:val="24"/>
          <w:szCs w:val="24"/>
        </w:rPr>
        <w:fldChar w:fldCharType="begin"/>
      </w:r>
      <w:r>
        <w:rPr>
          <w:rStyle w:val="52"/>
          <w:color w:val="auto"/>
          <w:sz w:val="24"/>
          <w:szCs w:val="24"/>
        </w:rPr>
        <w:instrText xml:space="preserve"> </w:instrText>
      </w:r>
      <w:r>
        <w:rPr>
          <w:color w:val="auto"/>
          <w:sz w:val="24"/>
          <w:szCs w:val="24"/>
        </w:rPr>
        <w:instrText xml:space="preserve">HYPERLINK \l "_Toc93668165"</w:instrText>
      </w:r>
      <w:r>
        <w:rPr>
          <w:rStyle w:val="52"/>
          <w:color w:val="auto"/>
          <w:sz w:val="24"/>
          <w:szCs w:val="24"/>
        </w:rPr>
        <w:instrText xml:space="preserve"> </w:instrText>
      </w:r>
      <w:r>
        <w:rPr>
          <w:rStyle w:val="52"/>
          <w:color w:val="auto"/>
          <w:sz w:val="24"/>
          <w:szCs w:val="24"/>
        </w:rPr>
        <w:fldChar w:fldCharType="separate"/>
      </w:r>
      <w:r>
        <w:rPr>
          <w:rStyle w:val="52"/>
          <w:rFonts w:ascii="宋体" w:hAnsi="宋体"/>
          <w:color w:val="auto"/>
          <w:sz w:val="24"/>
          <w:szCs w:val="24"/>
        </w:rPr>
        <w:t>第七章  投标文件格式</w:t>
      </w:r>
      <w:r>
        <w:rPr>
          <w:color w:val="auto"/>
          <w:sz w:val="24"/>
          <w:szCs w:val="24"/>
        </w:rPr>
        <w:tab/>
      </w:r>
      <w:r>
        <w:rPr>
          <w:color w:val="auto"/>
          <w:sz w:val="24"/>
          <w:szCs w:val="24"/>
        </w:rPr>
        <w:fldChar w:fldCharType="begin"/>
      </w:r>
      <w:r>
        <w:rPr>
          <w:color w:val="auto"/>
          <w:sz w:val="24"/>
          <w:szCs w:val="24"/>
        </w:rPr>
        <w:instrText xml:space="preserve"> PAGEREF _Toc93668165 \h </w:instrText>
      </w:r>
      <w:r>
        <w:rPr>
          <w:color w:val="auto"/>
          <w:sz w:val="24"/>
          <w:szCs w:val="24"/>
        </w:rPr>
        <w:fldChar w:fldCharType="separate"/>
      </w:r>
      <w:r>
        <w:rPr>
          <w:color w:val="auto"/>
          <w:sz w:val="24"/>
          <w:szCs w:val="24"/>
        </w:rPr>
        <w:t>87</w:t>
      </w:r>
      <w:r>
        <w:rPr>
          <w:color w:val="auto"/>
          <w:sz w:val="24"/>
          <w:szCs w:val="24"/>
        </w:rPr>
        <w:fldChar w:fldCharType="end"/>
      </w:r>
      <w:r>
        <w:rPr>
          <w:rStyle w:val="52"/>
          <w:color w:val="auto"/>
          <w:sz w:val="24"/>
          <w:szCs w:val="24"/>
        </w:rPr>
        <w:fldChar w:fldCharType="end"/>
      </w:r>
    </w:p>
    <w:p>
      <w:pPr>
        <w:widowControl w:val="0"/>
        <w:adjustRightInd w:val="0"/>
        <w:snapToGrid w:val="0"/>
        <w:spacing w:line="480" w:lineRule="auto"/>
        <w:jc w:val="center"/>
        <w:rPr>
          <w:rFonts w:hint="eastAsia" w:ascii="宋体" w:hAnsi="宋体"/>
          <w:b/>
          <w:bCs/>
          <w:color w:val="auto"/>
          <w:sz w:val="52"/>
          <w:szCs w:val="52"/>
        </w:rPr>
      </w:pPr>
      <w:r>
        <w:rPr>
          <w:rFonts w:ascii="宋体" w:hAnsi="宋体"/>
          <w:color w:val="auto"/>
          <w:sz w:val="36"/>
          <w:szCs w:val="36"/>
        </w:rPr>
        <w:fldChar w:fldCharType="end"/>
      </w:r>
    </w:p>
    <w:p>
      <w:pPr>
        <w:widowControl w:val="0"/>
        <w:adjustRightInd w:val="0"/>
        <w:snapToGrid w:val="0"/>
        <w:spacing w:line="360" w:lineRule="auto"/>
        <w:jc w:val="center"/>
        <w:rPr>
          <w:rFonts w:ascii="宋体" w:hAnsi="宋体"/>
          <w:b/>
          <w:bCs/>
          <w:color w:val="auto"/>
          <w:sz w:val="48"/>
        </w:rPr>
      </w:pPr>
    </w:p>
    <w:p>
      <w:pPr>
        <w:pStyle w:val="25"/>
        <w:widowControl w:val="0"/>
        <w:adjustRightInd w:val="0"/>
        <w:snapToGrid w:val="0"/>
        <w:spacing w:line="600" w:lineRule="auto"/>
        <w:ind w:left="1384"/>
        <w:jc w:val="both"/>
        <w:rPr>
          <w:color w:val="auto"/>
          <w:spacing w:val="20"/>
          <w:sz w:val="32"/>
        </w:rPr>
      </w:pPr>
    </w:p>
    <w:p>
      <w:pPr>
        <w:pStyle w:val="25"/>
        <w:widowControl w:val="0"/>
        <w:adjustRightInd w:val="0"/>
        <w:snapToGrid w:val="0"/>
        <w:ind w:left="902" w:leftChars="376" w:firstLine="1280" w:firstLineChars="400"/>
        <w:jc w:val="both"/>
        <w:rPr>
          <w:color w:val="auto"/>
          <w:sz w:val="32"/>
        </w:rPr>
      </w:pPr>
    </w:p>
    <w:p>
      <w:pPr>
        <w:pStyle w:val="25"/>
        <w:widowControl w:val="0"/>
        <w:adjustRightInd w:val="0"/>
        <w:snapToGrid w:val="0"/>
        <w:spacing w:line="480" w:lineRule="auto"/>
        <w:ind w:left="902"/>
        <w:jc w:val="both"/>
        <w:rPr>
          <w:color w:val="auto"/>
          <w:sz w:val="32"/>
        </w:rPr>
        <w:sectPr>
          <w:headerReference r:id="rId5" w:type="first"/>
          <w:headerReference r:id="rId3" w:type="default"/>
          <w:footerReference r:id="rId6" w:type="default"/>
          <w:headerReference r:id="rId4" w:type="even"/>
          <w:footerReference r:id="rId7" w:type="even"/>
          <w:pgSz w:w="11906" w:h="16838"/>
          <w:pgMar w:top="1258" w:right="1286" w:bottom="1361" w:left="1620" w:header="709" w:footer="971" w:gutter="0"/>
          <w:cols w:space="720" w:num="1"/>
          <w:docGrid w:linePitch="360" w:charSpace="0"/>
        </w:sectPr>
      </w:pPr>
    </w:p>
    <w:p>
      <w:pPr>
        <w:widowControl w:val="0"/>
        <w:spacing w:line="360" w:lineRule="auto"/>
        <w:ind w:firstLine="562" w:firstLineChars="200"/>
        <w:jc w:val="both"/>
        <w:rPr>
          <w:rFonts w:ascii="宋体" w:hAnsi="宋体" w:cs="仿宋"/>
          <w:b/>
          <w:bCs/>
          <w:color w:val="auto"/>
          <w:kern w:val="2"/>
          <w:sz w:val="28"/>
          <w:szCs w:val="28"/>
        </w:rPr>
      </w:pPr>
      <w:bookmarkStart w:id="2" w:name="_Toc73432709"/>
    </w:p>
    <w:p>
      <w:pPr>
        <w:widowControl w:val="0"/>
        <w:spacing w:line="360" w:lineRule="auto"/>
        <w:ind w:firstLine="562" w:firstLineChars="200"/>
        <w:jc w:val="both"/>
        <w:rPr>
          <w:rFonts w:hint="eastAsia" w:ascii="宋体" w:hAnsi="宋体" w:cs="仿宋"/>
          <w:b/>
          <w:bCs/>
          <w:color w:val="auto"/>
          <w:kern w:val="2"/>
          <w:sz w:val="28"/>
          <w:szCs w:val="28"/>
        </w:rPr>
      </w:pPr>
      <w:r>
        <w:rPr>
          <w:rFonts w:hint="eastAsia" w:ascii="宋体" w:hAnsi="宋体" w:cs="仿宋"/>
          <w:b/>
          <w:bCs/>
          <w:color w:val="auto"/>
          <w:kern w:val="2"/>
          <w:sz w:val="28"/>
          <w:szCs w:val="28"/>
        </w:rPr>
        <w:t>为确保招投标活动的公开、公平、公正，切实维护各方合法权益，凡在招标投标、开标评标过程中，受到敲诈、勒索或发现围标串标、虚假投标、恶意竞标等涉黑涉恶线索者，请及时保留相关证据并向有关部门举报！</w:t>
      </w:r>
      <w:bookmarkEnd w:id="2"/>
    </w:p>
    <w:p>
      <w:pPr>
        <w:widowControl w:val="0"/>
        <w:spacing w:line="360" w:lineRule="auto"/>
        <w:ind w:firstLine="562" w:firstLineChars="200"/>
        <w:jc w:val="both"/>
        <w:rPr>
          <w:rFonts w:hint="eastAsia" w:ascii="宋体" w:hAnsi="宋体" w:cs="仿宋"/>
          <w:b/>
          <w:bCs/>
          <w:color w:val="auto"/>
          <w:kern w:val="2"/>
          <w:sz w:val="28"/>
          <w:szCs w:val="28"/>
        </w:rPr>
      </w:pPr>
      <w:bookmarkStart w:id="3" w:name="_Toc73432710"/>
      <w:r>
        <w:rPr>
          <w:rFonts w:hint="eastAsia" w:ascii="宋体" w:hAnsi="宋体" w:cs="仿宋"/>
          <w:b/>
          <w:bCs/>
          <w:color w:val="auto"/>
          <w:kern w:val="2"/>
          <w:sz w:val="28"/>
          <w:szCs w:val="28"/>
        </w:rPr>
        <w:t>举报电话：</w:t>
      </w:r>
      <w:bookmarkEnd w:id="3"/>
    </w:p>
    <w:p>
      <w:pPr>
        <w:widowControl w:val="0"/>
        <w:spacing w:line="360" w:lineRule="auto"/>
        <w:ind w:firstLine="562" w:firstLineChars="200"/>
        <w:jc w:val="both"/>
        <w:rPr>
          <w:rFonts w:hint="eastAsia" w:ascii="宋体" w:hAnsi="宋体" w:cs="仿宋"/>
          <w:b/>
          <w:bCs/>
          <w:color w:val="auto"/>
          <w:kern w:val="2"/>
          <w:sz w:val="28"/>
          <w:szCs w:val="28"/>
        </w:rPr>
      </w:pPr>
      <w:bookmarkStart w:id="4" w:name="_Toc73432711"/>
      <w:r>
        <w:rPr>
          <w:rFonts w:hint="eastAsia" w:ascii="宋体" w:hAnsi="宋体" w:cs="仿宋"/>
          <w:b/>
          <w:bCs/>
          <w:color w:val="auto"/>
          <w:kern w:val="2"/>
          <w:sz w:val="28"/>
          <w:szCs w:val="28"/>
        </w:rPr>
        <w:t xml:space="preserve">市扫黑办 </w:t>
      </w:r>
      <w:r>
        <w:rPr>
          <w:rFonts w:ascii="宋体" w:hAnsi="宋体" w:cs="仿宋"/>
          <w:b/>
          <w:bCs/>
          <w:color w:val="auto"/>
          <w:kern w:val="2"/>
          <w:sz w:val="28"/>
          <w:szCs w:val="28"/>
        </w:rPr>
        <w:t>  </w:t>
      </w:r>
      <w:r>
        <w:rPr>
          <w:rFonts w:hint="eastAsia" w:ascii="宋体" w:hAnsi="宋体" w:cs="仿宋"/>
          <w:b/>
          <w:bCs/>
          <w:color w:val="auto"/>
          <w:kern w:val="2"/>
          <w:sz w:val="28"/>
          <w:szCs w:val="28"/>
        </w:rPr>
        <w:t xml:space="preserve">  0579-82495227</w:t>
      </w:r>
      <w:bookmarkEnd w:id="4"/>
    </w:p>
    <w:p>
      <w:pPr>
        <w:widowControl w:val="0"/>
        <w:spacing w:line="360" w:lineRule="auto"/>
        <w:ind w:firstLine="562" w:firstLineChars="200"/>
        <w:jc w:val="both"/>
        <w:rPr>
          <w:rFonts w:hint="eastAsia" w:ascii="宋体" w:hAnsi="宋体" w:cs="仿宋"/>
          <w:b/>
          <w:bCs/>
          <w:color w:val="auto"/>
          <w:kern w:val="2"/>
          <w:sz w:val="28"/>
          <w:szCs w:val="28"/>
        </w:rPr>
      </w:pPr>
      <w:bookmarkStart w:id="5" w:name="_Toc73432712"/>
      <w:r>
        <w:rPr>
          <w:rFonts w:hint="eastAsia" w:ascii="宋体" w:hAnsi="宋体" w:cs="仿宋"/>
          <w:b/>
          <w:bCs/>
          <w:color w:val="auto"/>
          <w:kern w:val="2"/>
          <w:sz w:val="28"/>
          <w:szCs w:val="28"/>
        </w:rPr>
        <w:t xml:space="preserve">市公安局 </w:t>
      </w:r>
      <w:r>
        <w:rPr>
          <w:rFonts w:ascii="宋体" w:hAnsi="宋体" w:cs="仿宋"/>
          <w:b/>
          <w:bCs/>
          <w:color w:val="auto"/>
          <w:kern w:val="2"/>
          <w:sz w:val="28"/>
          <w:szCs w:val="28"/>
        </w:rPr>
        <w:t>  </w:t>
      </w:r>
      <w:r>
        <w:rPr>
          <w:rFonts w:hint="eastAsia" w:ascii="宋体" w:hAnsi="宋体" w:cs="仿宋"/>
          <w:b/>
          <w:bCs/>
          <w:color w:val="auto"/>
          <w:kern w:val="2"/>
          <w:sz w:val="28"/>
          <w:szCs w:val="28"/>
        </w:rPr>
        <w:t xml:space="preserve">  110、0579-82512110</w:t>
      </w:r>
      <w:bookmarkEnd w:id="5"/>
    </w:p>
    <w:p>
      <w:pPr>
        <w:widowControl w:val="0"/>
        <w:spacing w:line="360" w:lineRule="auto"/>
        <w:ind w:firstLine="562" w:firstLineChars="200"/>
        <w:jc w:val="both"/>
        <w:rPr>
          <w:rFonts w:hint="eastAsia" w:ascii="宋体" w:hAnsi="宋体" w:cs="仿宋"/>
          <w:b/>
          <w:bCs/>
          <w:color w:val="auto"/>
          <w:kern w:val="2"/>
          <w:sz w:val="28"/>
          <w:szCs w:val="28"/>
        </w:rPr>
      </w:pPr>
      <w:bookmarkStart w:id="6" w:name="_Toc73432713"/>
      <w:r>
        <w:rPr>
          <w:rFonts w:hint="eastAsia" w:ascii="宋体" w:hAnsi="宋体" w:cs="仿宋"/>
          <w:b/>
          <w:bCs/>
          <w:color w:val="auto"/>
          <w:kern w:val="2"/>
          <w:sz w:val="28"/>
          <w:szCs w:val="28"/>
        </w:rPr>
        <w:t xml:space="preserve">市检察院 </w:t>
      </w:r>
      <w:r>
        <w:rPr>
          <w:rFonts w:ascii="宋体" w:hAnsi="宋体" w:cs="仿宋"/>
          <w:b/>
          <w:bCs/>
          <w:color w:val="auto"/>
          <w:kern w:val="2"/>
          <w:sz w:val="28"/>
          <w:szCs w:val="28"/>
        </w:rPr>
        <w:t> </w:t>
      </w:r>
      <w:r>
        <w:rPr>
          <w:rFonts w:hint="eastAsia" w:ascii="宋体" w:hAnsi="宋体" w:cs="仿宋"/>
          <w:b/>
          <w:bCs/>
          <w:color w:val="auto"/>
          <w:kern w:val="2"/>
          <w:sz w:val="28"/>
          <w:szCs w:val="28"/>
        </w:rPr>
        <w:t xml:space="preserve">  </w:t>
      </w:r>
      <w:r>
        <w:rPr>
          <w:rFonts w:ascii="宋体" w:hAnsi="宋体" w:cs="仿宋"/>
          <w:b/>
          <w:bCs/>
          <w:color w:val="auto"/>
          <w:kern w:val="2"/>
          <w:sz w:val="28"/>
          <w:szCs w:val="28"/>
        </w:rPr>
        <w:t> </w:t>
      </w:r>
      <w:r>
        <w:rPr>
          <w:rFonts w:hint="eastAsia" w:ascii="宋体" w:hAnsi="宋体" w:cs="仿宋"/>
          <w:b/>
          <w:bCs/>
          <w:color w:val="auto"/>
          <w:kern w:val="2"/>
          <w:sz w:val="28"/>
          <w:szCs w:val="28"/>
        </w:rPr>
        <w:t>0579-82537082</w:t>
      </w:r>
      <w:bookmarkEnd w:id="6"/>
    </w:p>
    <w:p>
      <w:pPr>
        <w:widowControl w:val="0"/>
        <w:spacing w:line="360" w:lineRule="auto"/>
        <w:ind w:firstLine="562" w:firstLineChars="200"/>
        <w:jc w:val="both"/>
        <w:rPr>
          <w:rFonts w:hint="eastAsia" w:ascii="宋体" w:hAnsi="宋体" w:cs="仿宋"/>
          <w:b/>
          <w:bCs/>
          <w:color w:val="auto"/>
          <w:kern w:val="2"/>
          <w:sz w:val="28"/>
          <w:szCs w:val="28"/>
        </w:rPr>
      </w:pPr>
      <w:bookmarkStart w:id="7" w:name="_Toc73432714"/>
      <w:r>
        <w:rPr>
          <w:rFonts w:hint="eastAsia" w:ascii="宋体" w:hAnsi="宋体" w:cs="仿宋"/>
          <w:b/>
          <w:bCs/>
          <w:color w:val="auto"/>
          <w:kern w:val="2"/>
          <w:sz w:val="28"/>
          <w:szCs w:val="28"/>
        </w:rPr>
        <w:t xml:space="preserve">市 法 院 </w:t>
      </w:r>
      <w:r>
        <w:rPr>
          <w:rFonts w:ascii="宋体" w:hAnsi="宋体" w:cs="仿宋"/>
          <w:b/>
          <w:bCs/>
          <w:color w:val="auto"/>
          <w:kern w:val="2"/>
          <w:sz w:val="28"/>
          <w:szCs w:val="28"/>
        </w:rPr>
        <w:t>  </w:t>
      </w:r>
      <w:r>
        <w:rPr>
          <w:rFonts w:hint="eastAsia" w:ascii="宋体" w:hAnsi="宋体" w:cs="仿宋"/>
          <w:b/>
          <w:bCs/>
          <w:color w:val="auto"/>
          <w:kern w:val="2"/>
          <w:sz w:val="28"/>
          <w:szCs w:val="28"/>
        </w:rPr>
        <w:t xml:space="preserve">  0579-82688725</w:t>
      </w:r>
      <w:bookmarkEnd w:id="7"/>
    </w:p>
    <w:p>
      <w:pPr>
        <w:widowControl w:val="0"/>
        <w:spacing w:line="360" w:lineRule="auto"/>
        <w:ind w:firstLine="562" w:firstLineChars="200"/>
        <w:jc w:val="both"/>
        <w:rPr>
          <w:rFonts w:hint="eastAsia" w:ascii="宋体" w:hAnsi="宋体" w:cs="仿宋"/>
          <w:b/>
          <w:bCs/>
          <w:color w:val="auto"/>
          <w:kern w:val="2"/>
          <w:sz w:val="28"/>
          <w:szCs w:val="28"/>
        </w:rPr>
      </w:pPr>
      <w:bookmarkStart w:id="8" w:name="_Toc73432715"/>
      <w:r>
        <w:rPr>
          <w:rFonts w:hint="eastAsia" w:ascii="宋体" w:hAnsi="宋体" w:cs="仿宋"/>
          <w:b/>
          <w:bCs/>
          <w:color w:val="auto"/>
          <w:kern w:val="2"/>
          <w:sz w:val="28"/>
          <w:szCs w:val="28"/>
        </w:rPr>
        <w:t xml:space="preserve">市公共资源办 </w:t>
      </w:r>
      <w:r>
        <w:rPr>
          <w:rFonts w:ascii="宋体" w:hAnsi="宋体" w:cs="仿宋"/>
          <w:b/>
          <w:bCs/>
          <w:color w:val="auto"/>
          <w:kern w:val="2"/>
          <w:sz w:val="28"/>
          <w:szCs w:val="28"/>
        </w:rPr>
        <w:t> </w:t>
      </w:r>
      <w:r>
        <w:rPr>
          <w:rFonts w:hint="eastAsia" w:ascii="宋体" w:hAnsi="宋体" w:cs="仿宋"/>
          <w:b/>
          <w:bCs/>
          <w:color w:val="auto"/>
          <w:kern w:val="2"/>
          <w:sz w:val="28"/>
          <w:szCs w:val="28"/>
        </w:rPr>
        <w:t>0579-82469285</w:t>
      </w:r>
      <w:bookmarkEnd w:id="8"/>
    </w:p>
    <w:p>
      <w:pPr>
        <w:widowControl w:val="0"/>
        <w:spacing w:line="360" w:lineRule="auto"/>
        <w:ind w:firstLine="562" w:firstLineChars="200"/>
        <w:jc w:val="both"/>
        <w:rPr>
          <w:rFonts w:ascii="宋体" w:hAnsi="宋体" w:cs="仿宋"/>
          <w:b/>
          <w:bCs/>
          <w:color w:val="auto"/>
          <w:kern w:val="2"/>
          <w:sz w:val="28"/>
          <w:szCs w:val="28"/>
        </w:rPr>
      </w:pPr>
      <w:bookmarkStart w:id="9" w:name="_Toc73432716"/>
      <w:r>
        <w:rPr>
          <w:rFonts w:hint="eastAsia" w:ascii="宋体" w:hAnsi="宋体" w:cs="仿宋"/>
          <w:b/>
          <w:bCs/>
          <w:color w:val="auto"/>
          <w:kern w:val="2"/>
          <w:sz w:val="28"/>
          <w:szCs w:val="28"/>
        </w:rPr>
        <w:t xml:space="preserve">市公共资源交易中心 </w:t>
      </w:r>
      <w:r>
        <w:rPr>
          <w:rFonts w:ascii="宋体" w:hAnsi="宋体" w:cs="仿宋"/>
          <w:b/>
          <w:bCs/>
          <w:color w:val="auto"/>
          <w:kern w:val="2"/>
          <w:sz w:val="28"/>
          <w:szCs w:val="28"/>
        </w:rPr>
        <w:t> </w:t>
      </w:r>
      <w:r>
        <w:rPr>
          <w:rFonts w:hint="eastAsia" w:ascii="宋体" w:hAnsi="宋体" w:cs="仿宋"/>
          <w:b/>
          <w:bCs/>
          <w:color w:val="auto"/>
          <w:kern w:val="2"/>
          <w:sz w:val="28"/>
          <w:szCs w:val="28"/>
        </w:rPr>
        <w:t>0579-83187211</w:t>
      </w:r>
      <w:bookmarkEnd w:id="9"/>
    </w:p>
    <w:p>
      <w:pPr>
        <w:widowControl w:val="0"/>
        <w:spacing w:line="360" w:lineRule="auto"/>
        <w:ind w:firstLine="562" w:firstLineChars="200"/>
        <w:jc w:val="both"/>
        <w:rPr>
          <w:rFonts w:ascii="宋体" w:hAnsi="宋体" w:cs="仿宋"/>
          <w:b/>
          <w:bCs/>
          <w:color w:val="auto"/>
          <w:kern w:val="2"/>
          <w:sz w:val="28"/>
          <w:szCs w:val="28"/>
        </w:rPr>
        <w:sectPr>
          <w:pgSz w:w="11906" w:h="16838"/>
          <w:pgMar w:top="1258" w:right="1286" w:bottom="1361" w:left="1620" w:header="709" w:footer="971" w:gutter="0"/>
          <w:cols w:space="720" w:num="1"/>
          <w:docGrid w:linePitch="360" w:charSpace="0"/>
        </w:sectPr>
      </w:pPr>
    </w:p>
    <w:p>
      <w:pPr>
        <w:pStyle w:val="2"/>
        <w:spacing w:before="120" w:after="240" w:line="240" w:lineRule="auto"/>
        <w:jc w:val="center"/>
        <w:rPr>
          <w:rFonts w:hint="eastAsia" w:ascii="宋体" w:hAnsi="宋体"/>
          <w:color w:val="auto"/>
        </w:rPr>
      </w:pPr>
      <w:bookmarkStart w:id="10" w:name="_Toc39239703"/>
      <w:bookmarkStart w:id="11" w:name="_Toc93668159"/>
      <w:r>
        <w:rPr>
          <w:rFonts w:ascii="宋体" w:hAnsi="宋体"/>
          <w:color w:val="auto"/>
        </w:rPr>
        <w:t>第一章  招标公告</w:t>
      </w:r>
      <w:bookmarkEnd w:id="10"/>
      <w:bookmarkEnd w:id="11"/>
    </w:p>
    <w:p>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color w:val="auto"/>
          <w:sz w:val="28"/>
          <w:szCs w:val="28"/>
        </w:rPr>
      </w:pPr>
      <w:r>
        <w:rPr>
          <w:rFonts w:hint="eastAsia" w:ascii="宋体" w:hAnsi="宋体"/>
          <w:color w:val="auto"/>
          <w:sz w:val="28"/>
          <w:szCs w:val="28"/>
        </w:rPr>
        <w:t>项目概况</w:t>
      </w:r>
    </w:p>
    <w:p>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color w:val="auto"/>
          <w:sz w:val="28"/>
          <w:szCs w:val="28"/>
        </w:rPr>
      </w:pPr>
      <w:r>
        <w:rPr>
          <w:rFonts w:hint="eastAsia" w:ascii="宋体" w:hAnsi="宋体"/>
          <w:color w:val="auto"/>
          <w:sz w:val="28"/>
          <w:szCs w:val="28"/>
          <w:u w:val="single"/>
        </w:rPr>
        <w:t>金东区中医院新建工程净化工程（含医疗气体）设备采购项目</w:t>
      </w:r>
      <w:r>
        <w:rPr>
          <w:rFonts w:hint="eastAsia" w:ascii="宋体" w:hAnsi="宋体"/>
          <w:color w:val="auto"/>
          <w:sz w:val="28"/>
          <w:szCs w:val="28"/>
        </w:rPr>
        <w:t>的潜在投标人应在</w:t>
      </w:r>
      <w:r>
        <w:rPr>
          <w:rFonts w:hint="eastAsia" w:ascii="宋体" w:hAnsi="宋体"/>
          <w:color w:val="auto"/>
          <w:sz w:val="28"/>
          <w:szCs w:val="28"/>
          <w:u w:val="single"/>
        </w:rPr>
        <w:t xml:space="preserve">浙江政府采购网本项目公告附件处（潜在供应商）下载  </w:t>
      </w:r>
      <w:r>
        <w:rPr>
          <w:rFonts w:hint="eastAsia" w:ascii="宋体" w:hAnsi="宋体"/>
          <w:color w:val="auto"/>
          <w:sz w:val="28"/>
          <w:szCs w:val="28"/>
        </w:rPr>
        <w:t>获取招标文件，并于</w:t>
      </w:r>
      <w:r>
        <w:rPr>
          <w:rFonts w:hint="eastAsia" w:ascii="宋体" w:hAnsi="宋体"/>
          <w:color w:val="auto"/>
          <w:sz w:val="28"/>
          <w:szCs w:val="28"/>
          <w:u w:val="single"/>
        </w:rPr>
        <w:t>202</w:t>
      </w:r>
      <w:r>
        <w:rPr>
          <w:rFonts w:ascii="宋体" w:hAnsi="宋体"/>
          <w:color w:val="auto"/>
          <w:sz w:val="28"/>
          <w:szCs w:val="28"/>
          <w:u w:val="single"/>
        </w:rPr>
        <w:t>2</w:t>
      </w:r>
      <w:r>
        <w:rPr>
          <w:rFonts w:hint="eastAsia" w:ascii="宋体" w:hAnsi="宋体"/>
          <w:color w:val="auto"/>
          <w:sz w:val="28"/>
          <w:szCs w:val="28"/>
          <w:u w:val="single"/>
        </w:rPr>
        <w:t>年</w:t>
      </w:r>
      <w:r>
        <w:rPr>
          <w:rFonts w:hint="eastAsia" w:ascii="宋体" w:hAnsi="宋体"/>
          <w:color w:val="auto"/>
          <w:sz w:val="28"/>
          <w:szCs w:val="28"/>
          <w:u w:val="single"/>
          <w:lang w:val="en-US" w:eastAsia="zh-CN"/>
        </w:rPr>
        <w:t>11</w:t>
      </w:r>
      <w:r>
        <w:rPr>
          <w:rFonts w:hint="eastAsia" w:ascii="宋体" w:hAnsi="宋体"/>
          <w:color w:val="auto"/>
          <w:sz w:val="28"/>
          <w:szCs w:val="28"/>
          <w:u w:val="single"/>
        </w:rPr>
        <w:t>月</w:t>
      </w:r>
      <w:r>
        <w:rPr>
          <w:rFonts w:hint="eastAsia" w:ascii="宋体" w:hAnsi="宋体"/>
          <w:color w:val="auto"/>
          <w:sz w:val="28"/>
          <w:szCs w:val="28"/>
          <w:u w:val="single"/>
          <w:lang w:val="en-US" w:eastAsia="zh-CN"/>
        </w:rPr>
        <w:t>15</w:t>
      </w:r>
      <w:r>
        <w:rPr>
          <w:rFonts w:hint="eastAsia" w:ascii="宋体" w:hAnsi="宋体"/>
          <w:color w:val="auto"/>
          <w:sz w:val="28"/>
          <w:szCs w:val="28"/>
          <w:u w:val="single"/>
        </w:rPr>
        <w:t>日</w:t>
      </w:r>
      <w:r>
        <w:rPr>
          <w:rFonts w:hint="eastAsia" w:ascii="宋体" w:hAnsi="宋体"/>
          <w:color w:val="auto"/>
          <w:sz w:val="28"/>
          <w:szCs w:val="28"/>
          <w:u w:val="single"/>
          <w:lang w:val="en-US" w:eastAsia="zh-CN"/>
        </w:rPr>
        <w:t>14</w:t>
      </w:r>
      <w:r>
        <w:rPr>
          <w:rFonts w:hint="eastAsia" w:ascii="宋体" w:hAnsi="宋体"/>
          <w:color w:val="auto"/>
          <w:sz w:val="28"/>
          <w:szCs w:val="28"/>
          <w:u w:val="single"/>
        </w:rPr>
        <w:t>点</w:t>
      </w:r>
      <w:r>
        <w:rPr>
          <w:rFonts w:hint="eastAsia" w:ascii="宋体" w:hAnsi="宋体"/>
          <w:color w:val="auto"/>
          <w:sz w:val="28"/>
          <w:szCs w:val="28"/>
          <w:u w:val="single"/>
          <w:lang w:val="en-US" w:eastAsia="zh-CN"/>
        </w:rPr>
        <w:t>30</w:t>
      </w:r>
      <w:r>
        <w:rPr>
          <w:rFonts w:hint="eastAsia" w:ascii="宋体" w:hAnsi="宋体"/>
          <w:color w:val="auto"/>
          <w:sz w:val="28"/>
          <w:szCs w:val="28"/>
          <w:u w:val="single"/>
        </w:rPr>
        <w:t>分</w:t>
      </w:r>
      <w:r>
        <w:rPr>
          <w:rFonts w:hint="eastAsia" w:ascii="宋体" w:hAnsi="宋体"/>
          <w:color w:val="auto"/>
          <w:sz w:val="28"/>
          <w:szCs w:val="28"/>
        </w:rPr>
        <w:t>（北京时间）前递交（上传）投标文件。</w:t>
      </w:r>
    </w:p>
    <w:p>
      <w:pPr>
        <w:pStyle w:val="25"/>
        <w:widowControl w:val="0"/>
        <w:adjustRightInd w:val="0"/>
        <w:snapToGrid w:val="0"/>
        <w:spacing w:before="0" w:beforeAutospacing="0" w:after="0" w:afterAutospacing="0" w:line="360" w:lineRule="auto"/>
        <w:ind w:firstLine="482" w:firstLineChars="200"/>
        <w:rPr>
          <w:rFonts w:hint="eastAsia" w:cs="宋体"/>
          <w:b/>
          <w:color w:val="auto"/>
        </w:rPr>
      </w:pPr>
      <w:bookmarkStart w:id="12" w:name="_Toc28359079"/>
      <w:bookmarkStart w:id="13" w:name="_Toc35393790"/>
      <w:bookmarkStart w:id="14" w:name="_Toc35393621"/>
      <w:bookmarkStart w:id="15" w:name="_Toc28359002"/>
      <w:bookmarkStart w:id="16" w:name="_Hlk24379207"/>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r>
        <w:rPr>
          <w:rFonts w:ascii="Times New Roman" w:hAnsi="Times New Roman"/>
          <w:b/>
          <w:color w:val="auto"/>
        </w:rPr>
        <w:t>一、项目基本情况</w:t>
      </w:r>
      <w:bookmarkEnd w:id="12"/>
      <w:bookmarkEnd w:id="13"/>
      <w:bookmarkEnd w:id="14"/>
      <w:bookmarkEnd w:id="15"/>
    </w:p>
    <w:p>
      <w:pPr>
        <w:spacing w:line="360" w:lineRule="auto"/>
        <w:ind w:firstLine="540" w:firstLineChars="225"/>
        <w:rPr>
          <w:rFonts w:hint="eastAsia"/>
          <w:color w:val="auto"/>
        </w:rPr>
      </w:pPr>
      <w:r>
        <w:rPr>
          <w:color w:val="auto"/>
        </w:rPr>
        <w:t>项目编号：</w:t>
      </w:r>
      <w:r>
        <w:rPr>
          <w:rFonts w:hint="eastAsia"/>
          <w:color w:val="auto"/>
        </w:rPr>
        <w:t>YG2022-HW4702-ZFCG245</w:t>
      </w:r>
    </w:p>
    <w:p>
      <w:pPr>
        <w:spacing w:line="360" w:lineRule="auto"/>
        <w:ind w:firstLine="540" w:firstLineChars="225"/>
        <w:rPr>
          <w:rFonts w:hint="eastAsia" w:ascii="Times New Roman" w:hAnsi="Times New Roman" w:eastAsia="宋体" w:cs="Times New Roman"/>
          <w:color w:val="auto"/>
        </w:rPr>
      </w:pPr>
      <w:r>
        <w:rPr>
          <w:rFonts w:hint="eastAsia"/>
          <w:color w:val="auto"/>
        </w:rPr>
        <w:t>政府采购</w:t>
      </w:r>
      <w:r>
        <w:rPr>
          <w:rFonts w:hint="eastAsia" w:ascii="Times New Roman" w:hAnsi="Times New Roman" w:eastAsia="宋体" w:cs="Times New Roman"/>
          <w:color w:val="auto"/>
        </w:rPr>
        <w:t>计划编号：0380342022042</w:t>
      </w: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"https://pay.zcygov.cn/purchaseplan_front/" \l "/plan/list/detail?id=1000000000004570021&amp;encrypt=90b23a2dfb0d10a419ea1ddf08025d73" \t "_blank" </w:instrText>
      </w:r>
      <w:r>
        <w:rPr>
          <w:rFonts w:hint="eastAsia" w:ascii="Times New Roman" w:hAnsi="Times New Roman" w:eastAsia="宋体" w:cs="Times New Roman"/>
          <w:color w:val="auto"/>
        </w:rPr>
        <w:fldChar w:fldCharType="separate"/>
      </w:r>
      <w:r>
        <w:rPr>
          <w:rFonts w:hint="eastAsia" w:ascii="Times New Roman" w:hAnsi="Times New Roman" w:eastAsia="宋体" w:cs="Times New Roman"/>
          <w:color w:val="auto"/>
        </w:rPr>
        <w:fldChar w:fldCharType="end"/>
      </w:r>
      <w:r>
        <w:rPr>
          <w:rFonts w:hint="eastAsia" w:ascii="Times New Roman" w:hAnsi="Times New Roman" w:eastAsia="宋体" w:cs="Times New Roman"/>
          <w:color w:val="auto"/>
        </w:rPr>
        <w:t xml:space="preserve">  </w:t>
      </w:r>
    </w:p>
    <w:p>
      <w:pPr>
        <w:spacing w:line="360" w:lineRule="auto"/>
        <w:ind w:firstLine="540" w:firstLineChars="225"/>
        <w:rPr>
          <w:rFonts w:hint="eastAsia"/>
          <w:color w:val="auto"/>
        </w:rPr>
      </w:pPr>
      <w:r>
        <w:rPr>
          <w:color w:val="auto"/>
        </w:rPr>
        <w:t>项目名称：</w:t>
      </w:r>
      <w:r>
        <w:rPr>
          <w:rFonts w:hint="eastAsia"/>
          <w:color w:val="auto"/>
        </w:rPr>
        <w:t>金东区中医院新建工程净化工程（含医疗气体）设备采购项目</w:t>
      </w:r>
    </w:p>
    <w:bookmarkEnd w:id="16"/>
    <w:p>
      <w:pPr>
        <w:spacing w:line="360" w:lineRule="auto"/>
        <w:ind w:firstLine="540" w:firstLineChars="225"/>
        <w:rPr>
          <w:color w:val="auto"/>
        </w:rPr>
      </w:pPr>
      <w:r>
        <w:rPr>
          <w:color w:val="auto"/>
        </w:rPr>
        <w:t>预算金额：1200.9335</w:t>
      </w:r>
      <w:r>
        <w:rPr>
          <w:rFonts w:hint="eastAsia"/>
          <w:color w:val="auto"/>
        </w:rPr>
        <w:t>万元</w:t>
      </w:r>
    </w:p>
    <w:p>
      <w:pPr>
        <w:spacing w:line="360" w:lineRule="auto"/>
        <w:ind w:firstLine="540" w:firstLineChars="225"/>
        <w:rPr>
          <w:color w:val="auto"/>
        </w:rPr>
      </w:pPr>
      <w:r>
        <w:rPr>
          <w:color w:val="auto"/>
        </w:rPr>
        <w:t>最高限价：1200.9335万元</w:t>
      </w:r>
    </w:p>
    <w:p>
      <w:pPr>
        <w:spacing w:line="360" w:lineRule="auto"/>
        <w:ind w:firstLine="540" w:firstLineChars="225"/>
        <w:rPr>
          <w:color w:val="auto"/>
        </w:rPr>
      </w:pPr>
      <w:r>
        <w:rPr>
          <w:color w:val="auto"/>
        </w:rPr>
        <w:t>采购需求：</w:t>
      </w:r>
    </w:p>
    <w:tbl>
      <w:tblPr>
        <w:tblStyle w:val="4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861"/>
        <w:gridCol w:w="3035"/>
        <w:gridCol w:w="73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dxa"/>
            <w:noWrap w:val="0"/>
            <w:vAlign w:val="center"/>
          </w:tcPr>
          <w:p>
            <w:pPr>
              <w:jc w:val="center"/>
              <w:rPr>
                <w:rFonts w:ascii="Times New Roman" w:hAnsi="Times New Roman" w:eastAsia="宋体" w:cs="Times New Roman"/>
                <w:b/>
                <w:bCs/>
                <w:color w:val="auto"/>
                <w:sz w:val="22"/>
                <w:szCs w:val="22"/>
              </w:rPr>
            </w:pPr>
            <w:r>
              <w:rPr>
                <w:rFonts w:ascii="Times New Roman" w:hAnsi="Times New Roman" w:eastAsia="宋体" w:cs="Times New Roman"/>
                <w:b/>
                <w:bCs/>
                <w:color w:val="auto"/>
                <w:sz w:val="22"/>
                <w:szCs w:val="22"/>
              </w:rPr>
              <w:t>序号</w:t>
            </w:r>
          </w:p>
        </w:tc>
        <w:tc>
          <w:tcPr>
            <w:tcW w:w="3861" w:type="dxa"/>
            <w:noWrap w:val="0"/>
            <w:vAlign w:val="center"/>
          </w:tcPr>
          <w:p>
            <w:pPr>
              <w:jc w:val="center"/>
              <w:rPr>
                <w:rFonts w:ascii="Times New Roman" w:hAnsi="Times New Roman" w:eastAsia="宋体" w:cs="Times New Roman"/>
                <w:b/>
                <w:bCs/>
                <w:color w:val="auto"/>
                <w:sz w:val="22"/>
                <w:szCs w:val="22"/>
              </w:rPr>
            </w:pPr>
            <w:r>
              <w:rPr>
                <w:rFonts w:ascii="Times New Roman" w:hAnsi="Times New Roman" w:eastAsia="宋体" w:cs="Times New Roman"/>
                <w:b/>
                <w:bCs/>
                <w:color w:val="auto"/>
                <w:sz w:val="22"/>
                <w:szCs w:val="22"/>
              </w:rPr>
              <w:t>项目名称</w:t>
            </w:r>
          </w:p>
        </w:tc>
        <w:tc>
          <w:tcPr>
            <w:tcW w:w="3035" w:type="dxa"/>
            <w:noWrap w:val="0"/>
            <w:vAlign w:val="center"/>
          </w:tcPr>
          <w:p>
            <w:pPr>
              <w:jc w:val="center"/>
              <w:rPr>
                <w:rFonts w:ascii="Times New Roman" w:hAnsi="Times New Roman" w:eastAsia="宋体" w:cs="Times New Roman"/>
                <w:b/>
                <w:bCs/>
                <w:color w:val="auto"/>
                <w:sz w:val="22"/>
                <w:szCs w:val="22"/>
              </w:rPr>
            </w:pPr>
            <w:r>
              <w:rPr>
                <w:rFonts w:ascii="Times New Roman" w:hAnsi="Times New Roman" w:eastAsia="宋体" w:cs="Times New Roman"/>
                <w:b/>
                <w:bCs/>
                <w:color w:val="auto"/>
                <w:sz w:val="22"/>
                <w:szCs w:val="22"/>
              </w:rPr>
              <w:t>主要技术指标要求</w:t>
            </w:r>
          </w:p>
        </w:tc>
        <w:tc>
          <w:tcPr>
            <w:tcW w:w="737" w:type="dxa"/>
            <w:noWrap w:val="0"/>
            <w:vAlign w:val="center"/>
          </w:tcPr>
          <w:p>
            <w:pPr>
              <w:jc w:val="center"/>
              <w:rPr>
                <w:rFonts w:ascii="Times New Roman" w:hAnsi="Times New Roman" w:eastAsia="宋体" w:cs="Times New Roman"/>
                <w:b/>
                <w:bCs/>
                <w:color w:val="auto"/>
                <w:sz w:val="22"/>
                <w:szCs w:val="22"/>
              </w:rPr>
            </w:pPr>
            <w:r>
              <w:rPr>
                <w:rFonts w:ascii="Times New Roman" w:hAnsi="Times New Roman" w:eastAsia="宋体" w:cs="Times New Roman"/>
                <w:b/>
                <w:bCs/>
                <w:color w:val="auto"/>
                <w:sz w:val="22"/>
                <w:szCs w:val="22"/>
              </w:rPr>
              <w:t>数量</w:t>
            </w:r>
          </w:p>
        </w:tc>
        <w:tc>
          <w:tcPr>
            <w:tcW w:w="794" w:type="dxa"/>
            <w:noWrap w:val="0"/>
            <w:vAlign w:val="center"/>
          </w:tcPr>
          <w:p>
            <w:pPr>
              <w:jc w:val="center"/>
              <w:rPr>
                <w:rFonts w:ascii="Times New Roman" w:hAnsi="Times New Roman" w:eastAsia="宋体" w:cs="Times New Roman"/>
                <w:b/>
                <w:bCs/>
                <w:color w:val="auto"/>
                <w:sz w:val="22"/>
                <w:szCs w:val="22"/>
              </w:rPr>
            </w:pPr>
            <w:r>
              <w:rPr>
                <w:rFonts w:ascii="Times New Roman" w:hAnsi="Times New Roman" w:eastAsia="宋体" w:cs="Times New Roman"/>
                <w:b/>
                <w:bCs/>
                <w:color w:val="auto"/>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shd w:val="clear" w:color="auto" w:fill="FFFFFF"/>
            <w:noWrap w:val="0"/>
            <w:vAlign w:val="center"/>
          </w:tcPr>
          <w:p>
            <w:pPr>
              <w:jc w:val="center"/>
              <w:rPr>
                <w:rFonts w:ascii="Times New Roman" w:hAnsi="Times New Roman" w:eastAsia="宋体" w:cs="Times New Roman"/>
                <w:color w:val="auto"/>
                <w:sz w:val="22"/>
                <w:szCs w:val="22"/>
              </w:rPr>
            </w:pPr>
            <w:r>
              <w:rPr>
                <w:rFonts w:ascii="Times New Roman" w:hAnsi="Times New Roman" w:eastAsia="宋体" w:cs="Times New Roman"/>
                <w:color w:val="auto"/>
                <w:sz w:val="22"/>
                <w:szCs w:val="22"/>
              </w:rPr>
              <w:t>1</w:t>
            </w:r>
          </w:p>
        </w:tc>
        <w:tc>
          <w:tcPr>
            <w:tcW w:w="3861" w:type="dxa"/>
            <w:noWrap w:val="0"/>
            <w:vAlign w:val="center"/>
          </w:tcPr>
          <w:p>
            <w:pPr>
              <w:jc w:val="center"/>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金东区中医院新建工程净化工程（含医疗气体）设备采购项目</w:t>
            </w:r>
          </w:p>
        </w:tc>
        <w:tc>
          <w:tcPr>
            <w:tcW w:w="3035" w:type="dxa"/>
            <w:noWrap w:val="0"/>
            <w:vAlign w:val="center"/>
          </w:tcPr>
          <w:p>
            <w:pPr>
              <w:jc w:val="center"/>
              <w:rPr>
                <w:rFonts w:ascii="Times New Roman" w:hAnsi="Times New Roman" w:eastAsia="宋体" w:cs="Times New Roman"/>
                <w:color w:val="auto"/>
                <w:sz w:val="22"/>
                <w:szCs w:val="22"/>
              </w:rPr>
            </w:pPr>
            <w:r>
              <w:rPr>
                <w:rFonts w:ascii="Times New Roman" w:hAnsi="Times New Roman" w:eastAsia="宋体" w:cs="Times New Roman"/>
                <w:color w:val="auto"/>
                <w:sz w:val="22"/>
                <w:szCs w:val="22"/>
              </w:rPr>
              <w:t>详细技术参数及要求将在招标文件中明确阐述。</w:t>
            </w:r>
          </w:p>
        </w:tc>
        <w:tc>
          <w:tcPr>
            <w:tcW w:w="737" w:type="dxa"/>
            <w:noWrap w:val="0"/>
            <w:vAlign w:val="center"/>
          </w:tcPr>
          <w:p>
            <w:pPr>
              <w:jc w:val="center"/>
              <w:rPr>
                <w:rFonts w:ascii="Times New Roman" w:hAnsi="Times New Roman" w:eastAsia="宋体" w:cs="Times New Roman"/>
                <w:color w:val="auto"/>
                <w:sz w:val="22"/>
                <w:szCs w:val="22"/>
              </w:rPr>
            </w:pPr>
            <w:r>
              <w:rPr>
                <w:rFonts w:ascii="Times New Roman" w:hAnsi="Times New Roman" w:eastAsia="宋体" w:cs="Times New Roman"/>
                <w:color w:val="auto"/>
                <w:sz w:val="22"/>
                <w:szCs w:val="22"/>
              </w:rPr>
              <w:t>1</w:t>
            </w:r>
          </w:p>
        </w:tc>
        <w:tc>
          <w:tcPr>
            <w:tcW w:w="794" w:type="dxa"/>
            <w:noWrap w:val="0"/>
            <w:vAlign w:val="center"/>
          </w:tcPr>
          <w:p>
            <w:pPr>
              <w:jc w:val="center"/>
              <w:rPr>
                <w:rFonts w:hint="eastAsia"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项</w:t>
            </w:r>
          </w:p>
        </w:tc>
      </w:tr>
    </w:tbl>
    <w:p>
      <w:pPr>
        <w:spacing w:line="360" w:lineRule="auto"/>
        <w:ind w:firstLine="540" w:firstLineChars="225"/>
        <w:rPr>
          <w:color w:val="auto"/>
        </w:rPr>
      </w:pPr>
    </w:p>
    <w:p>
      <w:pPr>
        <w:spacing w:line="360" w:lineRule="auto"/>
        <w:ind w:firstLine="540" w:firstLineChars="225"/>
        <w:rPr>
          <w:rFonts w:hint="eastAsia" w:ascii="宋体" w:hAnsi="宋体"/>
          <w:color w:val="auto"/>
        </w:rPr>
      </w:pPr>
      <w:r>
        <w:rPr>
          <w:color w:val="auto"/>
        </w:rPr>
        <w:t>合同履行期限：</w:t>
      </w:r>
      <w:r>
        <w:rPr>
          <w:rFonts w:hint="eastAsia" w:ascii="宋体" w:hAnsi="宋体"/>
          <w:color w:val="auto"/>
        </w:rPr>
        <w:t>中标人在合同签订后150天内供货并安装调试完毕（注：具体以配合项目总包工程进度计划为准），同时提交完整的技术资料向采购人申请验收。</w:t>
      </w:r>
    </w:p>
    <w:p>
      <w:pPr>
        <w:spacing w:line="360" w:lineRule="auto"/>
        <w:ind w:firstLine="540" w:firstLineChars="225"/>
        <w:rPr>
          <w:rFonts w:hint="eastAsia"/>
          <w:color w:val="auto"/>
        </w:rPr>
      </w:pPr>
      <w:r>
        <w:rPr>
          <w:color w:val="auto"/>
        </w:rPr>
        <w:t>本项目</w:t>
      </w:r>
      <w:r>
        <w:rPr>
          <w:rFonts w:hint="eastAsia"/>
          <w:color w:val="auto"/>
        </w:rPr>
        <w:t>（否）</w:t>
      </w:r>
      <w:r>
        <w:rPr>
          <w:color w:val="auto"/>
        </w:rPr>
        <w:t>接受联合体投标。</w:t>
      </w:r>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bookmarkStart w:id="17" w:name="_Toc35393622"/>
      <w:bookmarkStart w:id="18" w:name="_Toc28359080"/>
      <w:bookmarkStart w:id="19" w:name="_Toc35393791"/>
      <w:bookmarkStart w:id="20" w:name="_Toc28359003"/>
      <w:r>
        <w:rPr>
          <w:rFonts w:ascii="Times New Roman" w:hAnsi="Times New Roman"/>
          <w:b/>
          <w:color w:val="auto"/>
        </w:rPr>
        <w:t>二、申请人的资格要求：</w:t>
      </w:r>
      <w:bookmarkEnd w:id="17"/>
      <w:bookmarkEnd w:id="18"/>
      <w:bookmarkEnd w:id="19"/>
      <w:bookmarkEnd w:id="20"/>
    </w:p>
    <w:p>
      <w:pPr>
        <w:spacing w:line="360" w:lineRule="auto"/>
        <w:ind w:firstLine="540" w:firstLineChars="225"/>
        <w:rPr>
          <w:color w:val="auto"/>
        </w:rPr>
      </w:pPr>
      <w:bookmarkStart w:id="21" w:name="_Toc35393792"/>
      <w:bookmarkStart w:id="22" w:name="_Toc35393623"/>
      <w:r>
        <w:rPr>
          <w:color w:val="auto"/>
        </w:rPr>
        <w:t>（一）满足《中华人民共和国政府采购法》第二十二条规定；</w:t>
      </w:r>
    </w:p>
    <w:p>
      <w:pPr>
        <w:spacing w:line="360" w:lineRule="auto"/>
        <w:ind w:firstLine="540" w:firstLineChars="225"/>
        <w:rPr>
          <w:color w:val="auto"/>
        </w:rPr>
      </w:pPr>
      <w:r>
        <w:rPr>
          <w:color w:val="auto"/>
        </w:rPr>
        <w:t>（二）截至投标截止时间前1个工作日17</w:t>
      </w:r>
      <w:r>
        <w:rPr>
          <w:rFonts w:hint="eastAsia"/>
          <w:color w:val="auto"/>
        </w:rPr>
        <w:t>：</w:t>
      </w:r>
      <w:r>
        <w:rPr>
          <w:color w:val="auto"/>
        </w:rPr>
        <w:t>00（北京时间），投标人未被列入“信用中国”网(</w:t>
      </w:r>
      <w:r>
        <w:rPr>
          <w:color w:val="auto"/>
        </w:rPr>
        <w:fldChar w:fldCharType="begin"/>
      </w:r>
      <w:r>
        <w:rPr>
          <w:color w:val="auto"/>
        </w:rPr>
        <w:instrText xml:space="preserve"> HYPERLINK "http://www.creditchina.gov.cn/" </w:instrText>
      </w:r>
      <w:r>
        <w:rPr>
          <w:color w:val="auto"/>
        </w:rPr>
        <w:fldChar w:fldCharType="separate"/>
      </w:r>
      <w:r>
        <w:rPr>
          <w:color w:val="auto"/>
        </w:rPr>
        <w:t>www.creditchina.gov.cn</w:t>
      </w:r>
      <w:r>
        <w:rPr>
          <w:color w:val="auto"/>
        </w:rPr>
        <w:fldChar w:fldCharType="end"/>
      </w:r>
      <w:r>
        <w:rPr>
          <w:color w:val="auto"/>
        </w:rPr>
        <w:t>)和“中国政府采购网”（www.ccgp.gov.cn）失信被执行人、重大税收违法案件当事人名单、政府采购严重违法失信行为记录名单的</w:t>
      </w:r>
      <w:bookmarkStart w:id="23" w:name="_Hlk114058157"/>
      <w:r>
        <w:rPr>
          <w:color w:val="auto"/>
        </w:rPr>
        <w:t>（由招标代理机构经办人和监督人员将查询网页打印保存</w:t>
      </w:r>
      <w:r>
        <w:rPr>
          <w:rFonts w:hint="eastAsia"/>
          <w:color w:val="auto"/>
        </w:rPr>
        <w:t>；联合体成员任意一方存在不良信用记录的，视同联合体存在不良信用记录</w:t>
      </w:r>
      <w:bookmarkEnd w:id="23"/>
      <w:r>
        <w:rPr>
          <w:rFonts w:hint="eastAsia"/>
          <w:color w:val="auto"/>
        </w:rPr>
        <w:t>）</w:t>
      </w:r>
      <w:r>
        <w:rPr>
          <w:color w:val="auto"/>
        </w:rPr>
        <w:t>。</w:t>
      </w:r>
    </w:p>
    <w:p>
      <w:pPr>
        <w:spacing w:line="360" w:lineRule="auto"/>
        <w:ind w:firstLine="540" w:firstLineChars="225"/>
        <w:rPr>
          <w:rFonts w:hint="eastAsia"/>
          <w:color w:val="auto"/>
        </w:rPr>
      </w:pPr>
      <w:r>
        <w:rPr>
          <w:rFonts w:hint="eastAsia"/>
          <w:color w:val="auto"/>
        </w:rPr>
        <w:t>（三）</w:t>
      </w:r>
      <w:r>
        <w:rPr>
          <w:color w:va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540" w:firstLineChars="225"/>
        <w:rPr>
          <w:rFonts w:hint="eastAsia"/>
          <w:color w:val="auto"/>
        </w:rPr>
      </w:pPr>
      <w:r>
        <w:rPr>
          <w:color w:val="auto"/>
        </w:rPr>
        <w:t>（</w:t>
      </w:r>
      <w:r>
        <w:rPr>
          <w:rFonts w:hint="eastAsia"/>
          <w:color w:val="auto"/>
        </w:rPr>
        <w:t>四</w:t>
      </w:r>
      <w:r>
        <w:rPr>
          <w:color w:val="auto"/>
        </w:rPr>
        <w:t>）落实政府采购政策需满足的资格要求：</w:t>
      </w:r>
      <w:r>
        <w:rPr>
          <w:rFonts w:hint="eastAsia"/>
          <w:color w:val="auto"/>
        </w:rPr>
        <w:t>无</w:t>
      </w:r>
    </w:p>
    <w:p>
      <w:pPr>
        <w:spacing w:line="360" w:lineRule="auto"/>
        <w:ind w:firstLine="540" w:firstLineChars="225"/>
        <w:rPr>
          <w:color w:val="auto"/>
        </w:rPr>
      </w:pPr>
      <w:r>
        <w:rPr>
          <w:color w:val="auto"/>
        </w:rPr>
        <w:t>（</w:t>
      </w:r>
      <w:r>
        <w:rPr>
          <w:rFonts w:hint="eastAsia"/>
          <w:color w:val="auto"/>
        </w:rPr>
        <w:t>五</w:t>
      </w:r>
      <w:r>
        <w:rPr>
          <w:color w:val="auto"/>
        </w:rPr>
        <w:t>）本项目的特定资格要求：</w:t>
      </w:r>
    </w:p>
    <w:p>
      <w:pPr>
        <w:spacing w:line="360" w:lineRule="auto"/>
        <w:ind w:firstLine="540" w:firstLineChars="225"/>
        <w:rPr>
          <w:rFonts w:hint="eastAsia"/>
          <w:color w:val="auto"/>
        </w:rPr>
      </w:pPr>
      <w:r>
        <w:rPr>
          <w:rFonts w:hint="eastAsia"/>
          <w:color w:val="auto"/>
        </w:rPr>
        <w:t>1.</w:t>
      </w:r>
      <w:r>
        <w:rPr>
          <w:color w:val="auto"/>
        </w:rPr>
        <w:t xml:space="preserve"> </w:t>
      </w:r>
      <w:r>
        <w:rPr>
          <w:rFonts w:hint="eastAsia"/>
          <w:color w:val="auto"/>
        </w:rPr>
        <w:t>投标人须具有中华人民共和国特种设备生产或安装改造维修许可证（压力管道或工业管道GC2级及以上）；</w:t>
      </w:r>
    </w:p>
    <w:p>
      <w:pPr>
        <w:spacing w:line="360" w:lineRule="auto"/>
        <w:ind w:firstLine="540" w:firstLineChars="225"/>
        <w:rPr>
          <w:rFonts w:hint="eastAsia"/>
          <w:color w:val="auto"/>
        </w:rPr>
      </w:pPr>
      <w:r>
        <w:rPr>
          <w:rFonts w:hint="eastAsia"/>
          <w:color w:val="auto"/>
        </w:rPr>
        <w:t>2.投标人须具有医疗器械经营许可证；</w:t>
      </w:r>
    </w:p>
    <w:p>
      <w:pPr>
        <w:spacing w:line="360" w:lineRule="auto"/>
        <w:ind w:firstLine="540" w:firstLineChars="225"/>
        <w:rPr>
          <w:color w:val="auto"/>
        </w:rPr>
      </w:pPr>
      <w:r>
        <w:rPr>
          <w:rFonts w:hint="eastAsia"/>
          <w:color w:val="auto"/>
        </w:rPr>
        <w:t>3.投标人须同时具有建筑装修装饰工程专业承包二级及以上资质、电子与智能化工程专业承包二级及以上资质、建筑机电安装工程专业承包二级及以上资质；且具有有效的安全生产许可证。</w:t>
      </w:r>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r>
        <w:rPr>
          <w:rFonts w:ascii="Times New Roman" w:hAnsi="Times New Roman"/>
          <w:b/>
          <w:color w:val="auto"/>
        </w:rPr>
        <w:t>三、获取招标文件</w:t>
      </w:r>
      <w:bookmarkEnd w:id="21"/>
      <w:bookmarkEnd w:id="22"/>
    </w:p>
    <w:p>
      <w:pPr>
        <w:spacing w:line="360" w:lineRule="auto"/>
        <w:ind w:firstLine="540" w:firstLineChars="225"/>
        <w:rPr>
          <w:color w:val="auto"/>
        </w:rPr>
      </w:pPr>
      <w:bookmarkStart w:id="24" w:name="_Toc28359005"/>
      <w:bookmarkStart w:id="25" w:name="_Toc28359082"/>
      <w:bookmarkStart w:id="26" w:name="_Toc35393793"/>
      <w:bookmarkStart w:id="27" w:name="_Toc35393624"/>
      <w:r>
        <w:rPr>
          <w:color w:val="auto"/>
        </w:rPr>
        <w:t>（一）时间：</w:t>
      </w:r>
      <w:r>
        <w:rPr>
          <w:b/>
          <w:color w:val="auto"/>
          <w:u w:val="single"/>
        </w:rPr>
        <w:t>公告发布之日起至开标时间</w:t>
      </w:r>
      <w:r>
        <w:rPr>
          <w:color w:val="auto"/>
        </w:rPr>
        <w:t>，每天上午08</w:t>
      </w:r>
      <w:r>
        <w:rPr>
          <w:rFonts w:hint="eastAsia"/>
          <w:color w:val="auto"/>
        </w:rPr>
        <w:t>：</w:t>
      </w:r>
      <w:r>
        <w:rPr>
          <w:color w:val="auto"/>
        </w:rPr>
        <w:t>30至12</w:t>
      </w:r>
      <w:r>
        <w:rPr>
          <w:rFonts w:hint="eastAsia"/>
          <w:color w:val="auto"/>
        </w:rPr>
        <w:t>：</w:t>
      </w:r>
      <w:r>
        <w:rPr>
          <w:color w:val="auto"/>
        </w:rPr>
        <w:t>00，下午14</w:t>
      </w:r>
      <w:r>
        <w:rPr>
          <w:rFonts w:hint="eastAsia"/>
          <w:color w:val="auto"/>
        </w:rPr>
        <w:t>：</w:t>
      </w:r>
      <w:r>
        <w:rPr>
          <w:color w:val="auto"/>
        </w:rPr>
        <w:t>00至17</w:t>
      </w:r>
      <w:r>
        <w:rPr>
          <w:rFonts w:hint="eastAsia"/>
          <w:color w:val="auto"/>
        </w:rPr>
        <w:t>：</w:t>
      </w:r>
      <w:r>
        <w:rPr>
          <w:color w:val="auto"/>
        </w:rPr>
        <w:t>00（北京时间，法定节假日除外）</w:t>
      </w:r>
    </w:p>
    <w:p>
      <w:pPr>
        <w:spacing w:line="360" w:lineRule="auto"/>
        <w:ind w:firstLine="540" w:firstLineChars="225"/>
        <w:rPr>
          <w:color w:val="auto"/>
        </w:rPr>
      </w:pPr>
      <w:r>
        <w:rPr>
          <w:color w:val="auto"/>
        </w:rPr>
        <w:t>（二）获取方式</w:t>
      </w:r>
    </w:p>
    <w:p>
      <w:pPr>
        <w:spacing w:line="360" w:lineRule="auto"/>
        <w:ind w:firstLine="540" w:firstLineChars="225"/>
        <w:rPr>
          <w:color w:val="auto"/>
        </w:rPr>
      </w:pPr>
      <w:r>
        <w:rPr>
          <w:color w:val="auto"/>
        </w:rPr>
        <w:t>1.地点（网址）：政采云平台（https</w:t>
      </w:r>
      <w:r>
        <w:rPr>
          <w:rFonts w:hint="eastAsia"/>
          <w:color w:val="auto"/>
        </w:rPr>
        <w:t>：</w:t>
      </w:r>
      <w:r>
        <w:rPr>
          <w:color w:val="auto"/>
        </w:rPr>
        <w:t xml:space="preserve">//www.zcygov.cn/） </w:t>
      </w:r>
    </w:p>
    <w:p>
      <w:pPr>
        <w:spacing w:line="360" w:lineRule="auto"/>
        <w:ind w:firstLine="540" w:firstLineChars="225"/>
        <w:rPr>
          <w:color w:val="auto"/>
        </w:rPr>
      </w:pPr>
      <w:r>
        <w:rPr>
          <w:color w:val="auto"/>
        </w:rPr>
        <w:t>2.方式：供应商登录政采云平台https</w:t>
      </w:r>
      <w:r>
        <w:rPr>
          <w:rFonts w:hint="eastAsia"/>
          <w:color w:val="auto"/>
        </w:rPr>
        <w:t>：</w:t>
      </w:r>
      <w:r>
        <w:rPr>
          <w:color w:val="auto"/>
        </w:rPr>
        <w:t>//www.zcygov.cn/在线申请获取采购文件（进入“项目采购”应用，在获取采购文件菜单中选择项目，申请获取采购文件）。</w:t>
      </w:r>
      <w:r>
        <w:rPr>
          <w:b/>
          <w:bCs/>
          <w:color w:val="auto"/>
          <w:kern w:val="2"/>
        </w:rPr>
        <w:t>注：未按照规定方式获取采购文件的，不得对采购文件提起质疑投诉。在“投标人要求澄清时间”截止之后获取采购文件的潜在投标人如对采购文件有异议的，不予受理、答复。</w:t>
      </w:r>
    </w:p>
    <w:p>
      <w:pPr>
        <w:spacing w:line="360" w:lineRule="auto"/>
        <w:ind w:firstLine="540" w:firstLineChars="225"/>
        <w:rPr>
          <w:color w:val="auto"/>
        </w:rPr>
      </w:pPr>
      <w:r>
        <w:rPr>
          <w:color w:val="auto"/>
        </w:rPr>
        <w:t>（三）售价：无</w:t>
      </w:r>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r>
        <w:rPr>
          <w:rFonts w:ascii="Times New Roman" w:hAnsi="Times New Roman"/>
          <w:b/>
          <w:color w:val="auto"/>
        </w:rPr>
        <w:t>四、提交投标文件</w:t>
      </w:r>
      <w:bookmarkEnd w:id="24"/>
      <w:bookmarkEnd w:id="25"/>
      <w:r>
        <w:rPr>
          <w:rFonts w:ascii="Times New Roman" w:hAnsi="Times New Roman"/>
          <w:b/>
          <w:color w:val="auto"/>
        </w:rPr>
        <w:t>截止时间、开标时间和地点</w:t>
      </w:r>
      <w:bookmarkEnd w:id="26"/>
      <w:bookmarkEnd w:id="27"/>
    </w:p>
    <w:p>
      <w:pPr>
        <w:spacing w:line="360" w:lineRule="auto"/>
        <w:ind w:firstLine="540" w:firstLineChars="225"/>
        <w:rPr>
          <w:rFonts w:ascii="Times New Roman" w:hAnsi="Times New Roman" w:eastAsia="宋体" w:cs="Times New Roman"/>
          <w:color w:val="auto"/>
        </w:rPr>
      </w:pPr>
      <w:r>
        <w:rPr>
          <w:color w:val="auto"/>
        </w:rPr>
        <w:t>提交投标文件截</w:t>
      </w:r>
      <w:r>
        <w:rPr>
          <w:rFonts w:ascii="Times New Roman" w:hAnsi="Times New Roman" w:eastAsia="宋体" w:cs="Times New Roman"/>
          <w:color w:val="auto"/>
        </w:rPr>
        <w:t>止时间：</w:t>
      </w:r>
      <w:r>
        <w:rPr>
          <w:rFonts w:hint="eastAsia" w:ascii="Times New Roman" w:hAnsi="Times New Roman" w:eastAsia="宋体" w:cs="Times New Roman"/>
          <w:color w:val="auto"/>
        </w:rPr>
        <w:t>202</w:t>
      </w:r>
      <w:r>
        <w:rPr>
          <w:rFonts w:ascii="Times New Roman" w:hAnsi="Times New Roman" w:eastAsia="宋体" w:cs="Times New Roman"/>
          <w:color w:val="auto"/>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点</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分</w:t>
      </w:r>
      <w:r>
        <w:rPr>
          <w:rFonts w:ascii="Times New Roman" w:hAnsi="Times New Roman" w:eastAsia="宋体" w:cs="Times New Roman"/>
          <w:color w:val="auto"/>
        </w:rPr>
        <w:t>（北京时间）</w:t>
      </w:r>
    </w:p>
    <w:p>
      <w:pPr>
        <w:spacing w:line="360" w:lineRule="auto"/>
        <w:ind w:firstLine="540" w:firstLineChars="225"/>
        <w:rPr>
          <w:rFonts w:ascii="Times New Roman" w:hAnsi="Times New Roman" w:eastAsia="宋体" w:cs="Times New Roman"/>
          <w:color w:val="auto"/>
        </w:rPr>
      </w:pPr>
      <w:r>
        <w:rPr>
          <w:rFonts w:ascii="Times New Roman" w:hAnsi="Times New Roman" w:eastAsia="宋体" w:cs="Times New Roman"/>
          <w:color w:val="auto"/>
        </w:rPr>
        <w:t>投标地点（网址）：政采云平台（https</w:t>
      </w:r>
      <w:r>
        <w:rPr>
          <w:rFonts w:hint="eastAsia" w:ascii="Times New Roman" w:hAnsi="Times New Roman" w:eastAsia="宋体" w:cs="Times New Roman"/>
          <w:color w:val="auto"/>
        </w:rPr>
        <w:t>：</w:t>
      </w:r>
      <w:r>
        <w:rPr>
          <w:rFonts w:ascii="Times New Roman" w:hAnsi="Times New Roman" w:eastAsia="宋体" w:cs="Times New Roman"/>
          <w:color w:val="auto"/>
        </w:rPr>
        <w:t>//www.zcygov.cn/）</w:t>
      </w:r>
    </w:p>
    <w:p>
      <w:pPr>
        <w:spacing w:line="360" w:lineRule="auto"/>
        <w:ind w:firstLine="540" w:firstLineChars="225"/>
        <w:rPr>
          <w:rFonts w:ascii="Times New Roman" w:hAnsi="Times New Roman" w:eastAsia="宋体" w:cs="Times New Roman"/>
          <w:color w:val="auto"/>
        </w:rPr>
      </w:pPr>
      <w:r>
        <w:rPr>
          <w:rFonts w:ascii="Times New Roman" w:hAnsi="Times New Roman" w:eastAsia="宋体" w:cs="Times New Roman"/>
          <w:color w:val="auto"/>
        </w:rPr>
        <w:t>开标时间：</w:t>
      </w:r>
      <w:r>
        <w:rPr>
          <w:rFonts w:hint="eastAsia" w:ascii="Times New Roman" w:hAnsi="Times New Roman" w:eastAsia="宋体" w:cs="Times New Roman"/>
          <w:color w:val="auto"/>
        </w:rPr>
        <w:t>202</w:t>
      </w:r>
      <w:r>
        <w:rPr>
          <w:rFonts w:ascii="Times New Roman" w:hAnsi="Times New Roman" w:eastAsia="宋体" w:cs="Times New Roman"/>
          <w:color w:val="auto"/>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点</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分</w:t>
      </w:r>
    </w:p>
    <w:p>
      <w:pPr>
        <w:spacing w:line="360" w:lineRule="auto"/>
        <w:ind w:firstLine="540" w:firstLineChars="225"/>
        <w:rPr>
          <w:color w:val="auto"/>
        </w:rPr>
      </w:pPr>
      <w:r>
        <w:rPr>
          <w:color w:val="auto"/>
        </w:rPr>
        <w:t>开标地点（网址）：</w:t>
      </w:r>
      <w:r>
        <w:rPr>
          <w:rFonts w:hint="eastAsia"/>
          <w:color w:val="auto"/>
        </w:rPr>
        <w:t>金华市双龙南街858号财富大厦4楼开标1室评标</w:t>
      </w:r>
      <w:r>
        <w:rPr>
          <w:rFonts w:hint="eastAsia"/>
          <w:color w:val="auto"/>
          <w:lang w:val="en-US" w:eastAsia="zh-CN"/>
        </w:rPr>
        <w:t>7</w:t>
      </w:r>
      <w:r>
        <w:rPr>
          <w:rFonts w:hint="eastAsia"/>
          <w:color w:val="auto"/>
        </w:rPr>
        <w:t>室</w:t>
      </w:r>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bookmarkStart w:id="28" w:name="_Toc35393794"/>
      <w:bookmarkStart w:id="29" w:name="_Toc28359084"/>
      <w:bookmarkStart w:id="30" w:name="_Toc28359007"/>
      <w:bookmarkStart w:id="31" w:name="_Toc35393625"/>
      <w:r>
        <w:rPr>
          <w:rFonts w:ascii="Times New Roman" w:hAnsi="Times New Roman"/>
          <w:b/>
          <w:color w:val="auto"/>
        </w:rPr>
        <w:t>五、公告期限</w:t>
      </w:r>
      <w:bookmarkEnd w:id="28"/>
      <w:bookmarkEnd w:id="29"/>
      <w:bookmarkEnd w:id="30"/>
      <w:bookmarkEnd w:id="31"/>
    </w:p>
    <w:p>
      <w:pPr>
        <w:spacing w:line="360" w:lineRule="auto"/>
        <w:ind w:firstLine="540" w:firstLineChars="225"/>
        <w:rPr>
          <w:color w:val="auto"/>
        </w:rPr>
      </w:pPr>
      <w:r>
        <w:rPr>
          <w:color w:val="auto"/>
        </w:rPr>
        <w:t>自本公告发布之日起5个工作日。</w:t>
      </w:r>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bookmarkStart w:id="32" w:name="_Toc35393795"/>
      <w:bookmarkStart w:id="33" w:name="_Toc35393626"/>
      <w:r>
        <w:rPr>
          <w:rFonts w:ascii="Times New Roman" w:hAnsi="Times New Roman"/>
          <w:b/>
          <w:color w:val="auto"/>
        </w:rPr>
        <w:t>六、其他补充事宜</w:t>
      </w:r>
      <w:bookmarkEnd w:id="32"/>
      <w:bookmarkEnd w:id="33"/>
    </w:p>
    <w:p>
      <w:pPr>
        <w:widowControl w:val="0"/>
        <w:spacing w:line="360" w:lineRule="auto"/>
        <w:ind w:firstLine="480" w:firstLineChars="200"/>
        <w:jc w:val="both"/>
        <w:rPr>
          <w:color w:val="auto"/>
        </w:rPr>
      </w:pPr>
      <w:bookmarkStart w:id="34" w:name="_Hlk99783971"/>
      <w:r>
        <w:rPr>
          <w:color w:val="auto"/>
        </w:rPr>
        <w:t>（一）</w:t>
      </w:r>
      <w:bookmarkStart w:id="35" w:name="_Hlk99784094"/>
      <w:r>
        <w:rPr>
          <w:rFonts w:hint="eastAsia"/>
          <w:color w:val="auto"/>
        </w:rPr>
        <w:t>本项目通过浙江政府采购网政府采购云平台在线开标，供应商无需到开标现场，但须准时在线参加，直至评审结束。</w:t>
      </w:r>
    </w:p>
    <w:bookmarkEnd w:id="34"/>
    <w:bookmarkEnd w:id="35"/>
    <w:p>
      <w:pPr>
        <w:widowControl w:val="0"/>
        <w:spacing w:line="360" w:lineRule="auto"/>
        <w:ind w:firstLine="480" w:firstLineChars="200"/>
        <w:jc w:val="both"/>
        <w:rPr>
          <w:color w:val="auto"/>
          <w:kern w:val="2"/>
        </w:rPr>
      </w:pPr>
      <w:r>
        <w:rPr>
          <w:color w:val="auto"/>
          <w:kern w:val="2"/>
        </w:rPr>
        <w:t>（</w:t>
      </w:r>
      <w:r>
        <w:rPr>
          <w:rFonts w:hint="eastAsia"/>
          <w:color w:val="auto"/>
          <w:kern w:val="2"/>
        </w:rPr>
        <w:t>二</w:t>
      </w:r>
      <w:r>
        <w:rPr>
          <w:color w:val="auto"/>
          <w:kern w:val="2"/>
        </w:rPr>
        <w:t>）落实</w:t>
      </w:r>
      <w:r>
        <w:rPr>
          <w:color w:val="auto"/>
        </w:rPr>
        <w:t>政府采购优惠政策：对符合财政扶持政策的中小企业（小型、微型）、监狱企业、残疾人福利性单位给予价格优惠扶持；优先执行节能产品政府强制采购和优先采购政策；优先执行环境标志产品政府优先采购政策。</w:t>
      </w:r>
    </w:p>
    <w:p>
      <w:pPr>
        <w:widowControl w:val="0"/>
        <w:spacing w:line="360" w:lineRule="auto"/>
        <w:ind w:firstLine="480" w:firstLineChars="200"/>
        <w:jc w:val="both"/>
        <w:rPr>
          <w:color w:val="auto"/>
          <w:kern w:val="2"/>
        </w:rPr>
      </w:pPr>
      <w:r>
        <w:rPr>
          <w:color w:val="auto"/>
          <w:kern w:val="2"/>
        </w:rPr>
        <w:t>（</w:t>
      </w:r>
      <w:r>
        <w:rPr>
          <w:rFonts w:hint="eastAsia"/>
          <w:color w:val="auto"/>
          <w:kern w:val="2"/>
        </w:rPr>
        <w:t>三</w:t>
      </w:r>
      <w:r>
        <w:rPr>
          <w:color w:val="auto"/>
          <w:kern w:val="2"/>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rPr>
        <w:t>：</w:t>
      </w:r>
      <w:r>
        <w:rPr>
          <w:color w:val="auto"/>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color w:val="auto"/>
          <w:kern w:val="2"/>
        </w:rPr>
      </w:pPr>
      <w:r>
        <w:rPr>
          <w:color w:val="auto"/>
          <w:kern w:val="2"/>
        </w:rPr>
        <w:t>（</w:t>
      </w:r>
      <w:r>
        <w:rPr>
          <w:rFonts w:hint="eastAsia"/>
          <w:color w:val="auto"/>
          <w:kern w:val="2"/>
        </w:rPr>
        <w:t>四</w:t>
      </w:r>
      <w:r>
        <w:rPr>
          <w:color w:val="auto"/>
          <w:kern w:val="2"/>
        </w:rPr>
        <w:t>）</w:t>
      </w:r>
      <w:bookmarkStart w:id="36" w:name="_Toc35393627"/>
      <w:bookmarkStart w:id="37" w:name="_Toc28359085"/>
      <w:bookmarkStart w:id="38" w:name="_Toc28359008"/>
      <w:bookmarkStart w:id="39" w:name="_Toc35393796"/>
      <w:r>
        <w:rPr>
          <w:color w:val="auto"/>
          <w:kern w:val="2"/>
        </w:rPr>
        <w:t>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名”、“生成电子标书”等操作；5.采购人、采购代理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w:t>
      </w:r>
      <w:r>
        <w:rPr>
          <w:rFonts w:hint="eastAsia"/>
          <w:color w:val="auto"/>
          <w:kern w:val="2"/>
        </w:rPr>
        <w:t>投标文件的传输递交：投标人在投标截止时间前将加密的投标文件上传至政府采购云平台，还可以在投标截止时间前递交备份投标文件</w:t>
      </w:r>
      <w:r>
        <w:rPr>
          <w:color w:val="auto"/>
          <w:kern w:val="2"/>
        </w:rPr>
        <w:t>1</w:t>
      </w:r>
      <w:r>
        <w:rPr>
          <w:rFonts w:hint="eastAsia"/>
          <w:color w:val="auto"/>
          <w:kern w:val="2"/>
        </w:rPr>
        <w:t>份。备份投标文件的制作递交详见招标文件前附表；</w:t>
      </w:r>
      <w:r>
        <w:rPr>
          <w:color w:val="auto"/>
          <w:kern w:val="2"/>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spacing w:line="360" w:lineRule="auto"/>
        <w:ind w:firstLine="480" w:firstLineChars="200"/>
        <w:rPr>
          <w:color w:val="auto"/>
          <w:kern w:val="2"/>
        </w:rPr>
      </w:pPr>
      <w:r>
        <w:rPr>
          <w:color w:val="auto"/>
          <w:kern w:val="2"/>
        </w:rPr>
        <w:t>若对项目采购电子交易系统操作有疑问，可登录政采云（https</w:t>
      </w:r>
      <w:r>
        <w:rPr>
          <w:rFonts w:hint="eastAsia"/>
          <w:color w:val="auto"/>
          <w:kern w:val="2"/>
        </w:rPr>
        <w:t>：</w:t>
      </w:r>
      <w:r>
        <w:rPr>
          <w:color w:val="auto"/>
          <w:kern w:val="2"/>
        </w:rPr>
        <w:t>//www.zcygov.cn/），点击右侧咨询小采，获取采小蜜智能服务管家帮助，或拨打政采云服务热线400-881-7190获取热线服务帮助。</w:t>
      </w:r>
    </w:p>
    <w:p>
      <w:pPr>
        <w:spacing w:line="360" w:lineRule="auto"/>
        <w:ind w:firstLine="482" w:firstLineChars="200"/>
        <w:rPr>
          <w:color w:val="auto"/>
          <w:kern w:val="2"/>
        </w:rPr>
      </w:pPr>
      <w:r>
        <w:rPr>
          <w:b/>
          <w:bCs/>
          <w:color w:val="auto"/>
          <w:kern w:val="2"/>
        </w:rPr>
        <w:t>CA问题联系电话（人工）：汇信CA 400-888-4636；天谷CA 400-087-8198</w:t>
      </w:r>
      <w:r>
        <w:rPr>
          <w:color w:val="auto"/>
          <w:kern w:val="2"/>
        </w:rPr>
        <w:t>。</w:t>
      </w:r>
    </w:p>
    <w:p>
      <w:pPr>
        <w:spacing w:line="360" w:lineRule="auto"/>
        <w:ind w:firstLine="480" w:firstLineChars="200"/>
        <w:rPr>
          <w:color w:val="auto"/>
          <w:kern w:val="2"/>
        </w:rPr>
      </w:pPr>
      <w:bookmarkStart w:id="40" w:name="_Hlk114058203"/>
      <w:r>
        <w:rPr>
          <w:color w:val="auto"/>
          <w:kern w:val="2"/>
        </w:rPr>
        <w:t>（五）《浙江省财政厅关于进一步发挥政府采购政策功能全力推动经济稳进提质的通知》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bookmarkEnd w:id="40"/>
    <w:p>
      <w:pPr>
        <w:widowControl w:val="0"/>
        <w:spacing w:line="360" w:lineRule="auto"/>
        <w:ind w:firstLine="482" w:firstLineChars="200"/>
        <w:jc w:val="both"/>
        <w:rPr>
          <w:b/>
          <w:color w:val="auto"/>
        </w:rPr>
      </w:pPr>
      <w:r>
        <w:rPr>
          <w:b/>
          <w:color w:val="auto"/>
        </w:rPr>
        <w:t>七、对本次招标提出询问，请按以下方式联系。</w:t>
      </w:r>
      <w:bookmarkEnd w:id="36"/>
      <w:bookmarkEnd w:id="37"/>
      <w:bookmarkEnd w:id="38"/>
      <w:bookmarkEnd w:id="39"/>
    </w:p>
    <w:p>
      <w:pPr>
        <w:widowControl w:val="0"/>
        <w:adjustRightInd w:val="0"/>
        <w:snapToGrid w:val="0"/>
        <w:spacing w:line="360" w:lineRule="auto"/>
        <w:ind w:firstLine="480" w:firstLineChars="200"/>
        <w:rPr>
          <w:color w:val="auto"/>
        </w:rPr>
      </w:pPr>
      <w:r>
        <w:rPr>
          <w:color w:val="auto"/>
        </w:rPr>
        <w:t>（一）采购人信息</w:t>
      </w:r>
    </w:p>
    <w:p>
      <w:pPr>
        <w:widowControl w:val="0"/>
        <w:adjustRightInd w:val="0"/>
        <w:snapToGrid w:val="0"/>
        <w:spacing w:line="360" w:lineRule="auto"/>
        <w:ind w:firstLine="480" w:firstLineChars="200"/>
        <w:rPr>
          <w:rFonts w:hint="eastAsia"/>
          <w:color w:val="auto"/>
          <w:kern w:val="2"/>
        </w:rPr>
      </w:pPr>
      <w:r>
        <w:rPr>
          <w:rFonts w:hint="eastAsia"/>
          <w:color w:val="auto"/>
          <w:kern w:val="2"/>
        </w:rPr>
        <w:t>名称：金华市金东区中医院</w:t>
      </w:r>
    </w:p>
    <w:p>
      <w:pPr>
        <w:widowControl w:val="0"/>
        <w:adjustRightInd w:val="0"/>
        <w:snapToGrid w:val="0"/>
        <w:spacing w:line="360" w:lineRule="auto"/>
        <w:ind w:firstLine="480" w:firstLineChars="200"/>
        <w:rPr>
          <w:rFonts w:hint="eastAsia"/>
          <w:color w:val="auto"/>
          <w:kern w:val="2"/>
        </w:rPr>
      </w:pPr>
      <w:r>
        <w:rPr>
          <w:rFonts w:hint="eastAsia"/>
          <w:color w:val="auto"/>
          <w:kern w:val="2"/>
        </w:rPr>
        <w:t xml:space="preserve">地址：金华市金东区曹宅镇坦溪西路142号  </w:t>
      </w:r>
    </w:p>
    <w:p>
      <w:pPr>
        <w:widowControl w:val="0"/>
        <w:adjustRightInd w:val="0"/>
        <w:snapToGrid w:val="0"/>
        <w:spacing w:line="360" w:lineRule="auto"/>
        <w:ind w:firstLine="480" w:firstLineChars="200"/>
        <w:rPr>
          <w:rFonts w:hint="eastAsia" w:eastAsia="宋体"/>
          <w:color w:val="auto"/>
          <w:kern w:val="2"/>
          <w:lang w:eastAsia="zh-CN"/>
        </w:rPr>
      </w:pPr>
      <w:r>
        <w:rPr>
          <w:color w:val="auto"/>
          <w:kern w:val="2"/>
        </w:rPr>
        <w:t>联</w:t>
      </w:r>
      <w:r>
        <w:rPr>
          <w:rFonts w:hint="eastAsia"/>
          <w:color w:val="auto"/>
          <w:kern w:val="2"/>
        </w:rPr>
        <w:t>系人：</w:t>
      </w:r>
      <w:r>
        <w:rPr>
          <w:rFonts w:hint="eastAsia"/>
          <w:color w:val="auto"/>
          <w:kern w:val="2"/>
          <w:lang w:val="en-US" w:eastAsia="zh-CN"/>
        </w:rPr>
        <w:t>曹先生</w:t>
      </w:r>
    </w:p>
    <w:p>
      <w:pPr>
        <w:widowControl w:val="0"/>
        <w:adjustRightInd w:val="0"/>
        <w:snapToGrid w:val="0"/>
        <w:spacing w:line="360" w:lineRule="auto"/>
        <w:ind w:firstLine="480" w:firstLineChars="200"/>
        <w:rPr>
          <w:rFonts w:hint="eastAsia"/>
          <w:color w:val="auto"/>
          <w:kern w:val="2"/>
        </w:rPr>
      </w:pPr>
      <w:r>
        <w:rPr>
          <w:rFonts w:hint="eastAsia"/>
          <w:color w:val="auto"/>
          <w:kern w:val="2"/>
        </w:rPr>
        <w:t>联系电话：</w:t>
      </w:r>
      <w:r>
        <w:rPr>
          <w:rFonts w:hint="eastAsia"/>
          <w:color w:val="auto"/>
          <w:kern w:val="2"/>
          <w:lang w:val="en-US" w:eastAsia="zh-CN"/>
        </w:rPr>
        <w:t>0579-</w:t>
      </w:r>
      <w:r>
        <w:rPr>
          <w:rFonts w:hint="eastAsia" w:eastAsia="仿宋_GB2312"/>
          <w:color w:val="auto"/>
        </w:rPr>
        <w:t>82886859</w:t>
      </w:r>
    </w:p>
    <w:p>
      <w:pPr>
        <w:widowControl w:val="0"/>
        <w:adjustRightInd w:val="0"/>
        <w:snapToGrid w:val="0"/>
        <w:spacing w:line="360" w:lineRule="auto"/>
        <w:ind w:firstLine="480" w:firstLineChars="200"/>
        <w:rPr>
          <w:color w:val="auto"/>
        </w:rPr>
      </w:pPr>
      <w:r>
        <w:rPr>
          <w:color w:val="auto"/>
          <w:kern w:val="2"/>
        </w:rPr>
        <w:t>（二）采购代理机构信息</w:t>
      </w:r>
    </w:p>
    <w:p>
      <w:pPr>
        <w:widowControl w:val="0"/>
        <w:adjustRightInd w:val="0"/>
        <w:snapToGrid w:val="0"/>
        <w:spacing w:line="360" w:lineRule="auto"/>
        <w:ind w:firstLine="480" w:firstLineChars="200"/>
        <w:rPr>
          <w:color w:val="auto"/>
        </w:rPr>
      </w:pPr>
      <w:r>
        <w:rPr>
          <w:color w:val="auto"/>
          <w:kern w:val="2"/>
        </w:rPr>
        <w:t>名称：浙江金华阳光招标代理有限公司</w:t>
      </w:r>
    </w:p>
    <w:p>
      <w:pPr>
        <w:widowControl w:val="0"/>
        <w:adjustRightInd w:val="0"/>
        <w:snapToGrid w:val="0"/>
        <w:spacing w:line="360" w:lineRule="auto"/>
        <w:ind w:firstLine="480" w:firstLineChars="200"/>
        <w:rPr>
          <w:color w:val="auto"/>
        </w:rPr>
      </w:pPr>
      <w:r>
        <w:rPr>
          <w:color w:val="auto"/>
          <w:kern w:val="2"/>
        </w:rPr>
        <w:t>地　址：金华市婺城区义乌街1626号</w:t>
      </w:r>
    </w:p>
    <w:p>
      <w:pPr>
        <w:widowControl w:val="0"/>
        <w:adjustRightInd w:val="0"/>
        <w:snapToGrid w:val="0"/>
        <w:spacing w:line="360" w:lineRule="auto"/>
        <w:ind w:firstLine="480" w:firstLineChars="200"/>
        <w:rPr>
          <w:color w:val="auto"/>
          <w:kern w:val="2"/>
        </w:rPr>
      </w:pPr>
      <w:bookmarkStart w:id="41" w:name="_Toc28359087"/>
      <w:bookmarkStart w:id="42" w:name="_Toc28359010"/>
      <w:bookmarkStart w:id="43" w:name="_Hlk111211051"/>
      <w:r>
        <w:rPr>
          <w:rFonts w:hint="eastAsia"/>
          <w:color w:val="auto"/>
        </w:rPr>
        <w:t xml:space="preserve">项目质疑联系人：包女士 </w:t>
      </w:r>
      <w:r>
        <w:rPr>
          <w:color w:val="auto"/>
        </w:rPr>
        <w:t xml:space="preserve">                                 </w:t>
      </w:r>
      <w:r>
        <w:rPr>
          <w:color w:val="auto"/>
          <w:kern w:val="2"/>
        </w:rPr>
        <w:t>联系方式：0579- 83180811</w:t>
      </w:r>
      <w:bookmarkEnd w:id="41"/>
      <w:bookmarkEnd w:id="42"/>
    </w:p>
    <w:p>
      <w:pPr>
        <w:widowControl w:val="0"/>
        <w:adjustRightInd w:val="0"/>
        <w:snapToGrid w:val="0"/>
        <w:spacing w:line="360" w:lineRule="auto"/>
        <w:ind w:firstLine="480" w:firstLineChars="200"/>
        <w:rPr>
          <w:color w:val="auto"/>
          <w:kern w:val="2"/>
        </w:rPr>
      </w:pPr>
      <w:r>
        <w:rPr>
          <w:rFonts w:hint="eastAsia"/>
          <w:color w:val="auto"/>
        </w:rPr>
        <w:t xml:space="preserve">财务、中标通知书、发票联系人：褚女士 </w:t>
      </w:r>
      <w:r>
        <w:rPr>
          <w:color w:val="auto"/>
        </w:rPr>
        <w:t xml:space="preserve">     </w:t>
      </w:r>
      <w:r>
        <w:rPr>
          <w:color w:val="auto"/>
          <w:kern w:val="2"/>
        </w:rPr>
        <w:t>联系方式：0579- 83182152</w:t>
      </w:r>
    </w:p>
    <w:p>
      <w:pPr>
        <w:widowControl w:val="0"/>
        <w:adjustRightInd w:val="0"/>
        <w:snapToGrid w:val="0"/>
        <w:spacing w:line="360" w:lineRule="auto"/>
        <w:ind w:firstLine="480" w:firstLineChars="200"/>
        <w:rPr>
          <w:color w:val="auto"/>
          <w:kern w:val="2"/>
        </w:rPr>
      </w:pPr>
      <w:r>
        <w:rPr>
          <w:rFonts w:hint="eastAsia"/>
          <w:color w:val="auto"/>
        </w:rPr>
        <w:t xml:space="preserve">合同联系人：江女士 </w:t>
      </w:r>
      <w:r>
        <w:rPr>
          <w:color w:val="auto"/>
        </w:rPr>
        <w:t xml:space="preserve">                                         </w:t>
      </w:r>
      <w:r>
        <w:rPr>
          <w:color w:val="auto"/>
          <w:kern w:val="2"/>
        </w:rPr>
        <w:t>联系方式：0579- 83182626</w:t>
      </w:r>
    </w:p>
    <w:p>
      <w:pPr>
        <w:widowControl w:val="0"/>
        <w:adjustRightInd w:val="0"/>
        <w:snapToGrid w:val="0"/>
        <w:spacing w:line="360" w:lineRule="auto"/>
        <w:ind w:firstLine="480" w:firstLineChars="200"/>
        <w:rPr>
          <w:rFonts w:hint="eastAsia"/>
          <w:color w:val="auto"/>
          <w:kern w:val="2"/>
        </w:rPr>
      </w:pPr>
      <w:r>
        <w:rPr>
          <w:rFonts w:hint="eastAsia"/>
          <w:color w:val="auto"/>
          <w:kern w:val="2"/>
        </w:rPr>
        <w:t>项目联系人：</w:t>
      </w:r>
      <w:r>
        <w:rPr>
          <w:rFonts w:hint="eastAsia"/>
          <w:color w:val="auto"/>
        </w:rPr>
        <w:t>刘</w:t>
      </w:r>
      <w:r>
        <w:rPr>
          <w:color w:val="auto"/>
        </w:rPr>
        <w:t>女士</w:t>
      </w:r>
      <w:r>
        <w:rPr>
          <w:rFonts w:hint="eastAsia"/>
          <w:color w:val="auto"/>
        </w:rPr>
        <w:t>、</w:t>
      </w:r>
      <w:r>
        <w:rPr>
          <w:color w:val="auto"/>
        </w:rPr>
        <w:t>谢先生</w:t>
      </w:r>
      <w:r>
        <w:rPr>
          <w:rFonts w:hint="eastAsia"/>
          <w:color w:val="auto"/>
        </w:rPr>
        <w:t xml:space="preserve"> </w:t>
      </w:r>
      <w:r>
        <w:rPr>
          <w:color w:val="auto"/>
        </w:rPr>
        <w:t xml:space="preserve">                       </w:t>
      </w:r>
      <w:r>
        <w:rPr>
          <w:rFonts w:hint="eastAsia"/>
          <w:color w:val="auto"/>
        </w:rPr>
        <w:t xml:space="preserve"> </w:t>
      </w:r>
      <w:r>
        <w:rPr>
          <w:color w:val="auto"/>
          <w:kern w:val="2"/>
        </w:rPr>
        <w:t>联系方式：0579-</w:t>
      </w:r>
      <w:r>
        <w:rPr>
          <w:rFonts w:hint="eastAsia"/>
          <w:color w:val="auto"/>
          <w:kern w:val="2"/>
        </w:rPr>
        <w:t>83188379</w:t>
      </w:r>
      <w:r>
        <w:rPr>
          <w:color w:val="auto"/>
          <w:kern w:val="2"/>
        </w:rPr>
        <w:t xml:space="preserve"> </w:t>
      </w:r>
    </w:p>
    <w:bookmarkEnd w:id="43"/>
    <w:p>
      <w:pPr>
        <w:widowControl w:val="0"/>
        <w:adjustRightInd w:val="0"/>
        <w:snapToGrid w:val="0"/>
        <w:spacing w:line="360" w:lineRule="auto"/>
        <w:ind w:firstLine="480" w:firstLineChars="200"/>
        <w:rPr>
          <w:rFonts w:hint="eastAsia"/>
          <w:color w:val="auto"/>
          <w:kern w:val="2"/>
        </w:rPr>
      </w:pPr>
      <w:r>
        <w:rPr>
          <w:color w:val="auto"/>
        </w:rPr>
        <w:t>（</w:t>
      </w:r>
      <w:r>
        <w:rPr>
          <w:rFonts w:hint="eastAsia"/>
          <w:color w:val="auto"/>
        </w:rPr>
        <w:t>三</w:t>
      </w:r>
      <w:r>
        <w:rPr>
          <w:color w:val="auto"/>
        </w:rPr>
        <w:t>）政府采购行政监管及投诉受理部门：金华市</w:t>
      </w:r>
      <w:r>
        <w:rPr>
          <w:rFonts w:hint="eastAsia"/>
          <w:color w:val="auto"/>
        </w:rPr>
        <w:t>金东区</w:t>
      </w:r>
      <w:r>
        <w:rPr>
          <w:color w:val="auto"/>
        </w:rPr>
        <w:t>财政局政府采购监管</w:t>
      </w:r>
      <w:r>
        <w:rPr>
          <w:rFonts w:hint="eastAsia"/>
          <w:color w:val="auto"/>
        </w:rPr>
        <w:t>科</w:t>
      </w:r>
    </w:p>
    <w:p>
      <w:pPr>
        <w:widowControl w:val="0"/>
        <w:adjustRightInd w:val="0"/>
        <w:snapToGrid w:val="0"/>
        <w:spacing w:line="360" w:lineRule="auto"/>
        <w:ind w:firstLine="480" w:firstLineChars="200"/>
        <w:rPr>
          <w:rFonts w:hint="eastAsia"/>
          <w:color w:val="auto"/>
        </w:rPr>
      </w:pPr>
      <w:r>
        <w:rPr>
          <w:color w:val="auto"/>
        </w:rPr>
        <w:t xml:space="preserve">联系人： </w:t>
      </w:r>
      <w:r>
        <w:rPr>
          <w:rFonts w:hint="eastAsia"/>
          <w:color w:val="auto"/>
        </w:rPr>
        <w:t>俞先生</w:t>
      </w:r>
    </w:p>
    <w:p>
      <w:pPr>
        <w:widowControl w:val="0"/>
        <w:adjustRightInd w:val="0"/>
        <w:snapToGrid w:val="0"/>
        <w:spacing w:line="360" w:lineRule="auto"/>
        <w:ind w:firstLine="480" w:firstLineChars="200"/>
        <w:rPr>
          <w:rFonts w:ascii="宋体" w:hAnsi="宋体"/>
          <w:color w:val="auto"/>
        </w:rPr>
        <w:sectPr>
          <w:pgSz w:w="11906" w:h="16838"/>
          <w:pgMar w:top="1258" w:right="1286" w:bottom="1361" w:left="1620" w:header="709" w:footer="971" w:gutter="0"/>
          <w:cols w:space="720" w:num="1"/>
          <w:docGrid w:linePitch="360" w:charSpace="0"/>
        </w:sectPr>
      </w:pPr>
      <w:r>
        <w:rPr>
          <w:color w:val="auto"/>
        </w:rPr>
        <w:t>联系电话：0579- 8</w:t>
      </w:r>
      <w:r>
        <w:rPr>
          <w:rFonts w:hint="eastAsia"/>
          <w:color w:val="auto"/>
        </w:rPr>
        <w:t>2171621</w:t>
      </w:r>
    </w:p>
    <w:p>
      <w:pPr>
        <w:pStyle w:val="2"/>
        <w:spacing w:before="120" w:after="240" w:line="240" w:lineRule="auto"/>
        <w:jc w:val="center"/>
        <w:rPr>
          <w:rFonts w:ascii="宋体" w:hAnsi="宋体"/>
          <w:color w:val="auto"/>
        </w:rPr>
      </w:pPr>
      <w:bookmarkStart w:id="44" w:name="_Toc93668160"/>
      <w:bookmarkStart w:id="45" w:name="_Toc39239704"/>
      <w:r>
        <w:rPr>
          <w:rFonts w:ascii="宋体" w:hAnsi="宋体"/>
          <w:color w:val="auto"/>
        </w:rPr>
        <w:t>第</w:t>
      </w:r>
      <w:r>
        <w:rPr>
          <w:rFonts w:hint="eastAsia" w:ascii="宋体" w:hAnsi="宋体"/>
          <w:color w:val="auto"/>
        </w:rPr>
        <w:t>二</w:t>
      </w:r>
      <w:r>
        <w:rPr>
          <w:rFonts w:ascii="宋体" w:hAnsi="宋体"/>
          <w:color w:val="auto"/>
        </w:rPr>
        <w:t>章</w:t>
      </w:r>
      <w:r>
        <w:rPr>
          <w:rFonts w:hint="eastAsia" w:ascii="宋体" w:hAnsi="宋体"/>
          <w:color w:val="auto"/>
        </w:rPr>
        <w:t xml:space="preserve">  </w:t>
      </w:r>
      <w:r>
        <w:rPr>
          <w:rFonts w:ascii="宋体" w:hAnsi="宋体"/>
          <w:color w:val="auto"/>
        </w:rPr>
        <w:t>前附表</w:t>
      </w:r>
      <w:bookmarkEnd w:id="44"/>
    </w:p>
    <w:tbl>
      <w:tblPr>
        <w:tblStyle w:val="45"/>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76"/>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序号</w:t>
            </w:r>
          </w:p>
        </w:tc>
        <w:tc>
          <w:tcPr>
            <w:tcW w:w="2076"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事项</w:t>
            </w:r>
          </w:p>
        </w:tc>
        <w:tc>
          <w:tcPr>
            <w:tcW w:w="7035"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pPr>
              <w:pStyle w:val="110"/>
              <w:adjustRightInd w:val="0"/>
              <w:snapToGrid w:val="0"/>
              <w:spacing w:before="120" w:beforeLines="50" w:after="120" w:afterLines="50" w:line="276" w:lineRule="auto"/>
              <w:jc w:val="center"/>
              <w:rPr>
                <w:color w:val="auto"/>
                <w:kern w:val="0"/>
                <w:sz w:val="24"/>
              </w:rPr>
            </w:pPr>
            <w:r>
              <w:rPr>
                <w:color w:val="auto"/>
                <w:kern w:val="0"/>
                <w:sz w:val="24"/>
              </w:rPr>
              <w:t>1</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报价要求</w:t>
            </w:r>
          </w:p>
        </w:tc>
        <w:tc>
          <w:tcPr>
            <w:tcW w:w="7035" w:type="dxa"/>
            <w:noWrap w:val="0"/>
            <w:vAlign w:val="center"/>
          </w:tcPr>
          <w:p>
            <w:pPr>
              <w:snapToGrid w:val="0"/>
              <w:spacing w:line="276" w:lineRule="auto"/>
              <w:rPr>
                <w:rFonts w:ascii="Times New Roman" w:hAnsi="Times New Roman" w:eastAsia="宋体" w:cs="Times New Roman"/>
                <w:b/>
                <w:color w:val="auto"/>
                <w:lang w:val="zh-CN"/>
              </w:rPr>
            </w:pPr>
            <w:r>
              <w:rPr>
                <w:rFonts w:ascii="Times New Roman" w:hAnsi="Times New Roman" w:eastAsia="宋体" w:cs="Times New Roman"/>
                <w:color w:val="auto"/>
                <w:lang w:val="zh-CN"/>
              </w:rPr>
              <w:t>有关本项目实施所需的所有费用（含税费）均计入报价。招标文件未列明，而投标人认为必需的费用也需列入报价。</w:t>
            </w:r>
          </w:p>
          <w:p>
            <w:pPr>
              <w:snapToGrid w:val="0"/>
              <w:spacing w:line="276" w:lineRule="auto"/>
              <w:rPr>
                <w:rFonts w:ascii="Times New Roman" w:hAnsi="Times New Roman" w:eastAsia="宋体" w:cs="Times New Roman"/>
                <w:color w:val="auto"/>
              </w:rPr>
            </w:pPr>
            <w:r>
              <w:rPr>
                <w:rFonts w:ascii="Times New Roman" w:hAnsi="Times New Roman" w:eastAsia="宋体" w:cs="Times New Roman"/>
                <w:color w:val="auto"/>
                <w:lang w:val="zh-CN"/>
              </w:rPr>
              <w:t>投标文件中价格全部采用人民币报价，</w:t>
            </w:r>
            <w:r>
              <w:rPr>
                <w:rFonts w:ascii="Times New Roman" w:hAnsi="Times New Roman" w:eastAsia="宋体" w:cs="Times New Roman"/>
                <w:color w:val="auto"/>
              </w:rPr>
              <w:t>最多保留到小数点后2位。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pPr>
              <w:pStyle w:val="110"/>
              <w:adjustRightInd w:val="0"/>
              <w:snapToGrid w:val="0"/>
              <w:spacing w:before="120" w:beforeLines="50" w:after="120" w:afterLines="50" w:line="276" w:lineRule="auto"/>
              <w:jc w:val="center"/>
              <w:rPr>
                <w:color w:val="auto"/>
                <w:kern w:val="0"/>
                <w:sz w:val="24"/>
              </w:rPr>
            </w:pPr>
            <w:r>
              <w:rPr>
                <w:color w:val="auto"/>
                <w:kern w:val="0"/>
                <w:sz w:val="24"/>
              </w:rPr>
              <w:t>2</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中标服务费</w:t>
            </w:r>
          </w:p>
        </w:tc>
        <w:tc>
          <w:tcPr>
            <w:tcW w:w="7035" w:type="dxa"/>
            <w:noWrap w:val="0"/>
            <w:vAlign w:val="center"/>
          </w:tcPr>
          <w:p>
            <w:pPr>
              <w:widowControl w:val="0"/>
              <w:adjustRightInd w:val="0"/>
              <w:snapToGrid w:val="0"/>
              <w:spacing w:line="276" w:lineRule="auto"/>
              <w:rPr>
                <w:rFonts w:ascii="Times New Roman" w:hAnsi="Times New Roman" w:eastAsia="宋体" w:cs="Times New Roman"/>
                <w:color w:val="auto"/>
              </w:rPr>
            </w:pPr>
            <w:r>
              <w:rPr>
                <w:rFonts w:ascii="Times New Roman" w:hAnsi="Times New Roman" w:eastAsia="宋体" w:cs="Times New Roman"/>
                <w:b/>
                <w:color w:val="auto"/>
              </w:rPr>
              <w:t>投标人取得中标资格后，须按</w:t>
            </w:r>
            <w:r>
              <w:rPr>
                <w:rFonts w:hint="eastAsia" w:ascii="Times New Roman" w:hAnsi="Times New Roman" w:eastAsia="宋体" w:cs="Times New Roman"/>
                <w:b/>
                <w:color w:val="auto"/>
              </w:rPr>
              <w:t>预算金额计</w:t>
            </w:r>
            <w:r>
              <w:rPr>
                <w:rFonts w:ascii="Times New Roman" w:hAnsi="Times New Roman" w:eastAsia="宋体" w:cs="Times New Roman"/>
                <w:b/>
                <w:color w:val="auto"/>
              </w:rPr>
              <w:t>收成交服务费</w:t>
            </w:r>
            <w:r>
              <w:rPr>
                <w:rFonts w:hint="eastAsia" w:ascii="Times New Roman" w:hAnsi="Times New Roman" w:eastAsia="宋体" w:cs="Times New Roman"/>
                <w:b/>
                <w:color w:val="auto"/>
              </w:rPr>
              <w:t>（100万以内</w:t>
            </w:r>
            <w:r>
              <w:rPr>
                <w:rFonts w:hint="eastAsia" w:cs="Times New Roman"/>
                <w:b/>
                <w:color w:val="auto"/>
                <w:lang w:val="en-US" w:eastAsia="zh-CN"/>
              </w:rPr>
              <w:t>部分</w:t>
            </w:r>
            <w:r>
              <w:rPr>
                <w:rFonts w:hint="eastAsia" w:ascii="Times New Roman" w:hAnsi="Times New Roman" w:eastAsia="宋体" w:cs="Times New Roman"/>
                <w:b/>
                <w:color w:val="auto"/>
              </w:rPr>
              <w:t>按1.5%计收，100-500万部分按1.1%计收，500万</w:t>
            </w:r>
            <w:r>
              <w:rPr>
                <w:rFonts w:hint="eastAsia" w:cs="Times New Roman"/>
                <w:b/>
                <w:color w:val="auto"/>
                <w:lang w:val="en-US" w:eastAsia="zh-CN"/>
              </w:rPr>
              <w:t>-1000万部分</w:t>
            </w:r>
            <w:r>
              <w:rPr>
                <w:rFonts w:hint="eastAsia" w:ascii="Times New Roman" w:hAnsi="Times New Roman" w:eastAsia="宋体" w:cs="Times New Roman"/>
                <w:b/>
                <w:color w:val="auto"/>
              </w:rPr>
              <w:t>按0.8%计收</w:t>
            </w:r>
            <w:r>
              <w:rPr>
                <w:rFonts w:hint="eastAsia" w:ascii="Times New Roman" w:hAnsi="Times New Roman" w:eastAsia="宋体" w:cs="Times New Roman"/>
                <w:b/>
                <w:color w:val="auto"/>
                <w:lang w:eastAsia="zh-CN"/>
              </w:rPr>
              <w:t>，</w:t>
            </w:r>
            <w:r>
              <w:rPr>
                <w:rFonts w:hint="eastAsia" w:cs="Times New Roman"/>
                <w:b/>
                <w:color w:val="auto"/>
                <w:lang w:val="en-US" w:eastAsia="zh-CN"/>
              </w:rPr>
              <w:t>1000万</w:t>
            </w:r>
            <w:r>
              <w:rPr>
                <w:rFonts w:hint="eastAsia" w:ascii="Times New Roman" w:hAnsi="Times New Roman" w:eastAsia="宋体" w:cs="Times New Roman"/>
                <w:b/>
                <w:color w:val="auto"/>
              </w:rPr>
              <w:t>以上部分按</w:t>
            </w:r>
            <w:r>
              <w:rPr>
                <w:rFonts w:hint="eastAsia" w:ascii="Times New Roman" w:hAnsi="Times New Roman" w:eastAsia="宋体" w:cs="Times New Roman"/>
                <w:b/>
                <w:color w:val="auto"/>
                <w:lang w:val="en-US" w:eastAsia="zh-CN"/>
              </w:rPr>
              <w:t>0.5</w:t>
            </w:r>
            <w:r>
              <w:rPr>
                <w:rFonts w:hint="eastAsia" w:ascii="Times New Roman" w:hAnsi="Times New Roman" w:eastAsia="宋体" w:cs="Times New Roman"/>
                <w:b/>
                <w:color w:val="auto"/>
              </w:rPr>
              <w:t>%计收）</w:t>
            </w:r>
            <w:r>
              <w:rPr>
                <w:rFonts w:ascii="Times New Roman" w:hAnsi="Times New Roman" w:eastAsia="宋体" w:cs="Times New Roman"/>
                <w:b/>
                <w:color w:val="auto"/>
              </w:rPr>
              <w:t>，中标人在领取中标通知书前须支付至招标代理公司。</w:t>
            </w:r>
            <w:r>
              <w:rPr>
                <w:rFonts w:ascii="Times New Roman" w:hAnsi="Times New Roman" w:eastAsia="宋体" w:cs="Times New Roman"/>
                <w:color w:val="auto"/>
              </w:rPr>
              <w:t>转账至以下账户：</w:t>
            </w:r>
          </w:p>
          <w:p>
            <w:pPr>
              <w:snapToGrid w:val="0"/>
              <w:spacing w:line="276" w:lineRule="auto"/>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户名：浙江金华阳光招标代理有限公司</w:t>
            </w:r>
          </w:p>
          <w:p>
            <w:pPr>
              <w:snapToGrid w:val="0"/>
              <w:spacing w:line="276" w:lineRule="auto"/>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开户银行：金华银行文创支行</w:t>
            </w:r>
          </w:p>
          <w:p>
            <w:pPr>
              <w:snapToGrid w:val="0"/>
              <w:spacing w:line="276" w:lineRule="auto"/>
              <w:rPr>
                <w:rFonts w:ascii="Times New Roman" w:hAnsi="Times New Roman" w:eastAsia="宋体" w:cs="Times New Roman"/>
                <w:color w:val="auto"/>
              </w:rPr>
            </w:pPr>
            <w:r>
              <w:rPr>
                <w:rFonts w:hint="eastAsia" w:ascii="Times New Roman" w:hAnsi="Times New Roman" w:eastAsia="宋体" w:cs="Times New Roman"/>
                <w:color w:val="auto"/>
                <w:lang w:val="zh-CN"/>
              </w:rPr>
              <w:t>账号：1306226200000168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pPr>
              <w:pStyle w:val="110"/>
              <w:adjustRightInd w:val="0"/>
              <w:snapToGrid w:val="0"/>
              <w:spacing w:before="120" w:beforeLines="50" w:after="120" w:afterLines="50" w:line="276" w:lineRule="auto"/>
              <w:jc w:val="center"/>
              <w:rPr>
                <w:color w:val="auto"/>
                <w:kern w:val="0"/>
                <w:sz w:val="24"/>
              </w:rPr>
            </w:pPr>
            <w:r>
              <w:rPr>
                <w:rFonts w:hint="eastAsia"/>
                <w:color w:val="auto"/>
                <w:kern w:val="0"/>
                <w:sz w:val="24"/>
              </w:rPr>
              <w:t>3</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履约保证金</w:t>
            </w:r>
          </w:p>
        </w:tc>
        <w:tc>
          <w:tcPr>
            <w:tcW w:w="7035" w:type="dxa"/>
            <w:noWrap w:val="0"/>
            <w:vAlign w:val="center"/>
          </w:tcPr>
          <w:p>
            <w:pPr>
              <w:widowControl w:val="0"/>
              <w:adjustRightInd w:val="0"/>
              <w:snapToGrid w:val="0"/>
              <w:rPr>
                <w:rFonts w:ascii="Segoe UI Symbol" w:hAnsi="Segoe UI Symbol" w:eastAsia="宋体" w:cs="Segoe UI Symbol"/>
                <w:color w:val="auto"/>
              </w:rPr>
            </w:pPr>
            <w:r>
              <w:rPr>
                <w:rFonts w:ascii="Segoe UI Symbol" w:hAnsi="Segoe UI Symbol" w:eastAsia="宋体" w:cs="Segoe UI Symbol"/>
                <w:color w:val="auto"/>
              </w:rPr>
              <w:t>☐</w:t>
            </w:r>
            <w:r>
              <w:rPr>
                <w:rFonts w:hint="eastAsia" w:ascii="Segoe UI Symbol" w:hAnsi="Segoe UI Symbol" w:eastAsia="宋体" w:cs="Segoe UI Symbol"/>
                <w:color w:val="auto"/>
              </w:rPr>
              <w:t>不需要缴纳</w:t>
            </w:r>
          </w:p>
          <w:p>
            <w:pPr>
              <w:widowControl w:val="0"/>
              <w:adjustRightInd w:val="0"/>
              <w:snapToGrid w:val="0"/>
              <w:spacing w:line="276" w:lineRule="auto"/>
              <w:rPr>
                <w:rFonts w:ascii="Times New Roman" w:hAnsi="Times New Roman" w:eastAsia="宋体" w:cs="Times New Roman"/>
                <w:b/>
                <w:color w:val="auto"/>
              </w:rPr>
            </w:pPr>
            <w:r>
              <w:rPr>
                <w:rFonts w:ascii="Segoe UI Symbol" w:hAnsi="Segoe UI Symbol" w:eastAsia="仿宋_GB2312" w:cs="Segoe UI Symbol"/>
                <w:color w:val="auto"/>
              </w:rPr>
              <w:t>☑</w:t>
            </w:r>
            <w:r>
              <w:rPr>
                <w:rFonts w:hint="eastAsia" w:ascii="Times New Roman" w:hAnsi="Times New Roman" w:eastAsia="宋体" w:cs="Times New Roman"/>
                <w:color w:val="auto"/>
              </w:rPr>
              <w:t>需要缴纳，</w:t>
            </w:r>
            <w:r>
              <w:rPr>
                <w:rFonts w:ascii="Times New Roman" w:hAnsi="Times New Roman" w:eastAsia="宋体" w:cs="Times New Roman"/>
                <w:color w:val="auto"/>
              </w:rPr>
              <w:t>中标人必须在</w:t>
            </w:r>
            <w:r>
              <w:rPr>
                <w:rFonts w:hint="eastAsia" w:ascii="Times New Roman" w:hAnsi="Times New Roman" w:eastAsia="宋体" w:cs="Times New Roman"/>
                <w:color w:val="auto"/>
              </w:rPr>
              <w:t>合同签订后七日内</w:t>
            </w:r>
            <w:r>
              <w:rPr>
                <w:rFonts w:ascii="Times New Roman" w:hAnsi="Times New Roman" w:eastAsia="宋体" w:cs="Times New Roman"/>
                <w:color w:val="auto"/>
              </w:rPr>
              <w:t>向采购人提供合同总价</w:t>
            </w:r>
            <w:r>
              <w:rPr>
                <w:rFonts w:hint="eastAsia" w:ascii="Times New Roman" w:hAnsi="Times New Roman" w:eastAsia="宋体" w:cs="Times New Roman"/>
                <w:color w:val="auto"/>
              </w:rPr>
              <w:t>1</w:t>
            </w:r>
            <w:r>
              <w:rPr>
                <w:rFonts w:ascii="Times New Roman" w:hAnsi="Times New Roman" w:eastAsia="宋体" w:cs="Times New Roman"/>
                <w:color w:val="auto"/>
              </w:rPr>
              <w:t>%的履约保证金</w:t>
            </w:r>
            <w:r>
              <w:rPr>
                <w:rFonts w:hint="eastAsia" w:ascii="宋体" w:hAnsi="宋体" w:eastAsia="宋体" w:cs="Times New Roman"/>
                <w:color w:val="auto"/>
              </w:rPr>
              <w:t>（可在政采云</w:t>
            </w:r>
            <w:r>
              <w:rPr>
                <w:rFonts w:hint="eastAsia" w:ascii="Times New Roman" w:hAnsi="Times New Roman" w:eastAsia="宋体" w:cs="Times New Roman"/>
                <w:color w:val="auto"/>
              </w:rPr>
              <w:t>平台购买）</w:t>
            </w:r>
            <w:r>
              <w:rPr>
                <w:rFonts w:ascii="Times New Roman" w:hAnsi="Times New Roman" w:eastAsia="宋体" w:cs="Times New Roman"/>
                <w:color w:val="auto"/>
              </w:rPr>
              <w:t>，可以支票、汇票、本票或者金融机构、保险公司、担保机构出具的保函/保险（可在政采云平台购买，咨询热线4009039583）等非现金形式</w:t>
            </w:r>
            <w:r>
              <w:rPr>
                <w:rFonts w:ascii="Segoe UI Symbol" w:hAnsi="Segoe UI Symbol" w:eastAsia="宋体" w:cs="Segoe UI Symbol"/>
                <w:color w:val="auto"/>
              </w:rPr>
              <w:t>提交。履约保证金（或保函/保险）在</w:t>
            </w:r>
            <w:r>
              <w:rPr>
                <w:rFonts w:hint="eastAsia" w:ascii="Segoe UI Symbol" w:hAnsi="Segoe UI Symbol" w:eastAsia="宋体" w:cs="Segoe UI Symbol"/>
                <w:color w:val="auto"/>
              </w:rPr>
              <w:t>项目验收结束后</w:t>
            </w:r>
            <w:r>
              <w:rPr>
                <w:rFonts w:ascii="Segoe UI Symbol" w:hAnsi="Segoe UI Symbol" w:eastAsia="宋体" w:cs="Segoe UI Symbol"/>
                <w:color w:val="auto"/>
              </w:rPr>
              <w:t>退还</w:t>
            </w:r>
            <w:r>
              <w:rPr>
                <w:rFonts w:hint="eastAsia" w:ascii="Segoe UI Symbol" w:hAnsi="Segoe UI Symbol" w:eastAsia="宋体" w:cs="Segoe UI Symbol"/>
                <w:color w:val="auto"/>
              </w:rPr>
              <w:t>。鼓励和支持供应商以履约保函形式提供履约保证金。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4</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是否允许采购进口产品</w:t>
            </w:r>
          </w:p>
        </w:tc>
        <w:tc>
          <w:tcPr>
            <w:tcW w:w="7035" w:type="dxa"/>
            <w:noWrap w:val="0"/>
            <w:vAlign w:val="center"/>
          </w:tcPr>
          <w:p>
            <w:pPr>
              <w:spacing w:line="276" w:lineRule="auto"/>
              <w:rPr>
                <w:rFonts w:ascii="Times New Roman" w:hAnsi="Times New Roman" w:eastAsia="宋体" w:cs="Times New Roman"/>
                <w:color w:val="auto"/>
              </w:rPr>
            </w:pPr>
            <w:r>
              <w:rPr>
                <w:rFonts w:ascii="Segoe UI Symbol" w:hAnsi="Segoe UI Symbol" w:eastAsia="仿宋_GB2312" w:cs="Segoe UI Symbol"/>
                <w:color w:val="auto"/>
              </w:rPr>
              <w:t>☑</w:t>
            </w:r>
            <w:r>
              <w:rPr>
                <w:rFonts w:ascii="Times New Roman" w:hAnsi="Times New Roman" w:eastAsia="宋体" w:cs="Times New Roman"/>
                <w:color w:val="auto"/>
              </w:rPr>
              <w:t>本项目不允许采购进口产品。</w:t>
            </w:r>
          </w:p>
          <w:p>
            <w:pPr>
              <w:widowControl w:val="0"/>
              <w:adjustRightInd w:val="0"/>
              <w:snapToGrid w:val="0"/>
              <w:spacing w:line="276" w:lineRule="auto"/>
              <w:ind w:right="-82"/>
              <w:rPr>
                <w:rFonts w:ascii="Times New Roman" w:hAnsi="Times New Roman" w:eastAsia="宋体" w:cs="Times New Roman"/>
                <w:b/>
                <w:color w:val="auto"/>
              </w:rPr>
            </w:pPr>
            <w:r>
              <w:rPr>
                <w:rFonts w:ascii="Segoe UI Symbol" w:hAnsi="Segoe UI Symbol" w:eastAsia="宋体" w:cs="Segoe UI Symbol"/>
                <w:color w:val="auto"/>
              </w:rPr>
              <w:t>☐</w:t>
            </w:r>
            <w:r>
              <w:rPr>
                <w:rFonts w:ascii="Times New Roman" w:hAnsi="Times New Roman" w:eastAsia="宋体" w:cs="Times New Roman"/>
                <w:color w:val="auto"/>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5</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项目属性与核心产品</w:t>
            </w:r>
          </w:p>
        </w:tc>
        <w:tc>
          <w:tcPr>
            <w:tcW w:w="7035" w:type="dxa"/>
            <w:noWrap w:val="0"/>
            <w:vAlign w:val="center"/>
          </w:tcPr>
          <w:p>
            <w:pPr>
              <w:spacing w:line="276" w:lineRule="auto"/>
              <w:rPr>
                <w:rFonts w:ascii="Times New Roman" w:hAnsi="Times New Roman" w:eastAsia="宋体" w:cs="Times New Roman"/>
                <w:color w:val="auto"/>
              </w:rPr>
            </w:pPr>
            <w:r>
              <w:rPr>
                <w:rFonts w:ascii="Segoe UI Symbol" w:hAnsi="Segoe UI Symbol" w:eastAsia="仿宋_GB2312" w:cs="Segoe UI Symbol"/>
                <w:color w:val="auto"/>
              </w:rPr>
              <w:t>☑</w:t>
            </w:r>
            <w:r>
              <w:rPr>
                <w:rFonts w:ascii="Times New Roman" w:hAnsi="Times New Roman" w:eastAsia="宋体" w:cs="Times New Roman"/>
                <w:color w:val="auto"/>
              </w:rPr>
              <w:t>A货物类，</w:t>
            </w:r>
            <w:r>
              <w:rPr>
                <w:rFonts w:ascii="Times New Roman" w:hAnsi="Times New Roman" w:eastAsia="宋体" w:cs="Times New Roman"/>
                <w:b/>
                <w:bCs/>
                <w:color w:val="auto"/>
              </w:rPr>
              <w:t>单一产品或核心产品为：</w:t>
            </w:r>
            <w:r>
              <w:rPr>
                <w:rFonts w:hint="eastAsia" w:ascii="宋体" w:hAnsi="宋体" w:eastAsia="宋体" w:cs="宋体"/>
                <w:b/>
                <w:color w:val="auto"/>
                <w:kern w:val="2"/>
                <w:u w:val="single"/>
              </w:rPr>
              <w:t>净化空调机组</w:t>
            </w:r>
            <w:r>
              <w:rPr>
                <w:rFonts w:ascii="Times New Roman" w:hAnsi="Times New Roman" w:eastAsia="宋体" w:cs="Times New Roman"/>
                <w:b/>
                <w:bCs/>
                <w:color w:val="auto"/>
              </w:rPr>
              <w:t>。</w:t>
            </w:r>
            <w:r>
              <w:rPr>
                <w:rFonts w:ascii="Times New Roman" w:hAnsi="Times New Roman" w:eastAsia="宋体" w:cs="Times New Roman"/>
                <w:b/>
                <w:color w:val="auto"/>
              </w:rPr>
              <w:t>提供相同品牌产品（或同品牌核心产品）且通过资格审查、符合性审查的不同投标人参加同一合同项下投标的，按一家投标人计算，评审后得分最高的同品牌（或同品牌核心产品）投标人获得中标人推荐资格。</w:t>
            </w:r>
          </w:p>
          <w:p>
            <w:pPr>
              <w:widowControl w:val="0"/>
              <w:adjustRightInd w:val="0"/>
              <w:snapToGrid w:val="0"/>
              <w:spacing w:line="276" w:lineRule="auto"/>
              <w:ind w:right="-82"/>
              <w:rPr>
                <w:rFonts w:ascii="Times New Roman" w:hAnsi="Times New Roman" w:eastAsia="宋体" w:cs="Times New Roman"/>
                <w:b/>
                <w:color w:val="auto"/>
              </w:rPr>
            </w:pPr>
            <w:r>
              <w:rPr>
                <w:rFonts w:ascii="Segoe UI Symbol" w:hAnsi="Segoe UI Symbol" w:eastAsia="宋体" w:cs="Segoe UI Symbol"/>
                <w:color w:val="auto"/>
              </w:rPr>
              <w:t>☐</w:t>
            </w:r>
            <w:r>
              <w:rPr>
                <w:rFonts w:ascii="Times New Roman" w:hAnsi="Times New Roman" w:eastAsia="宋体" w:cs="Times New Roman"/>
                <w:color w:val="auto"/>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节能产品</w:t>
            </w:r>
          </w:p>
        </w:tc>
        <w:tc>
          <w:tcPr>
            <w:tcW w:w="7035" w:type="dxa"/>
            <w:noWrap w:val="0"/>
            <w:vAlign w:val="center"/>
          </w:tcPr>
          <w:p>
            <w:pPr>
              <w:widowControl w:val="0"/>
              <w:adjustRightInd w:val="0"/>
              <w:snapToGrid w:val="0"/>
              <w:spacing w:line="276" w:lineRule="auto"/>
              <w:ind w:right="-82"/>
              <w:rPr>
                <w:rFonts w:ascii="Times New Roman" w:hAnsi="Times New Roman" w:eastAsia="宋体" w:cs="Times New Roman"/>
                <w:color w:val="auto"/>
              </w:rPr>
            </w:pPr>
            <w:r>
              <w:rPr>
                <w:rFonts w:ascii="Segoe UI Symbol" w:hAnsi="Segoe UI Symbol" w:eastAsia="宋体" w:cs="Segoe UI Symbol"/>
                <w:color w:val="auto"/>
              </w:rPr>
              <w:t>☐</w:t>
            </w:r>
            <w:r>
              <w:rPr>
                <w:rFonts w:hint="eastAsia" w:ascii="Times New Roman" w:hAnsi="Times New Roman" w:eastAsia="宋体" w:cs="Times New Roman"/>
                <w:color w:val="auto"/>
              </w:rPr>
              <w:t xml:space="preserve"> 强制采购节能产品</w:t>
            </w:r>
          </w:p>
          <w:p>
            <w:pPr>
              <w:pStyle w:val="120"/>
              <w:widowControl w:val="0"/>
              <w:adjustRightInd w:val="0"/>
              <w:spacing w:line="276" w:lineRule="auto"/>
              <w:ind w:right="-82"/>
              <w:rPr>
                <w:rFonts w:ascii="Times New Roman" w:hAnsi="Times New Roman" w:eastAsia="宋体" w:cs="Times New Roman"/>
                <w:color w:val="auto"/>
                <w:kern w:val="0"/>
                <w:sz w:val="24"/>
                <w:szCs w:val="24"/>
              </w:rPr>
            </w:pPr>
            <w:r>
              <w:rPr>
                <w:rFonts w:ascii="Segoe UI Symbol" w:hAnsi="Segoe UI Symbol" w:eastAsia="仿宋_GB2312" w:cs="Segoe UI Symbol"/>
                <w:color w:val="auto"/>
              </w:rPr>
              <w:t>☑</w:t>
            </w:r>
            <w:r>
              <w:rPr>
                <w:rFonts w:ascii="Times New Roman" w:hAnsi="Times New Roman" w:eastAsia="宋体" w:cs="Times New Roman"/>
                <w:color w:val="auto"/>
                <w:kern w:val="0"/>
                <w:sz w:val="24"/>
                <w:szCs w:val="24"/>
              </w:rPr>
              <w:t xml:space="preserve"> 优先采购节能产品</w:t>
            </w:r>
          </w:p>
          <w:p>
            <w:pPr>
              <w:widowControl w:val="0"/>
              <w:adjustRightInd w:val="0"/>
              <w:spacing w:line="276" w:lineRule="auto"/>
              <w:ind w:right="-82"/>
              <w:rPr>
                <w:rFonts w:ascii="Times New Roman" w:hAnsi="Times New Roman" w:eastAsia="宋体" w:cs="Times New Roman"/>
                <w:color w:val="auto"/>
              </w:rPr>
            </w:pPr>
            <w:r>
              <w:rPr>
                <w:rFonts w:ascii="Segoe UI Symbol" w:hAnsi="Segoe UI Symbol" w:eastAsia="宋体" w:cs="Segoe UI Symbol"/>
                <w:color w:val="auto"/>
              </w:rPr>
              <w:t>☐</w:t>
            </w:r>
            <w:r>
              <w:rPr>
                <w:rFonts w:hint="eastAsia" w:ascii="Times New Roman" w:hAnsi="Times New Roman" w:eastAsia="宋体" w:cs="Times New Roman"/>
                <w:color w:val="auto"/>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环境标志产品</w:t>
            </w:r>
          </w:p>
        </w:tc>
        <w:tc>
          <w:tcPr>
            <w:tcW w:w="7035" w:type="dxa"/>
            <w:noWrap w:val="0"/>
            <w:vAlign w:val="center"/>
          </w:tcPr>
          <w:p>
            <w:pPr>
              <w:widowControl w:val="0"/>
              <w:adjustRightInd w:val="0"/>
              <w:snapToGrid w:val="0"/>
              <w:spacing w:line="276" w:lineRule="auto"/>
              <w:ind w:right="-82"/>
              <w:rPr>
                <w:rFonts w:ascii="Times New Roman" w:hAnsi="Times New Roman" w:eastAsia="宋体" w:cs="Times New Roman"/>
                <w:color w:val="auto"/>
              </w:rPr>
            </w:pPr>
            <w:r>
              <w:rPr>
                <w:rFonts w:ascii="Segoe UI Symbol" w:hAnsi="Segoe UI Symbol" w:eastAsia="仿宋_GB2312" w:cs="Segoe UI Symbol"/>
                <w:color w:val="auto"/>
              </w:rPr>
              <w:t>☑</w:t>
            </w:r>
            <w:r>
              <w:rPr>
                <w:rFonts w:hint="eastAsia" w:ascii="Times New Roman" w:hAnsi="Times New Roman" w:eastAsia="宋体" w:cs="Times New Roman"/>
                <w:color w:val="auto"/>
              </w:rPr>
              <w:t xml:space="preserve"> 优先采购环境标志产品</w:t>
            </w:r>
          </w:p>
          <w:p>
            <w:pPr>
              <w:widowControl w:val="0"/>
              <w:adjustRightInd w:val="0"/>
              <w:snapToGrid w:val="0"/>
              <w:spacing w:line="276" w:lineRule="auto"/>
              <w:ind w:right="-82"/>
              <w:rPr>
                <w:rFonts w:ascii="Times New Roman" w:hAnsi="Times New Roman" w:eastAsia="宋体" w:cs="Times New Roman"/>
                <w:color w:val="auto"/>
              </w:rPr>
            </w:pPr>
            <w:r>
              <w:rPr>
                <w:rFonts w:ascii="Segoe UI Symbol" w:hAnsi="Segoe UI Symbol" w:eastAsia="宋体" w:cs="Segoe UI Symbol"/>
                <w:color w:val="auto"/>
              </w:rPr>
              <w:t>☐</w:t>
            </w:r>
            <w:r>
              <w:rPr>
                <w:rFonts w:hint="eastAsia" w:ascii="Times New Roman" w:hAnsi="Times New Roman" w:eastAsia="宋体" w:cs="Times New Roman"/>
                <w:color w:val="auto"/>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yellow"/>
              </w:rPr>
            </w:pPr>
            <w:r>
              <w:rPr>
                <w:rFonts w:ascii="Times New Roman" w:hAnsi="Times New Roman" w:eastAsia="宋体" w:cs="Times New Roman"/>
                <w:color w:val="auto"/>
              </w:rPr>
              <w:t>8</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采购标的对应的中小企业划分标准所属行业</w:t>
            </w:r>
          </w:p>
        </w:tc>
        <w:tc>
          <w:tcPr>
            <w:tcW w:w="7035" w:type="dxa"/>
            <w:noWrap w:val="0"/>
            <w:vAlign w:val="center"/>
          </w:tcPr>
          <w:p>
            <w:pPr>
              <w:widowControl w:val="0"/>
              <w:adjustRightInd w:val="0"/>
              <w:snapToGrid w:val="0"/>
              <w:spacing w:line="276" w:lineRule="auto"/>
              <w:jc w:val="both"/>
              <w:rPr>
                <w:rFonts w:ascii="Times New Roman" w:hAnsi="Times New Roman" w:eastAsia="宋体" w:cs="Times New Roman"/>
                <w:b/>
                <w:bCs/>
                <w:color w:val="auto"/>
              </w:rPr>
            </w:pPr>
            <w:r>
              <w:rPr>
                <w:rFonts w:ascii="Times New Roman" w:hAnsi="Times New Roman" w:eastAsia="宋体" w:cs="Times New Roman"/>
                <w:b/>
                <w:bCs/>
                <w:color w:val="auto"/>
              </w:rPr>
              <w:t>属于工信部【2011】300号文件规定的</w:t>
            </w:r>
            <w:r>
              <w:rPr>
                <w:rFonts w:ascii="Times New Roman" w:hAnsi="Times New Roman" w:eastAsia="宋体" w:cs="Times New Roman"/>
                <w:b/>
                <w:bCs/>
                <w:color w:val="auto"/>
                <w:u w:val="single"/>
              </w:rPr>
              <w:t>工业行业</w:t>
            </w:r>
          </w:p>
          <w:p>
            <w:pPr>
              <w:widowControl w:val="0"/>
              <w:adjustRightInd w:val="0"/>
              <w:snapToGrid w:val="0"/>
              <w:spacing w:line="276"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9</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转包</w:t>
            </w:r>
          </w:p>
        </w:tc>
        <w:tc>
          <w:tcPr>
            <w:tcW w:w="7035" w:type="dxa"/>
            <w:noWrap w:val="0"/>
            <w:vAlign w:val="center"/>
          </w:tcPr>
          <w:p>
            <w:pPr>
              <w:snapToGrid w:val="0"/>
              <w:spacing w:line="276" w:lineRule="auto"/>
              <w:rPr>
                <w:rFonts w:ascii="Times New Roman" w:hAnsi="Times New Roman" w:eastAsia="宋体" w:cs="Times New Roman"/>
                <w:color w:val="auto"/>
              </w:rPr>
            </w:pPr>
            <w:r>
              <w:rPr>
                <w:rFonts w:ascii="Segoe UI Symbol" w:hAnsi="Segoe UI Symbol" w:eastAsia="仿宋_GB2312" w:cs="Segoe UI Symbol"/>
                <w:color w:val="auto"/>
              </w:rPr>
              <w:t>☑</w:t>
            </w:r>
            <w:r>
              <w:rPr>
                <w:rFonts w:ascii="Times New Roman" w:hAnsi="Times New Roman" w:eastAsia="宋体" w:cs="Times New Roman"/>
                <w:color w:val="auto"/>
              </w:rPr>
              <w:t xml:space="preserve"> 不同意转包。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分包</w:t>
            </w:r>
          </w:p>
        </w:tc>
        <w:tc>
          <w:tcPr>
            <w:tcW w:w="7035" w:type="dxa"/>
            <w:noWrap w:val="0"/>
            <w:vAlign w:val="center"/>
          </w:tcPr>
          <w:p>
            <w:pPr>
              <w:snapToGrid w:val="0"/>
              <w:spacing w:line="276" w:lineRule="auto"/>
              <w:rPr>
                <w:rFonts w:ascii="Times New Roman" w:hAnsi="Times New Roman" w:eastAsia="宋体" w:cs="Times New Roman"/>
                <w:color w:val="auto"/>
              </w:rPr>
            </w:pPr>
            <w:r>
              <w:rPr>
                <w:rFonts w:ascii="Segoe UI Symbol" w:hAnsi="Segoe UI Symbol" w:eastAsia="宋体" w:cs="Segoe UI Symbol"/>
                <w:color w:val="auto"/>
              </w:rPr>
              <w:t>☐</w:t>
            </w:r>
            <w:r>
              <w:rPr>
                <w:rFonts w:ascii="Times New Roman" w:hAnsi="Times New Roman" w:eastAsia="宋体" w:cs="Times New Roman"/>
                <w:color w:val="auto"/>
              </w:rPr>
              <w:t>A同意将非主体、非关键性的工作分包。</w:t>
            </w:r>
          </w:p>
          <w:p>
            <w:pPr>
              <w:snapToGrid w:val="0"/>
              <w:spacing w:line="276" w:lineRule="auto"/>
              <w:rPr>
                <w:rFonts w:ascii="Times New Roman" w:hAnsi="Times New Roman" w:eastAsia="宋体" w:cs="Times New Roman"/>
                <w:color w:val="auto"/>
              </w:rPr>
            </w:pPr>
            <w:r>
              <w:rPr>
                <w:rFonts w:ascii="Segoe UI Symbol" w:hAnsi="Segoe UI Symbol" w:eastAsia="仿宋_GB2312" w:cs="Segoe UI Symbol"/>
                <w:color w:val="auto"/>
              </w:rPr>
              <w:t>☑</w:t>
            </w:r>
            <w:r>
              <w:rPr>
                <w:rFonts w:ascii="Times New Roman" w:hAnsi="Times New Roman" w:eastAsia="宋体" w:cs="Times New Roman"/>
                <w:color w:val="auto"/>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11</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开标前答疑会或现场考察</w:t>
            </w:r>
          </w:p>
        </w:tc>
        <w:tc>
          <w:tcPr>
            <w:tcW w:w="7035" w:type="dxa"/>
            <w:noWrap w:val="0"/>
            <w:vAlign w:val="center"/>
          </w:tcPr>
          <w:p>
            <w:pPr>
              <w:spacing w:line="276" w:lineRule="auto"/>
              <w:rPr>
                <w:rFonts w:ascii="Times New Roman" w:hAnsi="Times New Roman" w:eastAsia="宋体" w:cs="Times New Roman"/>
                <w:color w:val="auto"/>
              </w:rPr>
            </w:pPr>
            <w:r>
              <w:rPr>
                <w:rFonts w:ascii="Segoe UI Symbol" w:hAnsi="Segoe UI Symbol" w:eastAsia="仿宋_GB2312" w:cs="Segoe UI Symbol"/>
                <w:color w:val="auto"/>
              </w:rPr>
              <w:t>☑</w:t>
            </w:r>
            <w:r>
              <w:rPr>
                <w:rFonts w:ascii="Times New Roman" w:hAnsi="Times New Roman" w:eastAsia="宋体" w:cs="Times New Roman"/>
                <w:color w:val="auto"/>
              </w:rPr>
              <w:t>A不组织。</w:t>
            </w:r>
          </w:p>
          <w:p>
            <w:pPr>
              <w:snapToGrid w:val="0"/>
              <w:spacing w:line="276" w:lineRule="auto"/>
              <w:rPr>
                <w:rFonts w:ascii="Times New Roman" w:hAnsi="Times New Roman" w:eastAsia="宋体" w:cs="Times New Roman"/>
                <w:color w:val="auto"/>
              </w:rPr>
            </w:pPr>
            <w:r>
              <w:rPr>
                <w:rFonts w:ascii="Segoe UI Symbol" w:hAnsi="Segoe UI Symbol" w:eastAsia="宋体" w:cs="Segoe UI Symbol"/>
                <w:color w:val="auto"/>
              </w:rPr>
              <w:t>☐</w:t>
            </w:r>
            <w:r>
              <w:rPr>
                <w:rFonts w:ascii="Times New Roman" w:hAnsi="Times New Roman" w:eastAsia="宋体" w:cs="Times New Roman"/>
                <w:color w:val="auto"/>
              </w:rPr>
              <w:t>B组织，时间：</w:t>
            </w:r>
            <w:r>
              <w:rPr>
                <w:rFonts w:ascii="Times New Roman" w:hAnsi="Times New Roman" w:eastAsia="宋体" w:cs="Times New Roman"/>
                <w:color w:val="auto"/>
                <w:u w:val="single"/>
              </w:rPr>
              <w:t xml:space="preserve">      </w:t>
            </w:r>
            <w:r>
              <w:rPr>
                <w:rFonts w:hint="eastAsia" w:ascii="Times New Roman" w:hAnsi="Times New Roman" w:eastAsia="宋体" w:cs="Times New Roman"/>
                <w:color w:val="auto"/>
              </w:rPr>
              <w:t>，</w:t>
            </w:r>
            <w:r>
              <w:rPr>
                <w:rFonts w:ascii="Times New Roman" w:hAnsi="Times New Roman" w:eastAsia="宋体" w:cs="Times New Roman"/>
                <w:color w:val="auto"/>
              </w:rPr>
              <w:t>地点：</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，联系人：</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，联系方式：</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12</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样品提供</w:t>
            </w:r>
          </w:p>
        </w:tc>
        <w:tc>
          <w:tcPr>
            <w:tcW w:w="7035" w:type="dxa"/>
            <w:noWrap w:val="0"/>
            <w:vAlign w:val="center"/>
          </w:tcPr>
          <w:p>
            <w:pPr>
              <w:spacing w:line="276" w:lineRule="auto"/>
              <w:rPr>
                <w:rFonts w:ascii="Times New Roman" w:hAnsi="Times New Roman" w:eastAsia="宋体" w:cs="Times New Roman"/>
                <w:color w:val="auto"/>
              </w:rPr>
            </w:pPr>
            <w:r>
              <w:rPr>
                <w:rFonts w:ascii="Segoe UI Symbol" w:hAnsi="Segoe UI Symbol" w:eastAsia="仿宋_GB2312" w:cs="Segoe UI Symbol"/>
                <w:color w:val="auto"/>
              </w:rPr>
              <w:t>☑</w:t>
            </w:r>
            <w:r>
              <w:rPr>
                <w:rFonts w:ascii="Times New Roman" w:hAnsi="Times New Roman" w:eastAsia="宋体" w:cs="Times New Roman"/>
                <w:color w:val="auto"/>
              </w:rPr>
              <w:t>A不要求提供。</w:t>
            </w:r>
          </w:p>
          <w:p>
            <w:pPr>
              <w:spacing w:line="276" w:lineRule="auto"/>
              <w:rPr>
                <w:rFonts w:ascii="Times New Roman" w:hAnsi="Times New Roman" w:eastAsia="宋体" w:cs="Times New Roman"/>
                <w:color w:val="auto"/>
              </w:rPr>
            </w:pPr>
            <w:r>
              <w:rPr>
                <w:rFonts w:ascii="Segoe UI Symbol" w:hAnsi="Segoe UI Symbol" w:eastAsia="宋体" w:cs="Segoe UI Symbol"/>
                <w:color w:val="auto"/>
              </w:rPr>
              <w:t>☐</w:t>
            </w:r>
            <w:r>
              <w:rPr>
                <w:rFonts w:ascii="Times New Roman" w:hAnsi="Times New Roman" w:eastAsia="宋体" w:cs="Times New Roman"/>
                <w:color w:val="auto"/>
              </w:rPr>
              <w:t>B要求提供，</w:t>
            </w:r>
          </w:p>
          <w:p>
            <w:pPr>
              <w:spacing w:line="276" w:lineRule="auto"/>
              <w:rPr>
                <w:rFonts w:ascii="Times New Roman" w:hAnsi="Times New Roman" w:eastAsia="宋体" w:cs="Times New Roman"/>
                <w:color w:val="auto"/>
              </w:rPr>
            </w:pPr>
            <w:r>
              <w:rPr>
                <w:rFonts w:ascii="Times New Roman" w:hAnsi="Times New Roman" w:eastAsia="宋体" w:cs="Times New Roman"/>
                <w:color w:val="auto"/>
              </w:rPr>
              <w:t>（1）</w:t>
            </w:r>
            <w:r>
              <w:rPr>
                <w:rFonts w:ascii="Times New Roman" w:hAnsi="Times New Roman" w:eastAsia="宋体" w:cs="Times New Roman"/>
                <w:snapToGrid w:val="0"/>
                <w:color w:val="auto"/>
                <w:kern w:val="28"/>
              </w:rPr>
              <w:t>样品：</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w:t>
            </w:r>
          </w:p>
          <w:p>
            <w:pPr>
              <w:spacing w:line="276" w:lineRule="auto"/>
              <w:rPr>
                <w:rFonts w:ascii="Times New Roman" w:hAnsi="Times New Roman" w:eastAsia="宋体" w:cs="Times New Roman"/>
                <w:color w:val="auto"/>
              </w:rPr>
            </w:pPr>
            <w:r>
              <w:rPr>
                <w:rFonts w:ascii="Times New Roman" w:hAnsi="Times New Roman" w:eastAsia="宋体" w:cs="Times New Roman"/>
                <w:color w:val="auto"/>
              </w:rPr>
              <w:t>（2）</w:t>
            </w:r>
            <w:r>
              <w:rPr>
                <w:rFonts w:ascii="Times New Roman" w:hAnsi="Times New Roman" w:eastAsia="宋体" w:cs="Times New Roman"/>
                <w:snapToGrid w:val="0"/>
                <w:color w:val="auto"/>
                <w:kern w:val="28"/>
              </w:rPr>
              <w:t>样品制作的标准和要求：</w:t>
            </w:r>
            <w:r>
              <w:rPr>
                <w:rFonts w:ascii="Times New Roman" w:hAnsi="Times New Roman" w:eastAsia="宋体" w:cs="Times New Roman"/>
                <w:color w:val="auto"/>
                <w:u w:val="single"/>
              </w:rPr>
              <w:t xml:space="preserve"> 详见招标文件技术要求 </w:t>
            </w:r>
            <w:r>
              <w:rPr>
                <w:rFonts w:ascii="Times New Roman" w:hAnsi="Times New Roman" w:eastAsia="宋体" w:cs="Times New Roman"/>
                <w:color w:val="auto"/>
              </w:rPr>
              <w:t>；</w:t>
            </w:r>
          </w:p>
          <w:p>
            <w:pPr>
              <w:spacing w:line="276" w:lineRule="auto"/>
              <w:rPr>
                <w:rFonts w:ascii="Times New Roman" w:hAnsi="Times New Roman" w:eastAsia="宋体" w:cs="Times New Roman"/>
                <w:color w:val="auto"/>
              </w:rPr>
            </w:pPr>
            <w:r>
              <w:rPr>
                <w:rFonts w:ascii="Times New Roman" w:hAnsi="Times New Roman" w:eastAsia="宋体" w:cs="Times New Roman"/>
                <w:color w:val="auto"/>
              </w:rPr>
              <w:t>（3）样品的评审方法以及评审标准</w:t>
            </w:r>
            <w:r>
              <w:rPr>
                <w:rFonts w:ascii="Times New Roman" w:hAnsi="Times New Roman" w:eastAsia="宋体" w:cs="Times New Roman"/>
                <w:snapToGrid w:val="0"/>
                <w:color w:val="auto"/>
                <w:kern w:val="28"/>
              </w:rPr>
              <w:t>：详见</w:t>
            </w:r>
            <w:r>
              <w:rPr>
                <w:rFonts w:ascii="Times New Roman" w:hAnsi="Times New Roman" w:eastAsia="宋体" w:cs="Times New Roman"/>
                <w:color w:val="auto"/>
                <w:u w:val="single"/>
              </w:rPr>
              <w:t>评标办法</w:t>
            </w:r>
            <w:r>
              <w:rPr>
                <w:rFonts w:ascii="Times New Roman" w:hAnsi="Times New Roman" w:eastAsia="宋体" w:cs="Times New Roman"/>
                <w:color w:val="auto"/>
              </w:rPr>
              <w:t>；</w:t>
            </w:r>
          </w:p>
          <w:p>
            <w:pPr>
              <w:spacing w:line="276" w:lineRule="auto"/>
              <w:rPr>
                <w:rFonts w:ascii="Times New Roman" w:hAnsi="Times New Roman" w:eastAsia="宋体" w:cs="Times New Roman"/>
                <w:color w:val="auto"/>
              </w:rPr>
            </w:pPr>
            <w:r>
              <w:rPr>
                <w:rFonts w:ascii="Times New Roman" w:hAnsi="Times New Roman" w:eastAsia="宋体" w:cs="Times New Roman"/>
                <w:color w:val="auto"/>
              </w:rPr>
              <w:t>（4）是否需要随样品提交检测报告：</w:t>
            </w:r>
            <w:r>
              <w:rPr>
                <w:rFonts w:ascii="Times New Roman" w:hAnsi="Times New Roman" w:eastAsia="宋体" w:cs="Times New Roman"/>
                <w:color w:val="auto"/>
              </w:rPr>
              <w:sym w:font="Wingdings" w:char="F0FE"/>
            </w:r>
            <w:r>
              <w:rPr>
                <w:rFonts w:ascii="Times New Roman" w:hAnsi="Times New Roman" w:eastAsia="宋体" w:cs="Times New Roman"/>
                <w:color w:val="auto"/>
              </w:rPr>
              <w:t>否；</w:t>
            </w:r>
            <w:r>
              <w:rPr>
                <w:rFonts w:ascii="Segoe UI Symbol" w:hAnsi="Segoe UI Symbol" w:eastAsia="宋体" w:cs="Segoe UI Symbol"/>
                <w:color w:val="auto"/>
              </w:rPr>
              <w:t>☐</w:t>
            </w:r>
            <w:r>
              <w:rPr>
                <w:rFonts w:ascii="Times New Roman" w:hAnsi="Times New Roman" w:eastAsia="宋体" w:cs="Times New Roman"/>
                <w:color w:val="auto"/>
              </w:rPr>
              <w:t>是，检测机构的要求：</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；检测内容：</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w:t>
            </w:r>
          </w:p>
          <w:p>
            <w:pPr>
              <w:spacing w:line="276" w:lineRule="auto"/>
              <w:rPr>
                <w:rFonts w:ascii="Times New Roman" w:hAnsi="Times New Roman" w:eastAsia="宋体" w:cs="Times New Roman"/>
                <w:color w:val="auto"/>
              </w:rPr>
            </w:pPr>
            <w:r>
              <w:rPr>
                <w:rFonts w:ascii="Times New Roman" w:hAnsi="Times New Roman" w:eastAsia="宋体" w:cs="Times New Roman"/>
                <w:color w:val="auto"/>
              </w:rPr>
              <w:t>（5）提供样品的时间：</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；地点：</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；联系人：</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w:t>
            </w:r>
            <w:r>
              <w:rPr>
                <w:rFonts w:ascii="Times New Roman" w:hAnsi="Times New Roman" w:eastAsia="宋体" w:cs="Times New Roman"/>
                <w:color w:val="auto"/>
                <w:kern w:val="28"/>
              </w:rPr>
              <w:t>联系电话：</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。请投标人在上述时间内提供样品并按规定位置安装完毕。超过截止时间的，采购人或采购代理机构将不予接收，并将清场并封闭样品现场。</w:t>
            </w:r>
          </w:p>
          <w:p>
            <w:pPr>
              <w:spacing w:line="276" w:lineRule="auto"/>
              <w:rPr>
                <w:rFonts w:ascii="Times New Roman" w:hAnsi="Times New Roman" w:eastAsia="宋体" w:cs="Times New Roman"/>
                <w:color w:val="auto"/>
              </w:rPr>
            </w:pPr>
            <w:r>
              <w:rPr>
                <w:rFonts w:ascii="Times New Roman" w:hAnsi="Times New Roman" w:eastAsia="宋体" w:cs="Times New Roman"/>
                <w:color w:val="auto"/>
              </w:rPr>
              <w:t xml:space="preserve"> </w:t>
            </w:r>
            <w:r>
              <w:rPr>
                <w:rFonts w:hint="eastAsia" w:ascii="Times New Roman" w:hAnsi="Times New Roman" w:eastAsia="宋体" w:cs="Times New Roman"/>
                <w:color w:val="auto"/>
              </w:rPr>
              <w:t>（6）</w:t>
            </w:r>
            <w:r>
              <w:rPr>
                <w:rFonts w:ascii="Times New Roman" w:hAnsi="Times New Roman" w:eastAsia="宋体" w:cs="Times New Roman"/>
                <w:color w:val="auto"/>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276" w:lineRule="auto"/>
              <w:rPr>
                <w:rFonts w:ascii="Times New Roman" w:hAnsi="Times New Roman" w:eastAsia="宋体" w:cs="Times New Roman"/>
                <w:color w:val="auto"/>
              </w:rPr>
            </w:pPr>
            <w:r>
              <w:rPr>
                <w:rFonts w:ascii="Times New Roman" w:hAnsi="Times New Roman" w:eastAsia="宋体" w:cs="Times New Roman"/>
                <w:color w:val="auto"/>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13</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方案讲解演示</w:t>
            </w:r>
          </w:p>
        </w:tc>
        <w:tc>
          <w:tcPr>
            <w:tcW w:w="7035" w:type="dxa"/>
            <w:noWrap w:val="0"/>
            <w:vAlign w:val="center"/>
          </w:tcPr>
          <w:p>
            <w:pPr>
              <w:spacing w:line="276" w:lineRule="auto"/>
              <w:rPr>
                <w:rFonts w:ascii="Times New Roman" w:hAnsi="Times New Roman" w:eastAsia="仿宋_GB2312" w:cs="Times New Roman"/>
                <w:color w:val="auto"/>
              </w:rPr>
            </w:pPr>
            <w:r>
              <w:rPr>
                <w:rFonts w:ascii="Segoe UI Symbol" w:hAnsi="Segoe UI Symbol" w:eastAsia="仿宋_GB2312" w:cs="Segoe UI Symbol"/>
                <w:color w:val="auto"/>
              </w:rPr>
              <w:t>☑</w:t>
            </w:r>
            <w:r>
              <w:rPr>
                <w:rFonts w:ascii="Times New Roman" w:hAnsi="Times New Roman" w:eastAsia="宋体" w:cs="Times New Roman"/>
                <w:color w:val="auto"/>
              </w:rPr>
              <w:t>A</w:t>
            </w:r>
            <w:r>
              <w:rPr>
                <w:rFonts w:hint="eastAsia" w:ascii="Times New Roman" w:hAnsi="Times New Roman" w:eastAsia="宋体" w:cs="Times New Roman"/>
                <w:color w:val="auto"/>
              </w:rPr>
              <w:t>不组织。</w:t>
            </w:r>
          </w:p>
          <w:p>
            <w:pPr>
              <w:spacing w:line="276" w:lineRule="auto"/>
              <w:rPr>
                <w:rFonts w:ascii="Times New Roman" w:hAnsi="Times New Roman" w:eastAsia="仿宋_GB2312" w:cs="Times New Roman"/>
                <w:color w:val="auto"/>
              </w:rPr>
            </w:pPr>
            <w:r>
              <w:rPr>
                <w:rFonts w:ascii="Segoe UI Symbol" w:hAnsi="Segoe UI Symbol" w:eastAsia="仿宋_GB2312" w:cs="Segoe UI Symbol"/>
                <w:color w:val="auto"/>
              </w:rPr>
              <w:t>☐</w:t>
            </w:r>
            <w:r>
              <w:rPr>
                <w:rFonts w:ascii="Times New Roman" w:hAnsi="Times New Roman" w:eastAsia="宋体" w:cs="Times New Roman"/>
                <w:color w:val="auto"/>
              </w:rPr>
              <w:t>B</w:t>
            </w:r>
            <w:r>
              <w:rPr>
                <w:rFonts w:hint="eastAsia" w:ascii="Times New Roman" w:hAnsi="Times New Roman" w:eastAsia="宋体" w:cs="Times New Roman"/>
                <w:color w:val="auto"/>
              </w:rPr>
              <w:t>组织。</w:t>
            </w:r>
          </w:p>
          <w:p>
            <w:pPr>
              <w:snapToGrid w:val="0"/>
              <w:spacing w:line="276" w:lineRule="auto"/>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）在评标时安排每个投标人进行方案讲解演示。每个投标人时间不超过</w:t>
            </w:r>
            <w:r>
              <w:rPr>
                <w:rFonts w:ascii="Times New Roman" w:hAnsi="Times New Roman" w:eastAsia="宋体" w:cs="Times New Roman"/>
                <w:color w:val="auto"/>
              </w:rPr>
              <w:t>20</w:t>
            </w:r>
            <w:r>
              <w:rPr>
                <w:rFonts w:hint="eastAsia" w:ascii="Times New Roman" w:hAnsi="Times New Roman" w:eastAsia="宋体" w:cs="Times New Roman"/>
                <w:color w:val="auto"/>
              </w:rPr>
              <w:t>分钟，讲解次序以投标文件解密时间先后次序为准。</w:t>
            </w:r>
          </w:p>
          <w:p>
            <w:pPr>
              <w:snapToGrid w:val="0"/>
              <w:spacing w:line="276" w:lineRule="auto"/>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）方案讲解方式：钉钉会议远程讲解。各投标人需在投标文件提交截止时间前添加代理公司工作人员钉钉号（</w:t>
            </w:r>
            <w:r>
              <w:rPr>
                <w:rFonts w:ascii="Times New Roman" w:hAnsi="Times New Roman" w:eastAsia="宋体" w:cs="Times New Roman"/>
                <w:color w:val="auto"/>
                <w:u w:val="single"/>
              </w:rPr>
              <w:t xml:space="preserve">           </w:t>
            </w:r>
            <w:r>
              <w:rPr>
                <w:rFonts w:hint="eastAsia" w:ascii="Times New Roman" w:hAnsi="Times New Roman" w:eastAsia="宋体" w:cs="Times New Roman"/>
                <w:color w:val="auto"/>
              </w:rPr>
              <w:t>），添加时请注明“</w:t>
            </w:r>
            <w:r>
              <w:rPr>
                <w:rFonts w:ascii="Times New Roman" w:hAnsi="Times New Roman" w:eastAsia="宋体" w:cs="Times New Roman"/>
                <w:color w:val="auto"/>
              </w:rPr>
              <w:t>**</w:t>
            </w:r>
            <w:r>
              <w:rPr>
                <w:rFonts w:hint="eastAsia" w:ascii="Times New Roman" w:hAnsi="Times New Roman" w:eastAsia="宋体" w:cs="Times New Roman"/>
                <w:color w:val="auto"/>
              </w:rPr>
              <w:t>公司</w:t>
            </w:r>
            <w:r>
              <w:rPr>
                <w:rFonts w:ascii="Times New Roman" w:hAnsi="Times New Roman" w:eastAsia="宋体" w:cs="Times New Roman"/>
                <w:color w:val="auto"/>
              </w:rPr>
              <w:t>***</w:t>
            </w:r>
            <w:r>
              <w:rPr>
                <w:rFonts w:hint="eastAsia" w:ascii="Times New Roman" w:hAnsi="Times New Roman" w:eastAsia="宋体" w:cs="Times New Roman"/>
                <w:color w:val="auto"/>
              </w:rPr>
              <w:t>项目”；开启文件后，由代理公司工作人员分别组建钉钉会议，逐一进行远程讲解。</w:t>
            </w:r>
          </w:p>
          <w:p>
            <w:pPr>
              <w:spacing w:line="276" w:lineRule="auto"/>
              <w:rPr>
                <w:rFonts w:ascii="Times New Roman" w:hAnsi="Times New Roman" w:eastAsia="宋体" w:cs="Times New Roman"/>
                <w:color w:val="auto"/>
              </w:rPr>
            </w:pPr>
            <w:r>
              <w:rPr>
                <w:rFonts w:hint="eastAsia" w:ascii="Times New Roman" w:hAnsi="Times New Roman" w:eastAsia="宋体" w:cs="Times New Roman"/>
                <w:color w:val="auto"/>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14</w:t>
            </w:r>
          </w:p>
        </w:tc>
        <w:tc>
          <w:tcPr>
            <w:tcW w:w="2076" w:type="dxa"/>
            <w:noWrap w:val="0"/>
            <w:vAlign w:val="center"/>
          </w:tcPr>
          <w:p>
            <w:pPr>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政府采购优惠政策</w:t>
            </w:r>
          </w:p>
        </w:tc>
        <w:tc>
          <w:tcPr>
            <w:tcW w:w="7035" w:type="dxa"/>
            <w:noWrap w:val="0"/>
            <w:vAlign w:val="center"/>
          </w:tcPr>
          <w:p>
            <w:pPr>
              <w:snapToGrid w:val="0"/>
              <w:spacing w:line="276" w:lineRule="auto"/>
              <w:rPr>
                <w:rFonts w:ascii="Times New Roman" w:hAnsi="Times New Roman" w:eastAsia="宋体" w:cs="Times New Roman"/>
                <w:bCs/>
                <w:color w:val="auto"/>
              </w:rPr>
            </w:pPr>
            <w:r>
              <w:rPr>
                <w:rFonts w:ascii="Times New Roman" w:hAnsi="Times New Roman" w:eastAsia="宋体" w:cs="Times New Roman"/>
                <w:bCs/>
                <w:color w:val="auto"/>
              </w:rPr>
              <w:t>（1）根据财政部、发展改革委、生态环境部等部门发布的节能产品品目清单（财库〔2019〕19号）且提供国家确定的认证机构出具的、处于有效期之内的节能产品认证证书的，在</w:t>
            </w:r>
            <w:r>
              <w:rPr>
                <w:rFonts w:hint="eastAsia" w:ascii="Times New Roman" w:hAnsi="Times New Roman" w:eastAsia="宋体" w:cs="Times New Roman"/>
                <w:bCs/>
                <w:color w:val="auto"/>
              </w:rPr>
              <w:t>商务</w:t>
            </w:r>
            <w:r>
              <w:rPr>
                <w:rFonts w:ascii="Times New Roman" w:hAnsi="Times New Roman" w:eastAsia="宋体" w:cs="Times New Roman"/>
                <w:bCs/>
                <w:color w:val="auto"/>
              </w:rPr>
              <w:t>技术评分时给予相应分值。</w:t>
            </w:r>
          </w:p>
          <w:p>
            <w:pPr>
              <w:snapToGrid w:val="0"/>
              <w:spacing w:line="276" w:lineRule="auto"/>
              <w:rPr>
                <w:rFonts w:hint="eastAsia" w:ascii="Times New Roman" w:hAnsi="Times New Roman" w:eastAsia="宋体" w:cs="Times New Roman"/>
                <w:bCs/>
                <w:color w:val="auto"/>
              </w:rPr>
            </w:pPr>
            <w:r>
              <w:rPr>
                <w:rFonts w:ascii="Times New Roman" w:hAnsi="Times New Roman" w:eastAsia="宋体" w:cs="Times New Roman"/>
                <w:bCs/>
                <w:color w:val="auto"/>
              </w:rPr>
              <w:t>（2）根据财政部、发展改革委、生态环境部等部门发布的节能产品品目清单（财库〔2019〕19号）且提供国家确定的认证机构出具的、处于有效期之内的环境标志产品认证证书的，在</w:t>
            </w:r>
            <w:r>
              <w:rPr>
                <w:rFonts w:hint="eastAsia" w:ascii="Times New Roman" w:hAnsi="Times New Roman" w:eastAsia="宋体" w:cs="Times New Roman"/>
                <w:bCs/>
                <w:color w:val="auto"/>
              </w:rPr>
              <w:t>商务</w:t>
            </w:r>
            <w:r>
              <w:rPr>
                <w:rFonts w:ascii="Times New Roman" w:hAnsi="Times New Roman" w:eastAsia="宋体" w:cs="Times New Roman"/>
                <w:bCs/>
                <w:color w:val="auto"/>
              </w:rPr>
              <w:t>技术</w:t>
            </w:r>
            <w:r>
              <w:rPr>
                <w:rFonts w:hint="eastAsia" w:ascii="Times New Roman" w:hAnsi="Times New Roman" w:eastAsia="宋体" w:cs="Times New Roman"/>
                <w:bCs/>
                <w:color w:val="auto"/>
              </w:rPr>
              <w:t>评分时给予相应分值。</w:t>
            </w:r>
          </w:p>
          <w:p>
            <w:pPr>
              <w:snapToGrid w:val="0"/>
              <w:spacing w:line="276" w:lineRule="auto"/>
              <w:rPr>
                <w:rFonts w:hint="eastAsia" w:ascii="Times New Roman" w:hAnsi="Times New Roman" w:eastAsia="宋体" w:cs="Times New Roman"/>
                <w:bCs/>
                <w:color w:val="auto"/>
              </w:rPr>
            </w:pPr>
            <w:r>
              <w:rPr>
                <w:rFonts w:hint="eastAsia" w:ascii="Times New Roman" w:hAnsi="Times New Roman" w:eastAsia="宋体" w:cs="Times New Roman"/>
                <w:bCs/>
                <w:color w:val="auto"/>
              </w:rPr>
              <w:t>（3）根据财库[2020]46 号文件《政府采购促进中小企业发展管理办法》的要求，对小型和微型企业服务的价格给予20%扣除，用扣除后的价格参与评审（需主动提供小微企业声明函，否则不予扣）。监狱企业提供由省级以上监狱管理局、戒毒管理局（含新疆生产建设兵团）出具的监狱企业的证明文件视同小微企业，残疾人福利性企业提供《残疾人福利性单位声明函》的视同小微企业，同样享受上述优惠扣除。（备注：专门面向中小企业采购的项目，不再执行价格评审优惠的扶持政策）</w:t>
            </w:r>
          </w:p>
          <w:p>
            <w:pPr>
              <w:snapToGrid w:val="0"/>
              <w:spacing w:line="276" w:lineRule="auto"/>
              <w:rPr>
                <w:rFonts w:hint="eastAsia" w:ascii="Times New Roman" w:hAnsi="Times New Roman" w:eastAsia="宋体" w:cs="Times New Roman"/>
                <w:bCs/>
                <w:color w:val="auto"/>
              </w:rPr>
            </w:pPr>
            <w:r>
              <w:rPr>
                <w:rFonts w:hint="eastAsia" w:ascii="Times New Roman" w:hAnsi="Times New Roman" w:eastAsia="宋体" w:cs="Times New Roman"/>
                <w:bCs/>
                <w:color w:val="auto"/>
              </w:rPr>
              <w:t>（4）支持创新发展。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中小企业信用融资</w:t>
            </w:r>
          </w:p>
        </w:tc>
        <w:tc>
          <w:tcPr>
            <w:tcW w:w="7035" w:type="dxa"/>
            <w:noWrap w:val="0"/>
            <w:vAlign w:val="center"/>
          </w:tcPr>
          <w:p>
            <w:pPr>
              <w:autoSpaceDE w:val="0"/>
              <w:autoSpaceDN w:val="0"/>
              <w:adjustRightInd w:val="0"/>
              <w:spacing w:line="276" w:lineRule="auto"/>
              <w:rPr>
                <w:rFonts w:ascii="Times New Roman" w:hAnsi="Times New Roman" w:eastAsia="宋体" w:cs="Times New Roman"/>
                <w:color w:val="auto"/>
              </w:rPr>
            </w:pPr>
            <w:r>
              <w:rPr>
                <w:rFonts w:ascii="Times New Roman" w:hAnsi="Times New Roman" w:eastAsia="宋体" w:cs="Times New Roman"/>
                <w:color w:val="auto"/>
              </w:rPr>
              <w:t>为支持和促进中小企业发展，进一步发挥政府采购政策功能，浙江省财政厅出台浙财采监〔2020〕3 号文件，企业若有购买保险/保函或者融资意向，可登录政采云平台融资服务（https</w:t>
            </w:r>
            <w:r>
              <w:rPr>
                <w:rFonts w:hint="eastAsia" w:ascii="Times New Roman" w:hAnsi="Times New Roman" w:eastAsia="宋体" w:cs="Times New Roman"/>
                <w:color w:val="auto"/>
              </w:rPr>
              <w:t>：</w:t>
            </w:r>
            <w:r>
              <w:rPr>
                <w:rFonts w:ascii="Times New Roman" w:hAnsi="Times New Roman" w:eastAsia="宋体" w:cs="Times New Roman"/>
                <w:color w:val="auto"/>
              </w:rPr>
              <w:t>//jinrong.zcygov.cn/），查看相应融资政策文件及各相关服务方案，咨询热线400-903-9583。</w:t>
            </w:r>
          </w:p>
          <w:p>
            <w:pPr>
              <w:autoSpaceDE w:val="0"/>
              <w:autoSpaceDN w:val="0"/>
              <w:adjustRightInd w:val="0"/>
              <w:spacing w:line="276" w:lineRule="auto"/>
              <w:rPr>
                <w:rFonts w:ascii="Times New Roman" w:hAnsi="Times New Roman" w:eastAsia="宋体" w:cs="Times New Roman"/>
                <w:color w:val="auto"/>
              </w:rPr>
            </w:pPr>
            <w:r>
              <w:rPr>
                <w:rFonts w:ascii="Times New Roman" w:hAnsi="Times New Roman" w:eastAsia="宋体" w:cs="Times New Roman"/>
                <w:color w:val="auto"/>
              </w:rPr>
              <w:t>为扩大政府采购金融服务面，除政采云网上金融服务合作银行外，金华市范围增加线下合作银行两家，具体信息如下：</w:t>
            </w:r>
          </w:p>
          <w:p>
            <w:pPr>
              <w:autoSpaceDE w:val="0"/>
              <w:autoSpaceDN w:val="0"/>
              <w:adjustRightInd w:val="0"/>
              <w:spacing w:line="276" w:lineRule="auto"/>
              <w:rPr>
                <w:rFonts w:ascii="Times New Roman" w:hAnsi="Times New Roman" w:eastAsia="宋体" w:cs="Times New Roman"/>
                <w:color w:val="auto"/>
              </w:rPr>
            </w:pPr>
            <w:r>
              <w:rPr>
                <w:rFonts w:ascii="Times New Roman" w:hAnsi="Times New Roman" w:eastAsia="宋体" w:cs="Times New Roman"/>
                <w:color w:val="auto"/>
              </w:rPr>
              <w:t>金华银行文创支行  联系人：</w:t>
            </w:r>
            <w:r>
              <w:rPr>
                <w:rFonts w:hint="eastAsia" w:ascii="Times New Roman" w:hAnsi="Times New Roman" w:eastAsia="宋体" w:cs="Times New Roman"/>
                <w:color w:val="auto"/>
              </w:rPr>
              <w:t>姜峰</w:t>
            </w:r>
          </w:p>
          <w:p>
            <w:pPr>
              <w:autoSpaceDE w:val="0"/>
              <w:autoSpaceDN w:val="0"/>
              <w:adjustRightInd w:val="0"/>
              <w:spacing w:line="276" w:lineRule="auto"/>
              <w:rPr>
                <w:rFonts w:ascii="Times New Roman" w:hAnsi="Times New Roman" w:eastAsia="宋体" w:cs="Times New Roman"/>
                <w:color w:val="auto"/>
              </w:rPr>
            </w:pPr>
            <w:r>
              <w:rPr>
                <w:rFonts w:ascii="Times New Roman" w:hAnsi="Times New Roman" w:eastAsia="宋体" w:cs="Times New Roman"/>
                <w:color w:val="auto"/>
              </w:rPr>
              <w:t>联系电话：</w:t>
            </w:r>
            <w:r>
              <w:rPr>
                <w:rFonts w:hint="eastAsia" w:ascii="Times New Roman" w:hAnsi="Times New Roman" w:eastAsia="宋体" w:cs="Times New Roman"/>
                <w:color w:val="auto"/>
              </w:rPr>
              <w:t>13905792828</w:t>
            </w:r>
            <w:r>
              <w:rPr>
                <w:rFonts w:ascii="Times New Roman" w:hAnsi="Times New Roman" w:eastAsia="宋体" w:cs="Times New Roman"/>
                <w:color w:val="auto"/>
              </w:rPr>
              <w:t xml:space="preserve">   0579-82479020</w:t>
            </w:r>
          </w:p>
          <w:p>
            <w:pPr>
              <w:autoSpaceDE w:val="0"/>
              <w:autoSpaceDN w:val="0"/>
              <w:adjustRightInd w:val="0"/>
              <w:spacing w:line="276" w:lineRule="auto"/>
              <w:rPr>
                <w:rFonts w:ascii="Times New Roman" w:hAnsi="Times New Roman" w:eastAsia="宋体" w:cs="Times New Roman"/>
                <w:color w:val="auto"/>
              </w:rPr>
            </w:pPr>
            <w:r>
              <w:rPr>
                <w:rFonts w:ascii="Times New Roman" w:hAnsi="Times New Roman" w:eastAsia="宋体" w:cs="Times New Roman"/>
                <w:color w:val="auto"/>
              </w:rPr>
              <w:t xml:space="preserve">浙商银行金华分行   联系人：朱晨祥 </w:t>
            </w:r>
          </w:p>
          <w:p>
            <w:pPr>
              <w:autoSpaceDE w:val="0"/>
              <w:autoSpaceDN w:val="0"/>
              <w:adjustRightInd w:val="0"/>
              <w:spacing w:line="276" w:lineRule="auto"/>
              <w:rPr>
                <w:rFonts w:ascii="Times New Roman" w:hAnsi="Times New Roman" w:eastAsia="宋体" w:cs="Times New Roman"/>
                <w:color w:val="auto"/>
              </w:rPr>
            </w:pPr>
            <w:r>
              <w:rPr>
                <w:rFonts w:ascii="Times New Roman" w:hAnsi="Times New Roman" w:eastAsia="宋体" w:cs="Times New Roman"/>
                <w:color w:val="auto"/>
              </w:rPr>
              <w:t>联系电话：15857978811    0579-82999581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3" w:type="dxa"/>
            <w:noWrap w:val="0"/>
            <w:vAlign w:val="center"/>
          </w:tcPr>
          <w:p>
            <w:pPr>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16</w:t>
            </w:r>
          </w:p>
        </w:tc>
        <w:tc>
          <w:tcPr>
            <w:tcW w:w="2076" w:type="dxa"/>
            <w:noWrap w:val="0"/>
            <w:vAlign w:val="center"/>
          </w:tcPr>
          <w:p>
            <w:pPr>
              <w:widowControl w:val="0"/>
              <w:snapToGrid w:val="0"/>
              <w:spacing w:line="276" w:lineRule="auto"/>
              <w:jc w:val="center"/>
              <w:textAlignment w:val="bottom"/>
              <w:rPr>
                <w:rFonts w:hint="eastAsia" w:ascii="Times New Roman" w:hAnsi="Times New Roman" w:eastAsia="宋体" w:cs="Times New Roman"/>
                <w:color w:val="auto"/>
                <w:kern w:val="2"/>
              </w:rPr>
            </w:pPr>
            <w:r>
              <w:rPr>
                <w:rFonts w:ascii="Times New Roman" w:hAnsi="Times New Roman" w:eastAsia="宋体" w:cs="Times New Roman"/>
                <w:color w:val="auto"/>
              </w:rPr>
              <w:t>备份投标文件</w:t>
            </w:r>
            <w:r>
              <w:rPr>
                <w:rFonts w:hint="eastAsia" w:ascii="Times New Roman" w:hAnsi="Times New Roman" w:eastAsia="宋体" w:cs="Times New Roman"/>
                <w:color w:val="auto"/>
              </w:rPr>
              <w:t>递交事项</w:t>
            </w:r>
          </w:p>
        </w:tc>
        <w:tc>
          <w:tcPr>
            <w:tcW w:w="7035" w:type="dxa"/>
            <w:noWrap w:val="0"/>
            <w:vAlign w:val="center"/>
          </w:tcPr>
          <w:p>
            <w:pPr>
              <w:widowControl w:val="0"/>
              <w:snapToGrid w:val="0"/>
              <w:spacing w:line="276" w:lineRule="auto"/>
              <w:jc w:val="both"/>
              <w:textAlignment w:val="bottom"/>
              <w:rPr>
                <w:rFonts w:ascii="Times New Roman" w:hAnsi="Times New Roman" w:eastAsia="宋体" w:cs="Times New Roman"/>
                <w:b/>
                <w:bCs/>
                <w:color w:val="auto"/>
                <w:kern w:val="2"/>
              </w:rPr>
            </w:pPr>
            <w:r>
              <w:rPr>
                <w:rFonts w:ascii="Times New Roman" w:hAnsi="Times New Roman" w:eastAsia="宋体" w:cs="Times New Roman"/>
                <w:b/>
                <w:bCs/>
                <w:color w:val="auto"/>
                <w:kern w:val="2"/>
              </w:rPr>
              <w:t>备份</w:t>
            </w:r>
            <w:r>
              <w:rPr>
                <w:rFonts w:hint="eastAsia" w:ascii="Times New Roman" w:hAnsi="Times New Roman" w:eastAsia="宋体" w:cs="Times New Roman"/>
                <w:b/>
                <w:bCs/>
                <w:color w:val="auto"/>
                <w:kern w:val="2"/>
              </w:rPr>
              <w:t>投标</w:t>
            </w:r>
            <w:r>
              <w:rPr>
                <w:rFonts w:ascii="Times New Roman" w:hAnsi="Times New Roman" w:eastAsia="宋体" w:cs="Times New Roman"/>
                <w:b/>
                <w:bCs/>
                <w:color w:val="auto"/>
                <w:kern w:val="2"/>
              </w:rPr>
              <w:t>文件</w:t>
            </w:r>
            <w:r>
              <w:rPr>
                <w:rFonts w:hint="eastAsia" w:ascii="Times New Roman" w:hAnsi="Times New Roman" w:eastAsia="宋体" w:cs="Times New Roman"/>
                <w:b/>
                <w:bCs/>
                <w:color w:val="auto"/>
                <w:kern w:val="2"/>
              </w:rPr>
              <w:t>发送</w:t>
            </w:r>
            <w:r>
              <w:rPr>
                <w:rFonts w:ascii="Times New Roman" w:hAnsi="Times New Roman" w:eastAsia="宋体" w:cs="Times New Roman"/>
                <w:b/>
                <w:bCs/>
                <w:color w:val="auto"/>
                <w:kern w:val="2"/>
              </w:rPr>
              <w:t>截止时间：与</w:t>
            </w:r>
            <w:r>
              <w:rPr>
                <w:rFonts w:hint="eastAsia" w:ascii="Times New Roman" w:hAnsi="Times New Roman" w:eastAsia="宋体" w:cs="Times New Roman"/>
                <w:b/>
                <w:bCs/>
                <w:color w:val="auto"/>
                <w:kern w:val="2"/>
              </w:rPr>
              <w:t>投标文件递交截止</w:t>
            </w:r>
            <w:r>
              <w:rPr>
                <w:rFonts w:ascii="Times New Roman" w:hAnsi="Times New Roman" w:eastAsia="宋体" w:cs="Times New Roman"/>
                <w:b/>
                <w:bCs/>
                <w:color w:val="auto"/>
                <w:kern w:val="2"/>
              </w:rPr>
              <w:t>时间一致</w:t>
            </w:r>
          </w:p>
          <w:p>
            <w:pPr>
              <w:widowControl w:val="0"/>
              <w:snapToGrid w:val="0"/>
              <w:spacing w:line="276" w:lineRule="auto"/>
              <w:jc w:val="both"/>
              <w:textAlignment w:val="bottom"/>
              <w:rPr>
                <w:rFonts w:ascii="Times New Roman" w:hAnsi="Times New Roman" w:eastAsia="宋体" w:cs="Times New Roman"/>
                <w:b/>
                <w:bCs/>
                <w:color w:val="auto"/>
                <w:kern w:val="2"/>
              </w:rPr>
            </w:pPr>
            <w:r>
              <w:rPr>
                <w:rFonts w:ascii="Times New Roman" w:hAnsi="Times New Roman" w:eastAsia="宋体" w:cs="Times New Roman"/>
                <w:b/>
                <w:bCs/>
                <w:color w:val="auto"/>
                <w:kern w:val="2"/>
              </w:rPr>
              <w:t>备份</w:t>
            </w:r>
            <w:r>
              <w:rPr>
                <w:rFonts w:hint="eastAsia" w:ascii="Times New Roman" w:hAnsi="Times New Roman" w:eastAsia="宋体" w:cs="Times New Roman"/>
                <w:b/>
                <w:bCs/>
                <w:color w:val="auto"/>
                <w:kern w:val="2"/>
              </w:rPr>
              <w:t>投标</w:t>
            </w:r>
            <w:r>
              <w:rPr>
                <w:rFonts w:ascii="Times New Roman" w:hAnsi="Times New Roman" w:eastAsia="宋体" w:cs="Times New Roman"/>
                <w:b/>
                <w:bCs/>
                <w:color w:val="auto"/>
                <w:kern w:val="2"/>
              </w:rPr>
              <w:t>文件</w:t>
            </w:r>
            <w:r>
              <w:rPr>
                <w:rFonts w:hint="eastAsia" w:ascii="Times New Roman" w:hAnsi="Times New Roman" w:eastAsia="宋体" w:cs="Times New Roman"/>
                <w:b/>
                <w:bCs/>
                <w:color w:val="auto"/>
                <w:kern w:val="2"/>
              </w:rPr>
              <w:t>递交方式</w:t>
            </w:r>
            <w:r>
              <w:rPr>
                <w:rFonts w:ascii="Times New Roman" w:hAnsi="Times New Roman" w:eastAsia="宋体" w:cs="Times New Roman"/>
                <w:b/>
                <w:bCs/>
                <w:color w:val="auto"/>
                <w:kern w:val="2"/>
              </w:rPr>
              <w:t>：</w:t>
            </w:r>
            <w:r>
              <w:rPr>
                <w:rFonts w:hint="eastAsia" w:ascii="Times New Roman" w:hAnsi="Times New Roman" w:eastAsia="宋体" w:cs="Times New Roman"/>
                <w:b/>
                <w:bCs/>
                <w:color w:val="auto"/>
                <w:kern w:val="2"/>
              </w:rPr>
              <w:t>电子文件加密后邮件发送至代理公司邮箱（j</w:t>
            </w:r>
            <w:r>
              <w:rPr>
                <w:rFonts w:ascii="Times New Roman" w:hAnsi="Times New Roman" w:eastAsia="宋体" w:cs="Times New Roman"/>
                <w:b/>
                <w:bCs/>
                <w:color w:val="auto"/>
                <w:kern w:val="2"/>
              </w:rPr>
              <w:t>hygzb</w:t>
            </w:r>
            <w:r>
              <w:rPr>
                <w:rFonts w:hint="eastAsia" w:ascii="Times New Roman" w:hAnsi="Times New Roman" w:eastAsia="宋体" w:cs="Times New Roman"/>
                <w:b/>
                <w:bCs/>
                <w:color w:val="auto"/>
                <w:kern w:val="2"/>
              </w:rPr>
              <w:t>@</w:t>
            </w:r>
            <w:r>
              <w:rPr>
                <w:rFonts w:ascii="Times New Roman" w:hAnsi="Times New Roman" w:eastAsia="宋体" w:cs="Times New Roman"/>
                <w:b/>
                <w:bCs/>
                <w:color w:val="auto"/>
                <w:kern w:val="2"/>
              </w:rPr>
              <w:t>qq.com</w:t>
            </w:r>
            <w:r>
              <w:rPr>
                <w:rFonts w:hint="eastAsia" w:ascii="Times New Roman" w:hAnsi="Times New Roman" w:eastAsia="宋体" w:cs="Times New Roman"/>
                <w:b/>
                <w:bCs/>
                <w:color w:val="auto"/>
                <w:kern w:val="2"/>
              </w:rPr>
              <w:t>），密码在投标文件开启时间后再次发送至邮箱即可。</w:t>
            </w:r>
          </w:p>
          <w:p>
            <w:pPr>
              <w:widowControl w:val="0"/>
              <w:snapToGrid w:val="0"/>
              <w:spacing w:line="276" w:lineRule="auto"/>
              <w:jc w:val="both"/>
              <w:textAlignment w:val="bottom"/>
              <w:rPr>
                <w:rFonts w:hint="eastAsia" w:ascii="Times New Roman" w:hAnsi="Times New Roman" w:eastAsia="宋体" w:cs="Times New Roman"/>
                <w:color w:val="auto"/>
                <w:kern w:val="2"/>
              </w:rPr>
            </w:pPr>
            <w:r>
              <w:rPr>
                <w:rFonts w:ascii="Times New Roman" w:hAnsi="Times New Roman" w:eastAsia="宋体" w:cs="Times New Roman"/>
                <w:color w:val="auto"/>
                <w:kern w:val="2"/>
              </w:rPr>
              <w:t>（1）“电子备份</w:t>
            </w:r>
            <w:r>
              <w:rPr>
                <w:rFonts w:hint="eastAsia" w:ascii="Times New Roman" w:hAnsi="Times New Roman" w:eastAsia="宋体" w:cs="Times New Roman"/>
                <w:color w:val="auto"/>
                <w:kern w:val="2"/>
              </w:rPr>
              <w:t>投标</w:t>
            </w:r>
            <w:r>
              <w:rPr>
                <w:rFonts w:ascii="Times New Roman" w:hAnsi="Times New Roman" w:eastAsia="宋体" w:cs="Times New Roman"/>
                <w:color w:val="auto"/>
                <w:kern w:val="2"/>
              </w:rPr>
              <w:t>文件”须在</w:t>
            </w:r>
            <w:r>
              <w:rPr>
                <w:rFonts w:ascii="Times New Roman" w:hAnsi="Times New Roman" w:eastAsia="宋体" w:cs="Times New Roman"/>
                <w:color w:val="auto"/>
              </w:rPr>
              <w:t>“政采云投标客户端”制作生成。</w:t>
            </w:r>
          </w:p>
          <w:p>
            <w:pPr>
              <w:widowControl w:val="0"/>
              <w:snapToGrid w:val="0"/>
              <w:spacing w:line="276" w:lineRule="auto"/>
              <w:jc w:val="both"/>
              <w:textAlignment w:val="bottom"/>
              <w:rPr>
                <w:rFonts w:ascii="Times New Roman" w:hAnsi="Times New Roman" w:eastAsia="宋体" w:cs="Times New Roman"/>
                <w:color w:val="auto"/>
                <w:kern w:val="2"/>
              </w:rPr>
            </w:pPr>
            <w:r>
              <w:rPr>
                <w:rFonts w:ascii="Times New Roman" w:hAnsi="Times New Roman" w:eastAsia="宋体" w:cs="Times New Roman"/>
                <w:color w:val="auto"/>
                <w:kern w:val="2"/>
              </w:rPr>
              <w:t>（2）</w:t>
            </w:r>
            <w:r>
              <w:rPr>
                <w:rFonts w:hint="eastAsia" w:ascii="Times New Roman" w:hAnsi="Times New Roman" w:eastAsia="宋体" w:cs="Times New Roman"/>
                <w:color w:val="auto"/>
                <w:kern w:val="2"/>
              </w:rPr>
              <w:t>投标</w:t>
            </w:r>
            <w:r>
              <w:rPr>
                <w:rFonts w:ascii="Times New Roman" w:hAnsi="Times New Roman" w:eastAsia="宋体" w:cs="Times New Roman"/>
                <w:color w:val="auto"/>
                <w:kern w:val="2"/>
              </w:rPr>
              <w:t>文件递交截止时间前，</w:t>
            </w:r>
            <w:r>
              <w:rPr>
                <w:rFonts w:hint="eastAsia" w:ascii="Times New Roman" w:hAnsi="Times New Roman" w:eastAsia="宋体" w:cs="Times New Roman"/>
                <w:color w:val="auto"/>
                <w:kern w:val="2"/>
              </w:rPr>
              <w:t>投标人</w:t>
            </w:r>
            <w:r>
              <w:rPr>
                <w:rFonts w:ascii="Times New Roman" w:hAnsi="Times New Roman" w:eastAsia="宋体" w:cs="Times New Roman"/>
                <w:color w:val="auto"/>
                <w:kern w:val="2"/>
              </w:rPr>
              <w:t>仅递交了“电子备份响应文件”而未将“电子加密响应文件”上传至“政府采购云平台”的，</w:t>
            </w:r>
            <w:r>
              <w:rPr>
                <w:rFonts w:hint="eastAsia" w:ascii="Times New Roman" w:hAnsi="Times New Roman" w:eastAsia="宋体" w:cs="Times New Roman"/>
                <w:color w:val="auto"/>
                <w:kern w:val="2"/>
              </w:rPr>
              <w:t>投标</w:t>
            </w:r>
            <w:r>
              <w:rPr>
                <w:rFonts w:ascii="Times New Roman" w:hAnsi="Times New Roman" w:eastAsia="宋体" w:cs="Times New Roman"/>
                <w:color w:val="auto"/>
                <w:kern w:val="2"/>
              </w:rPr>
              <w:t>无效。</w:t>
            </w:r>
          </w:p>
          <w:p>
            <w:pPr>
              <w:widowControl w:val="0"/>
              <w:adjustRightInd w:val="0"/>
              <w:snapToGrid w:val="0"/>
              <w:spacing w:line="276" w:lineRule="auto"/>
              <w:rPr>
                <w:rFonts w:ascii="Times New Roman" w:hAnsi="Times New Roman" w:eastAsia="宋体" w:cs="Times New Roman"/>
                <w:color w:val="auto"/>
                <w:kern w:val="2"/>
              </w:rPr>
            </w:pPr>
            <w:r>
              <w:rPr>
                <w:rFonts w:ascii="Times New Roman" w:hAnsi="Times New Roman" w:eastAsia="宋体" w:cs="Times New Roman"/>
                <w:color w:val="auto"/>
                <w:kern w:val="2"/>
              </w:rPr>
              <w:t>（3）“电子备份</w:t>
            </w:r>
            <w:r>
              <w:rPr>
                <w:rFonts w:hint="eastAsia" w:ascii="Times New Roman" w:hAnsi="Times New Roman" w:eastAsia="宋体" w:cs="Times New Roman"/>
                <w:color w:val="auto"/>
                <w:kern w:val="2"/>
              </w:rPr>
              <w:t>投标</w:t>
            </w:r>
            <w:r>
              <w:rPr>
                <w:rFonts w:ascii="Times New Roman" w:hAnsi="Times New Roman" w:eastAsia="宋体" w:cs="Times New Roman"/>
                <w:color w:val="auto"/>
                <w:kern w:val="2"/>
              </w:rPr>
              <w:t>文件”为非强制性要求，但如遇</w:t>
            </w:r>
            <w:r>
              <w:rPr>
                <w:rFonts w:hint="eastAsia" w:ascii="Times New Roman" w:hAnsi="Times New Roman" w:eastAsia="宋体" w:cs="Times New Roman"/>
                <w:color w:val="auto"/>
                <w:kern w:val="2"/>
              </w:rPr>
              <w:t>投标人</w:t>
            </w:r>
            <w:r>
              <w:rPr>
                <w:rFonts w:ascii="Times New Roman" w:hAnsi="Times New Roman" w:eastAsia="宋体" w:cs="Times New Roman"/>
                <w:color w:val="auto"/>
                <w:kern w:val="2"/>
              </w:rPr>
              <w:t>未按时解密成功且未提供“电子备份</w:t>
            </w:r>
            <w:r>
              <w:rPr>
                <w:rFonts w:hint="eastAsia" w:ascii="Times New Roman" w:hAnsi="Times New Roman" w:eastAsia="宋体" w:cs="Times New Roman"/>
                <w:color w:val="auto"/>
                <w:kern w:val="2"/>
              </w:rPr>
              <w:t>投标</w:t>
            </w:r>
            <w:r>
              <w:rPr>
                <w:rFonts w:ascii="Times New Roman" w:hAnsi="Times New Roman" w:eastAsia="宋体" w:cs="Times New Roman"/>
                <w:color w:val="auto"/>
                <w:kern w:val="2"/>
              </w:rPr>
              <w:t>文件”的，作</w:t>
            </w:r>
            <w:r>
              <w:rPr>
                <w:rFonts w:hint="eastAsia" w:ascii="Times New Roman" w:hAnsi="Times New Roman" w:eastAsia="宋体" w:cs="Times New Roman"/>
                <w:color w:val="auto"/>
                <w:kern w:val="2"/>
              </w:rPr>
              <w:t>投标</w:t>
            </w:r>
            <w:r>
              <w:rPr>
                <w:rFonts w:ascii="Times New Roman" w:hAnsi="Times New Roman" w:eastAsia="宋体" w:cs="Times New Roman"/>
                <w:color w:val="auto"/>
                <w:kern w:val="2"/>
              </w:rPr>
              <w:t>无效处理，后果由</w:t>
            </w:r>
            <w:r>
              <w:rPr>
                <w:rFonts w:hint="eastAsia" w:ascii="Times New Roman" w:hAnsi="Times New Roman" w:eastAsia="宋体" w:cs="Times New Roman"/>
                <w:color w:val="auto"/>
                <w:kern w:val="2"/>
              </w:rPr>
              <w:t>投标人</w:t>
            </w:r>
            <w:r>
              <w:rPr>
                <w:rFonts w:ascii="Times New Roman" w:hAnsi="Times New Roman" w:eastAsia="宋体" w:cs="Times New Roman"/>
                <w:color w:val="auto"/>
                <w:kern w:val="2"/>
              </w:rPr>
              <w:t>自负。</w:t>
            </w:r>
          </w:p>
          <w:p>
            <w:pPr>
              <w:widowControl w:val="0"/>
              <w:adjustRightInd w:val="0"/>
              <w:snapToGrid w:val="0"/>
              <w:spacing w:line="276" w:lineRule="auto"/>
              <w:rPr>
                <w:rFonts w:hint="eastAsia" w:ascii="宋体" w:hAnsi="宋体" w:eastAsia="宋体" w:cs="Times New Roman"/>
                <w:color w:val="auto"/>
                <w:kern w:val="2"/>
              </w:rPr>
            </w:pPr>
            <w:r>
              <w:rPr>
                <w:rFonts w:hint="eastAsia" w:ascii="宋体" w:hAnsi="宋体" w:eastAsia="宋体" w:cs="Times New Roman"/>
                <w:b/>
                <w:color w:val="auto"/>
              </w:rPr>
              <w:t>不符合上述制作、</w:t>
            </w:r>
            <w:r>
              <w:rPr>
                <w:rFonts w:hint="eastAsia" w:ascii="宋体" w:hAnsi="宋体" w:eastAsia="宋体" w:cs="仿宋_GB2312"/>
                <w:b/>
                <w:color w:val="auto"/>
              </w:rPr>
              <w:t>递交时间及递交方式的备份投标文件将被视为无效的</w:t>
            </w:r>
            <w:r>
              <w:rPr>
                <w:rFonts w:ascii="Times New Roman" w:hAnsi="Times New Roman" w:eastAsia="宋体" w:cs="Times New Roman"/>
                <w:b/>
                <w:bCs/>
                <w:color w:val="auto"/>
                <w:kern w:val="2"/>
              </w:rPr>
              <w:t>备份</w:t>
            </w:r>
            <w:r>
              <w:rPr>
                <w:rFonts w:hint="eastAsia" w:ascii="Times New Roman" w:hAnsi="Times New Roman" w:eastAsia="宋体" w:cs="Times New Roman"/>
                <w:b/>
                <w:bCs/>
                <w:color w:val="auto"/>
                <w:kern w:val="2"/>
              </w:rPr>
              <w:t>投标</w:t>
            </w:r>
            <w:r>
              <w:rPr>
                <w:rFonts w:ascii="Times New Roman" w:hAnsi="Times New Roman" w:eastAsia="宋体" w:cs="Times New Roman"/>
                <w:b/>
                <w:bCs/>
                <w:color w:val="auto"/>
                <w:kern w:val="2"/>
              </w:rPr>
              <w:t>文件</w:t>
            </w:r>
            <w:r>
              <w:rPr>
                <w:rFonts w:hint="eastAsia" w:ascii="宋体" w:hAnsi="宋体" w:eastAsia="宋体" w:cs="仿宋_GB2312"/>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17</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答疑与澄清</w:t>
            </w:r>
          </w:p>
        </w:tc>
        <w:tc>
          <w:tcPr>
            <w:tcW w:w="7035" w:type="dxa"/>
            <w:noWrap w:val="0"/>
            <w:vAlign w:val="center"/>
          </w:tcPr>
          <w:p>
            <w:pPr>
              <w:widowControl w:val="0"/>
              <w:adjustRightInd w:val="0"/>
              <w:snapToGrid w:val="0"/>
              <w:spacing w:line="276" w:lineRule="auto"/>
              <w:rPr>
                <w:rFonts w:ascii="Times New Roman" w:hAnsi="Times New Roman" w:eastAsia="宋体" w:cs="Times New Roman"/>
                <w:color w:val="auto"/>
              </w:rPr>
            </w:pPr>
            <w:r>
              <w:rPr>
                <w:rFonts w:ascii="Times New Roman" w:hAnsi="Times New Roman" w:eastAsia="宋体" w:cs="Times New Roman"/>
                <w:color w:val="auto"/>
              </w:rPr>
              <w:t>投标人如认为公开招标文件表述不清晰、存在歧视性、排他性或者其他违法内容的，可以自获取招标文件之日（招标文件公告期限届满之后获取招标文件的以公告期限届满之日起计算）起7个工作日内，以书面形式向采购人和采购代理机构提出质疑；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color w:val="auto"/>
              </w:rPr>
            </w:pPr>
            <w:r>
              <w:rPr>
                <w:rFonts w:ascii="Times New Roman" w:hAnsi="Times New Roman" w:eastAsia="宋体" w:cs="Times New Roman"/>
                <w:color w:val="auto"/>
              </w:rPr>
              <w:t>特别说明</w:t>
            </w:r>
          </w:p>
        </w:tc>
        <w:tc>
          <w:tcPr>
            <w:tcW w:w="7035" w:type="dxa"/>
            <w:noWrap w:val="0"/>
            <w:vAlign w:val="center"/>
          </w:tcPr>
          <w:p>
            <w:pPr>
              <w:widowControl w:val="0"/>
              <w:adjustRightInd w:val="0"/>
              <w:snapToGrid w:val="0"/>
              <w:spacing w:line="276" w:lineRule="auto"/>
              <w:rPr>
                <w:rFonts w:ascii="Times New Roman" w:hAnsi="Times New Roman" w:eastAsia="宋体" w:cs="Times New Roman"/>
                <w:color w:val="auto"/>
              </w:rPr>
            </w:pPr>
            <w:r>
              <w:rPr>
                <w:rFonts w:ascii="Times New Roman" w:hAnsi="Times New Roman" w:eastAsia="宋体" w:cs="Times New Roman"/>
                <w:color w:val="auto"/>
              </w:rPr>
              <w:t>当招标文件中的内容与前附表规定不一致时，以前附表规定为准。</w:t>
            </w:r>
          </w:p>
        </w:tc>
      </w:tr>
    </w:tbl>
    <w:p>
      <w:pPr>
        <w:spacing w:line="360" w:lineRule="auto"/>
        <w:rPr>
          <w:rFonts w:ascii="宋体" w:hAnsi="宋体"/>
          <w:color w:val="auto"/>
        </w:rPr>
        <w:sectPr>
          <w:pgSz w:w="11906" w:h="16838"/>
          <w:pgMar w:top="1258" w:right="1286" w:bottom="1361" w:left="1620" w:header="709" w:footer="971" w:gutter="0"/>
          <w:cols w:space="720" w:num="1"/>
          <w:docGrid w:linePitch="360" w:charSpace="0"/>
        </w:sectPr>
      </w:pPr>
    </w:p>
    <w:p>
      <w:pPr>
        <w:pStyle w:val="2"/>
        <w:spacing w:before="120" w:after="240" w:line="240" w:lineRule="auto"/>
        <w:jc w:val="center"/>
        <w:rPr>
          <w:rFonts w:ascii="宋体" w:hAnsi="宋体"/>
          <w:color w:val="auto"/>
        </w:rPr>
      </w:pPr>
      <w:bookmarkStart w:id="46" w:name="_Toc93668161"/>
      <w:r>
        <w:rPr>
          <w:rFonts w:hint="eastAsia" w:ascii="宋体" w:hAnsi="宋体"/>
          <w:color w:val="auto"/>
        </w:rPr>
        <w:t xml:space="preserve">第三章 </w:t>
      </w:r>
      <w:r>
        <w:rPr>
          <w:rFonts w:ascii="宋体" w:hAnsi="宋体"/>
          <w:color w:val="auto"/>
        </w:rPr>
        <w:t xml:space="preserve"> 项目技术规范和要求</w:t>
      </w:r>
      <w:bookmarkEnd w:id="46"/>
    </w:p>
    <w:p>
      <w:pPr>
        <w:spacing w:line="360" w:lineRule="auto"/>
        <w:rPr>
          <w:b/>
          <w:bCs/>
          <w:color w:val="auto"/>
        </w:rPr>
      </w:pPr>
      <w:r>
        <w:rPr>
          <w:b/>
          <w:bCs/>
          <w:color w:val="auto"/>
        </w:rPr>
        <w:t>一、项目概述</w:t>
      </w:r>
    </w:p>
    <w:p>
      <w:pPr>
        <w:spacing w:line="360" w:lineRule="auto"/>
        <w:ind w:firstLine="480" w:firstLineChars="200"/>
        <w:rPr>
          <w:color w:val="auto"/>
        </w:rPr>
      </w:pPr>
      <w:r>
        <w:rPr>
          <w:color w:val="auto"/>
        </w:rPr>
        <w:t>（一）本项目为</w:t>
      </w:r>
      <w:r>
        <w:rPr>
          <w:rFonts w:hint="eastAsia"/>
          <w:color w:val="auto"/>
        </w:rPr>
        <w:t>金东区中医院新建工程净化工程（含医疗气体）设备采购项目</w:t>
      </w:r>
      <w:r>
        <w:rPr>
          <w:color w:val="auto"/>
        </w:rPr>
        <w:t>。</w:t>
      </w:r>
    </w:p>
    <w:p>
      <w:pPr>
        <w:spacing w:line="360" w:lineRule="auto"/>
        <w:ind w:firstLine="480" w:firstLineChars="200"/>
        <w:rPr>
          <w:color w:val="auto"/>
        </w:rPr>
      </w:pPr>
      <w:r>
        <w:rPr>
          <w:color w:val="auto"/>
        </w:rPr>
        <w:t>（二）投标人参加报名后，必须就招标文件中全部货物（服务）进行投标（要约）。</w:t>
      </w:r>
    </w:p>
    <w:p>
      <w:pPr>
        <w:spacing w:line="360" w:lineRule="auto"/>
        <w:ind w:firstLine="480" w:firstLineChars="200"/>
        <w:rPr>
          <w:rFonts w:hint="eastAsia" w:ascii="宋体" w:hAnsi="宋体"/>
          <w:color w:val="auto"/>
        </w:rPr>
      </w:pPr>
      <w:r>
        <w:rPr>
          <w:color w:val="auto"/>
        </w:rPr>
        <w:t>（三）</w:t>
      </w:r>
      <w:r>
        <w:rPr>
          <w:rFonts w:ascii="宋体" w:hAnsi="宋体"/>
          <w:color w:val="auto"/>
        </w:rPr>
        <w:t>本项目所购设备包括但不仅限于招标文件中所列的设备，还应无条件补足未列出的系统运行所必需的配套设备与设施</w:t>
      </w:r>
      <w:r>
        <w:rPr>
          <w:rFonts w:hint="eastAsia" w:ascii="宋体" w:hAnsi="宋体"/>
          <w:color w:val="auto"/>
        </w:rPr>
        <w:t>、基础建设施工等内容，</w:t>
      </w:r>
      <w:r>
        <w:rPr>
          <w:rFonts w:ascii="宋体" w:hAnsi="宋体"/>
          <w:color w:val="auto"/>
        </w:rPr>
        <w:t>且需满足使用要求。</w:t>
      </w:r>
    </w:p>
    <w:p>
      <w:pPr>
        <w:spacing w:line="360" w:lineRule="auto"/>
        <w:ind w:firstLine="480" w:firstLineChars="200"/>
        <w:rPr>
          <w:rFonts w:ascii="宋体" w:hAnsi="宋体"/>
          <w:color w:val="auto"/>
        </w:rPr>
      </w:pPr>
      <w:r>
        <w:rPr>
          <w:rFonts w:hint="eastAsia" w:ascii="宋体" w:hAnsi="宋体"/>
          <w:color w:val="auto"/>
        </w:rPr>
        <w:t>（四）</w:t>
      </w:r>
      <w:r>
        <w:rPr>
          <w:rFonts w:ascii="宋体" w:hAnsi="宋体"/>
          <w:color w:val="auto"/>
        </w:rPr>
        <w:t>投标人在取得中标资格后，须负责设备的安装、调试、测试、技术交底、技术培训、售后服务等一切与中标设备有关的附随服务工作。</w:t>
      </w:r>
      <w:bookmarkStart w:id="47" w:name="_Hlk93996495"/>
    </w:p>
    <w:p>
      <w:pPr>
        <w:spacing w:line="360" w:lineRule="auto"/>
        <w:ind w:firstLine="480" w:firstLineChars="200"/>
        <w:rPr>
          <w:color w:val="auto"/>
        </w:rPr>
      </w:pPr>
      <w:r>
        <w:rPr>
          <w:rFonts w:hint="eastAsia"/>
          <w:color w:val="auto"/>
        </w:rPr>
        <w:t>中标人需严格按照招标文件、投标文件、设计图纸及相关规范标准要求进行施工，主要包括：装饰装修、净化空调安装、给排水、电气、自控、医用气体、射线屏蔽防护等。以更详尽更高要求为准。所有费用均包含在此次报价内，投标人须综合考虑报价。</w:t>
      </w:r>
      <w:r>
        <w:rPr>
          <w:rFonts w:ascii="宋体" w:hAnsi="宋体"/>
          <w:color w:val="auto"/>
        </w:rPr>
        <w:t>本次采购的项目为 “交钥匙工程”。</w:t>
      </w:r>
    </w:p>
    <w:p>
      <w:pPr>
        <w:spacing w:line="360" w:lineRule="auto"/>
        <w:rPr>
          <w:b/>
          <w:bCs/>
          <w:color w:val="auto"/>
        </w:rPr>
      </w:pPr>
      <w:r>
        <w:rPr>
          <w:rFonts w:hint="eastAsia"/>
          <w:b/>
          <w:bCs/>
          <w:color w:val="auto"/>
        </w:rPr>
        <w:t>二、</w:t>
      </w:r>
      <w:r>
        <w:rPr>
          <w:b/>
          <w:bCs/>
          <w:color w:val="auto"/>
        </w:rPr>
        <w:t>采购清单及技术参数要求</w:t>
      </w:r>
    </w:p>
    <w:bookmarkEnd w:id="47"/>
    <w:p>
      <w:pPr>
        <w:spacing w:line="360" w:lineRule="auto"/>
        <w:ind w:firstLine="480" w:firstLineChars="200"/>
        <w:rPr>
          <w:color w:val="auto"/>
        </w:rPr>
      </w:pPr>
      <w:r>
        <w:rPr>
          <w:color w:val="auto"/>
        </w:rPr>
        <w:t>1.提供相同品牌产品（或同品牌核心产品）且通过资格审查、符合性审查的不同投标人参加同一合同项下投标的，按一家投标人计算，评审后得分最高的同品牌（或同品牌核心产品）投标人获得中标人推荐资格；如出现评审得分相同的，则以价格低者推荐为中标人；如出现评审得分、报价均相同时，则以技术得分高者推荐为中标人；如出现三者得分均相同，则采取抽签方式确定，其他同品牌（或同品牌核心产品）投标人不作为中标候选人。核心产品详见前附表。</w:t>
      </w:r>
    </w:p>
    <w:p>
      <w:pPr>
        <w:spacing w:line="360" w:lineRule="auto"/>
        <w:ind w:firstLine="480" w:firstLineChars="200"/>
        <w:rPr>
          <w:color w:val="auto"/>
        </w:rPr>
      </w:pPr>
      <w:r>
        <w:rPr>
          <w:color w:val="auto"/>
        </w:rPr>
        <w:t>2.为有助于投标人选择投标产品，技术要求中提供的推荐品牌或型号</w:t>
      </w:r>
      <w:r>
        <w:rPr>
          <w:rFonts w:hint="eastAsia"/>
          <w:color w:val="auto"/>
        </w:rPr>
        <w:t>（如有）</w:t>
      </w:r>
      <w:r>
        <w:rPr>
          <w:color w:val="auto"/>
        </w:rPr>
        <w:t>仅为建议性要求或为档次选择要求或为代替部分技术指标描述，投标人可选择性能不低于推荐品牌（或型号）的其他品牌产品。</w:t>
      </w:r>
      <w:bookmarkStart w:id="48" w:name="_Hlk93996504"/>
    </w:p>
    <w:p>
      <w:pPr>
        <w:spacing w:line="360" w:lineRule="auto"/>
        <w:ind w:firstLine="482" w:firstLineChars="200"/>
        <w:rPr>
          <w:rFonts w:hint="eastAsia" w:ascii="宋体" w:hAnsi="宋体" w:cs="宋体"/>
          <w:b/>
          <w:color w:val="auto"/>
        </w:rPr>
      </w:pPr>
      <w:r>
        <w:rPr>
          <w:rFonts w:hint="eastAsia" w:ascii="宋体" w:hAnsi="宋体" w:cs="宋体"/>
          <w:b/>
          <w:color w:val="auto"/>
        </w:rPr>
        <w:br w:type="page"/>
      </w:r>
      <w:r>
        <w:rPr>
          <w:rFonts w:hint="eastAsia" w:ascii="宋体" w:hAnsi="宋体" w:cs="宋体"/>
          <w:b/>
          <w:color w:val="auto"/>
        </w:rPr>
        <w:t>技术参数</w:t>
      </w:r>
      <w:r>
        <w:rPr>
          <w:rFonts w:hint="eastAsia" w:ascii="宋体" w:hAnsi="宋体" w:cs="宋体"/>
          <w:b/>
          <w:color w:val="auto"/>
          <w:lang w:val="en-US" w:eastAsia="zh-CN"/>
        </w:rPr>
        <w:t>及要求</w:t>
      </w:r>
      <w:r>
        <w:rPr>
          <w:rFonts w:hint="eastAsia" w:ascii="宋体" w:hAnsi="宋体" w:cs="宋体"/>
          <w:b/>
          <w:color w:val="auto"/>
        </w:rPr>
        <w:t>：</w:t>
      </w:r>
    </w:p>
    <w:p>
      <w:pPr>
        <w:spacing w:line="360" w:lineRule="auto"/>
        <w:ind w:firstLine="562" w:firstLineChars="200"/>
        <w:rPr>
          <w:rFonts w:hint="eastAsia"/>
          <w:b/>
          <w:bCs/>
          <w:color w:val="auto"/>
          <w:sz w:val="28"/>
          <w:szCs w:val="28"/>
        </w:rPr>
      </w:pPr>
      <w:r>
        <w:rPr>
          <w:rFonts w:hint="eastAsia"/>
          <w:b/>
          <w:bCs/>
          <w:color w:val="auto"/>
          <w:sz w:val="28"/>
          <w:szCs w:val="28"/>
        </w:rPr>
        <w:t>第一部分 医疗气体系统</w:t>
      </w:r>
    </w:p>
    <w:p>
      <w:pPr>
        <w:pStyle w:val="25"/>
        <w:widowControl w:val="0"/>
        <w:spacing w:before="0" w:beforeAutospacing="0" w:after="0" w:afterAutospacing="0" w:line="360" w:lineRule="auto"/>
        <w:rPr>
          <w:rFonts w:hint="eastAsia" w:cs="宋体"/>
          <w:b/>
          <w:color w:val="auto"/>
          <w:spacing w:val="-2"/>
        </w:rPr>
      </w:pPr>
      <w:r>
        <w:rPr>
          <w:rFonts w:hint="eastAsia" w:cs="宋体"/>
          <w:b/>
          <w:color w:val="auto"/>
          <w:spacing w:val="-2"/>
          <w:lang w:eastAsia="zh-CN"/>
        </w:rPr>
        <w:t>（</w:t>
      </w:r>
      <w:r>
        <w:rPr>
          <w:rFonts w:hint="eastAsia" w:cs="宋体"/>
          <w:b/>
          <w:color w:val="auto"/>
          <w:spacing w:val="-2"/>
          <w:lang w:val="en-US" w:eastAsia="zh-CN"/>
        </w:rPr>
        <w:t>一</w:t>
      </w:r>
      <w:r>
        <w:rPr>
          <w:rFonts w:hint="eastAsia" w:cs="宋体"/>
          <w:b/>
          <w:color w:val="auto"/>
          <w:spacing w:val="-2"/>
          <w:lang w:eastAsia="zh-CN"/>
        </w:rPr>
        <w:t>）</w:t>
      </w:r>
      <w:r>
        <w:rPr>
          <w:rFonts w:hint="eastAsia" w:cs="宋体"/>
          <w:b/>
          <w:color w:val="auto"/>
          <w:spacing w:val="-2"/>
        </w:rPr>
        <w:t>技术标准</w:t>
      </w:r>
    </w:p>
    <w:p>
      <w:pPr>
        <w:spacing w:line="360" w:lineRule="auto"/>
        <w:ind w:firstLine="480" w:firstLineChars="200"/>
        <w:rPr>
          <w:rFonts w:hint="eastAsia"/>
          <w:color w:val="auto"/>
        </w:rPr>
      </w:pPr>
      <w:r>
        <w:rPr>
          <w:rFonts w:hint="eastAsia"/>
          <w:color w:val="auto"/>
        </w:rPr>
        <w:t>设计依据：《建筑平面图》</w:t>
      </w:r>
    </w:p>
    <w:p>
      <w:pPr>
        <w:spacing w:line="360" w:lineRule="auto"/>
        <w:ind w:firstLine="480" w:firstLineChars="200"/>
        <w:rPr>
          <w:rFonts w:hint="eastAsia"/>
          <w:color w:val="auto"/>
        </w:rPr>
      </w:pPr>
      <w:r>
        <w:rPr>
          <w:rFonts w:hint="eastAsia"/>
          <w:color w:val="auto"/>
        </w:rPr>
        <w:t>技术执行规范：《特种设备安全法》</w:t>
      </w:r>
    </w:p>
    <w:p>
      <w:pPr>
        <w:spacing w:line="360" w:lineRule="auto"/>
        <w:ind w:firstLine="480" w:firstLineChars="200"/>
        <w:rPr>
          <w:rFonts w:hint="eastAsia"/>
          <w:color w:val="auto"/>
        </w:rPr>
      </w:pPr>
      <w:r>
        <w:rPr>
          <w:rFonts w:hint="eastAsia"/>
          <w:color w:val="auto"/>
        </w:rPr>
        <w:t>GB50751-2012《医用气体工程技术规范》</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YY/T0186-94《医用中心吸引系统通用技术条件》</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YY/T0187-94《医用中心供氧系统通用技术条件》</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GB50030-2013《氧气站设计规范》</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GB50316-2000（2008年版）《工业金属管道设计规范》</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GB50235-2010《工业金属管道工程施工规范》</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GB50236-2011《现场设备、工业管道焊接工程施工规范》</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GB150-2011《压力容器》</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GB12241.12243《安全阀标准》（GB567爆破片装置）</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GB/T12241—2021《安全阀一般要求》</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GB50333-2013《医院洁净手术部建筑技术规范》</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GB/T14976-2012《流体输送用不锈钢无缝钢管》</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GB50016-2014（2018年版）《建筑设计防火规范》</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医院提供的病房大楼平面图及要求</w:t>
      </w:r>
    </w:p>
    <w:p>
      <w:pPr>
        <w:widowControl w:val="0"/>
        <w:spacing w:line="360" w:lineRule="auto"/>
        <w:ind w:firstLine="480" w:firstLineChars="200"/>
        <w:jc w:val="both"/>
        <w:rPr>
          <w:rFonts w:hint="eastAsia" w:ascii="宋体" w:hAnsi="宋体" w:cs="宋体"/>
          <w:bCs/>
          <w:color w:val="auto"/>
        </w:rPr>
      </w:pPr>
      <w:r>
        <w:rPr>
          <w:rFonts w:hint="eastAsia" w:ascii="宋体" w:hAnsi="宋体" w:cs="宋体"/>
          <w:bCs/>
          <w:color w:val="auto"/>
        </w:rPr>
        <w:t>说明：以上标准及规范与GB50751-2012相冲突的，以GB50751-2012为准。</w:t>
      </w:r>
    </w:p>
    <w:p>
      <w:pPr>
        <w:pStyle w:val="25"/>
        <w:widowControl w:val="0"/>
        <w:spacing w:before="0" w:beforeAutospacing="0" w:after="0" w:afterAutospacing="0" w:line="360" w:lineRule="auto"/>
        <w:rPr>
          <w:rFonts w:hint="eastAsia" w:cs="宋体"/>
          <w:b/>
          <w:color w:val="auto"/>
          <w:spacing w:val="-2"/>
        </w:rPr>
      </w:pPr>
      <w:r>
        <w:rPr>
          <w:rFonts w:hint="eastAsia" w:cs="宋体"/>
          <w:b/>
          <w:color w:val="auto"/>
          <w:spacing w:val="-2"/>
          <w:lang w:eastAsia="zh-CN"/>
        </w:rPr>
        <w:t>（</w:t>
      </w:r>
      <w:r>
        <w:rPr>
          <w:rFonts w:hint="eastAsia" w:cs="宋体"/>
          <w:b/>
          <w:color w:val="auto"/>
          <w:spacing w:val="-2"/>
          <w:lang w:val="en-US" w:eastAsia="zh-CN"/>
        </w:rPr>
        <w:t>二</w:t>
      </w:r>
      <w:r>
        <w:rPr>
          <w:rFonts w:hint="eastAsia" w:cs="宋体"/>
          <w:b/>
          <w:color w:val="auto"/>
          <w:spacing w:val="-2"/>
          <w:lang w:eastAsia="zh-CN"/>
        </w:rPr>
        <w:t>）</w:t>
      </w:r>
      <w:r>
        <w:rPr>
          <w:rFonts w:hint="eastAsia" w:cs="宋体"/>
          <w:b/>
          <w:color w:val="auto"/>
          <w:spacing w:val="-2"/>
        </w:rPr>
        <w:t>终端布置（招标范围）</w:t>
      </w:r>
    </w:p>
    <w:p>
      <w:pPr>
        <w:pStyle w:val="25"/>
        <w:widowControl w:val="0"/>
        <w:spacing w:before="0" w:beforeAutospacing="0" w:after="0" w:afterAutospacing="0" w:line="360" w:lineRule="auto"/>
        <w:ind w:firstLine="482" w:firstLineChars="200"/>
        <w:rPr>
          <w:rFonts w:hint="eastAsia" w:cs="宋体"/>
          <w:b/>
          <w:bCs w:val="0"/>
          <w:color w:val="auto"/>
          <w:sz w:val="24"/>
          <w:szCs w:val="24"/>
        </w:rPr>
      </w:pPr>
      <w:r>
        <w:rPr>
          <w:rFonts w:hint="eastAsia" w:cs="宋体"/>
          <w:b/>
          <w:bCs w:val="0"/>
          <w:color w:val="auto"/>
          <w:sz w:val="24"/>
          <w:szCs w:val="24"/>
        </w:rPr>
        <w:t>中心供氧系统</w:t>
      </w:r>
    </w:p>
    <w:p>
      <w:pPr>
        <w:pStyle w:val="25"/>
        <w:widowControl w:val="0"/>
        <w:spacing w:before="0" w:beforeAutospacing="0" w:after="0" w:afterAutospacing="0" w:line="360" w:lineRule="auto"/>
        <w:ind w:firstLine="482" w:firstLineChars="200"/>
        <w:rPr>
          <w:rFonts w:hint="eastAsia" w:cs="宋体"/>
          <w:b/>
          <w:bCs w:val="0"/>
          <w:color w:val="auto"/>
          <w:sz w:val="24"/>
          <w:szCs w:val="24"/>
        </w:rPr>
      </w:pPr>
      <w:r>
        <w:rPr>
          <w:rFonts w:hint="eastAsia" w:cs="宋体"/>
          <w:b/>
          <w:bCs w:val="0"/>
          <w:color w:val="auto"/>
          <w:sz w:val="24"/>
          <w:szCs w:val="24"/>
        </w:rPr>
        <w:t>负压吸引系统</w:t>
      </w:r>
    </w:p>
    <w:p>
      <w:pPr>
        <w:widowControl w:val="0"/>
        <w:spacing w:line="360" w:lineRule="auto"/>
        <w:ind w:firstLine="482" w:firstLineChars="200"/>
        <w:rPr>
          <w:rFonts w:hint="eastAsia" w:ascii="宋体" w:hAnsi="宋体" w:cs="宋体"/>
          <w:bCs/>
          <w:color w:val="auto"/>
          <w:kern w:val="2"/>
          <w:sz w:val="24"/>
          <w:szCs w:val="24"/>
        </w:rPr>
      </w:pPr>
      <w:r>
        <w:rPr>
          <w:rFonts w:hint="eastAsia" w:ascii="宋体" w:hAnsi="宋体" w:cs="宋体"/>
          <w:b/>
          <w:bCs w:val="0"/>
          <w:color w:val="auto"/>
          <w:kern w:val="2"/>
          <w:sz w:val="24"/>
          <w:szCs w:val="24"/>
        </w:rPr>
        <w:t>压缩空气系统</w:t>
      </w:r>
    </w:p>
    <w:p>
      <w:pPr>
        <w:pStyle w:val="25"/>
        <w:widowControl w:val="0"/>
        <w:spacing w:before="0" w:beforeAutospacing="0" w:after="0" w:afterAutospacing="0" w:line="360" w:lineRule="auto"/>
        <w:ind w:firstLine="472" w:firstLineChars="200"/>
        <w:rPr>
          <w:rFonts w:hint="eastAsia" w:cs="宋体"/>
          <w:bCs/>
          <w:color w:val="auto"/>
          <w:spacing w:val="-2"/>
        </w:rPr>
      </w:pPr>
      <w:bookmarkStart w:id="49" w:name="_Toc21743"/>
      <w:r>
        <w:rPr>
          <w:rFonts w:hint="eastAsia" w:cs="宋体"/>
          <w:bCs/>
          <w:color w:val="auto"/>
          <w:spacing w:val="-2"/>
        </w:rPr>
        <w:t>项目概述：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1、门急诊医技综合楼一至七层、十层；中医综合楼二层至三层；感染楼二层至三层，设计402只氧气终端，395只吸引终端，79只空气终端，445盏嵌入式日光灯及电源开关，890只电源插座。</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 xml:space="preserve">2、招标内容：包括中心吸引站、压缩空气站、供氧系统管线与元件、吸引系统管线与元件、压缩空气系统管线与元件、设备带及其它配套电器件等医用气体的全部内容（包含深化设计、材料设备采购、包装运输、安装、调试、验收、培训及售后服务等，即交钥匙工程）（具体详见工程量清单）。      </w:t>
      </w:r>
    </w:p>
    <w:p>
      <w:pPr>
        <w:widowControl w:val="0"/>
        <w:spacing w:line="360" w:lineRule="auto"/>
        <w:outlineLvl w:val="0"/>
        <w:rPr>
          <w:rFonts w:hint="eastAsia" w:ascii="宋体" w:hAnsi="宋体" w:cs="宋体"/>
          <w:b/>
          <w:color w:val="auto"/>
          <w:sz w:val="28"/>
          <w:szCs w:val="28"/>
        </w:rPr>
      </w:pPr>
      <w:r>
        <w:rPr>
          <w:rFonts w:hint="eastAsia" w:ascii="宋体" w:hAnsi="宋体" w:cs="宋体"/>
          <w:b/>
          <w:color w:val="auto"/>
          <w:sz w:val="28"/>
          <w:szCs w:val="28"/>
        </w:rPr>
        <w:t>医用供氧系统技术要求</w:t>
      </w:r>
    </w:p>
    <w:p>
      <w:pPr>
        <w:widowControl w:val="0"/>
        <w:spacing w:line="360" w:lineRule="auto"/>
        <w:ind w:firstLine="472" w:firstLineChars="200"/>
        <w:jc w:val="both"/>
        <w:rPr>
          <w:rFonts w:hint="eastAsia" w:ascii="宋体" w:hAnsi="宋体" w:cs="宋体"/>
          <w:bCs/>
          <w:color w:val="auto"/>
        </w:rPr>
      </w:pPr>
      <w:r>
        <w:rPr>
          <w:rFonts w:hint="eastAsia" w:ascii="宋体" w:hAnsi="宋体" w:cs="宋体"/>
          <w:bCs/>
          <w:color w:val="auto"/>
          <w:spacing w:val="-2"/>
        </w:rPr>
        <w:t>依据目前医院设计床位及考虑日后建设规模发展，为满足病房、抢救室、ICU、手术室等的供氧量，设计利用液氧罐作为医院大楼的主供氧源，瓶氧汇流排作为备用供氧源。</w:t>
      </w:r>
    </w:p>
    <w:p>
      <w:pPr>
        <w:pStyle w:val="25"/>
        <w:widowControl w:val="0"/>
        <w:spacing w:before="0" w:beforeAutospacing="0" w:after="0" w:afterAutospacing="0" w:line="360" w:lineRule="auto"/>
        <w:ind w:firstLine="474" w:firstLineChars="200"/>
        <w:rPr>
          <w:rFonts w:hint="eastAsia" w:cs="宋体"/>
          <w:b/>
          <w:bCs w:val="0"/>
          <w:color w:val="auto"/>
          <w:spacing w:val="-2"/>
        </w:rPr>
      </w:pPr>
      <w:r>
        <w:rPr>
          <w:rFonts w:hint="eastAsia" w:cs="宋体"/>
          <w:b/>
          <w:bCs w:val="0"/>
          <w:color w:val="auto"/>
          <w:spacing w:val="-2"/>
        </w:rPr>
        <w:t>1、主供氧源：</w:t>
      </w:r>
    </w:p>
    <w:p>
      <w:pPr>
        <w:widowControl w:val="0"/>
        <w:spacing w:line="360" w:lineRule="auto"/>
        <w:ind w:firstLine="480" w:firstLineChars="200"/>
        <w:rPr>
          <w:rFonts w:hint="eastAsia" w:ascii="宋体" w:hAnsi="宋体" w:cs="宋体"/>
          <w:bCs/>
          <w:color w:val="auto"/>
        </w:rPr>
      </w:pPr>
      <w:r>
        <w:rPr>
          <w:rFonts w:hint="eastAsia" w:ascii="宋体" w:hAnsi="宋体" w:cs="宋体"/>
          <w:bCs/>
          <w:color w:val="auto"/>
        </w:rPr>
        <w:t>1）液氧站主要设备</w:t>
      </w:r>
      <w:r>
        <w:rPr>
          <w:rFonts w:hint="eastAsia" w:ascii="宋体" w:hAnsi="宋体" w:cs="宋体"/>
          <w:bCs/>
          <w:color w:val="auto"/>
          <w:spacing w:val="-2"/>
        </w:rPr>
        <w:t>：（预留二期液氧罐安装位置）</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序号</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设备名称</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规格型号</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液氧罐</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5m</w:t>
            </w:r>
            <w:r>
              <w:rPr>
                <w:rFonts w:hint="eastAsia" w:ascii="宋体" w:hAnsi="宋体" w:eastAsia="宋体" w:cs="宋体"/>
                <w:bCs/>
                <w:color w:val="auto"/>
                <w:vertAlign w:val="superscript"/>
              </w:rPr>
              <w:t>3</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2</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汽化器</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100m</w:t>
            </w:r>
            <w:r>
              <w:rPr>
                <w:rFonts w:hint="eastAsia" w:ascii="宋体" w:hAnsi="宋体" w:eastAsia="宋体" w:cs="宋体"/>
                <w:bCs/>
                <w:color w:val="auto"/>
                <w:vertAlign w:val="superscript"/>
              </w:rPr>
              <w:t>3</w:t>
            </w:r>
            <w:r>
              <w:rPr>
                <w:rFonts w:hint="eastAsia" w:ascii="宋体" w:hAnsi="宋体" w:eastAsia="宋体" w:cs="宋体"/>
                <w:bCs/>
                <w:color w:val="auto"/>
              </w:rPr>
              <w:t>/h</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3</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kern w:val="2"/>
              </w:rPr>
              <w:t>减压装置</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100m</w:t>
            </w:r>
            <w:r>
              <w:rPr>
                <w:rFonts w:hint="eastAsia" w:ascii="宋体" w:hAnsi="宋体" w:eastAsia="宋体" w:cs="宋体"/>
                <w:bCs/>
                <w:color w:val="auto"/>
                <w:vertAlign w:val="superscript"/>
              </w:rPr>
              <w:t>3</w:t>
            </w:r>
            <w:r>
              <w:rPr>
                <w:rFonts w:hint="eastAsia" w:ascii="宋体" w:hAnsi="宋体" w:eastAsia="宋体" w:cs="宋体"/>
                <w:bCs/>
                <w:color w:val="auto"/>
              </w:rPr>
              <w:t>/h</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auto"/>
            <w:noWrap w:val="0"/>
            <w:vAlign w:val="center"/>
          </w:tcPr>
          <w:p>
            <w:pPr>
              <w:widowControl w:val="0"/>
              <w:spacing w:line="480" w:lineRule="exact"/>
              <w:jc w:val="center"/>
              <w:rPr>
                <w:rFonts w:ascii="宋体" w:hAnsi="宋体" w:eastAsia="宋体" w:cs="宋体"/>
                <w:bCs/>
                <w:color w:val="auto"/>
              </w:rPr>
            </w:pPr>
            <w:r>
              <w:rPr>
                <w:rFonts w:hint="eastAsia" w:ascii="宋体" w:hAnsi="宋体" w:eastAsia="宋体" w:cs="宋体"/>
                <w:bCs/>
                <w:color w:val="auto"/>
              </w:rPr>
              <w:t>4</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分气缸</w:t>
            </w:r>
          </w:p>
        </w:tc>
        <w:tc>
          <w:tcPr>
            <w:tcW w:w="3402"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按需定制</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1台</w:t>
            </w:r>
          </w:p>
        </w:tc>
      </w:tr>
    </w:tbl>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2）液氧站主要技术参数：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液氧站最大出口流量：200</w:t>
      </w:r>
      <w:r>
        <w:rPr>
          <w:rFonts w:hint="eastAsia" w:ascii="宋体" w:hAnsi="宋体" w:cs="宋体"/>
          <w:bCs/>
          <w:color w:val="auto"/>
        </w:rPr>
        <w:t>m</w:t>
      </w:r>
      <w:r>
        <w:rPr>
          <w:rFonts w:hint="eastAsia" w:ascii="宋体" w:hAnsi="宋体" w:cs="宋体"/>
          <w:bCs/>
          <w:color w:val="auto"/>
          <w:vertAlign w:val="superscript"/>
        </w:rPr>
        <w:t>3</w:t>
      </w:r>
      <w:r>
        <w:rPr>
          <w:rFonts w:hint="eastAsia" w:ascii="宋体" w:hAnsi="宋体" w:cs="宋体"/>
          <w:bCs/>
          <w:color w:val="auto"/>
          <w:spacing w:val="-2"/>
        </w:rPr>
        <w:t>/h</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液氧站最高工作压力：0.8MPa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液氧站输出压力：0.65MPa（可调）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3）液氧站主要设计说明：</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液氧罐</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类别：II类</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内容器设计压力：1.lMPa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内器设计温度：-196℃</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内容器最高工作压力：0.8MPa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内容器有效容积：5m3</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防爆膜爆破压力：1.0MPa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安全阀开启压力：0.88MPa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内容器材质：06Cr19Ni10</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外容器材质：Q235-B</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内容器壁厚及上下封头：6mm</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汽化器</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设计压力：1.6MPa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工作压力：≤1.6MPa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供气能力：100m3/h</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出口气体温度：低于环境温度5-10℃</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材质：LF21</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外框架材质：1Cr18Ni9Ti</w:t>
      </w:r>
    </w:p>
    <w:p>
      <w:pPr>
        <w:widowControl w:val="0"/>
        <w:spacing w:line="360" w:lineRule="auto"/>
        <w:ind w:firstLine="474" w:firstLineChars="200"/>
        <w:jc w:val="both"/>
        <w:rPr>
          <w:rFonts w:hint="eastAsia" w:ascii="宋体" w:hAnsi="宋体" w:cs="宋体"/>
          <w:b/>
          <w:bCs w:val="0"/>
          <w:color w:val="auto"/>
          <w:spacing w:val="-2"/>
        </w:rPr>
      </w:pPr>
      <w:r>
        <w:rPr>
          <w:rFonts w:hint="eastAsia" w:ascii="宋体" w:hAnsi="宋体" w:cs="宋体"/>
          <w:b/>
          <w:bCs w:val="0"/>
          <w:color w:val="auto"/>
          <w:spacing w:val="-2"/>
        </w:rPr>
        <w:t>2、备用供氧源：</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采用双排气瓶，每排十瓶，双路控制系统，一路工作、一路备用，具有自动控制及人工控制两种功能。</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1）瓶氧站主要设备：</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31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序号</w:t>
            </w:r>
          </w:p>
        </w:tc>
        <w:tc>
          <w:tcPr>
            <w:tcW w:w="340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设备名称</w:t>
            </w:r>
          </w:p>
        </w:tc>
        <w:tc>
          <w:tcPr>
            <w:tcW w:w="3118"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规格型号</w:t>
            </w:r>
          </w:p>
        </w:tc>
        <w:tc>
          <w:tcPr>
            <w:tcW w:w="1417"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w:t>
            </w:r>
          </w:p>
        </w:tc>
        <w:tc>
          <w:tcPr>
            <w:tcW w:w="340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氧气系统压力报警器</w:t>
            </w:r>
          </w:p>
        </w:tc>
        <w:tc>
          <w:tcPr>
            <w:tcW w:w="3118"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 xml:space="preserve"> </w:t>
            </w:r>
          </w:p>
        </w:tc>
        <w:tc>
          <w:tcPr>
            <w:tcW w:w="1417"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w:t>
            </w:r>
          </w:p>
        </w:tc>
        <w:tc>
          <w:tcPr>
            <w:tcW w:w="340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全自动切换氧气汇流排（氧气瓶甲供）</w:t>
            </w:r>
          </w:p>
        </w:tc>
        <w:tc>
          <w:tcPr>
            <w:tcW w:w="3118" w:type="dxa"/>
            <w:shd w:val="clear" w:color="auto" w:fill="auto"/>
            <w:noWrap w:val="0"/>
            <w:vAlign w:val="center"/>
          </w:tcPr>
          <w:p>
            <w:pPr>
              <w:widowControl w:val="0"/>
              <w:spacing w:line="240" w:lineRule="auto"/>
              <w:jc w:val="center"/>
              <w:rPr>
                <w:rFonts w:hint="eastAsia" w:ascii="宋体" w:hAnsi="宋体" w:eastAsia="宋体" w:cs="宋体"/>
                <w:bCs/>
                <w:color w:val="auto"/>
                <w:kern w:val="2"/>
              </w:rPr>
            </w:pPr>
            <w:r>
              <w:rPr>
                <w:rFonts w:hint="eastAsia" w:ascii="宋体" w:hAnsi="宋体" w:eastAsia="宋体" w:cs="宋体"/>
                <w:bCs/>
                <w:color w:val="auto"/>
              </w:rPr>
              <w:t>10瓶</w:t>
            </w:r>
          </w:p>
        </w:tc>
        <w:tc>
          <w:tcPr>
            <w:tcW w:w="1417" w:type="dxa"/>
            <w:shd w:val="clear" w:color="auto" w:fill="auto"/>
            <w:noWrap w:val="0"/>
            <w:vAlign w:val="center"/>
          </w:tcPr>
          <w:p>
            <w:pPr>
              <w:widowControl w:val="0"/>
              <w:spacing w:line="240" w:lineRule="auto"/>
              <w:jc w:val="center"/>
              <w:rPr>
                <w:rFonts w:hint="eastAsia" w:ascii="宋体" w:hAnsi="宋体" w:eastAsia="宋体" w:cs="宋体"/>
                <w:bCs/>
                <w:color w:val="auto"/>
                <w:kern w:val="2"/>
              </w:rPr>
            </w:pPr>
            <w:r>
              <w:rPr>
                <w:rFonts w:hint="eastAsia" w:ascii="宋体" w:hAnsi="宋体" w:eastAsia="宋体" w:cs="宋体"/>
                <w:bCs/>
                <w:color w:val="auto"/>
              </w:rPr>
              <w:t>2组</w:t>
            </w:r>
          </w:p>
        </w:tc>
      </w:tr>
    </w:tbl>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2）瓶氧站内主要设备技术参数：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自动报警箱：</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当氧站内压力低于规定值时，报警箱发出声光信号提醒值班人员采用相应措施。</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当送往大楼总管的氧气压力升高或下降超出规定值时，报警箱同样发出声光警报信号提醒技术人员及时处理。</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报警信号为1.5m范围内能听到声音报警和红色光报警。</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氧气自动切换控制台：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采用双路减压设计，一用一备；</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输入压力：15MPa；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输出压力：0.8MPa（可调）；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出口设有安全阀确保出口压力符合使用要求，保证终端医疗器械的使用安全。</w:t>
      </w:r>
    </w:p>
    <w:p>
      <w:pPr>
        <w:widowControl w:val="0"/>
        <w:spacing w:line="360" w:lineRule="auto"/>
        <w:ind w:firstLine="474" w:firstLineChars="200"/>
        <w:jc w:val="both"/>
        <w:rPr>
          <w:rFonts w:hint="eastAsia" w:ascii="宋体" w:hAnsi="宋体" w:cs="宋体"/>
          <w:b/>
          <w:bCs w:val="0"/>
          <w:color w:val="auto"/>
          <w:spacing w:val="-2"/>
        </w:rPr>
      </w:pPr>
      <w:bookmarkStart w:id="50" w:name="_Toc4463"/>
      <w:r>
        <w:rPr>
          <w:rFonts w:hint="eastAsia" w:ascii="宋体" w:hAnsi="宋体" w:cs="宋体"/>
          <w:b/>
          <w:bCs w:val="0"/>
          <w:color w:val="auto"/>
          <w:spacing w:val="-2"/>
        </w:rPr>
        <w:t>氧气管道设计：</w:t>
      </w:r>
      <w:bookmarkEnd w:id="49"/>
      <w:bookmarkEnd w:id="50"/>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1、氧气管道主管、横管、房间支管采用06Cr19Ni10不锈钢管，接入设备带中支管采用紫铜管。管径计算依据：GB50751-2012《医用气体工程技术规范》。</w:t>
      </w:r>
    </w:p>
    <w:p>
      <w:pPr>
        <w:widowControl w:val="0"/>
        <w:spacing w:line="360" w:lineRule="auto"/>
        <w:ind w:firstLine="472" w:firstLineChars="200"/>
        <w:jc w:val="both"/>
        <w:rPr>
          <w:rFonts w:ascii="宋体" w:hAnsi="宋体" w:cs="宋体"/>
          <w:bCs/>
          <w:color w:val="auto"/>
          <w:spacing w:val="-2"/>
        </w:rPr>
      </w:pPr>
      <w:r>
        <w:rPr>
          <w:rFonts w:hint="eastAsia" w:ascii="宋体" w:hAnsi="宋体" w:cs="宋体"/>
          <w:bCs/>
          <w:color w:val="auto"/>
          <w:spacing w:val="-2"/>
        </w:rPr>
        <w:t>氧气管道：DN50、DN40、DN25、DN20、DN15、DN10、DN8。</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2、管道连接方法：</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不锈钢管采用标准的医用不锈钢管件连接密封后氩弧焊焊接，紫铜管采用银基钎焊焊</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3、管道布置：</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主管道沿吊顶架设至大楼管道井，病区走廊横管安装在吊顶内，区域阀门流量报警箱安装在护士站适当位置，病房内支管及终端、截止阀均安装在铝合金设备带内。</w:t>
      </w:r>
    </w:p>
    <w:p>
      <w:pPr>
        <w:widowControl w:val="0"/>
        <w:spacing w:line="360" w:lineRule="auto"/>
        <w:ind w:firstLine="474" w:firstLineChars="200"/>
        <w:jc w:val="both"/>
        <w:rPr>
          <w:rFonts w:hint="eastAsia" w:ascii="宋体" w:hAnsi="宋体" w:cs="宋体"/>
          <w:b/>
          <w:bCs w:val="0"/>
          <w:color w:val="auto"/>
          <w:spacing w:val="-2"/>
        </w:rPr>
      </w:pPr>
      <w:bookmarkStart w:id="51" w:name="_Toc11210_WPSOffice_Level2"/>
      <w:bookmarkStart w:id="52" w:name="_Toc12532_WPSOffice_Level2"/>
      <w:bookmarkStart w:id="53" w:name="_Toc11269"/>
      <w:bookmarkStart w:id="54" w:name="_Toc30401"/>
      <w:r>
        <w:rPr>
          <w:rFonts w:hint="eastAsia" w:ascii="宋体" w:hAnsi="宋体" w:cs="宋体"/>
          <w:b/>
          <w:bCs w:val="0"/>
          <w:color w:val="auto"/>
          <w:spacing w:val="-2"/>
        </w:rPr>
        <w:t>氧气二级减压箱</w:t>
      </w:r>
      <w:bookmarkEnd w:id="51"/>
      <w:bookmarkEnd w:id="52"/>
      <w:bookmarkEnd w:id="53"/>
      <w:r>
        <w:rPr>
          <w:rFonts w:hint="eastAsia" w:ascii="宋体" w:hAnsi="宋体" w:cs="宋体"/>
          <w:b/>
          <w:bCs w:val="0"/>
          <w:color w:val="auto"/>
          <w:spacing w:val="-2"/>
        </w:rPr>
        <w:t>：</w:t>
      </w:r>
      <w:bookmarkEnd w:id="54"/>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该系统采用二级减压装置。氧气通过大楼主管输送到各楼层内的二级减压箱入口，通过二级减压箱把氧气减压至0.2～0.5MPa（可调）后，经过病区氧气管道输送到病房终端，最后通过湿化器上流量调节开关再次减压后供病人吸氧。</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采用二级减压装置既可减少管路的压力损失，又能确保系统发生故障时不会把高压氧气引入病房，保证病人吸氧的安全。</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减压装置均采用双路设计，一路使用，一路备用，一旦出现故障可关闭该路阀门，打开备用回路阀门就可持续稳定地供氧。</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技术参数：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 xml:space="preserve">进口压力             0.8MPa </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减压后出口压力       0.2～0.5MPa（区域可调）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出口流量             ＞20m3/h ＞40m3/h</w:t>
      </w:r>
    </w:p>
    <w:p>
      <w:pPr>
        <w:widowControl w:val="0"/>
        <w:spacing w:line="360" w:lineRule="auto"/>
        <w:ind w:firstLine="474" w:firstLineChars="200"/>
        <w:jc w:val="both"/>
        <w:rPr>
          <w:rFonts w:hint="eastAsia" w:ascii="宋体" w:hAnsi="宋体" w:cs="宋体"/>
          <w:b/>
          <w:bCs w:val="0"/>
          <w:i w:val="0"/>
          <w:iCs w:val="0"/>
          <w:color w:val="auto"/>
          <w:spacing w:val="-2"/>
        </w:rPr>
      </w:pPr>
      <w:bookmarkStart w:id="55" w:name="_Toc4691_WPSOffice_Level2"/>
      <w:bookmarkStart w:id="56" w:name="_Toc24944"/>
      <w:r>
        <w:rPr>
          <w:rFonts w:hint="eastAsia" w:ascii="宋体" w:hAnsi="宋体" w:cs="宋体"/>
          <w:b/>
          <w:bCs w:val="0"/>
          <w:i w:val="0"/>
          <w:iCs w:val="0"/>
          <w:color w:val="auto"/>
          <w:spacing w:val="-2"/>
        </w:rPr>
        <w:t>区域流量报警系统：</w:t>
      </w:r>
      <w:bookmarkEnd w:id="55"/>
      <w:bookmarkEnd w:id="56"/>
    </w:p>
    <w:p>
      <w:pPr>
        <w:widowControl w:val="0"/>
        <w:spacing w:line="360" w:lineRule="auto"/>
        <w:ind w:firstLine="472" w:firstLineChars="200"/>
        <w:jc w:val="both"/>
        <w:rPr>
          <w:rFonts w:hint="eastAsia" w:ascii="宋体" w:hAnsi="宋体" w:cs="宋体"/>
          <w:bCs/>
          <w:color w:val="auto"/>
          <w:spacing w:val="-2"/>
        </w:rPr>
      </w:pPr>
      <w:bookmarkStart w:id="57" w:name="_Toc23727"/>
      <w:r>
        <w:rPr>
          <w:rFonts w:hint="eastAsia" w:ascii="宋体" w:hAnsi="宋体" w:cs="宋体"/>
          <w:bCs/>
          <w:color w:val="auto"/>
          <w:spacing w:val="-2"/>
        </w:rPr>
        <w:t>1、氧气流量计：</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氧气流量计，采用单片微电脑芯片设计，具有自动数据采集，线性处理补偿，并具有记忆功能，计数容量大，仪表体积小，性能可靠，数字显示该数直观等优点。该产品获得国家计量认证，采用数码显示读数，并且停电8小时可继续进行计量，不影响使用。</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每个楼层配置1台氧气流量计，能够随时自动存储数据，断电不丢失数据，显示本次流量、累计流量和瞬时流量；具有二位报警功能。</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技术参数：最小测量，0.25m3/h</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精度：±3%</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压力：0～0.6MPa(必须在某一恒压)</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显示：LED7位（99999.99m3,8位发光管动指示）</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分辨率：0.01m3</w:t>
      </w:r>
    </w:p>
    <w:p>
      <w:pPr>
        <w:widowControl w:val="0"/>
        <w:spacing w:line="360" w:lineRule="auto"/>
        <w:ind w:firstLine="472" w:firstLineChars="200"/>
        <w:jc w:val="both"/>
        <w:rPr>
          <w:rFonts w:ascii="宋体" w:hAnsi="宋体" w:cs="宋体"/>
          <w:bCs/>
          <w:color w:val="auto"/>
          <w:spacing w:val="-2"/>
        </w:rPr>
      </w:pPr>
      <w:r>
        <w:rPr>
          <w:rFonts w:hint="eastAsia" w:ascii="宋体" w:hAnsi="宋体" w:cs="宋体"/>
          <w:bCs/>
          <w:color w:val="auto"/>
          <w:spacing w:val="-2"/>
        </w:rPr>
        <w:t>流速范围：2-200L/min</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2、气体压力报警器：</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正常工作指示、异常情况报警：箱内安装氧气、吸引、空气系统的测压表和正常工作、异常情况指示灯，当医用气体系统出现异常时会发出声光报警。</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氧气系统区域报警值：＜0.2MPa或＞0.5MPa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吸引系统区域报警值：＜-0.035MPa或＞-0.075MPa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空气系统区域报警值：＜0.4MPa或＞0.6MPa</w:t>
      </w:r>
    </w:p>
    <w:bookmarkEnd w:id="57"/>
    <w:p>
      <w:pPr>
        <w:widowControl w:val="0"/>
        <w:spacing w:line="360" w:lineRule="auto"/>
        <w:ind w:firstLine="474" w:firstLineChars="200"/>
        <w:jc w:val="both"/>
        <w:rPr>
          <w:rFonts w:hint="eastAsia" w:ascii="宋体" w:hAnsi="宋体" w:cs="宋体"/>
          <w:b/>
          <w:bCs w:val="0"/>
          <w:color w:val="auto"/>
          <w:spacing w:val="-2"/>
        </w:rPr>
      </w:pPr>
      <w:r>
        <w:rPr>
          <w:rFonts w:hint="eastAsia" w:ascii="宋体" w:hAnsi="宋体" w:cs="宋体"/>
          <w:b/>
          <w:bCs w:val="0"/>
          <w:color w:val="auto"/>
          <w:spacing w:val="-2"/>
        </w:rPr>
        <w:t>病房设备带</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病房采用组合式铝合金设备带。通长布置，它装有氧气、吸引快速接头、电源开关、电源插座、床头灯等。</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1、病房设备带采用组合式铝合金设备带（宽度≥180mm，高度≥50mm，壁厚≥1.2mm），</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均为壁面侧装，一带三槽，设备带内部所有强电、弱电、气体管道均分槽安装。</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3、铝合金设备带表面采用静电喷塑，设备带上面板采用模块化设计，可分段打开面板进行设备带的维修，使安装维修更加方便，并具有良好的防腐和保洁效果。</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5、各种气体终端、电器等均采用嵌入式安装，使整条设备带表面豪华美观。</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6、设备带上支管设有维修阀。</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7、病房内设备带采用房间通长布置，设备带中心距地面1.4米。</w:t>
      </w:r>
    </w:p>
    <w:p>
      <w:pPr>
        <w:widowControl w:val="0"/>
        <w:spacing w:line="360" w:lineRule="auto"/>
        <w:ind w:firstLine="474" w:firstLineChars="200"/>
        <w:jc w:val="both"/>
        <w:rPr>
          <w:rFonts w:hint="eastAsia" w:ascii="宋体" w:hAnsi="宋体" w:cs="宋体"/>
          <w:b/>
          <w:bCs w:val="0"/>
          <w:color w:val="auto"/>
          <w:spacing w:val="-2"/>
        </w:rPr>
      </w:pPr>
      <w:bookmarkStart w:id="58" w:name="_Toc22984"/>
      <w:bookmarkStart w:id="59" w:name="_Toc32181"/>
      <w:bookmarkStart w:id="60" w:name="_Toc25772"/>
      <w:bookmarkStart w:id="61" w:name="_Toc17267"/>
      <w:r>
        <w:rPr>
          <w:rFonts w:hint="eastAsia" w:ascii="宋体" w:hAnsi="宋体" w:cs="宋体"/>
          <w:b/>
          <w:bCs w:val="0"/>
          <w:color w:val="auto"/>
          <w:spacing w:val="-2"/>
        </w:rPr>
        <w:t>气体终端：</w:t>
      </w:r>
      <w:bookmarkEnd w:id="58"/>
    </w:p>
    <w:p>
      <w:pPr>
        <w:widowControl w:val="0"/>
        <w:spacing w:line="360" w:lineRule="auto"/>
        <w:ind w:firstLine="472" w:firstLineChars="200"/>
        <w:jc w:val="both"/>
        <w:rPr>
          <w:rFonts w:hint="eastAsia" w:ascii="宋体" w:hAnsi="宋体" w:cs="宋体"/>
          <w:bCs/>
          <w:color w:val="auto"/>
          <w:spacing w:val="-2"/>
        </w:rPr>
      </w:pPr>
      <w:bookmarkStart w:id="62" w:name="_Toc31068"/>
      <w:bookmarkStart w:id="63" w:name="_Toc6675"/>
      <w:r>
        <w:rPr>
          <w:rFonts w:hint="eastAsia" w:ascii="宋体" w:hAnsi="宋体" w:cs="宋体"/>
          <w:bCs/>
          <w:color w:val="auto"/>
          <w:spacing w:val="-2"/>
        </w:rPr>
        <w:t>1、气体终端产品内部上下本体为全金属材质耐用结构，牢固可靠，经久耐用。</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2、主材采用铜材料。与医用气体接触的非金属部件、密封材料和可能使用的润滑剂，其自燃温度高于160℃。</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4、使用温度-20ºC~ 40ºC,环境湿度10%~95%。</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5、气体指定设计(颜色、结构)，不同气体不能互换，避免安装错误。</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6、100%气密性实验。</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7、采用ISO32,GB7144颜色标准识别气体。</w:t>
      </w:r>
    </w:p>
    <w:p>
      <w:pPr>
        <w:widowControl w:val="0"/>
        <w:spacing w:line="360" w:lineRule="auto"/>
        <w:ind w:firstLine="474" w:firstLineChars="200"/>
        <w:jc w:val="both"/>
        <w:rPr>
          <w:rFonts w:hint="eastAsia" w:ascii="宋体" w:hAnsi="宋体" w:cs="宋体"/>
          <w:b/>
          <w:bCs w:val="0"/>
          <w:color w:val="auto"/>
          <w:spacing w:val="-2"/>
        </w:rPr>
      </w:pPr>
      <w:r>
        <w:rPr>
          <w:rFonts w:hint="eastAsia" w:ascii="宋体" w:hAnsi="宋体" w:cs="宋体"/>
          <w:b/>
          <w:bCs w:val="0"/>
          <w:color w:val="auto"/>
          <w:spacing w:val="-2"/>
        </w:rPr>
        <w:t>病房床位设计</w:t>
      </w:r>
      <w:bookmarkEnd w:id="59"/>
      <w:bookmarkEnd w:id="60"/>
      <w:bookmarkEnd w:id="61"/>
      <w:r>
        <w:rPr>
          <w:rFonts w:hint="eastAsia" w:ascii="宋体" w:hAnsi="宋体" w:cs="宋体"/>
          <w:b/>
          <w:bCs w:val="0"/>
          <w:color w:val="auto"/>
          <w:spacing w:val="-2"/>
        </w:rPr>
        <w:t>：</w:t>
      </w:r>
      <w:bookmarkEnd w:id="62"/>
      <w:bookmarkEnd w:id="63"/>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3"/>
        <w:gridCol w:w="2450"/>
        <w:gridCol w:w="1984"/>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noWrap w:val="0"/>
            <w:vAlign w:val="center"/>
          </w:tcPr>
          <w:p>
            <w:pPr>
              <w:widowControl w:val="0"/>
              <w:snapToGrid w:val="0"/>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序号</w:t>
            </w:r>
          </w:p>
        </w:tc>
        <w:tc>
          <w:tcPr>
            <w:tcW w:w="1943" w:type="dxa"/>
            <w:noWrap w:val="0"/>
            <w:vAlign w:val="center"/>
          </w:tcPr>
          <w:p>
            <w:pPr>
              <w:widowControl w:val="0"/>
              <w:snapToGrid w:val="0"/>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病床单元</w:t>
            </w:r>
          </w:p>
        </w:tc>
        <w:tc>
          <w:tcPr>
            <w:tcW w:w="2450" w:type="dxa"/>
            <w:noWrap w:val="0"/>
            <w:vAlign w:val="center"/>
          </w:tcPr>
          <w:p>
            <w:pPr>
              <w:widowControl w:val="0"/>
              <w:snapToGrid w:val="0"/>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设备名称</w:t>
            </w:r>
          </w:p>
        </w:tc>
        <w:tc>
          <w:tcPr>
            <w:tcW w:w="1984" w:type="dxa"/>
            <w:noWrap w:val="0"/>
            <w:vAlign w:val="center"/>
          </w:tcPr>
          <w:p>
            <w:pPr>
              <w:widowControl w:val="0"/>
              <w:snapToGrid w:val="0"/>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要求</w:t>
            </w:r>
          </w:p>
        </w:tc>
        <w:tc>
          <w:tcPr>
            <w:tcW w:w="992" w:type="dxa"/>
            <w:noWrap w:val="0"/>
            <w:vAlign w:val="center"/>
          </w:tcPr>
          <w:p>
            <w:pPr>
              <w:widowControl w:val="0"/>
              <w:snapToGrid w:val="0"/>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单位</w:t>
            </w:r>
          </w:p>
        </w:tc>
        <w:tc>
          <w:tcPr>
            <w:tcW w:w="992" w:type="dxa"/>
            <w:noWrap w:val="0"/>
            <w:vAlign w:val="center"/>
          </w:tcPr>
          <w:p>
            <w:pPr>
              <w:widowControl w:val="0"/>
              <w:snapToGrid w:val="0"/>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restart"/>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c>
          <w:tcPr>
            <w:tcW w:w="1943" w:type="dxa"/>
            <w:vMerge w:val="restart"/>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普通病床</w:t>
            </w: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氧气终端</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德式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吸引终端</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德式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床头日光灯照明</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LED</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电源开关</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86</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电源插座</w:t>
            </w:r>
          </w:p>
        </w:tc>
        <w:tc>
          <w:tcPr>
            <w:tcW w:w="1984"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3+2型</w:t>
            </w:r>
          </w:p>
        </w:tc>
        <w:tc>
          <w:tcPr>
            <w:tcW w:w="992"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传呼分机（配合开孔）</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 xml:space="preserve"> </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restart"/>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2</w:t>
            </w:r>
          </w:p>
        </w:tc>
        <w:tc>
          <w:tcPr>
            <w:tcW w:w="1943" w:type="dxa"/>
            <w:vMerge w:val="restart"/>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抢救室</w:t>
            </w: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氧气终端</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德式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吸引终端</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德式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空气终端</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德式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床头日光灯照明</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LED</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电源开关</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86</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电源插座</w:t>
            </w:r>
          </w:p>
        </w:tc>
        <w:tc>
          <w:tcPr>
            <w:tcW w:w="1984"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3+2型</w:t>
            </w:r>
          </w:p>
        </w:tc>
        <w:tc>
          <w:tcPr>
            <w:tcW w:w="992"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传呼分机（配合开孔）</w:t>
            </w:r>
          </w:p>
        </w:tc>
        <w:tc>
          <w:tcPr>
            <w:tcW w:w="1984"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 xml:space="preserve"> </w:t>
            </w:r>
          </w:p>
        </w:tc>
        <w:tc>
          <w:tcPr>
            <w:tcW w:w="992"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kern w:val="2"/>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restart"/>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3</w:t>
            </w:r>
          </w:p>
        </w:tc>
        <w:tc>
          <w:tcPr>
            <w:tcW w:w="1943" w:type="dxa"/>
            <w:vMerge w:val="restart"/>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透析</w:t>
            </w: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氧气终端</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德式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吸引终端</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德式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空气终端</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德式</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电源插座</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16A</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1943" w:type="dxa"/>
            <w:vMerge w:val="continue"/>
            <w:noWrap w:val="0"/>
            <w:vAlign w:val="center"/>
          </w:tcPr>
          <w:p>
            <w:pPr>
              <w:widowControl w:val="0"/>
              <w:snapToGrid w:val="0"/>
              <w:jc w:val="center"/>
              <w:rPr>
                <w:rFonts w:ascii="Times New Roman" w:hAnsi="Times New Roman" w:eastAsia="宋体" w:cs="Times New Roman"/>
                <w:bCs/>
                <w:color w:val="auto"/>
                <w:sz w:val="22"/>
                <w:szCs w:val="22"/>
              </w:rPr>
            </w:pPr>
          </w:p>
        </w:tc>
        <w:tc>
          <w:tcPr>
            <w:tcW w:w="2450"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电源插座</w:t>
            </w:r>
          </w:p>
        </w:tc>
        <w:tc>
          <w:tcPr>
            <w:tcW w:w="1984"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3+2型</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只</w:t>
            </w:r>
          </w:p>
        </w:tc>
        <w:tc>
          <w:tcPr>
            <w:tcW w:w="992" w:type="dxa"/>
            <w:noWrap w:val="0"/>
            <w:vAlign w:val="center"/>
          </w:tcPr>
          <w:p>
            <w:pPr>
              <w:widowControl w:val="0"/>
              <w:snapToGrid w:val="0"/>
              <w:jc w:val="center"/>
              <w:rPr>
                <w:rFonts w:ascii="Times New Roman" w:hAnsi="Times New Roman" w:eastAsia="宋体" w:cs="Times New Roman"/>
                <w:bCs/>
                <w:color w:val="auto"/>
                <w:sz w:val="22"/>
                <w:szCs w:val="22"/>
              </w:rPr>
            </w:pPr>
            <w:r>
              <w:rPr>
                <w:rFonts w:ascii="Times New Roman" w:hAnsi="Times New Roman" w:eastAsia="宋体" w:cs="Times New Roman"/>
                <w:bCs/>
                <w:color w:val="auto"/>
                <w:sz w:val="22"/>
                <w:szCs w:val="22"/>
              </w:rPr>
              <w:t>3</w:t>
            </w:r>
          </w:p>
        </w:tc>
      </w:tr>
    </w:tbl>
    <w:p>
      <w:pPr>
        <w:widowControl w:val="0"/>
        <w:spacing w:line="360" w:lineRule="auto"/>
        <w:jc w:val="both"/>
        <w:rPr>
          <w:rFonts w:hint="eastAsia" w:ascii="宋体" w:hAnsi="宋体" w:cs="宋体"/>
          <w:b/>
          <w:bCs w:val="0"/>
          <w:color w:val="auto"/>
          <w:spacing w:val="-2"/>
        </w:rPr>
      </w:pPr>
      <w:bookmarkStart w:id="64" w:name="_Toc27622"/>
      <w:bookmarkStart w:id="65" w:name="_Toc4926"/>
      <w:r>
        <w:rPr>
          <w:rFonts w:hint="eastAsia" w:ascii="宋体" w:hAnsi="宋体" w:cs="宋体"/>
          <w:b/>
          <w:bCs w:val="0"/>
          <w:color w:val="auto"/>
          <w:spacing w:val="-2"/>
        </w:rPr>
        <w:t>供氧管道压力试验、吹扫技术要求：</w:t>
      </w:r>
      <w:bookmarkEnd w:id="64"/>
      <w:bookmarkEnd w:id="65"/>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系统强度试验：氧气管道安装完毕后进行强度试验，试验介质为氮气或无油压缩空气，试验压力为管道设计压力的1.25倍，试压时间l0-30min，试验结果以管道接头、焊缝、管段无肉眼可见的变形，以发泡剂检验无渗漏为合格。</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2、系统泄漏率试验：氧气管道强度试验合格后进行泄漏率试验，试验介质为氮气或无油压缩空气，试验压力为管道设计压力，试压24h，试验结果每小时泄漏率不超过0.2%为合格。</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3、系统吹扫：氧气管道强度泄漏试验合格后进行系统吹扫，吹扫介质为氮气或无油压缩空气，结果以出气口无杂质、干净为合格。</w:t>
      </w:r>
    </w:p>
    <w:p>
      <w:pPr>
        <w:widowControl w:val="0"/>
        <w:spacing w:line="360" w:lineRule="auto"/>
        <w:jc w:val="both"/>
        <w:rPr>
          <w:rFonts w:hint="eastAsia" w:ascii="宋体" w:hAnsi="宋体" w:cs="宋体"/>
          <w:b/>
          <w:bCs w:val="0"/>
          <w:color w:val="auto"/>
          <w:spacing w:val="-2"/>
        </w:rPr>
      </w:pPr>
      <w:bookmarkStart w:id="66" w:name="_Toc5738"/>
      <w:bookmarkStart w:id="67" w:name="_Toc6968"/>
      <w:r>
        <w:rPr>
          <w:rFonts w:hint="eastAsia" w:ascii="宋体" w:hAnsi="宋体" w:cs="宋体"/>
          <w:b/>
          <w:bCs w:val="0"/>
          <w:color w:val="auto"/>
          <w:spacing w:val="-2"/>
        </w:rPr>
        <w:t>中心供氧系统技术参数：</w:t>
      </w:r>
      <w:bookmarkEnd w:id="66"/>
      <w:bookmarkEnd w:id="67"/>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1、终端保证气压：0.2～0.5MPa（可调）；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2、系统小时泄漏率：≤0.2%；</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3、最大和最小使用流量工况下供氧压力误差：≯0.02MPa；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4、氧气终端设计流量：普通床≮lOL/min，手术室、急诊抢救等重病床≮lOOL/min；</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5、氧气管道气体流速：≯8m/s；</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6、系统运行方式：各终端连续用气，停电时不停供气；</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7、自动控制要求：当氧源和整个管路系统输出压力低于或高于额定值时有声光报警信号；</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8、氧气管道可靠接地，接地电阻为＜10Ω。</w:t>
      </w:r>
    </w:p>
    <w:p>
      <w:pPr>
        <w:widowControl w:val="0"/>
        <w:spacing w:line="360" w:lineRule="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医用吸引系统技术要求：</w:t>
      </w:r>
    </w:p>
    <w:p>
      <w:pPr>
        <w:widowControl w:val="0"/>
        <w:spacing w:line="360" w:lineRule="auto"/>
        <w:ind w:firstLine="474" w:firstLineChars="200"/>
        <w:jc w:val="both"/>
        <w:rPr>
          <w:rFonts w:hint="eastAsia" w:ascii="宋体" w:hAnsi="宋体" w:cs="宋体"/>
          <w:b/>
          <w:bCs w:val="0"/>
          <w:color w:val="auto"/>
          <w:spacing w:val="-2"/>
        </w:rPr>
      </w:pPr>
      <w:bookmarkStart w:id="68" w:name="_Toc18381"/>
      <w:bookmarkStart w:id="69" w:name="_Toc256"/>
      <w:r>
        <w:rPr>
          <w:rFonts w:hint="eastAsia" w:ascii="宋体" w:hAnsi="宋体" w:cs="宋体"/>
          <w:b/>
          <w:bCs w:val="0"/>
          <w:color w:val="auto"/>
          <w:spacing w:val="-2"/>
        </w:rPr>
        <w:t>中心吸引站：</w:t>
      </w:r>
      <w:bookmarkEnd w:id="68"/>
      <w:bookmarkEnd w:id="69"/>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 xml:space="preserve">1、负压吸引站主要设备：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260"/>
        <w:gridCol w:w="36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序号</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设备名称</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规格型号</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负压报警箱</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 xml:space="preserve"> </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2</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油式旋片真空泵</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 200m</w:t>
            </w:r>
            <w:r>
              <w:rPr>
                <w:rFonts w:hint="eastAsia" w:ascii="宋体" w:hAnsi="宋体" w:eastAsia="宋体" w:cs="宋体"/>
                <w:bCs/>
                <w:color w:val="auto"/>
                <w:vertAlign w:val="superscript"/>
              </w:rPr>
              <w:t>3</w:t>
            </w:r>
            <w:r>
              <w:rPr>
                <w:rFonts w:hint="eastAsia" w:ascii="宋体" w:hAnsi="宋体" w:eastAsia="宋体" w:cs="宋体"/>
                <w:bCs/>
                <w:color w:val="auto"/>
              </w:rPr>
              <w:t>/h/台、6.6kW/台</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3</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真空罐（材质：碳钢）</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≥1.5m</w:t>
            </w:r>
            <w:r>
              <w:rPr>
                <w:rFonts w:hint="eastAsia" w:ascii="宋体" w:hAnsi="宋体" w:eastAsia="宋体" w:cs="宋体"/>
                <w:bCs/>
                <w:color w:val="auto"/>
                <w:vertAlign w:val="superscript"/>
              </w:rPr>
              <w:t>3</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4</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真空除菌过滤器</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≥220m</w:t>
            </w:r>
            <w:r>
              <w:rPr>
                <w:rFonts w:hint="eastAsia" w:ascii="宋体" w:hAnsi="宋体" w:eastAsia="宋体" w:cs="宋体"/>
                <w:bCs/>
                <w:color w:val="auto"/>
                <w:vertAlign w:val="superscript"/>
              </w:rPr>
              <w:t>3</w:t>
            </w:r>
            <w:r>
              <w:rPr>
                <w:rFonts w:hint="eastAsia" w:ascii="宋体" w:hAnsi="宋体" w:eastAsia="宋体" w:cs="宋体"/>
                <w:bCs/>
                <w:color w:val="auto"/>
              </w:rPr>
              <w:t>/h/套</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5</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吸引电控柜</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二泵联动</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6</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分气缸</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按需定制</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1台</w:t>
            </w:r>
          </w:p>
        </w:tc>
      </w:tr>
    </w:tbl>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2、吸引站主要技术参数：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最大抽气量（二台同时工作）：400</w:t>
      </w:r>
      <w:r>
        <w:rPr>
          <w:rFonts w:hint="eastAsia" w:ascii="宋体" w:hAnsi="宋体" w:cs="宋体"/>
          <w:bCs/>
          <w:color w:val="auto"/>
        </w:rPr>
        <w:t>m</w:t>
      </w:r>
      <w:r>
        <w:rPr>
          <w:rFonts w:hint="eastAsia" w:ascii="宋体" w:hAnsi="宋体" w:cs="宋体"/>
          <w:bCs/>
          <w:color w:val="auto"/>
          <w:vertAlign w:val="superscript"/>
        </w:rPr>
        <w:t>3</w:t>
      </w:r>
      <w:r>
        <w:rPr>
          <w:rFonts w:hint="eastAsia" w:ascii="宋体" w:hAnsi="宋体" w:cs="宋体"/>
          <w:bCs/>
          <w:color w:val="auto"/>
          <w:spacing w:val="-2"/>
        </w:rPr>
        <w:t>/h</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压力调节范围：-0.02MPa～-0.07MPa（可调）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小时增压率：（负压达到-0.07MPa）＜0.5%</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吸引站噪声：室内小于80dB（A），室外小于60dB（A）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电机功率：≥6.6kW/台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负压报警范围：＞-0.019MPa，＜-0.73MPa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泵自动启停参数：启动-0.04MPa，停止-0.07MPa（可调）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当真空负压超上下限值时有声光报警信号，电控柜能保证二台真空泵交替启动、具有延时跟踪、延时设定、跟踪报警、手动与自动控制功能。当工作泵发生故障时，电控柜能自动启动备用泵，保证吸引系统正常工作。</w:t>
      </w:r>
    </w:p>
    <w:p>
      <w:pPr>
        <w:widowControl w:val="0"/>
        <w:spacing w:line="360" w:lineRule="auto"/>
        <w:ind w:firstLine="472" w:firstLineChars="200"/>
        <w:jc w:val="both"/>
        <w:rPr>
          <w:rFonts w:hint="eastAsia" w:ascii="宋体" w:hAnsi="宋体" w:cs="宋体"/>
          <w:bCs/>
          <w:color w:val="auto"/>
          <w:spacing w:val="-2"/>
        </w:rPr>
      </w:pPr>
      <w:bookmarkStart w:id="70" w:name="_Toc6409"/>
      <w:bookmarkStart w:id="71" w:name="_Toc14702"/>
      <w:r>
        <w:rPr>
          <w:rFonts w:hint="eastAsia" w:ascii="宋体" w:hAnsi="宋体" w:cs="宋体"/>
          <w:bCs/>
          <w:color w:val="auto"/>
          <w:spacing w:val="-2"/>
        </w:rPr>
        <w:t xml:space="preserve">3、感染楼负压吸引站主要设备：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260"/>
        <w:gridCol w:w="36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序号</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设备名称</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规格型号</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负压报警箱</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 xml:space="preserve"> </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2</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油式旋片真空泵</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≥20m</w:t>
            </w:r>
            <w:r>
              <w:rPr>
                <w:rFonts w:hint="eastAsia" w:ascii="宋体" w:hAnsi="宋体" w:eastAsia="宋体" w:cs="宋体"/>
                <w:bCs/>
                <w:color w:val="auto"/>
                <w:vertAlign w:val="superscript"/>
              </w:rPr>
              <w:t>3</w:t>
            </w:r>
            <w:r>
              <w:rPr>
                <w:rFonts w:hint="eastAsia" w:ascii="宋体" w:hAnsi="宋体" w:eastAsia="宋体" w:cs="宋体"/>
                <w:bCs/>
                <w:color w:val="auto"/>
              </w:rPr>
              <w:t>/h/台、0.75kW/台</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3</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真空罐（材质：碳钢）</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≥1.3m</w:t>
            </w:r>
            <w:r>
              <w:rPr>
                <w:rFonts w:hint="eastAsia" w:ascii="宋体" w:hAnsi="宋体" w:eastAsia="宋体" w:cs="宋体"/>
                <w:bCs/>
                <w:color w:val="auto"/>
                <w:vertAlign w:val="superscript"/>
              </w:rPr>
              <w:t>3</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4</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真空除菌过滤器</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≥22m</w:t>
            </w:r>
            <w:r>
              <w:rPr>
                <w:rFonts w:hint="eastAsia" w:ascii="宋体" w:hAnsi="宋体" w:eastAsia="宋体" w:cs="宋体"/>
                <w:bCs/>
                <w:color w:val="auto"/>
                <w:vertAlign w:val="superscript"/>
              </w:rPr>
              <w:t>3</w:t>
            </w:r>
            <w:r>
              <w:rPr>
                <w:rFonts w:hint="eastAsia" w:ascii="宋体" w:hAnsi="宋体" w:eastAsia="宋体" w:cs="宋体"/>
                <w:bCs/>
                <w:color w:val="auto"/>
              </w:rPr>
              <w:t>/h/套</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widowControl w:val="0"/>
              <w:spacing w:line="480" w:lineRule="exact"/>
              <w:jc w:val="center"/>
              <w:rPr>
                <w:rFonts w:hint="eastAsia" w:ascii="宋体" w:hAnsi="宋体" w:eastAsia="宋体" w:cs="宋体"/>
                <w:bCs/>
                <w:color w:val="auto"/>
                <w:kern w:val="2"/>
              </w:rPr>
            </w:pPr>
            <w:r>
              <w:rPr>
                <w:rFonts w:hint="eastAsia" w:ascii="宋体" w:hAnsi="宋体" w:eastAsia="宋体" w:cs="宋体"/>
                <w:bCs/>
                <w:color w:val="auto"/>
              </w:rPr>
              <w:t>5</w:t>
            </w:r>
          </w:p>
        </w:tc>
        <w:tc>
          <w:tcPr>
            <w:tcW w:w="3260"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吸引电控柜</w:t>
            </w:r>
          </w:p>
        </w:tc>
        <w:tc>
          <w:tcPr>
            <w:tcW w:w="3685"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二泵联动</w:t>
            </w:r>
          </w:p>
        </w:tc>
        <w:tc>
          <w:tcPr>
            <w:tcW w:w="1134" w:type="dxa"/>
            <w:shd w:val="clear" w:color="auto" w:fill="auto"/>
            <w:noWrap w:val="0"/>
            <w:vAlign w:val="center"/>
          </w:tcPr>
          <w:p>
            <w:pPr>
              <w:widowControl w:val="0"/>
              <w:spacing w:line="480" w:lineRule="exact"/>
              <w:jc w:val="center"/>
              <w:rPr>
                <w:rFonts w:hint="eastAsia" w:ascii="宋体" w:hAnsi="宋体" w:eastAsia="宋体" w:cs="宋体"/>
                <w:bCs/>
                <w:color w:val="auto"/>
              </w:rPr>
            </w:pPr>
            <w:r>
              <w:rPr>
                <w:rFonts w:hint="eastAsia" w:ascii="宋体" w:hAnsi="宋体" w:eastAsia="宋体" w:cs="宋体"/>
                <w:bCs/>
                <w:color w:val="auto"/>
              </w:rPr>
              <w:t>1台</w:t>
            </w:r>
          </w:p>
        </w:tc>
      </w:tr>
    </w:tbl>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4、感染楼吸引站主要技术参数：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最大抽气量（二台同时工作）：40m3/h</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压力调节范围：-0.02MPa～-0.07MPa（可调）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小时增压率：（负压达到-0.07MPa）＜0.5%</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吸引站噪声：室内小于80dB（A），室外小于60dB（A）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电机功率：≥0.75kW/台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负压报警范围：＞-0.019MPa，＜-0.73MPa</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泵自动启停参数：启动-0.04MPa，停止-0.07MPa（可调）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当真空负压超上下限值时有声光报警信号，电控柜能保证二台真空泵交替启动、具有延时跟踪、延时设定、跟踪报警、手动与自动控制功能。当工作泵发生故障时，电控柜能自动启动备用泵，保证吸引系统正常工作。</w:t>
      </w:r>
    </w:p>
    <w:p>
      <w:pPr>
        <w:widowControl w:val="0"/>
        <w:spacing w:line="360" w:lineRule="auto"/>
        <w:ind w:firstLine="474" w:firstLineChars="200"/>
        <w:jc w:val="both"/>
        <w:rPr>
          <w:rFonts w:hint="eastAsia" w:ascii="宋体" w:hAnsi="宋体" w:eastAsia="宋体" w:cs="宋体"/>
          <w:b/>
          <w:bCs w:val="0"/>
          <w:color w:val="auto"/>
          <w:spacing w:val="-2"/>
        </w:rPr>
      </w:pPr>
      <w:r>
        <w:rPr>
          <w:rFonts w:hint="eastAsia" w:ascii="宋体" w:hAnsi="宋体" w:eastAsia="宋体" w:cs="宋体"/>
          <w:b/>
          <w:bCs w:val="0"/>
          <w:color w:val="auto"/>
          <w:spacing w:val="-2"/>
        </w:rPr>
        <w:t>吸引管道系统设计：</w:t>
      </w:r>
      <w:bookmarkEnd w:id="70"/>
      <w:bookmarkEnd w:id="71"/>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1、吸引管道主管、横管、房间支管采用06Cr19Ni10不锈钢管，接入设备带中支管采用紫铜管。管径计算依据：GB50751-2012《医用气体工程技术规范》。</w:t>
      </w:r>
    </w:p>
    <w:p>
      <w:pPr>
        <w:widowControl w:val="0"/>
        <w:spacing w:line="360" w:lineRule="auto"/>
        <w:ind w:firstLine="472" w:firstLineChars="200"/>
        <w:jc w:val="both"/>
        <w:rPr>
          <w:rFonts w:ascii="宋体" w:hAnsi="宋体" w:cs="宋体"/>
          <w:bCs/>
          <w:color w:val="auto"/>
          <w:spacing w:val="-2"/>
        </w:rPr>
      </w:pPr>
      <w:r>
        <w:rPr>
          <w:rFonts w:hint="eastAsia" w:ascii="宋体" w:hAnsi="宋体" w:cs="宋体"/>
          <w:bCs/>
          <w:color w:val="auto"/>
          <w:spacing w:val="-2"/>
        </w:rPr>
        <w:t>吸引管道：DN200、DN150、DN125、DN100、DN80、DN65、DN50、DN40、DN32。</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2、管道连接方法：</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不锈钢管采用标准的医用不锈钢管件连接密封后氩弧焊焊接，紫铜管采用银基钎焊焊接保证系统的气密性。</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3、管道布置：</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主管道沿吊顶架设至大楼管道井，病区走廊横管安装在吊顶内，区域阀门流量报警箱安装在护士站适当位置，病房内支管及终端、截止阀均安装在铝合金设备带内，这样既整齐又美观（与氧气管道一起走管）。</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4、管道接地要求：</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吸引管道按相关标准要求进行接地，接地电阻为＜10Ω。</w:t>
      </w:r>
      <w:bookmarkStart w:id="72" w:name="_Toc18983"/>
    </w:p>
    <w:p>
      <w:pPr>
        <w:widowControl w:val="0"/>
        <w:spacing w:line="360" w:lineRule="auto"/>
        <w:ind w:firstLine="472" w:firstLineChars="200"/>
        <w:jc w:val="both"/>
        <w:rPr>
          <w:rFonts w:hint="eastAsia" w:ascii="宋体" w:hAnsi="宋体" w:cs="宋体"/>
          <w:bCs/>
          <w:color w:val="auto"/>
          <w:spacing w:val="-2"/>
        </w:rPr>
      </w:pPr>
      <w:bookmarkStart w:id="73" w:name="_Toc2461"/>
      <w:r>
        <w:rPr>
          <w:rFonts w:hint="eastAsia" w:ascii="宋体" w:hAnsi="宋体" w:cs="宋体"/>
          <w:bCs/>
          <w:color w:val="auto"/>
          <w:spacing w:val="-2"/>
        </w:rPr>
        <w:t>（三）系统压力试验、吹扫技术要求：</w:t>
      </w:r>
      <w:bookmarkEnd w:id="72"/>
      <w:bookmarkEnd w:id="73"/>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l、系统强度试验：吸引管道安装完毕后进行强度试验，试验介质为氮气或无油压缩空气，试验压力0.2MPa，试压时间l0-30min，试验结果以管道接头、焊缝、管段无肉眼的可见的变形、以发泡剂检验无渗漏为合格。</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2、系统泄漏率试验：吸引管道强度试验合格后进行泄漏增压率试验，试验压力为管道最高工作压力，试压24h，试验结果每小时因泄漏引起的增压率不超过0.5%为合格。</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3、系统吹扫：吸引管道强度泄漏试验合格后进行系统吹扫，吹扫介质为氮气或无油压缩空气，结果以出气口无杂质、干净为合格。</w:t>
      </w:r>
    </w:p>
    <w:p>
      <w:pPr>
        <w:widowControl w:val="0"/>
        <w:spacing w:line="480" w:lineRule="exact"/>
        <w:outlineLvl w:val="0"/>
        <w:rPr>
          <w:rFonts w:hint="eastAsia" w:ascii="宋体" w:hAnsi="宋体" w:cs="宋体"/>
          <w:b/>
          <w:color w:val="auto"/>
          <w:sz w:val="28"/>
          <w:szCs w:val="28"/>
        </w:rPr>
      </w:pPr>
      <w:bookmarkStart w:id="74" w:name="_Toc25300_WPSOffice_Level1"/>
      <w:bookmarkStart w:id="75" w:name="_Toc22235_WPSOffice_Level1"/>
      <w:bookmarkStart w:id="76" w:name="_Toc2754"/>
      <w:bookmarkStart w:id="77" w:name="_Toc5757_WPSOffice_Level1"/>
      <w:bookmarkStart w:id="78" w:name="_Toc4794"/>
      <w:r>
        <w:rPr>
          <w:rFonts w:hint="eastAsia" w:ascii="宋体" w:hAnsi="宋体" w:cs="宋体"/>
          <w:b/>
          <w:color w:val="auto"/>
          <w:sz w:val="28"/>
          <w:szCs w:val="28"/>
        </w:rPr>
        <w:t>医用压缩空气系统</w:t>
      </w:r>
      <w:bookmarkEnd w:id="74"/>
      <w:bookmarkEnd w:id="75"/>
      <w:bookmarkEnd w:id="76"/>
      <w:bookmarkEnd w:id="77"/>
      <w:r>
        <w:rPr>
          <w:rFonts w:hint="eastAsia" w:ascii="宋体" w:hAnsi="宋体" w:cs="宋体"/>
          <w:b/>
          <w:color w:val="auto"/>
          <w:sz w:val="28"/>
          <w:szCs w:val="28"/>
        </w:rPr>
        <w:t>技术要求：</w:t>
      </w:r>
      <w:bookmarkEnd w:id="78"/>
    </w:p>
    <w:p>
      <w:pPr>
        <w:widowControl w:val="0"/>
        <w:spacing w:line="360" w:lineRule="auto"/>
        <w:ind w:firstLine="474" w:firstLineChars="200"/>
        <w:jc w:val="both"/>
        <w:rPr>
          <w:rFonts w:hint="eastAsia" w:ascii="宋体" w:hAnsi="宋体" w:cs="宋体"/>
          <w:b/>
          <w:bCs w:val="0"/>
          <w:color w:val="auto"/>
          <w:spacing w:val="-2"/>
        </w:rPr>
      </w:pPr>
      <w:bookmarkStart w:id="79" w:name="_Toc17983_WPSOffice_Level2"/>
      <w:bookmarkStart w:id="80" w:name="_Toc1892_WPSOffice_Level2"/>
      <w:bookmarkStart w:id="81" w:name="_Toc20898"/>
      <w:bookmarkStart w:id="82" w:name="_Toc2862_WPSOffice_Level2"/>
      <w:r>
        <w:rPr>
          <w:rFonts w:hint="eastAsia" w:ascii="宋体" w:hAnsi="宋体" w:cs="宋体"/>
          <w:b/>
          <w:bCs w:val="0"/>
          <w:color w:val="auto"/>
          <w:spacing w:val="-2"/>
        </w:rPr>
        <w:t>压缩空气站：</w:t>
      </w:r>
      <w:bookmarkEnd w:id="79"/>
      <w:bookmarkEnd w:id="80"/>
      <w:bookmarkEnd w:id="81"/>
      <w:bookmarkEnd w:id="82"/>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1、压缩空气站主要设备：</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976"/>
        <w:gridCol w:w="39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序号</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设备名称</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规格型号</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spacing w:val="-2"/>
              </w:rPr>
              <w:t>螺杆式空压机</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spacing w:val="-2"/>
              </w:rPr>
              <w:t>≥1.26m</w:t>
            </w:r>
            <w:r>
              <w:rPr>
                <w:rFonts w:hint="eastAsia" w:ascii="宋体" w:hAnsi="宋体" w:eastAsia="宋体" w:cs="宋体"/>
                <w:bCs/>
                <w:color w:val="auto"/>
                <w:spacing w:val="-2"/>
                <w:vertAlign w:val="superscript"/>
              </w:rPr>
              <w:t>3</w:t>
            </w:r>
            <w:r>
              <w:rPr>
                <w:rFonts w:hint="eastAsia" w:ascii="宋体" w:hAnsi="宋体" w:eastAsia="宋体" w:cs="宋体"/>
                <w:bCs/>
                <w:color w:val="auto"/>
                <w:spacing w:val="-2"/>
              </w:rPr>
              <w:t>/min/台，11kW/台</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冷冻式干燥机</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lang w:bidi="ar"/>
              </w:rPr>
              <w:t>3.0</w:t>
            </w:r>
            <w:r>
              <w:rPr>
                <w:rFonts w:hint="eastAsia" w:ascii="宋体" w:hAnsi="宋体" w:eastAsia="宋体" w:cs="宋体"/>
                <w:bCs/>
                <w:color w:val="auto"/>
                <w:spacing w:val="-2"/>
              </w:rPr>
              <w:t>m</w:t>
            </w:r>
            <w:r>
              <w:rPr>
                <w:rFonts w:hint="eastAsia" w:ascii="宋体" w:hAnsi="宋体" w:eastAsia="宋体" w:cs="宋体"/>
                <w:bCs/>
                <w:color w:val="auto"/>
                <w:spacing w:val="-2"/>
                <w:vertAlign w:val="superscript"/>
              </w:rPr>
              <w:t>3</w:t>
            </w:r>
            <w:r>
              <w:rPr>
                <w:rFonts w:hint="eastAsia" w:ascii="宋体" w:hAnsi="宋体" w:eastAsia="宋体" w:cs="宋体"/>
                <w:bCs/>
                <w:color w:val="auto"/>
                <w:lang w:bidi="ar"/>
              </w:rPr>
              <w:t>/min/台</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3</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初级过滤器</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lang w:bidi="ar"/>
              </w:rPr>
            </w:pPr>
            <w:r>
              <w:rPr>
                <w:rFonts w:hint="eastAsia" w:ascii="宋体" w:hAnsi="宋体" w:eastAsia="宋体" w:cs="宋体"/>
                <w:bCs/>
                <w:color w:val="auto"/>
                <w:spacing w:val="-2"/>
              </w:rPr>
              <w:t>≥</w:t>
            </w:r>
            <w:r>
              <w:rPr>
                <w:rFonts w:hint="eastAsia" w:ascii="宋体" w:hAnsi="宋体" w:eastAsia="宋体" w:cs="宋体"/>
                <w:bCs/>
                <w:color w:val="auto"/>
                <w:lang w:bidi="ar"/>
              </w:rPr>
              <w:t>1.84</w:t>
            </w:r>
            <w:r>
              <w:rPr>
                <w:rFonts w:hint="eastAsia" w:ascii="宋体" w:hAnsi="宋体" w:eastAsia="宋体" w:cs="宋体"/>
                <w:bCs/>
                <w:color w:val="auto"/>
                <w:spacing w:val="-2"/>
              </w:rPr>
              <w:t>m</w:t>
            </w:r>
            <w:r>
              <w:rPr>
                <w:rFonts w:hint="eastAsia" w:ascii="宋体" w:hAnsi="宋体" w:eastAsia="宋体" w:cs="宋体"/>
                <w:bCs/>
                <w:color w:val="auto"/>
                <w:spacing w:val="-2"/>
                <w:vertAlign w:val="superscript"/>
              </w:rPr>
              <w:t>3</w:t>
            </w:r>
            <w:r>
              <w:rPr>
                <w:rFonts w:hint="eastAsia" w:ascii="宋体" w:hAnsi="宋体" w:eastAsia="宋体" w:cs="宋体"/>
                <w:bCs/>
                <w:color w:val="auto"/>
                <w:spacing w:val="-2"/>
              </w:rPr>
              <w:t>/min/只</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4</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精密过滤器</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lang w:bidi="ar"/>
              </w:rPr>
            </w:pPr>
            <w:r>
              <w:rPr>
                <w:rFonts w:hint="eastAsia" w:ascii="宋体" w:hAnsi="宋体" w:eastAsia="宋体" w:cs="宋体"/>
                <w:bCs/>
                <w:color w:val="auto"/>
                <w:spacing w:val="-2"/>
              </w:rPr>
              <w:t>≥</w:t>
            </w:r>
            <w:r>
              <w:rPr>
                <w:rFonts w:hint="eastAsia" w:ascii="宋体" w:hAnsi="宋体" w:eastAsia="宋体" w:cs="宋体"/>
                <w:bCs/>
                <w:color w:val="auto"/>
                <w:lang w:bidi="ar"/>
              </w:rPr>
              <w:t>1.84</w:t>
            </w:r>
            <w:r>
              <w:rPr>
                <w:rFonts w:hint="eastAsia" w:ascii="宋体" w:hAnsi="宋体" w:eastAsia="宋体" w:cs="宋体"/>
                <w:bCs/>
                <w:color w:val="auto"/>
                <w:spacing w:val="-2"/>
              </w:rPr>
              <w:t>m</w:t>
            </w:r>
            <w:r>
              <w:rPr>
                <w:rFonts w:hint="eastAsia" w:ascii="宋体" w:hAnsi="宋体" w:eastAsia="宋体" w:cs="宋体"/>
                <w:bCs/>
                <w:color w:val="auto"/>
                <w:spacing w:val="-2"/>
                <w:vertAlign w:val="superscript"/>
              </w:rPr>
              <w:t>3</w:t>
            </w:r>
            <w:r>
              <w:rPr>
                <w:rFonts w:hint="eastAsia" w:ascii="宋体" w:hAnsi="宋体" w:eastAsia="宋体" w:cs="宋体"/>
                <w:bCs/>
                <w:color w:val="auto"/>
                <w:spacing w:val="-2"/>
              </w:rPr>
              <w:t>/min/只</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5</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活性炭过滤器</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spacing w:val="-2"/>
              </w:rPr>
              <w:t>≥</w:t>
            </w:r>
            <w:r>
              <w:rPr>
                <w:rFonts w:hint="eastAsia" w:ascii="宋体" w:hAnsi="宋体" w:eastAsia="宋体" w:cs="宋体"/>
                <w:bCs/>
                <w:color w:val="auto"/>
                <w:lang w:bidi="ar"/>
              </w:rPr>
              <w:t>1.84</w:t>
            </w:r>
            <w:r>
              <w:rPr>
                <w:rFonts w:hint="eastAsia" w:ascii="宋体" w:hAnsi="宋体" w:eastAsia="宋体" w:cs="宋体"/>
                <w:bCs/>
                <w:color w:val="auto"/>
                <w:spacing w:val="-2"/>
              </w:rPr>
              <w:t>m</w:t>
            </w:r>
            <w:r>
              <w:rPr>
                <w:rFonts w:hint="eastAsia" w:ascii="宋体" w:hAnsi="宋体" w:eastAsia="宋体" w:cs="宋体"/>
                <w:bCs/>
                <w:color w:val="auto"/>
                <w:spacing w:val="-2"/>
                <w:vertAlign w:val="superscript"/>
              </w:rPr>
              <w:t>3</w:t>
            </w:r>
            <w:r>
              <w:rPr>
                <w:rFonts w:hint="eastAsia" w:ascii="宋体" w:hAnsi="宋体" w:eastAsia="宋体" w:cs="宋体"/>
                <w:bCs/>
                <w:color w:val="auto"/>
                <w:spacing w:val="-2"/>
              </w:rPr>
              <w:t>/min/只</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ascii="宋体" w:hAnsi="宋体" w:eastAsia="宋体" w:cs="宋体"/>
                <w:bCs/>
                <w:color w:val="auto"/>
              </w:rPr>
            </w:pPr>
            <w:r>
              <w:rPr>
                <w:rFonts w:hint="eastAsia" w:ascii="宋体" w:hAnsi="宋体" w:eastAsia="宋体" w:cs="宋体"/>
                <w:bCs/>
                <w:color w:val="auto"/>
              </w:rPr>
              <w:t>6</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 xml:space="preserve">细菌过滤器 </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spacing w:val="-2"/>
              </w:rPr>
              <w:t>≥</w:t>
            </w:r>
            <w:r>
              <w:rPr>
                <w:rFonts w:hint="eastAsia" w:ascii="宋体" w:hAnsi="宋体" w:eastAsia="宋体" w:cs="宋体"/>
                <w:bCs/>
                <w:color w:val="auto"/>
                <w:lang w:bidi="ar"/>
              </w:rPr>
              <w:t>1.84</w:t>
            </w:r>
            <w:r>
              <w:rPr>
                <w:rFonts w:hint="eastAsia" w:ascii="宋体" w:hAnsi="宋体" w:eastAsia="宋体" w:cs="宋体"/>
                <w:bCs/>
                <w:color w:val="auto"/>
                <w:spacing w:val="-2"/>
              </w:rPr>
              <w:t>m</w:t>
            </w:r>
            <w:r>
              <w:rPr>
                <w:rFonts w:hint="eastAsia" w:ascii="宋体" w:hAnsi="宋体" w:eastAsia="宋体" w:cs="宋体"/>
                <w:bCs/>
                <w:color w:val="auto"/>
                <w:spacing w:val="-2"/>
                <w:vertAlign w:val="superscript"/>
              </w:rPr>
              <w:t>3</w:t>
            </w:r>
            <w:r>
              <w:rPr>
                <w:rFonts w:hint="eastAsia" w:ascii="宋体" w:hAnsi="宋体" w:eastAsia="宋体" w:cs="宋体"/>
                <w:bCs/>
                <w:color w:val="auto"/>
                <w:spacing w:val="-2"/>
              </w:rPr>
              <w:t>/min/只</w:t>
            </w:r>
            <w:r>
              <w:rPr>
                <w:rFonts w:hint="eastAsia" w:ascii="宋体" w:hAnsi="宋体" w:eastAsia="宋体" w:cs="宋体"/>
                <w:bCs/>
                <w:color w:val="auto"/>
              </w:rPr>
              <w:t>,过滤精度:0.01μm~0.2μm</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7</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储气罐（材质：碳钢）</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1.5m</w:t>
            </w:r>
            <w:r>
              <w:rPr>
                <w:rFonts w:hint="eastAsia" w:ascii="宋体" w:hAnsi="宋体" w:eastAsia="宋体" w:cs="宋体"/>
                <w:bCs/>
                <w:color w:val="auto"/>
                <w:vertAlign w:val="superscript"/>
              </w:rPr>
              <w:t>3</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8</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双回路调压装置</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100m</w:t>
            </w:r>
            <w:r>
              <w:rPr>
                <w:rFonts w:hint="eastAsia" w:ascii="宋体" w:hAnsi="宋体" w:eastAsia="宋体" w:cs="宋体"/>
                <w:bCs/>
                <w:color w:val="auto"/>
                <w:vertAlign w:val="superscript"/>
              </w:rPr>
              <w:t>3</w:t>
            </w:r>
            <w:r>
              <w:rPr>
                <w:rFonts w:hint="eastAsia" w:ascii="宋体" w:hAnsi="宋体" w:eastAsia="宋体" w:cs="宋体"/>
                <w:bCs/>
                <w:color w:val="auto"/>
              </w:rPr>
              <w:t>/h</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9</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压缩空气配电箱</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二机联动</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10</w:t>
            </w:r>
          </w:p>
        </w:tc>
        <w:tc>
          <w:tcPr>
            <w:tcW w:w="2976"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分气缸</w:t>
            </w:r>
          </w:p>
        </w:tc>
        <w:tc>
          <w:tcPr>
            <w:tcW w:w="3969"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按需定制</w:t>
            </w:r>
          </w:p>
        </w:tc>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1台</w:t>
            </w:r>
          </w:p>
        </w:tc>
      </w:tr>
    </w:tbl>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2、压缩空气站技术参数：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最大供气量：二台空压机同时工作时≥2.52m3/min，压缩空气机功率11kW/台。</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压缩空气站出口工作压力：0.5MPa（可调）。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压缩空气总体每小时泄漏率：＜0.2%。</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压缩空气站内设置二用一备空气压缩机。当工作压缩机故障时，备用压缩机能自动启动，以保证系统正常工作。</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压缩空气管道可靠接地，接地电阻＜10Ω。</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空气终端气压不低于0.4MPa，每个终端流量不低于60L/min。</w:t>
      </w:r>
    </w:p>
    <w:p>
      <w:pPr>
        <w:widowControl w:val="0"/>
        <w:spacing w:line="360" w:lineRule="auto"/>
        <w:ind w:firstLine="474" w:firstLineChars="200"/>
        <w:jc w:val="both"/>
        <w:rPr>
          <w:rFonts w:hint="eastAsia" w:ascii="宋体" w:hAnsi="宋体" w:cs="宋体"/>
          <w:b/>
          <w:bCs w:val="0"/>
          <w:color w:val="auto"/>
          <w:spacing w:val="-2"/>
        </w:rPr>
      </w:pPr>
      <w:bookmarkStart w:id="83" w:name="_Toc20541_WPSOffice_Level2"/>
      <w:bookmarkStart w:id="84" w:name="_Toc27929_WPSOffice_Level2"/>
      <w:bookmarkStart w:id="85" w:name="_Toc24362"/>
      <w:bookmarkStart w:id="86" w:name="_Toc10128_WPSOffice_Level2"/>
      <w:bookmarkStart w:id="87" w:name="_Toc2618"/>
      <w:r>
        <w:rPr>
          <w:rFonts w:hint="eastAsia" w:ascii="宋体" w:hAnsi="宋体" w:cs="宋体"/>
          <w:b/>
          <w:bCs w:val="0"/>
          <w:color w:val="auto"/>
          <w:spacing w:val="-2"/>
        </w:rPr>
        <w:t>空气管道设计</w:t>
      </w:r>
      <w:bookmarkEnd w:id="83"/>
      <w:bookmarkEnd w:id="84"/>
      <w:bookmarkEnd w:id="85"/>
      <w:bookmarkEnd w:id="86"/>
      <w:r>
        <w:rPr>
          <w:rFonts w:hint="eastAsia" w:ascii="宋体" w:hAnsi="宋体" w:cs="宋体"/>
          <w:b/>
          <w:bCs w:val="0"/>
          <w:color w:val="auto"/>
          <w:spacing w:val="-2"/>
        </w:rPr>
        <w:t>：</w:t>
      </w:r>
      <w:bookmarkEnd w:id="87"/>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1、空气管道主管、横管、房间支管采用06Cr19Ni10不锈钢管，接入设备带中支管采用紫铜管。管径计算依据：GB50751-2012《医用气体工程技术规范》。</w:t>
      </w:r>
    </w:p>
    <w:p>
      <w:pPr>
        <w:widowControl w:val="0"/>
        <w:spacing w:line="360" w:lineRule="auto"/>
        <w:ind w:firstLine="472" w:firstLineChars="200"/>
        <w:jc w:val="both"/>
        <w:rPr>
          <w:rFonts w:ascii="宋体" w:hAnsi="宋体" w:cs="宋体"/>
          <w:bCs/>
          <w:color w:val="auto"/>
          <w:spacing w:val="-2"/>
        </w:rPr>
      </w:pPr>
      <w:r>
        <w:rPr>
          <w:rFonts w:hint="eastAsia" w:ascii="宋体" w:hAnsi="宋体" w:cs="宋体"/>
          <w:bCs/>
          <w:color w:val="auto"/>
          <w:spacing w:val="-2"/>
        </w:rPr>
        <w:t>空气管道：DN50、DN40、DN32、DN25、DN20、DN15。</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2、管道连接方法：</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不锈钢管采用标准的医用不锈钢管件连接密封后氩弧焊焊接，紫铜管采用银基钎焊焊接保证系统的气密性。</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3、管道布置：</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主管道沿地吊顶架设至大楼管道井，病区走廊横管安装在吊顶内，区域阀门流量报警箱安装在护士站适当位置，病房内支管及终端、截止阀均安装在铝合金设备带内，这样既整齐又美观（与氧气、吸引管道一起走管）。</w:t>
      </w:r>
    </w:p>
    <w:p>
      <w:pPr>
        <w:widowControl w:val="0"/>
        <w:spacing w:line="360" w:lineRule="auto"/>
        <w:ind w:firstLine="474" w:firstLineChars="200"/>
        <w:jc w:val="both"/>
        <w:rPr>
          <w:rFonts w:hint="eastAsia" w:ascii="宋体" w:hAnsi="宋体" w:cs="宋体"/>
          <w:b/>
          <w:bCs w:val="0"/>
          <w:color w:val="auto"/>
          <w:spacing w:val="-2"/>
        </w:rPr>
      </w:pPr>
      <w:bookmarkStart w:id="88" w:name="_Toc20303"/>
      <w:bookmarkStart w:id="89" w:name="_Toc20901_WPSOffice_Level2"/>
      <w:bookmarkStart w:id="90" w:name="_Toc16182_WPSOffice_Level2"/>
      <w:bookmarkStart w:id="91" w:name="_Toc17230_WPSOffice_Level2"/>
      <w:bookmarkStart w:id="92" w:name="_Toc2649"/>
      <w:r>
        <w:rPr>
          <w:rFonts w:hint="eastAsia" w:ascii="宋体" w:hAnsi="宋体" w:cs="宋体"/>
          <w:b/>
          <w:bCs w:val="0"/>
          <w:color w:val="auto"/>
          <w:spacing w:val="-2"/>
        </w:rPr>
        <w:t>系统压力试验、吹扫技术要求</w:t>
      </w:r>
      <w:bookmarkEnd w:id="88"/>
      <w:bookmarkEnd w:id="89"/>
      <w:bookmarkEnd w:id="90"/>
      <w:bookmarkEnd w:id="91"/>
      <w:r>
        <w:rPr>
          <w:rFonts w:hint="eastAsia" w:ascii="宋体" w:hAnsi="宋体" w:cs="宋体"/>
          <w:b/>
          <w:bCs w:val="0"/>
          <w:color w:val="auto"/>
          <w:spacing w:val="-2"/>
        </w:rPr>
        <w:t>：</w:t>
      </w:r>
      <w:bookmarkEnd w:id="92"/>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系统强度试验：空气管道安装完毕后进行强度试验，试验介质为氮气或无油压缩空气，试验压力为管道设计压力的1.25倍，试压时间l0-30min，试验结果以管道接头、焊缝、管段无肉眼的可见的变形、以发泡剂检验无渗漏为合格。</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2、系统泄漏率试验：空气管道强度试验合格后进行泄漏率试验，试验介质为氮气或无油压缩空气，试验压力为管道设计压力，试压24h，试验结果每小时泄漏率小于0.2%合格。</w:t>
      </w:r>
    </w:p>
    <w:p>
      <w:pPr>
        <w:widowControl w:val="0"/>
        <w:spacing w:line="360" w:lineRule="auto"/>
        <w:ind w:firstLine="472" w:firstLineChars="200"/>
        <w:jc w:val="both"/>
        <w:rPr>
          <w:rFonts w:hint="eastAsia" w:ascii="宋体" w:hAnsi="宋体" w:cs="宋体"/>
          <w:bCs/>
          <w:color w:val="auto"/>
        </w:rPr>
      </w:pPr>
      <w:r>
        <w:rPr>
          <w:rFonts w:hint="eastAsia" w:ascii="宋体" w:hAnsi="宋体" w:cs="宋体"/>
          <w:bCs/>
          <w:color w:val="auto"/>
          <w:spacing w:val="-2"/>
        </w:rPr>
        <w:t>3、系统吹扫：空气管道强度泄漏试验合格后进行系统吹扫，吹扫介质为氮气或无油压缩空气，结果以出气口无杂质、干净为合格。</w:t>
      </w:r>
      <w:bookmarkStart w:id="93" w:name="_Toc12387"/>
    </w:p>
    <w:p>
      <w:pPr>
        <w:widowControl w:val="0"/>
        <w:spacing w:line="480" w:lineRule="exact"/>
        <w:jc w:val="both"/>
        <w:outlineLvl w:val="0"/>
        <w:rPr>
          <w:rFonts w:hint="eastAsia" w:ascii="宋体" w:hAnsi="宋体" w:cs="宋体"/>
          <w:b/>
          <w:color w:val="auto"/>
          <w:sz w:val="28"/>
          <w:szCs w:val="28"/>
        </w:rPr>
      </w:pPr>
      <w:r>
        <w:rPr>
          <w:rStyle w:val="62"/>
          <w:rFonts w:hint="eastAsia" w:ascii="宋体" w:hAnsi="宋体" w:cs="宋体"/>
          <w:color w:val="auto"/>
          <w:sz w:val="28"/>
          <w:szCs w:val="28"/>
        </w:rPr>
        <w:t>二氧化碳、笑气、氮气</w:t>
      </w:r>
      <w:r>
        <w:rPr>
          <w:rFonts w:hint="eastAsia" w:ascii="宋体" w:hAnsi="宋体" w:cs="宋体"/>
          <w:b/>
          <w:color w:val="auto"/>
          <w:sz w:val="28"/>
          <w:szCs w:val="28"/>
        </w:rPr>
        <w:t>系统技术要求</w:t>
      </w:r>
      <w:r>
        <w:rPr>
          <w:rStyle w:val="62"/>
          <w:rFonts w:hint="eastAsia" w:ascii="宋体" w:hAnsi="宋体" w:cs="宋体"/>
          <w:color w:val="auto"/>
          <w:sz w:val="28"/>
          <w:szCs w:val="28"/>
        </w:rPr>
        <w:t>：</w:t>
      </w:r>
    </w:p>
    <w:p>
      <w:pPr>
        <w:widowControl w:val="0"/>
        <w:spacing w:line="360" w:lineRule="auto"/>
        <w:ind w:firstLine="474" w:firstLineChars="200"/>
        <w:jc w:val="both"/>
        <w:rPr>
          <w:rFonts w:hint="eastAsia" w:ascii="宋体" w:hAnsi="宋体" w:cs="宋体"/>
          <w:b/>
          <w:bCs w:val="0"/>
          <w:color w:val="auto"/>
          <w:spacing w:val="-2"/>
        </w:rPr>
      </w:pPr>
      <w:bookmarkStart w:id="94" w:name="_Toc1805"/>
      <w:bookmarkStart w:id="95" w:name="_Toc23336"/>
      <w:bookmarkStart w:id="96" w:name="_Toc17368_WPSOffice_Level2"/>
      <w:r>
        <w:rPr>
          <w:rFonts w:hint="eastAsia" w:ascii="宋体" w:hAnsi="宋体" w:cs="宋体"/>
          <w:b/>
          <w:bCs w:val="0"/>
          <w:color w:val="auto"/>
          <w:spacing w:val="-2"/>
        </w:rPr>
        <w:t>二氧化碳、笑气、</w:t>
      </w:r>
      <w:bookmarkEnd w:id="94"/>
      <w:bookmarkEnd w:id="95"/>
      <w:r>
        <w:rPr>
          <w:rFonts w:hint="eastAsia" w:ascii="宋体" w:hAnsi="宋体" w:cs="宋体"/>
          <w:b/>
          <w:bCs w:val="0"/>
          <w:color w:val="auto"/>
          <w:spacing w:val="-2"/>
        </w:rPr>
        <w:t>氮气站</w:t>
      </w:r>
      <w:bookmarkEnd w:id="96"/>
      <w:r>
        <w:rPr>
          <w:rFonts w:hint="eastAsia" w:ascii="宋体" w:hAnsi="宋体" w:cs="宋体"/>
          <w:b/>
          <w:bCs w:val="0"/>
          <w:color w:val="auto"/>
          <w:spacing w:val="-2"/>
        </w:rPr>
        <w:t>。</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采用双排气瓶，双路控制系统，一路工作、一路备用。具有自动控制及人工控制两种功能。</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1、二氧化碳汇流排主要设备：</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31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序号</w:t>
            </w:r>
          </w:p>
        </w:tc>
        <w:tc>
          <w:tcPr>
            <w:tcW w:w="34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设备名称</w:t>
            </w:r>
          </w:p>
        </w:tc>
        <w:tc>
          <w:tcPr>
            <w:tcW w:w="3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规格型号</w:t>
            </w:r>
          </w:p>
        </w:tc>
        <w:tc>
          <w:tcPr>
            <w:tcW w:w="1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34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报警箱</w:t>
            </w:r>
          </w:p>
        </w:tc>
        <w:tc>
          <w:tcPr>
            <w:tcW w:w="3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 xml:space="preserve"> </w:t>
            </w:r>
          </w:p>
        </w:tc>
        <w:tc>
          <w:tcPr>
            <w:tcW w:w="1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2</w:t>
            </w:r>
          </w:p>
        </w:tc>
        <w:tc>
          <w:tcPr>
            <w:tcW w:w="34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一级自动切换控制箱</w:t>
            </w:r>
          </w:p>
        </w:tc>
        <w:tc>
          <w:tcPr>
            <w:tcW w:w="3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 xml:space="preserve"> </w:t>
            </w:r>
          </w:p>
        </w:tc>
        <w:tc>
          <w:tcPr>
            <w:tcW w:w="1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3</w:t>
            </w:r>
          </w:p>
        </w:tc>
        <w:tc>
          <w:tcPr>
            <w:tcW w:w="34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汇流排（气瓶甲供）</w:t>
            </w:r>
          </w:p>
        </w:tc>
        <w:tc>
          <w:tcPr>
            <w:tcW w:w="3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2瓶</w:t>
            </w:r>
          </w:p>
        </w:tc>
        <w:tc>
          <w:tcPr>
            <w:tcW w:w="1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2组</w:t>
            </w:r>
          </w:p>
        </w:tc>
      </w:tr>
    </w:tbl>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2、笑气汇流排主要设备：</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31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序号</w:t>
            </w:r>
          </w:p>
        </w:tc>
        <w:tc>
          <w:tcPr>
            <w:tcW w:w="34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设备名称</w:t>
            </w:r>
          </w:p>
        </w:tc>
        <w:tc>
          <w:tcPr>
            <w:tcW w:w="3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规格型号</w:t>
            </w:r>
          </w:p>
        </w:tc>
        <w:tc>
          <w:tcPr>
            <w:tcW w:w="1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34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一级自动切换控制箱</w:t>
            </w:r>
          </w:p>
        </w:tc>
        <w:tc>
          <w:tcPr>
            <w:tcW w:w="3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 xml:space="preserve"> </w:t>
            </w:r>
          </w:p>
        </w:tc>
        <w:tc>
          <w:tcPr>
            <w:tcW w:w="1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2</w:t>
            </w:r>
          </w:p>
        </w:tc>
        <w:tc>
          <w:tcPr>
            <w:tcW w:w="34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汇流排（气瓶甲供）</w:t>
            </w:r>
          </w:p>
        </w:tc>
        <w:tc>
          <w:tcPr>
            <w:tcW w:w="3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2瓶</w:t>
            </w:r>
          </w:p>
        </w:tc>
        <w:tc>
          <w:tcPr>
            <w:tcW w:w="1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2组</w:t>
            </w:r>
          </w:p>
        </w:tc>
      </w:tr>
    </w:tbl>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3、氮气汇流排主要设备：</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31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序号</w:t>
            </w:r>
          </w:p>
        </w:tc>
        <w:tc>
          <w:tcPr>
            <w:tcW w:w="340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设备名称</w:t>
            </w:r>
          </w:p>
        </w:tc>
        <w:tc>
          <w:tcPr>
            <w:tcW w:w="3118"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规格型号</w:t>
            </w:r>
          </w:p>
        </w:tc>
        <w:tc>
          <w:tcPr>
            <w:tcW w:w="1417"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w:t>
            </w:r>
          </w:p>
        </w:tc>
        <w:tc>
          <w:tcPr>
            <w:tcW w:w="340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一级自动切换控制箱</w:t>
            </w:r>
          </w:p>
        </w:tc>
        <w:tc>
          <w:tcPr>
            <w:tcW w:w="3118"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 xml:space="preserve"> </w:t>
            </w:r>
          </w:p>
        </w:tc>
        <w:tc>
          <w:tcPr>
            <w:tcW w:w="1417"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shd w:val="clear" w:color="auto" w:fill="auto"/>
            <w:noWrap w:val="0"/>
            <w:vAlign w:val="center"/>
          </w:tcPr>
          <w:p>
            <w:pPr>
              <w:widowControl w:val="0"/>
              <w:spacing w:line="240" w:lineRule="auto"/>
              <w:jc w:val="center"/>
              <w:rPr>
                <w:rFonts w:ascii="宋体" w:hAnsi="宋体" w:eastAsia="宋体" w:cs="宋体"/>
                <w:bCs/>
                <w:color w:val="auto"/>
              </w:rPr>
            </w:pPr>
            <w:r>
              <w:rPr>
                <w:rFonts w:hint="eastAsia" w:ascii="宋体" w:hAnsi="宋体" w:eastAsia="宋体" w:cs="宋体"/>
                <w:bCs/>
                <w:color w:val="auto"/>
              </w:rPr>
              <w:t>2</w:t>
            </w:r>
          </w:p>
        </w:tc>
        <w:tc>
          <w:tcPr>
            <w:tcW w:w="3402"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汇流排（气瓶甲供）</w:t>
            </w:r>
          </w:p>
        </w:tc>
        <w:tc>
          <w:tcPr>
            <w:tcW w:w="3118"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2瓶</w:t>
            </w:r>
          </w:p>
        </w:tc>
        <w:tc>
          <w:tcPr>
            <w:tcW w:w="1417" w:type="dxa"/>
            <w:shd w:val="clear" w:color="auto" w:fill="auto"/>
            <w:noWrap w:val="0"/>
            <w:vAlign w:val="center"/>
          </w:tcPr>
          <w:p>
            <w:pPr>
              <w:widowControl w:val="0"/>
              <w:spacing w:line="240" w:lineRule="auto"/>
              <w:jc w:val="center"/>
              <w:rPr>
                <w:rFonts w:hint="eastAsia" w:ascii="宋体" w:hAnsi="宋体" w:eastAsia="宋体" w:cs="宋体"/>
                <w:bCs/>
                <w:color w:val="auto"/>
              </w:rPr>
            </w:pPr>
            <w:r>
              <w:rPr>
                <w:rFonts w:hint="eastAsia" w:ascii="宋体" w:hAnsi="宋体" w:eastAsia="宋体" w:cs="宋体"/>
                <w:bCs/>
                <w:color w:val="auto"/>
              </w:rPr>
              <w:t>2组</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74" w:firstLineChars="200"/>
        <w:jc w:val="both"/>
        <w:textAlignment w:val="auto"/>
        <w:rPr>
          <w:rFonts w:hint="eastAsia" w:ascii="宋体" w:hAnsi="宋体" w:cs="宋体"/>
          <w:b/>
          <w:bCs w:val="0"/>
          <w:color w:val="auto"/>
          <w:spacing w:val="-2"/>
        </w:rPr>
      </w:pPr>
      <w:r>
        <w:rPr>
          <w:rFonts w:hint="eastAsia" w:ascii="宋体" w:hAnsi="宋体" w:cs="宋体"/>
          <w:b/>
          <w:bCs w:val="0"/>
          <w:color w:val="auto"/>
          <w:spacing w:val="-2"/>
        </w:rPr>
        <w:t>二氧化碳、氧化亚氮、氮气管道设计：</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1、二氧化碳、笑气、氮气管道采用06Cr19Ni10不锈钢管。管径计算依据：GB50751-2012《医用气体工程技术规范》。</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200"/>
        <w:jc w:val="both"/>
        <w:textAlignment w:val="auto"/>
        <w:rPr>
          <w:rFonts w:ascii="宋体" w:hAnsi="宋体" w:cs="宋体"/>
          <w:bCs/>
          <w:color w:val="auto"/>
          <w:spacing w:val="-2"/>
        </w:rPr>
      </w:pPr>
      <w:r>
        <w:rPr>
          <w:rFonts w:hint="eastAsia" w:ascii="宋体" w:hAnsi="宋体" w:cs="宋体"/>
          <w:bCs/>
          <w:color w:val="auto"/>
          <w:spacing w:val="-2"/>
        </w:rPr>
        <w:t>二氧化碳管道：DN20。</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200"/>
        <w:jc w:val="both"/>
        <w:textAlignment w:val="auto"/>
        <w:rPr>
          <w:rFonts w:ascii="宋体" w:hAnsi="宋体" w:cs="宋体"/>
          <w:bCs/>
          <w:color w:val="auto"/>
          <w:spacing w:val="-2"/>
        </w:rPr>
      </w:pPr>
      <w:r>
        <w:rPr>
          <w:rFonts w:hint="eastAsia" w:ascii="宋体" w:hAnsi="宋体" w:cs="宋体"/>
          <w:bCs/>
          <w:color w:val="auto"/>
          <w:spacing w:val="-2"/>
        </w:rPr>
        <w:t>笑气管道：DN20。</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200"/>
        <w:jc w:val="both"/>
        <w:textAlignment w:val="auto"/>
        <w:rPr>
          <w:rFonts w:ascii="宋体" w:hAnsi="宋体" w:cs="宋体"/>
          <w:bCs/>
          <w:color w:val="auto"/>
          <w:spacing w:val="-2"/>
        </w:rPr>
      </w:pPr>
      <w:r>
        <w:rPr>
          <w:rFonts w:hint="eastAsia" w:ascii="宋体" w:hAnsi="宋体" w:cs="宋体"/>
          <w:bCs/>
          <w:color w:val="auto"/>
          <w:spacing w:val="-2"/>
        </w:rPr>
        <w:t>氮气管道：DN25。</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2、管道连接方法：</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不锈钢管采用标准的医用不锈钢管件连接密封后氩弧焊焊接。可保证系统的气密性。</w:t>
      </w:r>
    </w:p>
    <w:bookmarkEnd w:id="93"/>
    <w:p>
      <w:pPr>
        <w:keepNext w:val="0"/>
        <w:keepLines w:val="0"/>
        <w:pageBreakBefore w:val="0"/>
        <w:widowControl w:val="0"/>
        <w:kinsoku/>
        <w:wordWrap/>
        <w:overflowPunct/>
        <w:topLinePunct w:val="0"/>
        <w:autoSpaceDE/>
        <w:autoSpaceDN/>
        <w:bidi w:val="0"/>
        <w:adjustRightInd/>
        <w:snapToGrid w:val="0"/>
        <w:spacing w:line="360" w:lineRule="auto"/>
        <w:ind w:firstLine="474" w:firstLineChars="200"/>
        <w:jc w:val="both"/>
        <w:textAlignment w:val="auto"/>
        <w:rPr>
          <w:rFonts w:hint="eastAsia" w:ascii="宋体" w:hAnsi="宋体" w:cs="宋体"/>
          <w:b/>
          <w:bCs w:val="0"/>
          <w:color w:val="auto"/>
          <w:spacing w:val="-2"/>
        </w:rPr>
      </w:pPr>
      <w:r>
        <w:rPr>
          <w:rFonts w:hint="eastAsia" w:ascii="宋体" w:hAnsi="宋体" w:cs="宋体"/>
          <w:b/>
          <w:bCs w:val="0"/>
          <w:color w:val="auto"/>
          <w:spacing w:val="-2"/>
        </w:rPr>
        <w:t>气体终端</w:t>
      </w:r>
      <w:r>
        <w:rPr>
          <w:rFonts w:hint="eastAsia" w:ascii="宋体" w:hAnsi="宋体" w:cs="宋体"/>
          <w:b/>
          <w:bCs w:val="0"/>
          <w:color w:val="auto"/>
          <w:spacing w:val="-2"/>
        </w:rPr>
        <w:tab/>
      </w:r>
      <w:r>
        <w:rPr>
          <w:rFonts w:hint="eastAsia" w:ascii="宋体" w:hAnsi="宋体" w:cs="宋体"/>
          <w:b/>
          <w:bCs w:val="0"/>
          <w:color w:val="auto"/>
          <w:spacing w:val="-2"/>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1.带气维修功能，内部具有截止阀芯，可以在气体终端内锁紧关闭供气，维修时可以不必关闭终端外供气管路。(提供国家承认的官方检测报告）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2. 气体终端产品外观采用ISO9170-1规范颜色，以便医护人员通用规范认知，防止误操作</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3. 德式国际标准，插销符合DIN13260-2标准，通配式国际标准接头。不同气体端口具有特定对应的专用插头，专用插头不能通用其它气体终端，防止误操作导致事故发生。</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4.除密封件，其他所有零件为全金属结构，强度可靠</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5.底座进气口为一体式成型，强度可靠（提供样品或图片）</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6.内部不少于6个锁止点，安全可靠(提供国家承认的官方检测报告）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7.ROHS防止重金属超标(提供国家承认的官方检测报告）;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8.终端及紫铜管均具有四种有害物质铅、汞、镉、六价铬的测定，检测结果为合格(提供投标品牌厂家的官方检测报告）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9.防止细菌滋生(抑菌）(提供国家承认的官方检测报告）；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10.流量大于50L/min;接头插入终端拉拔力大于50kgf。(提供国家承认的官方检测报告）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11.5万次插拔无泄漏(提供国家承认的官方检测报告）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12.具有建筑电气安全防火第三方检测报告进行证明（检验依据：GB 8624-2012;燃烧性能达到A(A2)级以上）。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13. YY 0801.1-2010检测报告系列：</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氧气终端应通过YY 0801.1-2010检测（检验依据：YY 0801.1-2010《医用气体管道系统终端 第1部分：用于压缩医用气体和真空的终端》标准）（提供制造商针对本项目《国家食品药品监督管理局质量检验中心》出具的产品检测报告复印件）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真空吸引终端应通过YY 0801.1-2010检测（检验依据：YY 0801.1-2010《医用气体管道系统终端 第1部分：用于压缩医用气体和真空的终端》标准）（提供制造商针对本项目《国家食品药品监督管理局质量检验中心》出具的产品检测报告复印件）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医用空气终端应通过YY 0801.1-2010检测（检验依据：YY 0801.1-2010《医用气体管道系统终端 第1部分：用于压缩医用气体和真空的终端》标准）（提供制造商针对本项目《国家食品药品监督管理局质量检验中心》出具的产品检测报告复印件）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二氧化碳终端应通过YY 0801.1-2010检测（检验依据：YY 0801.1-2010《医用气体管道系统终端 第1部分：用于压缩医用气体和真空的终端》标准）（提供制造商针对本项目《国家食品药品监督管理局质量检验中心》出具的产品检测报告复印件）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氧化亚氮终端应通过YY 0801.1-2010检测（检验依据：YY 0801.1-2010《医用气体管道系统终端 第1部分：用于压缩医用气体和真空的终端》标准）（提供制造商针对本项目《国家食品药品监督管理局质量检验中心》出具的产品检测报告复印件）</w:t>
      </w:r>
    </w:p>
    <w:p>
      <w:pPr>
        <w:widowControl w:val="0"/>
        <w:spacing w:line="360" w:lineRule="auto"/>
        <w:rPr>
          <w:rFonts w:ascii="宋体" w:hAnsi="宋体" w:cs="宋体"/>
          <w:b/>
          <w:color w:val="auto"/>
          <w:sz w:val="28"/>
          <w:szCs w:val="28"/>
        </w:rPr>
      </w:pPr>
      <w:r>
        <w:rPr>
          <w:rFonts w:hint="eastAsia" w:ascii="宋体" w:hAnsi="宋体" w:cs="宋体"/>
          <w:b/>
          <w:color w:val="auto"/>
          <w:szCs w:val="32"/>
        </w:rPr>
        <w:br w:type="page"/>
      </w:r>
      <w:r>
        <w:rPr>
          <w:rFonts w:hint="eastAsia" w:ascii="宋体" w:hAnsi="宋体" w:cs="宋体"/>
          <w:b/>
          <w:color w:val="auto"/>
          <w:sz w:val="28"/>
          <w:szCs w:val="28"/>
        </w:rPr>
        <w:t>第</w:t>
      </w:r>
      <w:r>
        <w:rPr>
          <w:rFonts w:hint="eastAsia" w:hAnsi="宋体" w:cs="宋体"/>
          <w:b/>
          <w:color w:val="auto"/>
          <w:sz w:val="28"/>
          <w:szCs w:val="28"/>
        </w:rPr>
        <w:t>二</w:t>
      </w:r>
      <w:r>
        <w:rPr>
          <w:rFonts w:hint="eastAsia" w:ascii="宋体" w:hAnsi="宋体" w:cs="宋体"/>
          <w:b/>
          <w:color w:val="auto"/>
          <w:sz w:val="28"/>
          <w:szCs w:val="28"/>
        </w:rPr>
        <w:t xml:space="preserve">部分 </w:t>
      </w:r>
      <w:r>
        <w:rPr>
          <w:rFonts w:hint="eastAsia" w:hAnsi="宋体" w:cs="宋体"/>
          <w:b/>
          <w:color w:val="auto"/>
          <w:sz w:val="28"/>
          <w:szCs w:val="28"/>
        </w:rPr>
        <w:t>净化区域工程</w:t>
      </w:r>
    </w:p>
    <w:p>
      <w:pPr>
        <w:widowControl w:val="0"/>
        <w:adjustRightInd w:val="0"/>
        <w:snapToGrid w:val="0"/>
        <w:spacing w:line="36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工程概况：</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一楼中药制剂设包材库、外包间及代煎间等。</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一层供应室设置去污区、检查包装及灭菌、无菌品及相关辅房等</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三层检验科设检验大厅、PCR实验室、体液检测及配套的功能用房等</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三层ICU共设计9床位大厅，其中大厅5床、单人间3床、负压病房1床，治疗室及其配套的功能用房等。</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三层手术部共设计1间百级手术室（预留），1间DSA万级手术室（防辐射），1间万级手术室，1间万级防辐射手术室（预留），1间普通正负压手术室，洁净走廊及其配套的功能用房等。</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设计范围：区域内装饰装修、净化空调、强电系统及给排水系统。（外围结构、土建外窗、电梯厅、楼梯间、各种管井、原墙面拆除、地面拆除、砌土建隔墙、外墙、外窗装饰，风道系统的开孔、加固及表面复原，修筑空调机房及机组所用的地台、消防系统、弱电系统、应急疏散灯、无影灯、手术床、吊塔、器械柜、药品柜、脉动真空灭菌器、全自动清洗消毒机、低温等离子灭菌器、干燥柜、纯水机、空气压缩机、中心供应室部分门等除外）</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其洁净级别及功能设置参照国家规范、医院使用要求进行设计。具体级别及说明如下：</w:t>
      </w:r>
    </w:p>
    <w:tbl>
      <w:tblPr>
        <w:tblStyle w:val="45"/>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06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序号</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房间名称</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rPr>
            </w:pPr>
            <w:r>
              <w:rPr>
                <w:rFonts w:hint="eastAsia" w:ascii="宋体" w:hAnsi="宋体" w:eastAsia="宋体" w:cs="宋体"/>
                <w:b/>
                <w:bCs/>
                <w:color w:val="auto"/>
              </w:rPr>
              <w:t>一楼中药制剂：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包材库、外包间、代煎间等</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bCs/>
                <w:color w:val="auto"/>
              </w:rPr>
            </w:pPr>
            <w:r>
              <w:rPr>
                <w:rFonts w:hint="eastAsia" w:ascii="宋体" w:hAnsi="宋体" w:eastAsia="宋体" w:cs="宋体"/>
                <w:b/>
                <w:bCs/>
                <w:color w:val="auto"/>
              </w:rPr>
              <w:t>一层供应室：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rPr>
            </w:pPr>
            <w:r>
              <w:rPr>
                <w:rFonts w:hint="eastAsia" w:ascii="宋体" w:hAnsi="宋体" w:eastAsia="宋体" w:cs="宋体"/>
                <w:bCs/>
                <w:color w:val="auto"/>
              </w:rPr>
              <w:t>1</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rPr>
            </w:pPr>
            <w:r>
              <w:rPr>
                <w:rFonts w:hint="eastAsia" w:ascii="宋体" w:hAnsi="宋体" w:eastAsia="宋体" w:cs="宋体"/>
                <w:bCs/>
                <w:color w:val="auto"/>
              </w:rPr>
              <w:t>检查包装及灭菌、无菌品等</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rPr>
            </w:pPr>
            <w:r>
              <w:rPr>
                <w:rFonts w:hint="eastAsia" w:ascii="宋体" w:hAnsi="宋体" w:eastAsia="宋体" w:cs="宋体"/>
                <w:bCs/>
                <w:color w:val="auto"/>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rPr>
            </w:pPr>
            <w:r>
              <w:rPr>
                <w:rFonts w:hint="eastAsia" w:ascii="宋体" w:hAnsi="宋体" w:eastAsia="宋体" w:cs="宋体"/>
                <w:bCs/>
                <w:color w:val="auto"/>
              </w:rPr>
              <w:t>2</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rPr>
            </w:pPr>
            <w:r>
              <w:rPr>
                <w:rFonts w:hint="eastAsia" w:ascii="宋体" w:hAnsi="宋体" w:eastAsia="宋体" w:cs="宋体"/>
                <w:bCs/>
                <w:color w:val="auto"/>
              </w:rPr>
              <w:t>缓冲区</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rPr>
            </w:pPr>
            <w:r>
              <w:rPr>
                <w:rFonts w:hint="eastAsia" w:ascii="宋体" w:hAnsi="宋体" w:eastAsia="宋体" w:cs="宋体"/>
                <w:bCs/>
                <w:color w:val="auto"/>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rPr>
            </w:pPr>
            <w:r>
              <w:rPr>
                <w:rFonts w:hint="eastAsia" w:ascii="宋体" w:hAnsi="宋体" w:eastAsia="宋体" w:cs="宋体"/>
                <w:bCs/>
                <w:color w:val="auto"/>
              </w:rPr>
              <w:t>3</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rPr>
            </w:pPr>
            <w:r>
              <w:rPr>
                <w:rFonts w:hint="eastAsia" w:ascii="宋体" w:hAnsi="宋体" w:eastAsia="宋体" w:cs="宋体"/>
                <w:bCs/>
                <w:color w:val="auto"/>
              </w:rPr>
              <w:t>去污区、发放间等</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rPr>
            </w:pPr>
            <w:r>
              <w:rPr>
                <w:rFonts w:hint="eastAsia" w:ascii="宋体" w:hAnsi="宋体" w:eastAsia="宋体" w:cs="宋体"/>
                <w:bCs/>
                <w:color w:val="auto"/>
              </w:rPr>
              <w:t>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rPr>
            </w:pPr>
            <w:r>
              <w:rPr>
                <w:rFonts w:hint="eastAsia" w:ascii="宋体" w:hAnsi="宋体" w:eastAsia="宋体" w:cs="宋体"/>
                <w:b/>
                <w:bCs/>
                <w:color w:val="auto"/>
              </w:rPr>
              <w:t>三层检验科：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试剂准备、标本制备、扩增、产物分析</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2</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PCR缓冲</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3</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PCR走廊</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4</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检验大厅、体液检测等</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bCs/>
                <w:color w:val="auto"/>
              </w:rPr>
            </w:pPr>
            <w:r>
              <w:rPr>
                <w:rFonts w:hint="eastAsia" w:ascii="宋体" w:hAnsi="宋体" w:eastAsia="宋体" w:cs="宋体"/>
                <w:b/>
                <w:bCs/>
                <w:color w:val="auto"/>
              </w:rPr>
              <w:t>三层ICU：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大厅、单人间、隔离单人间、医护办等</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1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rPr>
            </w:pPr>
            <w:r>
              <w:rPr>
                <w:rFonts w:hint="eastAsia" w:ascii="宋体" w:hAnsi="宋体" w:eastAsia="宋体" w:cs="宋体"/>
                <w:b/>
                <w:color w:val="auto"/>
              </w:rPr>
              <w:t>三层手术部：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1</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OR4百级手术室</w:t>
            </w:r>
            <w:r>
              <w:rPr>
                <w:rFonts w:hint="eastAsia" w:ascii="宋体" w:hAnsi="宋体" w:eastAsia="宋体" w:cs="宋体"/>
                <w:color w:val="auto"/>
              </w:rPr>
              <w:t>（预留）</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2</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OR1万级手术室、OR2 DSA万级手术室、</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OR3万级手术室（铅防护、预留）</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3</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复苏室、无菌器械库等</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4</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换床、负压前室等</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5</w:t>
            </w:r>
          </w:p>
        </w:tc>
        <w:tc>
          <w:tcPr>
            <w:tcW w:w="70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bCs/>
                <w:color w:val="auto"/>
              </w:rPr>
            </w:pPr>
            <w:r>
              <w:rPr>
                <w:rFonts w:hint="eastAsia" w:ascii="宋体" w:hAnsi="宋体" w:eastAsia="宋体" w:cs="宋体"/>
                <w:bCs/>
                <w:color w:val="auto"/>
              </w:rPr>
              <w:t>OR5普通负压手术室、污物清洗、负压等候等</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color w:val="auto"/>
              </w:rPr>
            </w:pPr>
            <w:r>
              <w:rPr>
                <w:rFonts w:hint="eastAsia" w:ascii="宋体" w:hAnsi="宋体" w:eastAsia="宋体" w:cs="宋体"/>
                <w:bCs/>
                <w:color w:val="auto"/>
              </w:rPr>
              <w:t>装饰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本工程考虑上述区域的净化工程、装修工程和采购人要求的其他内容。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8"/>
          <w:szCs w:val="28"/>
        </w:rPr>
      </w:pPr>
      <w:r>
        <w:rPr>
          <w:rFonts w:hint="eastAsia" w:ascii="宋体" w:hAnsi="宋体" w:cs="宋体"/>
          <w:b/>
          <w:color w:val="auto"/>
          <w:sz w:val="28"/>
          <w:szCs w:val="28"/>
        </w:rPr>
        <w:t>设计施工要求：</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洁污分流、流线短捷、科学环保、节能高效，将医、患、洁、污四条流向严格控制并高效运转。</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1、用空气三级过滤的方法有效的去除送入空气中的细菌和尘埃；</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2、依靠合理的气流组织有效地稀释洁净室内的受污空气和排除医护人员的发尘（菌），达到标准受控的细菌浓度；</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3、控制室内的压力梯度，保证不同区域间的合理气流流向和压力分布，防止外界污染物的侵入；</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4、保持合适的温湿度，降低人体发菌量及室内细菌繁殖；</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cs="宋体"/>
          <w:bCs/>
          <w:color w:val="auto"/>
          <w:spacing w:val="-2"/>
        </w:rPr>
      </w:pPr>
      <w:r>
        <w:rPr>
          <w:rFonts w:hint="eastAsia" w:ascii="宋体" w:hAnsi="宋体" w:cs="宋体"/>
          <w:bCs/>
          <w:color w:val="auto"/>
          <w:spacing w:val="-2"/>
        </w:rPr>
        <w:t>5、配置能达到净化效果、适合医院要求和符合国家有关规范的先进设备、优质器柜及美观大方经济实用的装饰等功能。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净化装饰设计选材说明：</w:t>
      </w:r>
    </w:p>
    <w:p>
      <w:pPr>
        <w:keepNext w:val="0"/>
        <w:keepLines w:val="0"/>
        <w:pageBreakBefore w:val="0"/>
        <w:widowControl w:val="0"/>
        <w:kinsoku/>
        <w:wordWrap/>
        <w:overflowPunct/>
        <w:topLinePunct w:val="0"/>
        <w:autoSpaceDE/>
        <w:autoSpaceDN/>
        <w:bidi w:val="0"/>
        <w:adjustRightInd w:val="0"/>
        <w:snapToGrid w:val="0"/>
        <w:spacing w:line="360" w:lineRule="auto"/>
        <w:ind w:firstLine="474" w:firstLineChars="200"/>
        <w:jc w:val="both"/>
        <w:textAlignment w:val="auto"/>
        <w:rPr>
          <w:rFonts w:hint="eastAsia" w:ascii="宋体" w:hAnsi="宋体" w:eastAsia="宋体" w:cs="宋体"/>
          <w:b/>
          <w:bCs w:val="0"/>
          <w:color w:val="auto"/>
          <w:spacing w:val="-2"/>
        </w:rPr>
      </w:pPr>
      <w:r>
        <w:rPr>
          <w:rFonts w:hint="eastAsia" w:ascii="宋体" w:hAnsi="宋体" w:eastAsia="宋体" w:cs="宋体"/>
          <w:b/>
          <w:bCs w:val="0"/>
          <w:color w:val="auto"/>
          <w:spacing w:val="-2"/>
        </w:rPr>
        <w:t>1、中药制剂</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包材库、外包间及代煎间等地面采用防水处理后铺600*600*12米黄色防滑地砖，墙体采用300*600墙面砖及50mm厚玻镁彩钢板，吊顶采用铝合金方板及硅酸钙板（无机涂料两道饰面）。</w:t>
      </w:r>
    </w:p>
    <w:p>
      <w:pPr>
        <w:keepNext w:val="0"/>
        <w:keepLines w:val="0"/>
        <w:pageBreakBefore w:val="0"/>
        <w:widowControl w:val="0"/>
        <w:kinsoku/>
        <w:wordWrap/>
        <w:overflowPunct/>
        <w:topLinePunct w:val="0"/>
        <w:autoSpaceDE/>
        <w:autoSpaceDN/>
        <w:bidi w:val="0"/>
        <w:adjustRightInd w:val="0"/>
        <w:snapToGrid w:val="0"/>
        <w:spacing w:line="360" w:lineRule="auto"/>
        <w:ind w:firstLine="474" w:firstLineChars="200"/>
        <w:jc w:val="both"/>
        <w:textAlignment w:val="auto"/>
        <w:rPr>
          <w:rFonts w:hint="eastAsia" w:ascii="宋体" w:hAnsi="宋体" w:eastAsia="宋体" w:cs="宋体"/>
          <w:b/>
          <w:bCs w:val="0"/>
          <w:color w:val="auto"/>
          <w:spacing w:val="-2"/>
        </w:rPr>
      </w:pPr>
      <w:r>
        <w:rPr>
          <w:rFonts w:hint="eastAsia" w:ascii="宋体" w:hAnsi="宋体" w:eastAsia="宋体" w:cs="宋体"/>
          <w:b/>
          <w:bCs w:val="0"/>
          <w:color w:val="auto"/>
          <w:spacing w:val="-2"/>
        </w:rPr>
        <w:t>2、供应室</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检查包装及灭菌、无菌品等地面采用2mm抗菌、防火、耐磨PVC卷材。地面须在土建找平（找平甲供）的基础上做2mm厚自流平处理。</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检查包装及灭菌、无菌品等墙面采用75轻钢龙骨+12mm防火石膏板面贴6mm无机预涂板，吊顶采用75轻钢龙骨+12mm防火石膏板面贴4mm无机预涂板。</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全自动清洗消毒器、脉动真空灭菌器两侧墙面采用不锈钢墙板，高度2.7m、石膏板龙骨至顶。</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湿区地面采用防水处理后铺设300*300防滑地砖，墙体采用300*450墙面砖，吊顶采用铝扣板。</w:t>
      </w:r>
    </w:p>
    <w:p>
      <w:pPr>
        <w:keepNext w:val="0"/>
        <w:keepLines w:val="0"/>
        <w:pageBreakBefore w:val="0"/>
        <w:widowControl w:val="0"/>
        <w:kinsoku/>
        <w:wordWrap/>
        <w:overflowPunct/>
        <w:topLinePunct w:val="0"/>
        <w:autoSpaceDE/>
        <w:autoSpaceDN/>
        <w:bidi w:val="0"/>
        <w:adjustRightInd w:val="0"/>
        <w:snapToGrid w:val="0"/>
        <w:spacing w:line="360" w:lineRule="auto"/>
        <w:ind w:firstLine="474" w:firstLineChars="200"/>
        <w:jc w:val="both"/>
        <w:textAlignment w:val="auto"/>
        <w:rPr>
          <w:rFonts w:hint="eastAsia" w:ascii="宋体" w:hAnsi="宋体" w:eastAsia="宋体" w:cs="宋体"/>
          <w:b/>
          <w:bCs w:val="0"/>
          <w:color w:val="auto"/>
          <w:spacing w:val="-2"/>
        </w:rPr>
      </w:pPr>
      <w:r>
        <w:rPr>
          <w:rFonts w:hint="eastAsia" w:ascii="宋体" w:hAnsi="宋体" w:eastAsia="宋体" w:cs="宋体"/>
          <w:b/>
          <w:bCs w:val="0"/>
          <w:color w:val="auto"/>
          <w:spacing w:val="-2"/>
        </w:rPr>
        <w:t>3、检验科</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检验大厅、体液检测等地面采用2.0mm厚防静电同质透心PVC卷材。地面须在土建找平（找平甲供）的基础上做2mm厚自流平处理。</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检验大厅、体液检测等墙面和吊顶采用50mm厚玻镁彩钢板。</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湿区地面采用防水处理后铺设600*600防滑地砖，墙体采用300*600墙面砖，吊顶采用铝扣板。</w:t>
      </w:r>
    </w:p>
    <w:p>
      <w:pPr>
        <w:keepNext w:val="0"/>
        <w:keepLines w:val="0"/>
        <w:pageBreakBefore w:val="0"/>
        <w:widowControl w:val="0"/>
        <w:kinsoku/>
        <w:wordWrap/>
        <w:overflowPunct/>
        <w:topLinePunct w:val="0"/>
        <w:autoSpaceDE/>
        <w:autoSpaceDN/>
        <w:bidi w:val="0"/>
        <w:adjustRightInd w:val="0"/>
        <w:snapToGrid w:val="0"/>
        <w:spacing w:line="360" w:lineRule="auto"/>
        <w:ind w:firstLine="474" w:firstLineChars="200"/>
        <w:jc w:val="both"/>
        <w:textAlignment w:val="auto"/>
        <w:rPr>
          <w:rFonts w:hint="eastAsia" w:ascii="宋体" w:hAnsi="宋体" w:eastAsia="宋体" w:cs="宋体"/>
          <w:b/>
          <w:bCs w:val="0"/>
          <w:color w:val="auto"/>
          <w:spacing w:val="-2"/>
        </w:rPr>
      </w:pPr>
      <w:r>
        <w:rPr>
          <w:rFonts w:hint="eastAsia" w:ascii="宋体" w:hAnsi="宋体" w:eastAsia="宋体" w:cs="宋体"/>
          <w:b/>
          <w:bCs w:val="0"/>
          <w:color w:val="auto"/>
          <w:spacing w:val="-2"/>
        </w:rPr>
        <w:t>4、ICU</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大厅、单人间等地面采用2mm抗菌、防火、耐磨PVC卷材。地面须在土建找平（找平甲供）的基础上做2mm厚自流平处理。</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大厅、单人间等墙面采用75轻钢龙骨+12mm防火石膏板面贴6mm无机预涂板，吊顶采用75轻钢龙骨+12mm防火石膏板面贴4mm无机预涂板。</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UPS、库房等墙体采用土建墙（采购人完成）刷抗菌涂料，吊顶采用铝扣板。</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护士台（750mm~1100mm高*800mm宽）采用18厚阻燃基层板，18厚防火板饰面，外立面采用L30*3镀锌角铁龙骨，20厚白色石英石台板（下挂40），φ60出线孔，外侧面700高度以上采用20厚白色石英石饰面，底部100高1.2厚灰色拉丝不锈钢踢脚线，键盘抽，含静音抽屉滑轨磨边、石材打孔、折边费、五金及一切配件等。具体做法及选色详见图纸及采购人要求，施工以图纸及采购人要求为准。</w:t>
      </w:r>
    </w:p>
    <w:p>
      <w:pPr>
        <w:keepNext w:val="0"/>
        <w:keepLines w:val="0"/>
        <w:pageBreakBefore w:val="0"/>
        <w:widowControl w:val="0"/>
        <w:kinsoku/>
        <w:wordWrap/>
        <w:overflowPunct/>
        <w:topLinePunct w:val="0"/>
        <w:autoSpaceDE/>
        <w:autoSpaceDN/>
        <w:bidi w:val="0"/>
        <w:adjustRightInd w:val="0"/>
        <w:snapToGrid w:val="0"/>
        <w:spacing w:line="360" w:lineRule="auto"/>
        <w:ind w:firstLine="474" w:firstLineChars="200"/>
        <w:jc w:val="both"/>
        <w:textAlignment w:val="auto"/>
        <w:rPr>
          <w:rFonts w:hint="eastAsia" w:ascii="宋体" w:hAnsi="宋体" w:eastAsia="宋体" w:cs="宋体"/>
          <w:b/>
          <w:bCs w:val="0"/>
          <w:color w:val="auto"/>
          <w:spacing w:val="-2"/>
        </w:rPr>
      </w:pPr>
      <w:r>
        <w:rPr>
          <w:rFonts w:hint="eastAsia" w:ascii="宋体" w:hAnsi="宋体" w:eastAsia="宋体" w:cs="宋体"/>
          <w:b/>
          <w:bCs w:val="0"/>
          <w:color w:val="auto"/>
          <w:spacing w:val="-2"/>
        </w:rPr>
        <w:t>5、手术部</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 xml:space="preserve">手术室墙体与吊顶采用方钢龙骨+12mm防火石膏板面贴1.2mm电解钢板，表面刷环保饰面漆，采用R300大圆角过度处理。    </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手术室地面采用2mm抗菌、防火、抗静电PVC卷材，其他区域地面采用2mm抗菌、防火、耐磨PVC卷材。地面须在土建找平（找平甲供）的基础上做2mm厚自流平处理。</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洁净走廊及相关辅房等墙面采用75轻钢龙骨+12mm防火石膏板面贴6mm无机预涂板，吊顶采用75轻钢龙骨+12mm防火石膏板面贴4mm无机预涂板。</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换鞋间、UPS等墙体采用土建墙（采购人完成）刷抗菌涂料，吊顶采用铝扣板。</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湿区地面采用防水处理后铺设300*300防滑地砖，墙体采用300*600墙面砖，吊顶采用铝扣板。</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大便坑：砖砌蹲坑，内部采用符合要求的废弃填充物填充，水泥砂浆面层找平。</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成品隔断卫生间、淋浴间隔断：12mm厚抗倍特板隔断，高度1.8m，含门、把手、立柱、支撑架、预埋件、五金及一切配件等，具体做法详见图纸，施工以图纸为准。</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洗漱台：卫生间洗手台（水龙头及台盆），台下盆，采用∠40*4镀锌角钢支撑，18mm厚阻燃板基层，20mm厚白色石英石，100mm高挡水条，下挂250mm，含磨边、预埋件、五金及一切配件等，具体做法详见图纸，具体内部金属构件参详图集16J914-1-XT11、XT12节点，施工以图纸为准。</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镜面玻璃：卫生间镜子18mm厚阻燃板基层，5mm厚防雾车边明镜，1.2mm厚本色拉丝不锈钢包边，具体做法详见图纸，施工以图纸为准。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color w:val="auto"/>
        </w:rPr>
      </w:pPr>
      <w:r>
        <w:rPr>
          <w:rFonts w:hint="eastAsia" w:ascii="宋体" w:hAnsi="宋体" w:eastAsia="宋体" w:cs="宋体"/>
          <w:b/>
          <w:color w:val="auto"/>
        </w:rPr>
        <w:t>6、门窗</w:t>
      </w:r>
      <w:r>
        <w:rPr>
          <w:rFonts w:hint="eastAsia" w:ascii="宋体" w:hAnsi="宋体" w:eastAsia="宋体" w:cs="宋体"/>
          <w:b/>
          <w:bCs w:val="0"/>
          <w:color w:val="auto"/>
          <w:spacing w:val="-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手术室靠洁净走廊侧均设计感应式电动趟门, 应同时具有脚感应、电动、手动三种开启方式，带延时关闭功能，运行速度可作调校，门自由通过尺寸不小于1400×2100（换床间门自由通过尺寸不小于1500×2100），手术室门头盖上需有“手术中”指示灯。门体采用钢板喷塑制作，四周不锈钢包边、门套，带观察窗，要求门体运行平稳宁静，门体构造能抵挡日常碰撞而不致残损变形。所有门套全部采用1.2mm厚拉丝不锈钢制作。</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both"/>
        <w:textAlignment w:val="auto"/>
        <w:rPr>
          <w:rFonts w:hint="eastAsia" w:ascii="宋体" w:hAnsi="宋体" w:eastAsia="宋体" w:cs="宋体"/>
          <w:bCs/>
          <w:color w:val="auto"/>
          <w:spacing w:val="-2"/>
        </w:rPr>
      </w:pPr>
      <w:r>
        <w:rPr>
          <w:rFonts w:hint="eastAsia" w:ascii="宋体" w:hAnsi="宋体" w:eastAsia="宋体" w:cs="宋体"/>
          <w:bCs/>
          <w:color w:val="auto"/>
          <w:spacing w:val="-2"/>
        </w:rPr>
        <w:t>防辐射手术室的电动门必须采用带铅防护措施的电动门，铅防护手术室门的上方须安装“放射中”指示灯。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color w:val="auto"/>
        </w:rPr>
      </w:pPr>
      <w:r>
        <w:rPr>
          <w:rFonts w:hint="eastAsia" w:ascii="宋体" w:hAnsi="宋体" w:eastAsia="宋体" w:cs="宋体"/>
          <w:b/>
          <w:color w:val="auto"/>
          <w:lang w:val="en-US" w:eastAsia="zh-CN"/>
        </w:rPr>
        <w:t>7、</w:t>
      </w:r>
      <w:r>
        <w:rPr>
          <w:rFonts w:hint="eastAsia" w:ascii="宋体" w:hAnsi="宋体" w:eastAsia="宋体" w:cs="宋体"/>
          <w:b/>
          <w:color w:val="auto"/>
        </w:rPr>
        <w:t>PVC卷材技术要求</w:t>
      </w:r>
    </w:p>
    <w:p>
      <w:pPr>
        <w:adjustRightInd w:val="0"/>
        <w:snapToGrid w:val="0"/>
        <w:spacing w:line="500" w:lineRule="atLeast"/>
        <w:ind w:firstLine="480" w:firstLineChars="200"/>
        <w:rPr>
          <w:rFonts w:hint="eastAsia" w:ascii="宋体" w:hAnsi="宋体" w:cs="宋体"/>
          <w:color w:val="auto"/>
        </w:rPr>
      </w:pP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rPr>
        <w:t>重金属元素检测，根据EN 71-3:2019+A1:2021，19项重金属元素未检出，需提供检测报告</w:t>
      </w:r>
    </w:p>
    <w:p>
      <w:pPr>
        <w:adjustRightInd w:val="0"/>
        <w:snapToGrid w:val="0"/>
        <w:spacing w:line="500" w:lineRule="atLeast"/>
        <w:ind w:firstLine="480" w:firstLineChars="200"/>
        <w:rPr>
          <w:rFonts w:hint="eastAsia" w:ascii="宋体" w:hAnsi="宋体" w:cs="宋体"/>
          <w:color w:val="auto"/>
        </w:rPr>
      </w:pPr>
      <w:r>
        <w:rPr>
          <w:rFonts w:hint="eastAsia" w:ascii="宋体" w:hAnsi="宋体" w:cs="宋体"/>
          <w:color w:val="auto"/>
        </w:rPr>
        <w:t>▲2</w:t>
      </w:r>
      <w:r>
        <w:rPr>
          <w:rFonts w:hint="eastAsia" w:ascii="宋体" w:hAnsi="宋体" w:cs="宋体"/>
          <w:color w:val="auto"/>
          <w:lang w:eastAsia="zh-CN"/>
        </w:rPr>
        <w:t>）</w:t>
      </w:r>
      <w:r>
        <w:rPr>
          <w:rFonts w:hint="eastAsia" w:ascii="宋体" w:hAnsi="宋体" w:cs="宋体"/>
          <w:color w:val="auto"/>
        </w:rPr>
        <w:t>邻苯二甲酸检测，参照EN 14372:2004，邻苯二甲酸16项未检出，需提供检测报告</w:t>
      </w:r>
    </w:p>
    <w:p>
      <w:pPr>
        <w:adjustRightInd w:val="0"/>
        <w:snapToGrid w:val="0"/>
        <w:spacing w:line="500" w:lineRule="atLeast"/>
        <w:ind w:firstLine="480" w:firstLineChars="200"/>
        <w:rPr>
          <w:rFonts w:hint="eastAsia" w:ascii="宋体" w:hAnsi="宋体" w:cs="宋体"/>
          <w:color w:val="auto"/>
        </w:rPr>
      </w:pPr>
      <w:r>
        <w:rPr>
          <w:rFonts w:hint="eastAsia" w:ascii="宋体" w:hAnsi="宋体" w:cs="宋体"/>
          <w:color w:val="auto"/>
        </w:rPr>
        <w:t>▲3</w:t>
      </w:r>
      <w:r>
        <w:rPr>
          <w:rFonts w:hint="eastAsia" w:ascii="宋体" w:hAnsi="宋体" w:cs="宋体"/>
          <w:color w:val="auto"/>
          <w:lang w:eastAsia="zh-CN"/>
        </w:rPr>
        <w:t>）</w:t>
      </w:r>
      <w:r>
        <w:rPr>
          <w:rFonts w:hint="eastAsia" w:ascii="宋体" w:hAnsi="宋体" w:cs="宋体"/>
          <w:color w:val="auto"/>
        </w:rPr>
        <w:t>耐污耐化学试剂检测，参考 EN ISO 26987:2012/ISO 26987:2008，常规12种无影响。需提供检测报告</w:t>
      </w:r>
    </w:p>
    <w:p>
      <w:pPr>
        <w:adjustRightInd w:val="0"/>
        <w:snapToGrid w:val="0"/>
        <w:spacing w:line="500" w:lineRule="atLeast"/>
        <w:ind w:firstLine="480" w:firstLineChars="200"/>
        <w:rPr>
          <w:rFonts w:hint="eastAsia" w:ascii="宋体" w:hAnsi="宋体" w:cs="宋体"/>
          <w:color w:val="auto"/>
        </w:rPr>
      </w:pPr>
      <w:r>
        <w:rPr>
          <w:rFonts w:hint="eastAsia" w:ascii="宋体" w:hAnsi="宋体" w:cs="宋体"/>
          <w:color w:val="auto"/>
        </w:rPr>
        <w:t>▲4</w:t>
      </w:r>
      <w:r>
        <w:rPr>
          <w:rFonts w:hint="eastAsia" w:ascii="宋体" w:hAnsi="宋体" w:cs="宋体"/>
          <w:color w:val="auto"/>
          <w:lang w:eastAsia="zh-CN"/>
        </w:rPr>
        <w:t>）</w:t>
      </w:r>
      <w:r>
        <w:rPr>
          <w:rFonts w:hint="eastAsia" w:ascii="宋体" w:hAnsi="宋体" w:cs="宋体"/>
          <w:color w:val="auto"/>
        </w:rPr>
        <w:t>防霉测试，根据ISO 846:2019，28天长霉等级为0级，需提供检测报告</w:t>
      </w:r>
    </w:p>
    <w:p>
      <w:pPr>
        <w:adjustRightInd w:val="0"/>
        <w:snapToGrid w:val="0"/>
        <w:spacing w:line="500" w:lineRule="atLeast"/>
        <w:ind w:firstLine="480" w:firstLineChars="200"/>
        <w:rPr>
          <w:rFonts w:hint="eastAsia" w:ascii="宋体" w:hAnsi="宋体" w:cs="宋体"/>
          <w:color w:val="auto"/>
        </w:rPr>
      </w:pPr>
      <w:r>
        <w:rPr>
          <w:rFonts w:hint="eastAsia" w:ascii="宋体" w:hAnsi="宋体" w:cs="宋体"/>
          <w:color w:val="auto"/>
        </w:rPr>
        <w:t>5</w:t>
      </w:r>
      <w:r>
        <w:rPr>
          <w:rFonts w:hint="eastAsia" w:ascii="宋体" w:hAnsi="宋体" w:cs="宋体"/>
          <w:color w:val="auto"/>
          <w:lang w:eastAsia="zh-CN"/>
        </w:rPr>
        <w:t>）</w:t>
      </w:r>
      <w:r>
        <w:rPr>
          <w:rFonts w:hint="eastAsia" w:ascii="宋体" w:hAnsi="宋体" w:cs="宋体"/>
          <w:color w:val="auto"/>
        </w:rPr>
        <w:t>色牢度检测，EN ISO 105-B02:2014，色牢度等级为等级6，需提供检测报告</w:t>
      </w:r>
    </w:p>
    <w:p>
      <w:pPr>
        <w:adjustRightInd w:val="0"/>
        <w:snapToGrid w:val="0"/>
        <w:spacing w:line="500" w:lineRule="atLeast"/>
        <w:ind w:firstLine="480" w:firstLineChars="200"/>
        <w:rPr>
          <w:rFonts w:hint="eastAsia" w:ascii="宋体" w:hAnsi="宋体" w:cs="宋体"/>
          <w:color w:val="auto"/>
        </w:rPr>
      </w:pPr>
      <w:r>
        <w:rPr>
          <w:rFonts w:hint="eastAsia" w:ascii="宋体" w:hAnsi="宋体" w:cs="宋体"/>
          <w:color w:val="auto"/>
        </w:rPr>
        <w:t>6</w:t>
      </w:r>
      <w:r>
        <w:rPr>
          <w:rFonts w:hint="eastAsia" w:ascii="宋体" w:hAnsi="宋体" w:cs="宋体"/>
          <w:color w:val="auto"/>
          <w:lang w:eastAsia="zh-CN"/>
        </w:rPr>
        <w:t>）</w:t>
      </w:r>
      <w:r>
        <w:rPr>
          <w:rFonts w:hint="eastAsia" w:ascii="宋体" w:hAnsi="宋体" w:cs="宋体"/>
          <w:color w:val="auto"/>
        </w:rPr>
        <w:t>防滑性能检测，DIN 51130:2014，临界角为7.0°时，等级为R9，需提供检测报告</w:t>
      </w:r>
    </w:p>
    <w:p>
      <w:pPr>
        <w:adjustRightInd w:val="0"/>
        <w:snapToGrid w:val="0"/>
        <w:spacing w:line="500" w:lineRule="atLeast"/>
        <w:ind w:firstLine="480" w:firstLineChars="200"/>
        <w:rPr>
          <w:rFonts w:hint="eastAsia" w:ascii="宋体" w:hAnsi="宋体" w:cs="宋体"/>
          <w:color w:val="auto"/>
        </w:rPr>
      </w:pPr>
      <w:r>
        <w:rPr>
          <w:rFonts w:hint="eastAsia" w:ascii="宋体" w:hAnsi="宋体" w:cs="宋体"/>
          <w:color w:val="auto"/>
        </w:rPr>
        <w:t>7</w:t>
      </w:r>
      <w:r>
        <w:rPr>
          <w:rFonts w:hint="eastAsia" w:ascii="宋体" w:hAnsi="宋体" w:cs="宋体"/>
          <w:color w:val="auto"/>
          <w:lang w:eastAsia="zh-CN"/>
        </w:rPr>
        <w:t>）</w:t>
      </w:r>
      <w:r>
        <w:rPr>
          <w:rFonts w:hint="eastAsia" w:ascii="宋体" w:hAnsi="宋体" w:cs="宋体"/>
          <w:color w:val="auto"/>
        </w:rPr>
        <w:t>残余凹陷，根据GB/T 11982.2测试结果不大于0.03MM，需提供检测报告</w:t>
      </w:r>
    </w:p>
    <w:p>
      <w:pPr>
        <w:adjustRightInd w:val="0"/>
        <w:snapToGrid w:val="0"/>
        <w:spacing w:line="500" w:lineRule="atLeast"/>
        <w:ind w:firstLine="480" w:firstLineChars="200"/>
        <w:rPr>
          <w:rFonts w:hint="eastAsia" w:ascii="宋体" w:hAnsi="宋体" w:cs="宋体"/>
          <w:color w:val="auto"/>
        </w:rPr>
      </w:pPr>
      <w:r>
        <w:rPr>
          <w:rFonts w:hint="eastAsia" w:ascii="宋体" w:hAnsi="宋体" w:cs="宋体"/>
          <w:color w:val="auto"/>
          <w:lang w:val="en-US" w:eastAsia="zh-CN"/>
        </w:rPr>
        <w:t>8）</w:t>
      </w:r>
      <w:r>
        <w:rPr>
          <w:rFonts w:hint="eastAsia" w:ascii="宋体" w:hAnsi="宋体" w:cs="宋体"/>
          <w:color w:val="auto"/>
        </w:rPr>
        <w:t>抗菌活性，根据ISO 22196，金黄色葡萄球菌抗菌率不低于99.10%，大肠杆菌抗菌率不低于96.27%，需提供检测报告</w:t>
      </w:r>
    </w:p>
    <w:p>
      <w:pPr>
        <w:widowControl w:val="0"/>
        <w:spacing w:line="360" w:lineRule="auto"/>
        <w:ind w:firstLine="482" w:firstLineChars="200"/>
        <w:jc w:val="both"/>
        <w:rPr>
          <w:rFonts w:hint="eastAsia" w:ascii="宋体" w:hAnsi="宋体" w:cs="宋体"/>
          <w:b/>
          <w:color w:val="auto"/>
        </w:rPr>
      </w:pPr>
      <w:r>
        <w:rPr>
          <w:rFonts w:hint="eastAsia" w:ascii="宋体" w:hAnsi="宋体" w:cs="宋体"/>
          <w:b/>
          <w:color w:val="auto"/>
          <w:lang w:val="en-US" w:eastAsia="zh-CN"/>
        </w:rPr>
        <w:t>8、</w:t>
      </w:r>
      <w:r>
        <w:rPr>
          <w:rFonts w:hint="eastAsia" w:ascii="宋体" w:hAnsi="宋体" w:cs="宋体"/>
          <w:b/>
          <w:color w:val="auto"/>
        </w:rPr>
        <w:t>电子感应自动门技术要求：</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1）产品符合国家住建部行业标准（JG/T 257-2009）。</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2）气密性能符合国家标准；</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3）气密门使用寿命200万次，气密门运行噪音低于60分贝。</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4）控制装置在带电情况下能承受1250V 50HZ/60HZ电压，在1mim内无击穿或闪络现象。</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5）门体在运行过程中，遇阻反弹力小于120N。</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6）紧闭力&gt;70N,手动推力&lt;100N，整机消耗功率&lt;150W。</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7）开闭门速度：250-550MM/S（可调）。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8）门体开放时间：2-20S(可调)。</w:t>
      </w:r>
    </w:p>
    <w:p>
      <w:pPr>
        <w:widowControl w:val="0"/>
        <w:spacing w:line="360" w:lineRule="auto"/>
        <w:ind w:firstLine="472" w:firstLineChars="200"/>
        <w:jc w:val="both"/>
        <w:rPr>
          <w:rFonts w:hint="eastAsia" w:ascii="宋体" w:hAnsi="宋体" w:cs="宋体"/>
          <w:bCs/>
          <w:color w:val="auto"/>
          <w:spacing w:val="-2"/>
        </w:rPr>
      </w:pPr>
      <w:r>
        <w:rPr>
          <w:rFonts w:hint="eastAsia" w:ascii="宋体" w:hAnsi="宋体" w:cs="宋体"/>
          <w:bCs/>
          <w:color w:val="auto"/>
          <w:spacing w:val="-2"/>
        </w:rPr>
        <w:t>11）电机采用自主生产品牌与门体厂家同品牌</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12）门体和门套方面：a.门体表面采用1MM厚度镀锌钢板静电喷塑，门体内部采用铝合金龙骨铝蜂窝填充，观察窗为圆角平面窗，门体四周采用铝合金包边，四周配套相应的密封条b.门套采用铝合金前后包套形式。</w:t>
      </w:r>
    </w:p>
    <w:p>
      <w:pPr>
        <w:pStyle w:val="4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15）提供针对此项目的售后服务承诺书。</w:t>
      </w:r>
    </w:p>
    <w:p>
      <w:pPr>
        <w:widowControl w:val="0"/>
        <w:autoSpaceDE w:val="0"/>
        <w:autoSpaceDN w:val="0"/>
        <w:adjustRightInd w:val="0"/>
        <w:snapToGrid w:val="0"/>
        <w:spacing w:line="360" w:lineRule="auto"/>
        <w:ind w:firstLine="480" w:firstLineChars="200"/>
        <w:rPr>
          <w:rFonts w:hint="eastAsia" w:ascii="宋体" w:hAnsi="宋体" w:cs="宋体"/>
          <w:color w:val="auto"/>
        </w:rPr>
      </w:pPr>
      <w:r>
        <w:rPr>
          <w:rFonts w:hint="eastAsia" w:ascii="宋体" w:hAnsi="宋体" w:cs="宋体"/>
          <w:color w:val="auto"/>
        </w:rPr>
        <w:t>净化区域其他门：净化区域手动门门体均采用彩钢板气密门，带观察窗，带防撞功能（贴1.2mm厚不锈钢板），所有的把手和门锁均采用不锈钢。</w:t>
      </w:r>
    </w:p>
    <w:p>
      <w:pPr>
        <w:widowControl w:val="0"/>
        <w:autoSpaceDE w:val="0"/>
        <w:autoSpaceDN w:val="0"/>
        <w:adjustRightInd w:val="0"/>
        <w:snapToGrid w:val="0"/>
        <w:spacing w:line="360" w:lineRule="auto"/>
        <w:ind w:firstLine="480" w:firstLineChars="200"/>
        <w:rPr>
          <w:rFonts w:hint="eastAsia" w:ascii="宋体" w:hAnsi="宋体" w:cs="宋体"/>
          <w:color w:val="auto"/>
        </w:rPr>
      </w:pPr>
      <w:r>
        <w:rPr>
          <w:rFonts w:hint="eastAsia" w:ascii="宋体" w:hAnsi="宋体" w:cs="宋体"/>
          <w:color w:val="auto"/>
        </w:rPr>
        <w:t>非净化区域的门均采用优质彩钢板门，配带观察窗（卫生间更衣间除外）。</w:t>
      </w:r>
    </w:p>
    <w:p>
      <w:pPr>
        <w:widowControl w:val="0"/>
        <w:spacing w:line="360" w:lineRule="auto"/>
        <w:ind w:firstLine="482" w:firstLineChars="200"/>
        <w:jc w:val="both"/>
        <w:rPr>
          <w:rFonts w:hint="eastAsia" w:ascii="宋体" w:hAnsi="宋体" w:eastAsia="宋体" w:cs="宋体"/>
          <w:b/>
          <w:color w:val="auto"/>
        </w:rPr>
      </w:pPr>
      <w:r>
        <w:rPr>
          <w:rFonts w:hint="eastAsia" w:ascii="宋体" w:hAnsi="宋体" w:eastAsia="宋体" w:cs="宋体"/>
          <w:b/>
          <w:color w:val="auto"/>
          <w:lang w:val="en-US" w:eastAsia="zh-CN"/>
        </w:rPr>
        <w:t>9、</w:t>
      </w:r>
      <w:r>
        <w:rPr>
          <w:rFonts w:hint="eastAsia" w:ascii="宋体" w:hAnsi="宋体" w:eastAsia="宋体" w:cs="宋体"/>
          <w:b/>
          <w:color w:val="auto"/>
        </w:rPr>
        <w:t>其他</w:t>
      </w:r>
    </w:p>
    <w:p>
      <w:pPr>
        <w:autoSpaceDE w:val="0"/>
        <w:autoSpaceDN w:val="0"/>
        <w:adjustRightInd w:val="0"/>
        <w:snapToGrid w:val="0"/>
        <w:spacing w:line="360" w:lineRule="auto"/>
        <w:ind w:firstLine="480"/>
        <w:rPr>
          <w:rFonts w:hint="eastAsia" w:ascii="宋体" w:hAnsi="宋体" w:cs="宋体"/>
          <w:color w:val="auto"/>
        </w:rPr>
      </w:pPr>
      <w:r>
        <w:rPr>
          <w:rFonts w:hint="eastAsia" w:ascii="宋体" w:hAnsi="宋体" w:cs="宋体"/>
          <w:color w:val="auto"/>
        </w:rPr>
        <w:t>1）手术部内洁净走廊均设不锈钢防撞带。</w:t>
      </w:r>
    </w:p>
    <w:p>
      <w:pPr>
        <w:autoSpaceDE w:val="0"/>
        <w:autoSpaceDN w:val="0"/>
        <w:adjustRightInd w:val="0"/>
        <w:snapToGrid w:val="0"/>
        <w:spacing w:line="360" w:lineRule="auto"/>
        <w:ind w:firstLine="480"/>
        <w:rPr>
          <w:rFonts w:hint="eastAsia" w:ascii="宋体" w:hAnsi="宋体" w:cs="宋体"/>
          <w:color w:val="auto"/>
        </w:rPr>
      </w:pPr>
      <w:r>
        <w:rPr>
          <w:rFonts w:hint="eastAsia" w:ascii="宋体" w:hAnsi="宋体" w:cs="宋体"/>
          <w:color w:val="auto"/>
        </w:rPr>
        <w:t>2）所有卷材接缝均为热熔焊接平整无缝，与墙体均为圆弧连结。</w:t>
      </w:r>
    </w:p>
    <w:p>
      <w:pPr>
        <w:autoSpaceDE w:val="0"/>
        <w:autoSpaceDN w:val="0"/>
        <w:adjustRightInd w:val="0"/>
        <w:snapToGrid w:val="0"/>
        <w:spacing w:line="360" w:lineRule="auto"/>
        <w:ind w:firstLine="480"/>
        <w:rPr>
          <w:rFonts w:hint="eastAsia" w:ascii="宋体" w:hAnsi="宋体" w:cs="宋体"/>
          <w:color w:val="auto"/>
        </w:rPr>
      </w:pPr>
      <w:r>
        <w:rPr>
          <w:rFonts w:hint="eastAsia" w:ascii="宋体" w:hAnsi="宋体" w:cs="宋体"/>
          <w:color w:val="auto"/>
        </w:rPr>
        <w:t>3）洁净走廊及污物走廊阳角处设置铝合金外圆角。</w:t>
      </w:r>
    </w:p>
    <w:p>
      <w:pPr>
        <w:autoSpaceDE w:val="0"/>
        <w:autoSpaceDN w:val="0"/>
        <w:adjustRightInd w:val="0"/>
        <w:snapToGrid w:val="0"/>
        <w:spacing w:line="360" w:lineRule="auto"/>
        <w:ind w:firstLine="480"/>
        <w:rPr>
          <w:rFonts w:hint="eastAsia" w:ascii="宋体" w:hAnsi="宋体" w:cs="宋体"/>
          <w:color w:val="auto"/>
        </w:rPr>
      </w:pPr>
      <w:r>
        <w:rPr>
          <w:rFonts w:hint="eastAsia" w:ascii="宋体" w:hAnsi="宋体" w:cs="宋体"/>
          <w:color w:val="auto"/>
        </w:rPr>
        <w:t xml:space="preserve">4）手术室的吊顶与墙面，墙面与墙面，墙面与地面连接，无死角。 </w:t>
      </w:r>
    </w:p>
    <w:p>
      <w:pPr>
        <w:autoSpaceDE w:val="0"/>
        <w:autoSpaceDN w:val="0"/>
        <w:adjustRightInd w:val="0"/>
        <w:snapToGrid w:val="0"/>
        <w:spacing w:line="360" w:lineRule="auto"/>
        <w:ind w:firstLine="480"/>
        <w:rPr>
          <w:rFonts w:hint="eastAsia" w:ascii="宋体" w:hAnsi="宋体" w:cs="宋体"/>
          <w:color w:val="auto"/>
        </w:rPr>
      </w:pPr>
      <w:r>
        <w:rPr>
          <w:rFonts w:hint="eastAsia" w:ascii="宋体" w:hAnsi="宋体" w:cs="宋体"/>
          <w:color w:val="auto"/>
        </w:rPr>
        <w:t xml:space="preserve">5）窗帘盒及窗台板甲供。 </w:t>
      </w:r>
    </w:p>
    <w:p>
      <w:pPr>
        <w:widowControl w:val="0"/>
        <w:spacing w:line="360" w:lineRule="auto"/>
        <w:ind w:firstLine="482" w:firstLineChars="200"/>
        <w:jc w:val="both"/>
        <w:rPr>
          <w:rFonts w:hint="eastAsia" w:ascii="宋体" w:hAnsi="宋体" w:eastAsia="宋体" w:cs="宋体"/>
          <w:b/>
          <w:color w:val="auto"/>
        </w:rPr>
      </w:pPr>
      <w:r>
        <w:rPr>
          <w:rFonts w:hint="eastAsia" w:ascii="宋体" w:hAnsi="宋体" w:eastAsia="宋体" w:cs="宋体"/>
          <w:b/>
          <w:color w:val="auto"/>
          <w:lang w:val="en-US" w:eastAsia="zh-CN"/>
        </w:rPr>
        <w:t>10、</w:t>
      </w:r>
      <w:r>
        <w:rPr>
          <w:rFonts w:hint="eastAsia" w:ascii="宋体" w:hAnsi="宋体" w:eastAsia="宋体" w:cs="宋体"/>
          <w:b/>
          <w:color w:val="auto"/>
        </w:rPr>
        <w:t>手术室配置（每间）</w:t>
      </w:r>
    </w:p>
    <w:tbl>
      <w:tblPr>
        <w:tblStyle w:val="4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4"/>
        <w:gridCol w:w="1377"/>
        <w:gridCol w:w="603"/>
        <w:gridCol w:w="774"/>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序号</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设备名称</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数量</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单位</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1</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器械柜</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bookmarkStart w:id="97" w:name="OLE_LINK1"/>
            <w:r>
              <w:rPr>
                <w:rFonts w:hint="eastAsia" w:ascii="宋体" w:hAnsi="宋体" w:eastAsia="宋体" w:cs="宋体"/>
                <w:color w:val="auto"/>
              </w:rPr>
              <w:t>900*1300*350</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2</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药品柜</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900*1300*350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麻醉柜</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900*1300*350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4</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观片灯</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百级六联、其余四联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5</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记录板</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500×350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6</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气体终端箱</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1150×350×250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7</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控制面板(含计时器)</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875×590×220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8</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组合式电源插座箱</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4</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组</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1150×250×150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9</w:t>
            </w:r>
          </w:p>
        </w:tc>
        <w:tc>
          <w:tcPr>
            <w:tcW w:w="76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手术室指示灯</w:t>
            </w:r>
          </w:p>
        </w:tc>
        <w:tc>
          <w:tcPr>
            <w:tcW w:w="33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bCs/>
                <w:color w:val="auto"/>
              </w:rPr>
              <w:t>10</w:t>
            </w:r>
          </w:p>
        </w:tc>
        <w:tc>
          <w:tcPr>
            <w:tcW w:w="76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地插座</w:t>
            </w:r>
          </w:p>
        </w:tc>
        <w:tc>
          <w:tcPr>
            <w:tcW w:w="334"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11</w:t>
            </w:r>
          </w:p>
        </w:tc>
        <w:tc>
          <w:tcPr>
            <w:tcW w:w="76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输液导轨</w:t>
            </w:r>
          </w:p>
        </w:tc>
        <w:tc>
          <w:tcPr>
            <w:tcW w:w="334"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平行式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bCs/>
                <w:color w:val="auto"/>
              </w:rPr>
            </w:pPr>
            <w:r>
              <w:rPr>
                <w:rFonts w:hint="eastAsia" w:ascii="宋体" w:hAnsi="宋体" w:eastAsia="宋体" w:cs="宋体"/>
                <w:bCs/>
                <w:color w:val="auto"/>
              </w:rPr>
              <w:t>12</w:t>
            </w:r>
          </w:p>
        </w:tc>
        <w:tc>
          <w:tcPr>
            <w:tcW w:w="76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bCs/>
                <w:color w:val="auto"/>
              </w:rPr>
            </w:pPr>
            <w:r>
              <w:rPr>
                <w:rFonts w:hint="eastAsia" w:ascii="宋体" w:hAnsi="宋体" w:eastAsia="宋体" w:cs="宋体"/>
                <w:bCs/>
                <w:color w:val="auto"/>
              </w:rPr>
              <w:t>隔离变压器</w:t>
            </w:r>
          </w:p>
        </w:tc>
        <w:tc>
          <w:tcPr>
            <w:tcW w:w="334"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color w:val="auto"/>
              </w:rPr>
            </w:pPr>
            <w:r>
              <w:rPr>
                <w:rFonts w:hint="eastAsia" w:ascii="宋体" w:hAnsi="宋体" w:eastAsia="宋体" w:cs="宋体"/>
                <w:color w:val="auto"/>
              </w:rPr>
              <w:t>8.0KVA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13</w:t>
            </w:r>
          </w:p>
        </w:tc>
        <w:tc>
          <w:tcPr>
            <w:tcW w:w="76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吊塔锚栓</w:t>
            </w:r>
          </w:p>
        </w:tc>
        <w:tc>
          <w:tcPr>
            <w:tcW w:w="334"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color w:val="auto"/>
              </w:rPr>
            </w:pPr>
            <w:r>
              <w:rPr>
                <w:rFonts w:hint="eastAsia" w:ascii="宋体" w:hAnsi="宋体" w:eastAsia="宋体" w:cs="宋体"/>
                <w:color w:val="auto"/>
              </w:rPr>
              <w:t>400×400</w:t>
            </w:r>
          </w:p>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color w:val="auto"/>
              </w:rPr>
            </w:pPr>
            <w:r>
              <w:rPr>
                <w:rFonts w:hint="eastAsia" w:ascii="宋体" w:hAnsi="宋体" w:eastAsia="宋体" w:cs="宋体"/>
                <w:color w:val="auto"/>
              </w:rPr>
              <w:t>百级和万级铅防护手术室各2个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14</w:t>
            </w:r>
          </w:p>
        </w:tc>
        <w:tc>
          <w:tcPr>
            <w:tcW w:w="76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无影灯锚栓</w:t>
            </w:r>
          </w:p>
        </w:tc>
        <w:tc>
          <w:tcPr>
            <w:tcW w:w="334"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color w:val="auto"/>
              </w:rPr>
            </w:pPr>
            <w:r>
              <w:rPr>
                <w:rFonts w:hint="eastAsia" w:ascii="宋体" w:hAnsi="宋体" w:eastAsia="宋体" w:cs="宋体"/>
                <w:color w:val="auto"/>
              </w:rPr>
              <w:t>400×400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bCs/>
                <w:color w:val="auto"/>
              </w:rPr>
            </w:pPr>
            <w:r>
              <w:rPr>
                <w:rFonts w:hint="eastAsia" w:ascii="宋体" w:hAnsi="宋体" w:eastAsia="宋体" w:cs="宋体"/>
                <w:bCs/>
                <w:color w:val="auto"/>
              </w:rPr>
              <w:t>15</w:t>
            </w:r>
          </w:p>
        </w:tc>
        <w:tc>
          <w:tcPr>
            <w:tcW w:w="76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保温柜</w:t>
            </w:r>
          </w:p>
        </w:tc>
        <w:tc>
          <w:tcPr>
            <w:tcW w:w="334"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1、有效容积：≥150L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2、额定电压：220V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3、额定频率：50Hz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4、噪音（声功计）：≤48dB﹙A﹚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5、制冷剂：R134a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6、温控范围：0~100℃（每度可调可控）</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ascii="Times New Roman" w:hAnsi="Times New Roman" w:eastAsia="宋体" w:cs="Times New Roman"/>
                <w:color w:val="auto"/>
              </w:rPr>
            </w:pPr>
            <w:r>
              <w:rPr>
                <w:rFonts w:hint="eastAsia" w:ascii="宋体" w:hAnsi="宋体" w:eastAsia="宋体" w:cs="宋体"/>
                <w:color w:val="auto"/>
              </w:rPr>
              <w:t>7、完善的报警系统，带有声光报警、可实现高低温报警、断电报警、传感器故障报警、 电池电量低报警、温度报警，保证安全运行防止发生意外。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bCs/>
                <w:color w:val="auto"/>
              </w:rPr>
            </w:pPr>
            <w:r>
              <w:rPr>
                <w:rFonts w:hint="eastAsia" w:ascii="宋体" w:hAnsi="宋体" w:eastAsia="宋体" w:cs="宋体"/>
                <w:bCs/>
                <w:color w:val="auto"/>
              </w:rPr>
              <w:t>16</w:t>
            </w:r>
          </w:p>
        </w:tc>
        <w:tc>
          <w:tcPr>
            <w:tcW w:w="76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bCs/>
                <w:color w:val="auto"/>
              </w:rPr>
            </w:pPr>
            <w:r>
              <w:rPr>
                <w:rFonts w:hint="eastAsia" w:ascii="宋体" w:hAnsi="宋体" w:eastAsia="宋体" w:cs="宋体"/>
                <w:bCs/>
                <w:color w:val="auto"/>
              </w:rPr>
              <w:t>保冷柜</w:t>
            </w:r>
          </w:p>
        </w:tc>
        <w:tc>
          <w:tcPr>
            <w:tcW w:w="334"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1、有效容积：≥150L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2、额定电压：220V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3、额定频率：50Hz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4、噪音（声功计）：≤48dB﹙A﹚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 xml:space="preserve">5、制冷剂：R134a </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6、温控范围：0~100℃（每度可调可控）</w:t>
            </w:r>
          </w:p>
          <w:p>
            <w:pPr>
              <w:keepNext w:val="0"/>
              <w:keepLines w:val="0"/>
              <w:pageBreakBefore w:val="0"/>
              <w:widowControl/>
              <w:kinsoku/>
              <w:wordWrap/>
              <w:overflowPunct/>
              <w:topLinePunct w:val="0"/>
              <w:autoSpaceDE/>
              <w:autoSpaceDN/>
              <w:bidi w:val="0"/>
              <w:snapToGrid w:val="0"/>
              <w:spacing w:line="240" w:lineRule="auto"/>
              <w:jc w:val="both"/>
              <w:textAlignment w:val="auto"/>
              <w:rPr>
                <w:rFonts w:hint="eastAsia" w:ascii="宋体" w:hAnsi="宋体" w:eastAsia="宋体" w:cs="宋体"/>
                <w:color w:val="auto"/>
              </w:rPr>
            </w:pPr>
            <w:r>
              <w:rPr>
                <w:rFonts w:hint="eastAsia" w:ascii="宋体" w:hAnsi="宋体" w:eastAsia="宋体" w:cs="宋体"/>
                <w:color w:val="auto"/>
              </w:rPr>
              <w:t>7、完善的报警系统，带有声光报警、可实现高低温报警、断电报警、传感器故障报警、 电池电量低报警、温度报警，保证安全运行防止发生意外。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jc w:val="center"/>
        </w:trPr>
        <w:tc>
          <w:tcPr>
            <w:tcW w:w="19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bCs/>
                <w:color w:val="auto"/>
              </w:rPr>
            </w:pPr>
            <w:r>
              <w:rPr>
                <w:rFonts w:hint="eastAsia" w:ascii="宋体" w:hAnsi="宋体" w:eastAsia="宋体" w:cs="宋体"/>
                <w:bCs/>
                <w:color w:val="auto"/>
              </w:rPr>
              <w:t>17</w:t>
            </w:r>
          </w:p>
        </w:tc>
        <w:tc>
          <w:tcPr>
            <w:tcW w:w="763"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bCs/>
                <w:color w:val="auto"/>
              </w:rPr>
            </w:pPr>
            <w:r>
              <w:rPr>
                <w:rFonts w:hint="eastAsia" w:ascii="宋体" w:hAnsi="宋体" w:eastAsia="宋体" w:cs="宋体"/>
                <w:bCs/>
                <w:color w:val="auto"/>
              </w:rPr>
              <w:t>导管柜</w:t>
            </w:r>
          </w:p>
        </w:tc>
        <w:tc>
          <w:tcPr>
            <w:tcW w:w="334"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1</w:t>
            </w:r>
          </w:p>
        </w:tc>
        <w:tc>
          <w:tcPr>
            <w:tcW w:w="429"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rPr>
            </w:pPr>
            <w:r>
              <w:rPr>
                <w:rFonts w:hint="eastAsia" w:ascii="宋体" w:hAnsi="宋体" w:eastAsia="宋体" w:cs="宋体"/>
                <w:bCs/>
                <w:color w:val="auto"/>
              </w:rPr>
              <w:t>套</w:t>
            </w:r>
          </w:p>
        </w:tc>
        <w:tc>
          <w:tcPr>
            <w:tcW w:w="3281" w:type="pct"/>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宋体" w:hAnsi="宋体" w:eastAsia="宋体" w:cs="宋体"/>
                <w:color w:val="auto"/>
              </w:rPr>
            </w:pPr>
            <w:r>
              <w:rPr>
                <w:rFonts w:hint="eastAsia" w:ascii="宋体" w:hAnsi="宋体" w:eastAsia="宋体" w:cs="宋体"/>
                <w:color w:val="auto"/>
              </w:rPr>
              <w:t>1200*1300*300</w:t>
            </w:r>
          </w:p>
        </w:tc>
      </w:tr>
    </w:tbl>
    <w:p>
      <w:pPr>
        <w:pStyle w:val="135"/>
        <w:spacing w:line="360" w:lineRule="auto"/>
        <w:ind w:firstLine="480"/>
        <w:rPr>
          <w:rFonts w:ascii="宋体" w:hAnsi="宋体" w:cs="宋体"/>
          <w:color w:val="auto"/>
          <w:sz w:val="24"/>
          <w:szCs w:val="24"/>
        </w:rPr>
      </w:pPr>
      <w:r>
        <w:rPr>
          <w:rFonts w:hint="eastAsia" w:ascii="宋体" w:hAnsi="宋体" w:cs="宋体"/>
          <w:color w:val="auto"/>
          <w:sz w:val="24"/>
          <w:szCs w:val="24"/>
        </w:rPr>
        <w:t>注：DSA设备支架由设备厂家完成。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洁净空调设计说明</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cs="宋体"/>
          <w:b/>
          <w:color w:val="auto"/>
        </w:rPr>
      </w:pPr>
      <w:r>
        <w:rPr>
          <w:rFonts w:hint="eastAsia" w:ascii="宋体" w:hAnsi="宋体" w:cs="宋体"/>
          <w:b/>
          <w:color w:val="auto"/>
        </w:rPr>
        <w:t>（一）设计依据及验收标准：</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业主提供的洁净手术部深化设计要求中所列的技术文件</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《医院洁净手术部建筑技术规范》GB50333-2013</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《洁净厂房设计规范》 GB50073-2013</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《综合医院建筑设计规范》 GB51039-2014</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《医院消毒卫生标准》 GB15982-2012</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《洁净室施工及验收规范》  GB50591-2010</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 xml:space="preserve">《建筑设计防火规范》 GB50016-2014 （2018年版） </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《高层民用建筑设计防火规范》 GB50736-2012</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《医疗建筑电气设计规范》  JGJ312-2013</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《医用中心吸引系统通用技术条件》  YY/T-0186-94</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《医用中心供氧系统通用技术条件》  YY/T-0187-94</w:t>
      </w:r>
    </w:p>
    <w:p>
      <w:pPr>
        <w:widowControl w:val="0"/>
        <w:adjustRightInd w:val="0"/>
        <w:snapToGrid w:val="0"/>
        <w:spacing w:line="500" w:lineRule="exact"/>
        <w:ind w:firstLine="600"/>
        <w:rPr>
          <w:rFonts w:hint="eastAsia" w:ascii="宋体" w:hAnsi="宋体" w:cs="宋体"/>
          <w:b/>
          <w:color w:val="auto"/>
        </w:rPr>
      </w:pPr>
      <w:r>
        <w:rPr>
          <w:rFonts w:hint="eastAsia" w:ascii="宋体" w:hAnsi="宋体" w:cs="宋体"/>
          <w:b/>
          <w:color w:val="auto"/>
        </w:rPr>
        <w:t>设计依据及验收标准包含但不限于上述标准，并以国家最新标准为准。</w:t>
      </w:r>
    </w:p>
    <w:p>
      <w:pPr>
        <w:widowControl w:val="0"/>
        <w:adjustRightInd w:val="0"/>
        <w:snapToGrid w:val="0"/>
        <w:spacing w:line="500" w:lineRule="exact"/>
        <w:rPr>
          <w:rFonts w:hint="eastAsia" w:ascii="宋体" w:hAnsi="宋体" w:cs="宋体"/>
          <w:b/>
          <w:color w:val="auto"/>
        </w:rPr>
      </w:pPr>
      <w:r>
        <w:rPr>
          <w:rFonts w:hint="eastAsia" w:ascii="宋体" w:hAnsi="宋体" w:cs="宋体"/>
          <w:b/>
          <w:color w:val="auto"/>
        </w:rPr>
        <w:t>（二）设计参数：</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1、手术室最小换气次数:</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I级    截面平均风速0.2～0.25m/s（眼科0.15～0.2m/s）</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II级   24次/h        III级  18次/h        IV级  12次/h</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2、对室外正压≥15pa</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3、相对走廊正压＞5pa</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4、新风量的确定：</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（1）洁净手术室新风量每平方15m3/h—20m3/h</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（2）护士站和苏醒室最小换气次数为3次/h，其他房间最小换气次数为2次/h</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rPr>
      </w:pPr>
      <w:r>
        <w:rPr>
          <w:rFonts w:hint="eastAsia" w:ascii="宋体" w:hAnsi="宋体" w:cs="宋体"/>
          <w:b/>
          <w:color w:val="auto"/>
        </w:rPr>
        <w:t>新风量按具体情况对最小值做调整。</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5、排风量：手术室排风量≥250m3/h，需排除气味的手术室不应低于送风量的50%；</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6、灯光照度值：手术室最低照度350LX，平均照度大于此数；</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走廊和辅助房间最低照度150LX。</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7、温度：手术室21～25℃；    走廊和辅助房间21～27℃。</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8、室内相对湿度：手术室40～60%；    走廊和辅助房间≤60%。</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9、主流区风速：≤0.3m/s。</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10、设计噪声值：I级手术室≤51dB(A)，其他手术室≤49dB(A)；</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走廊和辅助房间≤60dB(A)。</w:t>
      </w:r>
    </w:p>
    <w:p>
      <w:pPr>
        <w:pStyle w:val="1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color w:val="auto"/>
          <w:sz w:val="24"/>
          <w:szCs w:val="24"/>
        </w:rPr>
        <w:t xml:space="preserve">11、洁净手术室的设置如下表    </w:t>
      </w:r>
      <w:r>
        <w:rPr>
          <w:rFonts w:hint="eastAsia" w:ascii="宋体" w:hAnsi="宋体" w:cs="宋体"/>
          <w:bCs/>
          <w:color w:val="auto"/>
          <w:sz w:val="24"/>
        </w:rPr>
        <w:t xml:space="preserve">  </w:t>
      </w:r>
    </w:p>
    <w:p>
      <w:pPr>
        <w:tabs>
          <w:tab w:val="left" w:pos="540"/>
        </w:tabs>
        <w:adjustRightInd w:val="0"/>
        <w:snapToGrid w:val="0"/>
        <w:spacing w:line="500" w:lineRule="exact"/>
        <w:ind w:firstLine="480" w:firstLineChars="200"/>
        <w:rPr>
          <w:rFonts w:hint="eastAsia" w:ascii="宋体" w:hAnsi="宋体" w:cs="宋体"/>
          <w:bCs/>
          <w:color w:val="auto"/>
        </w:rPr>
      </w:pPr>
      <w:r>
        <w:rPr>
          <w:rFonts w:hint="eastAsia" w:ascii="宋体" w:hAnsi="宋体" w:cs="宋体"/>
          <w:bCs/>
          <w:color w:val="auto"/>
        </w:rPr>
        <w:t xml:space="preserve">                     </w:t>
      </w:r>
      <w:r>
        <w:rPr>
          <w:rFonts w:hint="eastAsia" w:ascii="宋体" w:hAnsi="宋体" w:cs="宋体"/>
          <w:b/>
          <w:color w:val="auto"/>
        </w:rPr>
        <w:t>空气洁净度等级表</w:t>
      </w:r>
    </w:p>
    <w:tbl>
      <w:tblPr>
        <w:tblStyle w:val="4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9"/>
        <w:gridCol w:w="1972"/>
        <w:gridCol w:w="2040"/>
        <w:gridCol w:w="1011"/>
        <w:gridCol w:w="1042"/>
        <w:gridCol w:w="24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19" w:type="dxa"/>
            <w:vMerge w:val="restart"/>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洁净用房等级</w:t>
            </w:r>
          </w:p>
        </w:tc>
        <w:tc>
          <w:tcPr>
            <w:tcW w:w="4012" w:type="dxa"/>
            <w:gridSpan w:val="2"/>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沉降法（浮游法）</w:t>
            </w:r>
          </w:p>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细菌最大平均浓度</w:t>
            </w:r>
          </w:p>
        </w:tc>
        <w:tc>
          <w:tcPr>
            <w:tcW w:w="2053" w:type="dxa"/>
            <w:gridSpan w:val="2"/>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空气洁净度级别</w:t>
            </w:r>
          </w:p>
        </w:tc>
        <w:tc>
          <w:tcPr>
            <w:tcW w:w="2497"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参考手术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19" w:type="dxa"/>
            <w:vMerge w:val="continue"/>
            <w:noWrap w:val="0"/>
            <w:vAlign w:val="center"/>
          </w:tcPr>
          <w:p>
            <w:pPr>
              <w:adjustRightInd w:val="0"/>
              <w:snapToGrid w:val="0"/>
              <w:spacing w:line="240" w:lineRule="auto"/>
              <w:jc w:val="center"/>
              <w:rPr>
                <w:rFonts w:hint="eastAsia" w:ascii="宋体" w:hAnsi="宋体" w:eastAsia="宋体" w:cs="宋体"/>
                <w:bCs/>
                <w:color w:val="auto"/>
              </w:rPr>
            </w:pPr>
          </w:p>
        </w:tc>
        <w:tc>
          <w:tcPr>
            <w:tcW w:w="1972"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手术室</w:t>
            </w:r>
          </w:p>
        </w:tc>
        <w:tc>
          <w:tcPr>
            <w:tcW w:w="2040"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周边区</w:t>
            </w:r>
          </w:p>
        </w:tc>
        <w:tc>
          <w:tcPr>
            <w:tcW w:w="1011"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手术区</w:t>
            </w:r>
          </w:p>
        </w:tc>
        <w:tc>
          <w:tcPr>
            <w:tcW w:w="1042"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周边区</w:t>
            </w:r>
          </w:p>
        </w:tc>
        <w:tc>
          <w:tcPr>
            <w:tcW w:w="2497" w:type="dxa"/>
            <w:noWrap w:val="0"/>
            <w:vAlign w:val="center"/>
          </w:tcPr>
          <w:p>
            <w:pPr>
              <w:adjustRightInd w:val="0"/>
              <w:snapToGrid w:val="0"/>
              <w:spacing w:line="240" w:lineRule="auto"/>
              <w:jc w:val="center"/>
              <w:rPr>
                <w:rFonts w:hint="eastAsia" w:ascii="宋体" w:hAnsi="宋体" w:eastAsia="宋体" w:cs="宋体"/>
                <w:bCs/>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19"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Ⅰ</w:t>
            </w:r>
          </w:p>
        </w:tc>
        <w:tc>
          <w:tcPr>
            <w:tcW w:w="1972"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0.2cfu/30min·</w:t>
            </w:r>
          </w:p>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∅90皿（5cfu/m3）</w:t>
            </w:r>
          </w:p>
        </w:tc>
        <w:tc>
          <w:tcPr>
            <w:tcW w:w="2040"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0.4cfu/30min·</w:t>
            </w:r>
          </w:p>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∅90皿（10cfu/m3）</w:t>
            </w:r>
          </w:p>
        </w:tc>
        <w:tc>
          <w:tcPr>
            <w:tcW w:w="1011"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5</w:t>
            </w:r>
          </w:p>
        </w:tc>
        <w:tc>
          <w:tcPr>
            <w:tcW w:w="1042"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6</w:t>
            </w:r>
          </w:p>
        </w:tc>
        <w:tc>
          <w:tcPr>
            <w:tcW w:w="2497"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假体植入、某些大型器官移植、手术部位感染可直接危及生命及生活质量等手术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19"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Ⅱ</w:t>
            </w:r>
          </w:p>
        </w:tc>
        <w:tc>
          <w:tcPr>
            <w:tcW w:w="1972"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0.75cfu/30min·</w:t>
            </w:r>
          </w:p>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∅90（25cfu/m3）</w:t>
            </w:r>
          </w:p>
        </w:tc>
        <w:tc>
          <w:tcPr>
            <w:tcW w:w="2040"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1.5cfu/30min·</w:t>
            </w:r>
          </w:p>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∅90皿（50cfu/m3）</w:t>
            </w:r>
          </w:p>
        </w:tc>
        <w:tc>
          <w:tcPr>
            <w:tcW w:w="1011"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6</w:t>
            </w:r>
          </w:p>
        </w:tc>
        <w:tc>
          <w:tcPr>
            <w:tcW w:w="1042"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7</w:t>
            </w:r>
          </w:p>
        </w:tc>
        <w:tc>
          <w:tcPr>
            <w:tcW w:w="2497"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涉及深部组织及生命主要器官的大型手术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19"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Ⅲ</w:t>
            </w:r>
          </w:p>
        </w:tc>
        <w:tc>
          <w:tcPr>
            <w:tcW w:w="1972"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2cfu/30min·</w:t>
            </w:r>
          </w:p>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∅90（75cfu/m3）</w:t>
            </w:r>
          </w:p>
        </w:tc>
        <w:tc>
          <w:tcPr>
            <w:tcW w:w="2040"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4cfu/30min·</w:t>
            </w:r>
          </w:p>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∅90皿（150cfu/m3）</w:t>
            </w:r>
          </w:p>
        </w:tc>
        <w:tc>
          <w:tcPr>
            <w:tcW w:w="1011"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7</w:t>
            </w:r>
          </w:p>
        </w:tc>
        <w:tc>
          <w:tcPr>
            <w:tcW w:w="1042"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8</w:t>
            </w:r>
          </w:p>
        </w:tc>
        <w:tc>
          <w:tcPr>
            <w:tcW w:w="2497"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其他外科手术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19"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Ⅳ</w:t>
            </w:r>
          </w:p>
        </w:tc>
        <w:tc>
          <w:tcPr>
            <w:tcW w:w="4012" w:type="dxa"/>
            <w:gridSpan w:val="2"/>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6cfu/30min·∅90皿</w:t>
            </w:r>
          </w:p>
        </w:tc>
        <w:tc>
          <w:tcPr>
            <w:tcW w:w="2053" w:type="dxa"/>
            <w:gridSpan w:val="2"/>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8.5</w:t>
            </w:r>
          </w:p>
        </w:tc>
        <w:tc>
          <w:tcPr>
            <w:tcW w:w="2497" w:type="dxa"/>
            <w:noWrap w:val="0"/>
            <w:vAlign w:val="center"/>
          </w:tcPr>
          <w:p>
            <w:pPr>
              <w:adjustRightInd w:val="0"/>
              <w:snapToGrid w:val="0"/>
              <w:spacing w:line="240" w:lineRule="auto"/>
              <w:jc w:val="center"/>
              <w:rPr>
                <w:rFonts w:hint="eastAsia" w:ascii="宋体" w:hAnsi="宋体" w:eastAsia="宋体" w:cs="宋体"/>
                <w:bCs/>
                <w:color w:val="auto"/>
              </w:rPr>
            </w:pPr>
            <w:r>
              <w:rPr>
                <w:rFonts w:hint="eastAsia" w:ascii="宋体" w:hAnsi="宋体" w:eastAsia="宋体" w:cs="宋体"/>
                <w:bCs/>
                <w:color w:val="auto"/>
              </w:rPr>
              <w:t>感染和重度污染手术</w:t>
            </w:r>
          </w:p>
        </w:tc>
      </w:tr>
    </w:tbl>
    <w:p>
      <w:pPr>
        <w:widowControl w:val="0"/>
        <w:adjustRightInd w:val="0"/>
        <w:snapToGrid w:val="0"/>
        <w:spacing w:line="500" w:lineRule="exact"/>
        <w:rPr>
          <w:rFonts w:hint="eastAsia" w:ascii="宋体" w:hAnsi="宋体" w:eastAsia="宋体" w:cs="宋体"/>
          <w:b/>
          <w:color w:val="auto"/>
        </w:rPr>
      </w:pPr>
      <w:r>
        <w:rPr>
          <w:rFonts w:hint="eastAsia" w:ascii="宋体" w:hAnsi="宋体" w:eastAsia="宋体" w:cs="宋体"/>
          <w:b/>
          <w:color w:val="auto"/>
        </w:rPr>
        <w:t>（三）气流组织及系统：</w:t>
      </w:r>
    </w:p>
    <w:p>
      <w:pPr>
        <w:adjustRightInd w:val="0"/>
        <w:snapToGrid w:val="0"/>
        <w:spacing w:line="360" w:lineRule="auto"/>
        <w:ind w:firstLine="482" w:firstLineChars="200"/>
        <w:rPr>
          <w:rFonts w:hint="eastAsia" w:ascii="宋体" w:hAnsi="宋体" w:cs="宋体"/>
          <w:b/>
          <w:color w:val="auto"/>
        </w:rPr>
      </w:pPr>
      <w:r>
        <w:rPr>
          <w:rFonts w:hint="eastAsia" w:ascii="宋体" w:hAnsi="宋体" w:cs="宋体"/>
          <w:b/>
          <w:color w:val="auto"/>
        </w:rPr>
        <w:t>1、气流形式：</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百</w:t>
      </w:r>
      <w:r>
        <w:rPr>
          <w:rFonts w:hint="eastAsia" w:ascii="宋体" w:hAnsi="宋体" w:cs="宋体"/>
          <w:color w:val="auto"/>
          <w:sz w:val="24"/>
          <w:szCs w:val="24"/>
          <w:lang w:val="zh-CN"/>
        </w:rPr>
        <w:t>级</w:t>
      </w:r>
      <w:r>
        <w:rPr>
          <w:rFonts w:hint="eastAsia" w:ascii="宋体" w:hAnsi="宋体" w:cs="宋体"/>
          <w:color w:val="auto"/>
          <w:sz w:val="24"/>
          <w:szCs w:val="24"/>
        </w:rPr>
        <w:t>手术室采用垂直单向流。即气流从顶部高效静压箱均匀送出并以活塞推进式送到手术平台，然后以准垂直平行流形式向四周扩散稀释并带走室内污染空气，最后由下部回风口排出手术室。</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万级手术室气流从顶部高效静压箱送出，以乱流形式稀释室内污染空气，最后由下部回风口排出手术室。</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十万级无菌走廊采用乱流洁净形式，气流从顶部高效送风口送出，稀释室内污染空气，最后由上（下）部回风口排出。</w:t>
      </w:r>
    </w:p>
    <w:p>
      <w:pPr>
        <w:widowControl w:val="0"/>
        <w:adjustRightInd w:val="0"/>
        <w:snapToGrid w:val="0"/>
        <w:spacing w:line="360" w:lineRule="auto"/>
        <w:ind w:firstLine="482" w:firstLineChars="200"/>
        <w:rPr>
          <w:rFonts w:hint="eastAsia" w:ascii="宋体" w:hAnsi="宋体" w:cs="宋体"/>
          <w:b/>
          <w:color w:val="auto"/>
        </w:rPr>
      </w:pPr>
      <w:r>
        <w:rPr>
          <w:rFonts w:hint="eastAsia" w:ascii="宋体" w:hAnsi="宋体" w:cs="宋体"/>
          <w:b/>
          <w:color w:val="auto"/>
        </w:rPr>
        <w:t>2、手术室气流的净化过程：</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室外新风经新风机组进入组合式空调机组，与室内回风混合；混合空气通过表冷器进行加热（或冷却）、中效过滤器过滤后由送风机送出，进入静压箱；进入静压箱内的洁净空气经高效过滤器过滤，通过均流层均匀送入手术室；手术室下部装有阻尼回风口，回风经过阻尼回风口由回风管道送入机组与室外新风混合。手术结束，启动排气系统更换室内空气，同时可开启消毒，对机组进行消毒。在送风管道上装有消声器，使洁净室的噪声值达到设计要求。</w:t>
      </w:r>
    </w:p>
    <w:p>
      <w:pPr>
        <w:widowControl w:val="0"/>
        <w:adjustRightInd w:val="0"/>
        <w:snapToGrid w:val="0"/>
        <w:spacing w:line="500" w:lineRule="exact"/>
        <w:rPr>
          <w:rFonts w:hint="eastAsia" w:ascii="宋体" w:hAnsi="宋体" w:eastAsia="宋体" w:cs="宋体"/>
          <w:b/>
          <w:color w:val="auto"/>
        </w:rPr>
      </w:pPr>
      <w:r>
        <w:rPr>
          <w:rFonts w:hint="eastAsia" w:ascii="宋体" w:hAnsi="宋体" w:eastAsia="宋体" w:cs="宋体"/>
          <w:b/>
          <w:color w:val="auto"/>
        </w:rPr>
        <w:t>（四）机组配置说明：</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中药制剂配置三台空调机组。</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供应室配置二台空调机组。</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检验科配置三台空调机组。</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手术部百级手术室配置一台空气处理机组（预留）；OR1、OR2万级手术室分别配置一台空气处理机组（甲供）；OR3万级手术室配置一台空气处理机组(预留)。</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本方案手术部净化区域空调机组采用一台新风机组集中供应。</w:t>
      </w:r>
    </w:p>
    <w:p>
      <w:pPr>
        <w:pStyle w:val="135"/>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中药制剂、检验科、供应室、ICU、手术部各区域内按需设计单独排风，采用低噪音排风机，排风机内安装中效过滤器，排风管上安装止回阀和防雨百叶窗风口。</w:t>
      </w:r>
    </w:p>
    <w:p>
      <w:pPr>
        <w:widowControl w:val="0"/>
        <w:adjustRightInd w:val="0"/>
        <w:snapToGrid w:val="0"/>
        <w:spacing w:line="5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空调机组技术要求:</w:t>
      </w:r>
    </w:p>
    <w:p>
      <w:pPr>
        <w:widowControl w:val="0"/>
        <w:adjustRightInd w:val="0"/>
        <w:snapToGrid w:val="0"/>
        <w:spacing w:line="500" w:lineRule="exact"/>
        <w:rPr>
          <w:rFonts w:hint="eastAsia" w:ascii="宋体" w:hAnsi="宋体" w:eastAsia="宋体" w:cs="宋体"/>
          <w:b/>
          <w:color w:val="auto"/>
        </w:rPr>
      </w:pPr>
      <w:r>
        <w:rPr>
          <w:rFonts w:hint="eastAsia" w:ascii="宋体" w:hAnsi="宋体" w:eastAsia="宋体" w:cs="宋体"/>
          <w:b/>
          <w:color w:val="auto"/>
        </w:rPr>
        <w:t>净化空调机组技术要求：</w:t>
      </w:r>
    </w:p>
    <w:p>
      <w:pPr>
        <w:pageBreakBefore w:val="0"/>
        <w:numPr>
          <w:ilvl w:val="0"/>
          <w:numId w:val="2"/>
        </w:numPr>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cs="宋体"/>
          <w:b/>
          <w:bCs/>
          <w:color w:val="auto"/>
        </w:rPr>
      </w:pPr>
      <w:r>
        <w:rPr>
          <w:rFonts w:hint="eastAsia" w:ascii="宋体" w:hAnsi="宋体" w:cs="宋体"/>
          <w:b/>
          <w:bCs/>
          <w:color w:val="auto"/>
        </w:rPr>
        <w:t>空调设备技术要求</w:t>
      </w:r>
    </w:p>
    <w:p>
      <w:pPr>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cs="宋体"/>
          <w:b/>
          <w:bCs/>
          <w:color w:val="auto"/>
        </w:rPr>
      </w:pPr>
      <w:r>
        <w:rPr>
          <w:rFonts w:hint="eastAsia" w:ascii="宋体" w:hAnsi="宋体" w:cs="宋体"/>
          <w:b/>
          <w:bCs/>
          <w:color w:val="auto"/>
        </w:rPr>
        <w:t>1.1净化机组（手术室区域）：</w:t>
      </w:r>
    </w:p>
    <w:p>
      <w:pPr>
        <w:pStyle w:val="3"/>
        <w:pageBreakBefore w:val="0"/>
        <w:kinsoku/>
        <w:wordWrap/>
        <w:overflowPunct/>
        <w:topLinePunct w:val="0"/>
        <w:bidi w:val="0"/>
        <w:adjustRightInd w:val="0"/>
        <w:snapToGrid w:val="0"/>
        <w:spacing w:before="0" w:after="0" w:line="360" w:lineRule="auto"/>
        <w:ind w:firstLine="480" w:firstLineChars="200"/>
        <w:jc w:val="both"/>
        <w:textAlignment w:val="auto"/>
        <w:rPr>
          <w:rFonts w:hint="eastAsia" w:ascii="宋体" w:hAnsi="宋体" w:eastAsia="宋体" w:cs="宋体"/>
          <w:b w:val="0"/>
          <w:bCs w:val="0"/>
          <w:color w:val="auto"/>
          <w:sz w:val="24"/>
          <w:szCs w:val="24"/>
        </w:rPr>
      </w:pPr>
      <w:bookmarkStart w:id="98" w:name="_Toc215736539"/>
      <w:bookmarkStart w:id="99" w:name="_Toc215278942"/>
      <w:bookmarkStart w:id="100" w:name="_Toc165349048"/>
      <w:bookmarkStart w:id="101" w:name="_Toc216275670"/>
      <w:r>
        <w:rPr>
          <w:rFonts w:hint="eastAsia" w:ascii="宋体" w:hAnsi="宋体" w:eastAsia="宋体" w:cs="宋体"/>
          <w:b w:val="0"/>
          <w:bCs w:val="0"/>
          <w:color w:val="auto"/>
          <w:sz w:val="24"/>
          <w:szCs w:val="24"/>
        </w:rPr>
        <w:t>1. 基本要求</w:t>
      </w:r>
      <w:bookmarkEnd w:id="98"/>
      <w:bookmarkEnd w:id="99"/>
      <w:bookmarkEnd w:id="100"/>
      <w:bookmarkEnd w:id="101"/>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1.1  投标人所提供的产品，应是技术成熟的产品，不允许使用未成熟的或新研制开发的产品。应提供完整的、正规的所投产品的样本、详细介绍（包含产品的彩色图片和结构分解详细图片）。</w:t>
      </w:r>
    </w:p>
    <w:p>
      <w:pPr>
        <w:pStyle w:val="3"/>
        <w:pageBreakBefore w:val="0"/>
        <w:kinsoku/>
        <w:wordWrap/>
        <w:overflowPunct/>
        <w:topLinePunct w:val="0"/>
        <w:bidi w:val="0"/>
        <w:adjustRightInd w:val="0"/>
        <w:snapToGrid w:val="0"/>
        <w:spacing w:before="0" w:after="0" w:line="360" w:lineRule="auto"/>
        <w:ind w:firstLine="480" w:firstLineChars="200"/>
        <w:jc w:val="both"/>
        <w:textAlignment w:val="auto"/>
        <w:rPr>
          <w:rFonts w:hint="eastAsia" w:ascii="宋体" w:hAnsi="宋体" w:eastAsia="宋体" w:cs="宋体"/>
          <w:b w:val="0"/>
          <w:bCs w:val="0"/>
          <w:color w:val="auto"/>
          <w:sz w:val="24"/>
          <w:szCs w:val="24"/>
        </w:rPr>
      </w:pPr>
      <w:bookmarkStart w:id="102" w:name="_Toc215736543"/>
      <w:bookmarkStart w:id="103" w:name="_Toc215278946"/>
      <w:bookmarkStart w:id="104" w:name="_Toc216275674"/>
      <w:r>
        <w:rPr>
          <w:rFonts w:hint="eastAsia" w:ascii="宋体" w:hAnsi="宋体" w:eastAsia="宋体" w:cs="宋体"/>
          <w:b w:val="0"/>
          <w:bCs w:val="0"/>
          <w:color w:val="auto"/>
          <w:sz w:val="24"/>
          <w:szCs w:val="24"/>
        </w:rPr>
        <w:t>2. 设备的基本要求</w:t>
      </w:r>
      <w:bookmarkEnd w:id="102"/>
      <w:bookmarkEnd w:id="103"/>
      <w:bookmarkEnd w:id="104"/>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2.1  禁止使用普通的空调机组来代替医用卫生型空调机组。</w:t>
      </w:r>
    </w:p>
    <w:p>
      <w:pPr>
        <w:pStyle w:val="3"/>
        <w:pageBreakBefore w:val="0"/>
        <w:kinsoku/>
        <w:wordWrap/>
        <w:overflowPunct/>
        <w:topLinePunct w:val="0"/>
        <w:bidi w:val="0"/>
        <w:adjustRightInd w:val="0"/>
        <w:snapToGrid w:val="0"/>
        <w:spacing w:before="0" w:after="0" w:line="360" w:lineRule="auto"/>
        <w:ind w:firstLine="480" w:firstLineChars="200"/>
        <w:jc w:val="both"/>
        <w:textAlignment w:val="auto"/>
        <w:rPr>
          <w:rFonts w:hint="eastAsia" w:ascii="宋体" w:hAnsi="宋体" w:eastAsia="宋体" w:cs="宋体"/>
          <w:b w:val="0"/>
          <w:bCs w:val="0"/>
          <w:color w:val="auto"/>
          <w:sz w:val="24"/>
          <w:szCs w:val="24"/>
        </w:rPr>
      </w:pPr>
      <w:bookmarkStart w:id="105" w:name="_Toc215278947"/>
      <w:bookmarkStart w:id="106" w:name="_Toc215736544"/>
      <w:bookmarkStart w:id="107" w:name="_Toc216275675"/>
      <w:r>
        <w:rPr>
          <w:rFonts w:hint="eastAsia" w:ascii="宋体" w:hAnsi="宋体" w:eastAsia="宋体" w:cs="宋体"/>
          <w:b w:val="0"/>
          <w:bCs w:val="0"/>
          <w:color w:val="auto"/>
          <w:sz w:val="24"/>
          <w:szCs w:val="24"/>
        </w:rPr>
        <w:t>3. 设备总体要求</w:t>
      </w:r>
      <w:bookmarkEnd w:id="105"/>
      <w:bookmarkEnd w:id="106"/>
      <w:bookmarkEnd w:id="107"/>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3.1  投标人必须按招标文件各条款的内容和顺序逐项做出实质性应答。</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3.2  总体要求：</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▲（1）投标人应详细描述所供机组的防冷桥技术，热桥因子按欧洲标准EN1886应不低于TB1级，系数不应低于0.76。须提供由国家压缩机制冷设备质量检验检测中心出具的符合上述要求的检测报告复印件。</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（2）机组的箱体应有足够的强度：在负1000pa工况下，变形量不大于0.835 mm/m；在1000Pa工况下，变形量不大于0.883 mm/m；在运输和运行时都不得出现凹凸变形现象。须提供由国家压缩机制冷设备质量检验检测中心出具的符合上述要求的检测报告复印件。</w:t>
      </w:r>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（3）机组额定供热量和供冷量实测值不小于额定值。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（4）内部结构应便于清洗并能顺利排除清洗废水，不易积尘和滋生细菌。机组部件均应能耐消毒物品的腐蚀。箱体内所有缝隙用抑菌型密封材料密封，不得采用硅胶。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（5）机组外表面应美观大方，表面光洁，喷涂层均匀，色调一致、无流痕、气泡和剥落。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（6）机组密闭性好，整机漏风率：在负400Pa工况下，泄漏率不大于0.15 l/(s m</w:t>
      </w:r>
      <w:r>
        <w:rPr>
          <w:rFonts w:hint="eastAsia" w:ascii="宋体" w:hAnsi="宋体" w:cs="宋体"/>
          <w:color w:val="auto"/>
          <w:vertAlign w:val="superscript"/>
        </w:rPr>
        <w:t>2</w:t>
      </w:r>
      <w:r>
        <w:rPr>
          <w:rFonts w:hint="eastAsia" w:ascii="宋体" w:hAnsi="宋体" w:cs="宋体"/>
          <w:color w:val="auto"/>
        </w:rPr>
        <w:t>)；在静压保持700Pa时，机组的最大漏风量不大于0.21 l/(m</w:t>
      </w:r>
      <w:r>
        <w:rPr>
          <w:rFonts w:hint="eastAsia" w:ascii="宋体" w:hAnsi="宋体" w:cs="宋体"/>
          <w:color w:val="auto"/>
          <w:vertAlign w:val="superscript"/>
        </w:rPr>
        <w:t>2</w:t>
      </w:r>
      <w:r>
        <w:rPr>
          <w:rFonts w:hint="eastAsia" w:ascii="宋体" w:hAnsi="宋体" w:cs="宋体"/>
          <w:color w:val="auto"/>
        </w:rPr>
        <w:t>.s)。须提供由国家压缩机制冷设备质量检验检测中心出具的符合上述要求的检测报告复印件。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（7）机组底盘采用C型钢，厚度不低于3.0mm，经过热镀锌处理，与箱体连为整体，便于运输和安装。高度统一要求为100mm，并设有吊装孔，便于起重、运输、吊装。</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（8）机组表冷器断面风速不应大于2.5m/s。</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（9）每台机组应有产品铭牌，必须牢固固定在设备正面显著位置。所提供设备铭牌必须具有指示、警告标示，铭牌内容应符合国家有关标准规定，其材料应是耐腐蚀、耐磨的材料。</w:t>
      </w:r>
    </w:p>
    <w:p>
      <w:pPr>
        <w:pStyle w:val="3"/>
        <w:pageBreakBefore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color w:val="auto"/>
          <w:sz w:val="24"/>
          <w:szCs w:val="24"/>
        </w:rPr>
      </w:pPr>
      <w:bookmarkStart w:id="108" w:name="_Toc215736545"/>
      <w:bookmarkStart w:id="109" w:name="_Toc215278948"/>
      <w:bookmarkStart w:id="110" w:name="_Toc216275676"/>
      <w:r>
        <w:rPr>
          <w:rFonts w:hint="eastAsia" w:ascii="宋体" w:hAnsi="宋体" w:eastAsia="宋体" w:cs="宋体"/>
          <w:b w:val="0"/>
          <w:bCs w:val="0"/>
          <w:color w:val="auto"/>
          <w:sz w:val="24"/>
          <w:szCs w:val="24"/>
        </w:rPr>
        <w:t>4. 洁净空调机组技术要求</w:t>
      </w:r>
      <w:bookmarkEnd w:id="108"/>
      <w:bookmarkEnd w:id="109"/>
      <w:bookmarkEnd w:id="1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以下所列各条款，请出示实物图片或样本加以说明，若图片与样本不一致以产品样本为准。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4.1  箱体</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 xml:space="preserve"> （1）内部结构：内表面应光滑平整，无凹槽、凸起，便于清洗并能顺利排除积水，不易积尘和滋生细菌。采用不含硅的密封胶密封。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2）壁板：采用三明治结构，壁板可整板拆卸壁板及顶板厚度&gt;50mm，底板厚度&gt;50mm，壁板具有良好的强度和密封性能。外板采用≥1.0mm厚的镀锌钢静电粉末喷涂板,内板采用≥1.0mm厚的不锈钢板。保温层采用A级不燃岩棉，密度≥80kg/m3，完全贴合在内外层壁板之间，保温效果好。面板及立柱不能采用发泡材质。提供案例图片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3）框架结构：采用框架结构，箱体框架采用由2.0mm及以上的热镀锌钢型材或铝型材组成的封闭框架。有良好的防锈蚀措施，框架材质必须采用耐腐蚀材料，避免二次污染。内板要求为不锈钢的机组，机组框架必须采用304不锈钢框架（不准许使用不锈钢包边框架，框架材质必须全部为304不锈钢）提供案例图片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（4）防腐性能：内置零部件应选用耐消毒药品腐蚀的材料或面层、材质表面应光洁；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5）为方便设备维修和维护，在风机段设有检修门和观察窗，并设置检修灯。检修门宽度不得小于450mm，高度不小于1500mm（高度小于1500mm的机组，检修门高度与机组等高）；观察窗直径不低于150mm。提供案例图片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4.2  风机、电机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1）风机应采用无蜗壳直驱式风机，选型按照最高效率、最低噪音原则，风机扇叶采用铝制材料或有喷塑处理。经过严格动、静平衡测试；风机预留接线柱，用于与外部变频器连接。指定品牌：及普、施乐百或威岚；提供案例图片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rPr>
      </w:pPr>
      <w:r>
        <w:rPr>
          <w:rFonts w:hint="eastAsia" w:ascii="宋体" w:hAnsi="宋体" w:cs="宋体"/>
          <w:color w:val="auto"/>
        </w:rPr>
        <w:t>（2）风机叶轮为歪曲中空结构叶片，轴承耐磨性好，使用寿命长，底座为弹簧减震型底座，根据风机的重量、运行情况进行弹簧分布，弹簧的压缩量在20～30mm之间，使弹簧的减振处于最佳工作状态点。</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（3）电机防护等级为IP55，绝缘等级为F。</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4.3  过滤器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（1）采用“憎水型”大容尘量过滤器，能与国产品牌互换。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（2）过滤器，前后均设压差报警装置预留孔，并做密封处理,可以实现过滤器阻塞报警的连接。请以图片对应说明。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（3）过滤器旁通漏风率符合标准F9（过滤器框架泄漏值，-400Pa时为23.55m3/h，+400Pa时为5m3/h；泄漏百分比-400Pa时为0.2％，+400Pa时为0.0％）。</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（4）粗效：机组应采用板式初效过滤器，过滤级别G4。</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（5）中效：采用盒式过滤器，过滤级别不低于F8。</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（6）亚高效过滤器：采用密褶式过滤器,过滤级别不低于H10。</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（7）过滤器指定品牌：瑞典“Camfil”或美国“AAF”。</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（8）过滤器框架采用不锈钢材料，耐划伤，耐锈死。</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4.4 表冷器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（1）表冷器采用无缝铜管、亲水膜铝翅片结构，采用铜集管，应具有很好的传热性能和防腐性;样本中应有明确表示翅片为平翅片设计，避免积尘和孳菌。</w:t>
      </w:r>
      <w:bookmarkStart w:id="111" w:name="技术"/>
      <w:bookmarkEnd w:id="111"/>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（2）表冷器框架材质必须为304不锈钢。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（3）机组表冷器断面风速不应大于2.0m/s。</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（4）冷凝水盘为不锈钢水盘，采用大坡度单侧凝水盘设计，有效深度≥80mm，确保冷凝水排水顺畅。请以图片对应说明。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（5）盘管安装在304不锈钢的导轨上，以利于移出盘管,以便出现问题进行检修或日常的清洗维护，杜绝进入机组内进行检修或维护的形式，请以图片对应说明。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（6）固定框架采用不锈钢，耐腐蚀。</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4.5检修通道、照明及其它</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（1）检修门应采用与空调机组壁板相同的可拆卸双层板制作，并具有相同的隔热、隔声、密封性能。</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（2）在风机段需设检修门。其他段位设有可拆卸的检修面板或检修门，便于检修。提供案例图片证明。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rPr>
      </w:pPr>
      <w:r>
        <w:rPr>
          <w:rFonts w:hint="eastAsia" w:ascii="宋体" w:hAnsi="宋体" w:cs="宋体"/>
          <w:color w:val="auto"/>
        </w:rPr>
        <w:t>（3）风机段所配检修灯表面光滑平整，不易积尘，不易积灰。可拆卸进行清洁。提供案例图片证明。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rPr>
      </w:pP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Ansi="宋体" w:cs="宋体"/>
          <w:b/>
          <w:bCs/>
          <w:color w:val="auto"/>
          <w:lang w:eastAsia="zh-Hans"/>
        </w:rPr>
      </w:pPr>
      <w:r>
        <w:rPr>
          <w:rFonts w:hAnsi="宋体" w:cs="宋体"/>
          <w:b/>
          <w:bCs/>
          <w:color w:val="auto"/>
        </w:rPr>
        <w:t xml:space="preserve">5. </w:t>
      </w:r>
      <w:r>
        <w:rPr>
          <w:rFonts w:hint="eastAsia" w:hAnsi="宋体" w:cs="宋体"/>
          <w:b/>
          <w:bCs/>
          <w:color w:val="auto"/>
          <w:lang w:eastAsia="zh-Hans"/>
        </w:rPr>
        <w:t>百级送风天花技术要求</w:t>
      </w:r>
      <w:r>
        <w:rPr>
          <w:rFonts w:hAnsi="宋体" w:cs="宋体"/>
          <w:b/>
          <w:bCs/>
          <w:color w:val="auto"/>
          <w:lang w:eastAsia="zh-Hans"/>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hAnsi="宋体" w:cs="宋体"/>
          <w:color w:val="auto"/>
        </w:rPr>
      </w:pPr>
      <w:r>
        <w:rPr>
          <w:rFonts w:hint="eastAsia" w:hAnsi="宋体" w:cs="宋体"/>
          <w:color w:val="auto"/>
        </w:rPr>
        <w:t>▲（1）为保障关键手术室环境，净化机组和百级送风天花要求为同一品牌。</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hAnsi="宋体" w:cs="宋体"/>
          <w:color w:val="auto"/>
        </w:rPr>
      </w:pPr>
      <w:r>
        <w:rPr>
          <w:rFonts w:hint="eastAsia" w:hAnsi="宋体" w:cs="宋体"/>
          <w:color w:val="auto"/>
        </w:rPr>
        <w:t>（2）静压箱箱体应采用铝板，厚度不低于1.0mm，静压箱内部结构光滑，表面平整，不能出现焊接和有突出螺钉结构现象。过滤器框架采用铝型材，表面须经过阳极化处理。提供</w:t>
      </w:r>
      <w:r>
        <w:rPr>
          <w:rFonts w:hint="eastAsia" w:hAnsi="宋体" w:cs="宋体"/>
          <w:color w:val="auto"/>
          <w:lang w:val="en-US" w:eastAsia="zh-CN"/>
        </w:rPr>
        <w:t>相关证明材料</w:t>
      </w:r>
      <w:r>
        <w:rPr>
          <w:rFonts w:hint="eastAsia" w:hAnsi="宋体" w:cs="宋体"/>
          <w:color w:val="auto"/>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hAnsi="宋体" w:cs="宋体"/>
          <w:color w:val="auto"/>
        </w:rPr>
      </w:pPr>
      <w:r>
        <w:rPr>
          <w:rFonts w:hint="eastAsia" w:hAnsi="宋体" w:cs="宋体"/>
          <w:color w:val="auto"/>
        </w:rPr>
        <w:t>▲（3）手术灯盖板上需设有过滤器压差检测接口，以便通过压差测量确定过滤器更换时间。提供</w:t>
      </w:r>
      <w:r>
        <w:rPr>
          <w:rFonts w:hint="eastAsia" w:hAnsi="宋体" w:cs="宋体"/>
          <w:color w:val="auto"/>
          <w:lang w:val="en-US" w:eastAsia="zh-CN"/>
        </w:rPr>
        <w:t>相关证明材料</w:t>
      </w:r>
      <w:r>
        <w:rPr>
          <w:rFonts w:hint="eastAsia" w:hAnsi="宋体" w:cs="宋体"/>
          <w:color w:val="auto"/>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hAnsi="宋体" w:cs="宋体"/>
          <w:color w:val="auto"/>
        </w:rPr>
      </w:pPr>
      <w:r>
        <w:rPr>
          <w:rFonts w:hint="eastAsia" w:hAnsi="宋体" w:cs="宋体"/>
          <w:color w:val="auto"/>
        </w:rPr>
        <w:t>▲（4）手术灯盖板上需设有颗粒物检测接口，以便进行检漏测试。提供</w:t>
      </w:r>
      <w:r>
        <w:rPr>
          <w:rFonts w:hint="eastAsia" w:hAnsi="宋体" w:cs="宋体"/>
          <w:color w:val="auto"/>
          <w:lang w:eastAsia="zh-Hans"/>
        </w:rPr>
        <w:t>国内</w:t>
      </w:r>
      <w:r>
        <w:rPr>
          <w:rFonts w:hint="eastAsia" w:hAnsi="宋体" w:cs="宋体"/>
          <w:color w:val="auto"/>
        </w:rPr>
        <w:t>案例图片证明。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hAnsi="宋体" w:cs="宋体"/>
          <w:color w:val="auto"/>
        </w:rPr>
      </w:pPr>
      <w:r>
        <w:rPr>
          <w:rFonts w:hint="eastAsia" w:hAnsi="宋体" w:cs="宋体"/>
          <w:color w:val="auto"/>
        </w:rPr>
        <w:t>（5）过滤器安装固定，不能采用密封胶密封，也不可采用普通螺钉在框架上穿孔固定，请以图片说明安装固定方式。</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hAnsi="宋体" w:cs="宋体"/>
          <w:color w:val="auto"/>
        </w:rPr>
      </w:pPr>
      <w:r>
        <w:rPr>
          <w:rFonts w:hint="eastAsia" w:hAnsi="宋体" w:cs="宋体"/>
          <w:color w:val="auto"/>
        </w:rPr>
        <w:t>（6）高效过滤器采用1.2mm壁厚铝合金外框，双面喷塑护网，超细玻璃纤维过滤纸，无异味密封胶。效率：H14（@0.3um99.995%），面风速：0.45m/s，初阻力：110pa</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hAnsi="宋体" w:cs="宋体"/>
          <w:color w:val="auto"/>
        </w:rPr>
      </w:pPr>
      <w:r>
        <w:rPr>
          <w:rFonts w:hint="eastAsia" w:hAnsi="宋体" w:cs="宋体"/>
          <w:color w:val="auto"/>
        </w:rPr>
        <w:t>（7）送风天花均流罩采用聚酯纤维材料，不可采用打孔的金属板材，以保证送风均匀、噪声低。收边条材质采用铝型材，层流罩须安装简便。提供</w:t>
      </w:r>
      <w:r>
        <w:rPr>
          <w:rFonts w:hint="eastAsia" w:hAnsi="宋体" w:cs="宋体"/>
          <w:color w:val="auto"/>
          <w:lang w:eastAsia="zh-Hans"/>
        </w:rPr>
        <w:t>国内</w:t>
      </w:r>
      <w:r>
        <w:rPr>
          <w:rFonts w:hint="eastAsia" w:hAnsi="宋体" w:cs="宋体"/>
          <w:color w:val="auto"/>
        </w:rPr>
        <w:t>案例图片证明。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rPr>
      </w:pPr>
      <w:r>
        <w:rPr>
          <w:rFonts w:hint="eastAsia" w:hAnsi="宋体" w:cs="宋体"/>
          <w:color w:val="auto"/>
        </w:rPr>
        <w:t>（8）层流罩外表面可采用5%的过氧化氢溶剂进行清洗，去除喷溅在上面的血渍等。</w:t>
      </w:r>
    </w:p>
    <w:p>
      <w:pPr>
        <w:widowControl w:val="0"/>
        <w:adjustRightInd w:val="0"/>
        <w:snapToGrid w:val="0"/>
        <w:spacing w:line="5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冷热源系统说明：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供应室、手术部净化区域冷热源由接大楼中央空调（甲供），过渡季节冷热源单独配置一套涡旋式风冷热泵机组集中供应，预留符合加湿用的软化水至空调机组旁0.5米处。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中药制剂冷热源单独配置一套涡旋式风冷热泵机组集中供应。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检验科、供应室、ICU、手术部非净化区域采用新风机组加风机盘管形式，冷热源采用大楼中央空调（甲供）。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冷热源机组参数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1、机组采用R410A环保制冷剂。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2、压缩机：单台机组压缩机总匹数≥25HP。</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3、水侧换热器型式：采用均分型干式壳管式蒸发器，蒸发器铜管为高效内螺纹U形管，换热效率高，回油可靠。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4、空气侧换热器需采用环抱形结构，铜管采用内螺纹铜管，翅片采用亲水铝箔，换热好且降噪，噪音≤70分贝，需提供产品样本相关页加盖公章。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hAnsi="宋体" w:cs="宋体"/>
          <w:color w:val="auto"/>
        </w:rPr>
        <w:t>▲</w:t>
      </w:r>
      <w:r>
        <w:rPr>
          <w:rFonts w:hint="eastAsia" w:ascii="宋体" w:hAnsi="宋体" w:cs="宋体"/>
          <w:color w:val="auto"/>
          <w:kern w:val="2"/>
        </w:rPr>
        <w:t>5、节流部件采用整机同品牌的电子膨胀阀，不接受热力膨胀阀和毛细管，提供详细零配件清单加盖公章和样本相关页面加盖公章。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6、须配置靶式流量开关，保障机组在安全水流量下运行，不可配置水压差开关。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7、机组压缩机部分需钣金密封，防止机组内部压缩机等零部件老化，并起到隔音作用。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8、机组采用独立制冷回路设计，模块组合时应实现多级容量调节。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9、单台模块机制冷量不小于67/99/130kW，制热量不得小于73/106/140KW，不允许负偏离。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10、在名义工况下，COP（制冷性能系数kW/kW）不小于3.33，提供CNAS国家认可实验室出具的检验报告复印件并加盖公章。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11、投标机型应通过CRAA认证和CQC节能认证，提供相关检测报告或认证证书并加盖公章。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12、除霜系统：分组除霜，不允许整机化霜，保证系统内运行除霜模式的系统数不超过总台数的一半。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13、运行范围：机组应确保在室外环境温度15℃～45℃时可正常运行制冷模式（全年制冷热泵型机组需在-15℃～45℃时可正常运行制冷模式）；在室外环境温度-15~25℃时可正常运行制热模式，机组能在-15℃稳定运行且制热量不小于额定制热量的60%，并提供-15℃以下环境温度的制热量检测报告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14、出水温度：制冷工况时，机组冷冻水出水温度范围为5～15℃；制热工况时，机组热水出水温度范围为35～50℃。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15、模块组合时，任何一台从机需要维护或维修时不影响其他机组的正常运行。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16、模块组合时，应具有分级启动功能。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17、模块组合时，可现场更改主/从机功能。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18、控制系统能记录每台压缩机的历史运行时间，优先启动运行时间最短的压缩机。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rPr>
      </w:pPr>
      <w:r>
        <w:rPr>
          <w:rFonts w:hint="eastAsia" w:ascii="宋体" w:hAnsi="宋体" w:cs="宋体"/>
          <w:color w:val="auto"/>
          <w:kern w:val="2"/>
        </w:rPr>
        <w:t>d19、机组可通过线控器设定制冷/制热的进/出水温度，可设置定时开关机，具有断电记忆、自检、故障报警及故障显示功能。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宋体" w:hAnsi="宋体" w:cs="宋体"/>
          <w:color w:val="auto"/>
          <w:kern w:val="2"/>
        </w:rPr>
        <w:t>20、热泵机组应具备保护功能及故障报警功能。</w:t>
      </w:r>
    </w:p>
    <w:p>
      <w:pPr>
        <w:widowControl w:val="0"/>
        <w:adjustRightInd w:val="0"/>
        <w:snapToGrid w:val="0"/>
        <w:spacing w:line="360" w:lineRule="auto"/>
        <w:rPr>
          <w:rFonts w:hint="eastAsia" w:ascii="宋体" w:hAnsi="宋体" w:cs="宋体"/>
          <w:b/>
          <w:color w:val="auto"/>
          <w:sz w:val="28"/>
          <w:szCs w:val="28"/>
        </w:rPr>
      </w:pPr>
      <w:r>
        <w:rPr>
          <w:rFonts w:hint="eastAsia" w:ascii="宋体" w:hAnsi="宋体" w:cs="宋体"/>
          <w:b/>
          <w:color w:val="auto"/>
          <w:sz w:val="28"/>
          <w:szCs w:val="28"/>
        </w:rPr>
        <w:t>自动控制系统部分：</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采用多功能控制器、温、湿度传感器，压差开关、风阀执行器、电动比例积分调节阀、变频器等对系统的风量及温湿度进行控制。</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净化空调控制系统的控制满足机房本地控制和手术室、护士办内远程控制的功能需求。</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每间手术室设远程室内控制面板可以实现以下的控制功能：</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⑴机组启、停；</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⑵值班运行/全风量运行转换；</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⑶温度的设定；</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⑷室内温、湿度的显示；</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⑸机组启、停指示；</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⑹机组值班状态指示；</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⑺机组运行指示；</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⑻机组故障指示；</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⑼高效过滤器堵塞报警指示，麻醉废气排放系统开/关及故障报警；</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⑽正负压转换控制及指示（仅正负压转换手术室有此要求）。</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⑾手术室照明开/关，无影灯开/关及亮度调节；</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⑿计时、免提对讲；</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⒀各种医用气体故障报警；</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机房控制柜内还应可以实现以下的控制功能：</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⑴机组启、停；</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⑵室内控制面板洁净空调部分实现的全部功能</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⑶风机运行频率显示；</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⑷中效过滤网堵塞报警、缺风保护报警、风机运行情况及过载报警、手术室排风机运行状态显示、加湿器运行状态和故障显示等；</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⑸手、自动风量调频切换，手动频率设定、半风量值班频率设定；</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⑹冷热水调节阀、加湿器和电加热器工作状态；</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⑺试灯和功能切换；</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⑻各种控制参数（室内温、湿度；变频器频率等）的设定和修改。</w:t>
      </w:r>
    </w:p>
    <w:p>
      <w:pPr>
        <w:widowControl w:val="0"/>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强电系统设计说明：</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采购人将双电源线分别引至各层(包括设备层)的双电源切换总配电箱内(甲供），其后所有的桥架、线管、电源线、照明、插座等敷设全部由中标人购置、安装（设备层的照明、插座配电除外）。</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中药制剂、检验科、供应室、ICU、手术部采用双电源供电，洁净室内用电应与辅房分开，其中每个手术室内干线单独敷设。</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手术室照明采用嵌入式洁净气密封照明灯带组成，禁用普通灯带代替，灯带布置在送风口之外，且每间手术室需另配照明应急电源。</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手术部设计平均照度在350LX以上，其余辅房及走廊平均照度在150LX以上，均设荧光灯具，配置电子镇流器，手术部洁净区照明由洁净气密型灯带组成。照明采用多点控制，以利节能。</w:t>
      </w:r>
    </w:p>
    <w:p>
      <w:pPr>
        <w:widowControl w:val="0"/>
        <w:snapToGrid w:val="0"/>
        <w:spacing w:line="360" w:lineRule="auto"/>
        <w:ind w:firstLine="480" w:firstLineChars="200"/>
        <w:rPr>
          <w:rFonts w:hint="eastAsia" w:ascii="宋体" w:hAnsi="宋体" w:cs="宋体"/>
          <w:color w:val="auto"/>
          <w:kern w:val="2"/>
        </w:rPr>
      </w:pPr>
      <w:r>
        <w:rPr>
          <w:rFonts w:hint="eastAsia" w:ascii="宋体" w:hAnsi="宋体" w:cs="宋体"/>
          <w:color w:val="auto"/>
          <w:kern w:val="2"/>
        </w:rPr>
        <w:t>洁净手术室的配电箱，设于非洁净区。每个洁净手术室设有一个独立专用配电箱，配电箱设在该手术室的外侧墙内，门开向手术室之外。</w:t>
      </w:r>
    </w:p>
    <w:p>
      <w:pPr>
        <w:widowControl w:val="0"/>
        <w:snapToGrid w:val="0"/>
        <w:spacing w:line="360" w:lineRule="auto"/>
        <w:ind w:firstLine="480" w:firstLineChars="200"/>
        <w:rPr>
          <w:rFonts w:hint="eastAsia" w:ascii="宋体" w:hAnsi="宋体" w:eastAsia="宋体" w:cs="宋体"/>
          <w:bCs/>
          <w:color w:val="auto"/>
        </w:rPr>
      </w:pPr>
      <w:r>
        <w:rPr>
          <w:rFonts w:hint="eastAsia" w:ascii="宋体" w:hAnsi="宋体" w:cs="宋体"/>
          <w:color w:val="auto"/>
          <w:kern w:val="2"/>
        </w:rPr>
        <w:t>洁净</w:t>
      </w:r>
      <w:r>
        <w:rPr>
          <w:rFonts w:hint="eastAsia" w:ascii="宋体" w:hAnsi="宋体" w:eastAsia="宋体" w:cs="宋体"/>
          <w:bCs/>
          <w:color w:val="auto"/>
        </w:rPr>
        <w:t>手术室内禁止设置无线通讯设备。洁净手术室设置安全保护接地系统和等电位接地系统。</w:t>
      </w:r>
    </w:p>
    <w:p>
      <w:pPr>
        <w:widowControl w:val="0"/>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洁净手术室前门外上方“手术中”红灯与洁净手术室无影灯实现联动控制。</w:t>
      </w:r>
    </w:p>
    <w:p>
      <w:pPr>
        <w:widowControl w:val="0"/>
        <w:snapToGrid w:val="0"/>
        <w:spacing w:line="360" w:lineRule="auto"/>
        <w:ind w:firstLine="482" w:firstLineChars="200"/>
        <w:rPr>
          <w:rFonts w:hint="eastAsia" w:ascii="宋体" w:hAnsi="宋体" w:eastAsia="宋体" w:cs="宋体"/>
          <w:b/>
          <w:bCs w:val="0"/>
          <w:color w:val="auto"/>
        </w:rPr>
      </w:pPr>
    </w:p>
    <w:p>
      <w:pPr>
        <w:widowControl w:val="0"/>
        <w:snapToGrid w:val="0"/>
        <w:spacing w:line="360" w:lineRule="auto"/>
        <w:ind w:firstLine="482" w:firstLineChars="200"/>
        <w:rPr>
          <w:rFonts w:hint="eastAsia" w:ascii="宋体" w:hAnsi="宋体" w:eastAsia="宋体" w:cs="宋体"/>
          <w:b/>
          <w:bCs w:val="0"/>
          <w:color w:val="auto"/>
        </w:rPr>
      </w:pPr>
      <w:r>
        <w:rPr>
          <w:rFonts w:hint="eastAsia" w:ascii="宋体" w:hAnsi="宋体" w:eastAsia="宋体" w:cs="宋体"/>
          <w:b/>
          <w:bCs w:val="0"/>
          <w:color w:val="auto"/>
        </w:rPr>
        <w:t>手术室、ICU及检验科等需设置UPS的地方设置UPS。</w:t>
      </w:r>
    </w:p>
    <w:p>
      <w:pPr>
        <w:widowControl w:val="0"/>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手术室配套UPS要求如下：</w:t>
      </w:r>
    </w:p>
    <w:p>
      <w:pPr>
        <w:widowControl w:val="0"/>
        <w:snapToGrid w:val="0"/>
        <w:spacing w:line="360" w:lineRule="auto"/>
        <w:ind w:firstLine="480" w:firstLineChars="200"/>
        <w:rPr>
          <w:rFonts w:hint="eastAsia" w:ascii="宋体" w:hAnsi="宋体" w:eastAsia="宋体" w:cs="宋体"/>
          <w:bCs/>
          <w:color w:val="auto"/>
          <w:lang w:val="zh-CN"/>
        </w:rPr>
      </w:pPr>
      <w:r>
        <w:rPr>
          <w:rFonts w:hint="eastAsia" w:ascii="宋体" w:hAnsi="宋体" w:eastAsia="宋体" w:cs="宋体"/>
          <w:bCs/>
          <w:color w:val="auto"/>
          <w:lang w:val="zh-CN"/>
        </w:rPr>
        <w:t>220V输入，220V输出；</w:t>
      </w:r>
    </w:p>
    <w:p>
      <w:pPr>
        <w:widowControl w:val="0"/>
        <w:snapToGrid w:val="0"/>
        <w:spacing w:line="360" w:lineRule="auto"/>
        <w:ind w:firstLine="480" w:firstLineChars="200"/>
        <w:rPr>
          <w:rFonts w:hint="eastAsia" w:ascii="宋体" w:hAnsi="宋体" w:eastAsia="宋体" w:cs="宋体"/>
          <w:bCs/>
          <w:color w:val="auto"/>
          <w:lang w:val="zh-CN"/>
        </w:rPr>
      </w:pPr>
      <w:r>
        <w:rPr>
          <w:rFonts w:hint="eastAsia" w:ascii="宋体" w:hAnsi="宋体" w:eastAsia="宋体" w:cs="宋体"/>
          <w:bCs/>
          <w:color w:val="auto"/>
          <w:lang w:val="zh-CN"/>
        </w:rPr>
        <w:t>从两侧进冷风,上部排风散热;</w:t>
      </w:r>
    </w:p>
    <w:p>
      <w:pPr>
        <w:widowControl w:val="0"/>
        <w:snapToGrid w:val="0"/>
        <w:spacing w:line="360" w:lineRule="auto"/>
        <w:ind w:firstLine="480" w:firstLineChars="200"/>
        <w:rPr>
          <w:rFonts w:hint="eastAsia" w:ascii="宋体" w:hAnsi="宋体" w:eastAsia="宋体" w:cs="宋体"/>
          <w:color w:val="auto"/>
          <w:kern w:val="2"/>
          <w:lang w:val="zh-CN"/>
        </w:rPr>
      </w:pPr>
      <w:r>
        <w:rPr>
          <w:rFonts w:hint="eastAsia" w:ascii="宋体" w:hAnsi="宋体" w:eastAsia="宋体" w:cs="宋体"/>
          <w:bCs/>
          <w:color w:val="auto"/>
          <w:lang w:val="zh-CN"/>
        </w:rPr>
        <w:t>内置隔离变压器工频主机,16只26AH免维护</w:t>
      </w:r>
      <w:r>
        <w:rPr>
          <w:rFonts w:hint="eastAsia" w:ascii="宋体" w:hAnsi="宋体" w:eastAsia="宋体" w:cs="宋体"/>
          <w:color w:val="auto"/>
          <w:kern w:val="2"/>
          <w:lang w:val="zh-CN"/>
        </w:rPr>
        <w:t>电池；</w:t>
      </w:r>
    </w:p>
    <w:p>
      <w:pPr>
        <w:widowControl w:val="0"/>
        <w:snapToGrid w:val="0"/>
        <w:spacing w:line="360" w:lineRule="auto"/>
        <w:ind w:firstLine="480" w:firstLineChars="200"/>
        <w:rPr>
          <w:rFonts w:hint="eastAsia" w:ascii="宋体" w:hAnsi="宋体" w:eastAsia="宋体" w:cs="宋体"/>
          <w:color w:val="auto"/>
          <w:kern w:val="2"/>
          <w:lang w:val="zh-CN"/>
        </w:rPr>
      </w:pPr>
      <w:r>
        <w:rPr>
          <w:rFonts w:hint="eastAsia" w:ascii="宋体" w:hAnsi="宋体" w:eastAsia="宋体" w:cs="宋体"/>
          <w:color w:val="auto"/>
          <w:kern w:val="2"/>
          <w:lang w:val="zh-CN"/>
        </w:rPr>
        <w:t>3</w:t>
      </w:r>
      <w:r>
        <w:rPr>
          <w:rFonts w:hint="eastAsia" w:ascii="宋体" w:hAnsi="宋体" w:eastAsia="宋体" w:cs="宋体"/>
          <w:color w:val="auto"/>
          <w:kern w:val="2"/>
        </w:rPr>
        <w:t>6</w:t>
      </w:r>
      <w:r>
        <w:rPr>
          <w:rFonts w:hint="eastAsia" w:ascii="宋体" w:hAnsi="宋体" w:eastAsia="宋体" w:cs="宋体"/>
          <w:color w:val="auto"/>
          <w:kern w:val="2"/>
          <w:lang w:val="zh-CN"/>
        </w:rPr>
        <w:t>个月原厂免费上门服务承诺书；</w:t>
      </w:r>
    </w:p>
    <w:p>
      <w:pPr>
        <w:widowControl w:val="0"/>
        <w:snapToGrid w:val="0"/>
        <w:spacing w:line="360" w:lineRule="auto"/>
        <w:ind w:firstLine="480" w:firstLineChars="200"/>
        <w:rPr>
          <w:rFonts w:hint="eastAsia" w:ascii="宋体" w:hAnsi="宋体" w:eastAsia="宋体" w:cs="宋体"/>
          <w:color w:val="auto"/>
          <w:kern w:val="2"/>
          <w:lang w:val="zh-CN"/>
        </w:rPr>
      </w:pPr>
      <w:r>
        <w:rPr>
          <w:rFonts w:hint="eastAsia" w:ascii="宋体" w:hAnsi="宋体" w:eastAsia="宋体" w:cs="宋体"/>
          <w:color w:val="auto"/>
          <w:kern w:val="2"/>
          <w:lang w:val="zh-CN"/>
        </w:rPr>
        <w:t>主机和电池同一品牌；</w:t>
      </w:r>
    </w:p>
    <w:p>
      <w:pPr>
        <w:widowControl w:val="0"/>
        <w:snapToGrid w:val="0"/>
        <w:spacing w:line="360" w:lineRule="auto"/>
        <w:ind w:firstLine="480" w:firstLineChars="200"/>
        <w:rPr>
          <w:rFonts w:hint="eastAsia" w:ascii="宋体" w:hAnsi="宋体" w:eastAsia="宋体" w:cs="宋体"/>
          <w:color w:val="auto"/>
          <w:kern w:val="2"/>
        </w:rPr>
      </w:pPr>
      <w:r>
        <w:rPr>
          <w:rFonts w:hint="eastAsia" w:ascii="宋体" w:hAnsi="宋体" w:eastAsia="宋体" w:cs="宋体"/>
          <w:color w:val="auto"/>
          <w:kern w:val="2"/>
        </w:rPr>
        <w:t>ICU 等大容量配套UPS要求如下：</w:t>
      </w:r>
    </w:p>
    <w:p>
      <w:pPr>
        <w:widowControl w:val="0"/>
        <w:snapToGrid w:val="0"/>
        <w:spacing w:line="360" w:lineRule="auto"/>
        <w:ind w:firstLine="480" w:firstLineChars="200"/>
        <w:rPr>
          <w:rFonts w:hint="eastAsia" w:ascii="宋体" w:hAnsi="宋体" w:eastAsia="宋体" w:cs="宋体"/>
          <w:color w:val="auto"/>
          <w:kern w:val="2"/>
          <w:lang w:val="zh-CN"/>
        </w:rPr>
      </w:pPr>
      <w:r>
        <w:rPr>
          <w:rFonts w:hint="eastAsia" w:ascii="宋体" w:hAnsi="宋体" w:eastAsia="宋体" w:cs="宋体"/>
          <w:color w:val="auto"/>
          <w:kern w:val="2"/>
          <w:lang w:val="zh-CN"/>
        </w:rPr>
        <w:t>380V输入，380V输出；</w:t>
      </w:r>
    </w:p>
    <w:p>
      <w:pPr>
        <w:widowControl w:val="0"/>
        <w:snapToGrid w:val="0"/>
        <w:spacing w:line="360" w:lineRule="auto"/>
        <w:ind w:firstLine="480" w:firstLineChars="200"/>
        <w:rPr>
          <w:rFonts w:hint="eastAsia" w:ascii="宋体" w:hAnsi="宋体" w:eastAsia="宋体" w:cs="宋体"/>
          <w:color w:val="auto"/>
          <w:kern w:val="2"/>
        </w:rPr>
      </w:pPr>
      <w:r>
        <w:rPr>
          <w:rFonts w:hint="eastAsia" w:ascii="宋体" w:hAnsi="宋体" w:eastAsia="宋体" w:cs="宋体"/>
          <w:color w:val="auto"/>
          <w:kern w:val="2"/>
        </w:rPr>
        <w:t>后备延时30分钟满载；</w:t>
      </w:r>
    </w:p>
    <w:p>
      <w:pPr>
        <w:widowControl w:val="0"/>
        <w:snapToGrid w:val="0"/>
        <w:spacing w:line="360" w:lineRule="auto"/>
        <w:ind w:firstLine="480" w:firstLineChars="200"/>
        <w:rPr>
          <w:rFonts w:hint="eastAsia" w:ascii="宋体" w:hAnsi="宋体" w:eastAsia="宋体" w:cs="宋体"/>
          <w:color w:val="auto"/>
          <w:kern w:val="2"/>
          <w:lang w:val="zh-CN"/>
        </w:rPr>
      </w:pPr>
      <w:r>
        <w:rPr>
          <w:rFonts w:hint="eastAsia" w:ascii="宋体" w:hAnsi="宋体" w:eastAsia="宋体" w:cs="宋体"/>
          <w:color w:val="auto"/>
          <w:kern w:val="2"/>
          <w:lang w:val="zh-CN"/>
        </w:rPr>
        <w:t>3</w:t>
      </w:r>
      <w:r>
        <w:rPr>
          <w:rFonts w:hint="eastAsia" w:ascii="宋体" w:hAnsi="宋体" w:eastAsia="宋体" w:cs="宋体"/>
          <w:color w:val="auto"/>
          <w:kern w:val="2"/>
        </w:rPr>
        <w:t>6</w:t>
      </w:r>
      <w:r>
        <w:rPr>
          <w:rFonts w:hint="eastAsia" w:ascii="宋体" w:hAnsi="宋体" w:eastAsia="宋体" w:cs="宋体"/>
          <w:color w:val="auto"/>
          <w:kern w:val="2"/>
          <w:lang w:val="zh-CN"/>
        </w:rPr>
        <w:t>个月原厂免费上门服务承诺书；</w:t>
      </w:r>
    </w:p>
    <w:p>
      <w:pPr>
        <w:widowControl w:val="0"/>
        <w:snapToGrid w:val="0"/>
        <w:spacing w:line="360" w:lineRule="auto"/>
        <w:ind w:firstLine="480" w:firstLineChars="200"/>
        <w:rPr>
          <w:rFonts w:hint="eastAsia" w:ascii="宋体" w:hAnsi="宋体" w:eastAsia="宋体" w:cs="宋体"/>
          <w:color w:val="auto"/>
          <w:kern w:val="2"/>
          <w:lang w:val="zh-CN"/>
        </w:rPr>
      </w:pPr>
      <w:r>
        <w:rPr>
          <w:rFonts w:hint="eastAsia" w:ascii="宋体" w:hAnsi="宋体" w:eastAsia="宋体" w:cs="宋体"/>
          <w:color w:val="auto"/>
          <w:kern w:val="2"/>
          <w:lang w:val="zh-CN"/>
        </w:rPr>
        <w:t>主机和电池同一品牌；</w:t>
      </w:r>
    </w:p>
    <w:p>
      <w:pPr>
        <w:widowControl w:val="0"/>
        <w:snapToGrid w:val="0"/>
        <w:spacing w:line="360" w:lineRule="auto"/>
        <w:ind w:firstLine="480" w:firstLineChars="200"/>
        <w:rPr>
          <w:rFonts w:hint="eastAsia" w:ascii="宋体" w:hAnsi="宋体" w:eastAsia="宋体" w:cs="宋体"/>
          <w:color w:val="auto"/>
          <w:kern w:val="2"/>
        </w:rPr>
      </w:pPr>
      <w:r>
        <w:rPr>
          <w:rFonts w:hint="eastAsia" w:ascii="宋体" w:hAnsi="宋体" w:eastAsia="宋体" w:cs="宋体"/>
          <w:color w:val="auto"/>
          <w:kern w:val="2"/>
        </w:rPr>
        <w:t>具体容量、后备时间以图纸要求为准。</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隔离电源</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1、隔离电源整柜必须经过中国质量认证中心认证，产品须符合中国质量认证中心CQC11-462176-2018认证规则要求（提供证书）</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2.产品要求符合以下标准</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GB/T 19212.16-2017 变压器、电抗器、电源装置及其组合的安全 第16部分：医疗场所供电用隔离变压器的特殊要求和试验。（提供检测报告）</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 xml:space="preserve">IEC 60364-7-710： (建筑物电气装置第7-710部分特殊装置或场所的要求医疗场所) </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3、IT隔离变压器符合以下参数</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容量 3.15KVA-10KVA</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频率 50/60HZ</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额定输入电压 220V</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额定输出电压 220V</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空载输出电压 ＜230V</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温度监测 内置温度传感器</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连接方式 独立接线端子</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绝缘电阻 ≥7MΩ</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介电强度 施加电压：1773V</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施压时间：60S</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无击穿闪络</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漏电流 变压器一次侧输入额定电压，二次侧开路，测量二次侧端子对地漏电流不大于0.5mA（</w:t>
      </w:r>
      <w:r>
        <w:rPr>
          <w:rFonts w:hint="eastAsia" w:ascii="宋体" w:hAnsi="宋体" w:eastAsia="宋体" w:cs="宋体"/>
          <w:bCs/>
          <w:color w:val="auto"/>
        </w:rPr>
        <w:t>提供</w:t>
      </w:r>
      <w:r>
        <w:rPr>
          <w:rFonts w:ascii="宋体" w:hAnsi="宋体" w:eastAsia="宋体" w:cs="宋体"/>
          <w:bCs/>
          <w:color w:val="auto"/>
        </w:rPr>
        <w:t>检测报告）</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4、绝缘监测仪</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 xml:space="preserve">绝缘监视仪需提供中文电磁兼容检验证书              </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符合GB/T 7261-2016继电保护和安全自动装置试验方法</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提供医疗IT系统绝缘监视仪安全性检验证书并符合以下标准</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a、GB/T 3482-2008电子设备雷击试验</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b、GB/T5080.5-1985设备可靠性试验</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c、GB/T 12993-1991 电子设备热性能评论</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d、GB/T 6993-1986系统和设备研制程序</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e、GB/T 5080.7-1986 设备恒定失效率与无故障时间验证方案</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5 远程报警显示仪应符合下列要求</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1） 用于对IT隔离供电系统的远程监测和报警</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2） QMS高速率通讯协议支持</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3）出厂预设数据，常规应用无须更改</w:t>
      </w:r>
    </w:p>
    <w:p>
      <w:pPr>
        <w:pStyle w:val="40"/>
        <w:spacing w:line="360" w:lineRule="auto"/>
        <w:ind w:firstLine="480" w:firstLineChars="200"/>
        <w:rPr>
          <w:rFonts w:ascii="宋体" w:hAnsi="宋体" w:eastAsia="宋体" w:cs="宋体"/>
          <w:bCs/>
          <w:color w:val="auto"/>
        </w:rPr>
      </w:pPr>
      <w:r>
        <w:rPr>
          <w:rFonts w:ascii="宋体" w:hAnsi="宋体" w:eastAsia="宋体" w:cs="宋体"/>
          <w:bCs/>
          <w:color w:val="auto"/>
        </w:rPr>
        <w:t>4）外接报警显示仪为：彩色液晶触摸屏显示并具有设置、查询故障与日期等功能（提供产品实物照片）</w:t>
      </w:r>
    </w:p>
    <w:p>
      <w:pPr>
        <w:widowControl w:val="0"/>
        <w:adjustRightInd w:val="0"/>
        <w:snapToGrid w:val="0"/>
        <w:spacing w:line="360" w:lineRule="auto"/>
        <w:rPr>
          <w:rFonts w:hint="eastAsia" w:ascii="宋体" w:hAnsi="宋体" w:cs="宋体"/>
          <w:b/>
          <w:color w:val="auto"/>
          <w:sz w:val="28"/>
          <w:szCs w:val="28"/>
        </w:rPr>
      </w:pPr>
      <w:r>
        <w:rPr>
          <w:rFonts w:hint="eastAsia" w:ascii="宋体" w:hAnsi="宋体" w:cs="宋体"/>
          <w:b/>
          <w:color w:val="auto"/>
          <w:sz w:val="28"/>
          <w:szCs w:val="28"/>
        </w:rPr>
        <w:t>给排水系统说明：</w:t>
      </w:r>
    </w:p>
    <w:p>
      <w:pPr>
        <w:widowControl w:val="0"/>
        <w:adjustRightInd w:val="0"/>
        <w:snapToGrid w:val="0"/>
        <w:spacing w:line="360" w:lineRule="auto"/>
        <w:ind w:firstLine="480" w:firstLineChars="200"/>
        <w:rPr>
          <w:rFonts w:hint="eastAsia" w:ascii="宋体" w:hAnsi="宋体" w:cs="宋体"/>
          <w:bCs/>
          <w:color w:val="auto"/>
        </w:rPr>
      </w:pPr>
      <w:r>
        <w:rPr>
          <w:rFonts w:hint="eastAsia" w:ascii="宋体" w:hAnsi="宋体" w:cs="宋体"/>
          <w:bCs/>
          <w:color w:val="auto"/>
        </w:rPr>
        <w:t>本次施工范围内的给排水部分含专用感应刷手池，采用1.2mm厚优质不锈钢磨砂板制作，内弧形设计令水花不易飞溅，采用优质红外线感应供水龙头，设置挡水板、自动给皂液器、独立镜灯等。</w:t>
      </w:r>
    </w:p>
    <w:p>
      <w:pPr>
        <w:widowControl w:val="0"/>
        <w:adjustRightInd w:val="0"/>
        <w:snapToGrid w:val="0"/>
        <w:spacing w:line="360" w:lineRule="auto"/>
        <w:ind w:firstLine="480" w:firstLineChars="200"/>
        <w:rPr>
          <w:rFonts w:hint="eastAsia" w:ascii="宋体" w:hAnsi="宋体" w:cs="宋体"/>
          <w:bCs/>
          <w:color w:val="auto"/>
        </w:rPr>
      </w:pPr>
      <w:r>
        <w:rPr>
          <w:rFonts w:hint="eastAsia" w:ascii="宋体" w:hAnsi="宋体" w:cs="宋体"/>
          <w:bCs/>
          <w:color w:val="auto"/>
        </w:rPr>
        <w:t>本次施工范围内的给排水管路、阀门、卫生洁具等附属配件均包含在本次设计施工范围内。给水管接至大楼预留主管，排水管接至就近立管。给水管采用不锈钢管，排水管采用铸铁管。</w:t>
      </w:r>
    </w:p>
    <w:p>
      <w:pPr>
        <w:widowControl w:val="0"/>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其它部分： </w:t>
      </w:r>
    </w:p>
    <w:p>
      <w:pPr>
        <w:widowControl w:val="0"/>
        <w:adjustRightInd w:val="0"/>
        <w:snapToGrid w:val="0"/>
        <w:spacing w:line="360" w:lineRule="auto"/>
        <w:ind w:firstLine="480" w:firstLineChars="200"/>
        <w:rPr>
          <w:rFonts w:hint="eastAsia" w:ascii="宋体" w:hAnsi="宋体" w:cs="宋体"/>
          <w:bCs/>
          <w:color w:val="auto"/>
        </w:rPr>
      </w:pPr>
      <w:r>
        <w:rPr>
          <w:rFonts w:hint="eastAsia" w:ascii="宋体" w:hAnsi="宋体" w:cs="宋体"/>
          <w:bCs/>
          <w:color w:val="auto"/>
        </w:rPr>
        <w:t>1、本方案不包括</w:t>
      </w:r>
      <w:r>
        <w:rPr>
          <w:rFonts w:hint="eastAsia" w:ascii="宋体" w:hAnsi="宋体" w:cs="宋体"/>
          <w:color w:val="auto"/>
        </w:rPr>
        <w:t xml:space="preserve">外围结构、土建外窗、电梯厅、楼梯间、各种管井、原墙面拆除、地面拆除、砌土建隔墙、外墙、外窗装饰，风道系统的开孔、加固及表面复原，修筑空调机房及机组所用的地台、消防系统、弱电系统、应急疏散灯、无影灯、手术床、吊塔、器械柜、药品柜、脉动真空灭菌器、全自动清洗消毒机、低温等离子灭菌器、干燥柜、纯水机、中心供应室、空气压缩机、部分门等除外 </w:t>
      </w:r>
      <w:r>
        <w:rPr>
          <w:rFonts w:hint="eastAsia" w:ascii="宋体" w:hAnsi="宋体" w:cs="宋体"/>
          <w:bCs/>
          <w:color w:val="auto"/>
        </w:rPr>
        <w:t>。</w:t>
      </w:r>
    </w:p>
    <w:p>
      <w:pPr>
        <w:widowControl w:val="0"/>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特别说明：</w:t>
      </w:r>
    </w:p>
    <w:p>
      <w:pPr>
        <w:widowControl w:val="0"/>
        <w:adjustRightInd w:val="0"/>
        <w:snapToGrid w:val="0"/>
        <w:spacing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rPr>
        <w:t>以上所有系统均按照设计图纸供应设备及施工。</w:t>
      </w:r>
    </w:p>
    <w:p>
      <w:pPr>
        <w:spacing w:line="360" w:lineRule="auto"/>
        <w:rPr>
          <w:rFonts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三</w:t>
      </w:r>
      <w:r>
        <w:rPr>
          <w:rFonts w:hint="eastAsia" w:ascii="Times New Roman" w:hAnsi="Times New Roman" w:eastAsia="宋体" w:cs="Times New Roman"/>
          <w:b/>
          <w:bCs/>
          <w:color w:val="auto"/>
        </w:rPr>
        <w:t>、</w:t>
      </w:r>
      <w:r>
        <w:rPr>
          <w:rFonts w:ascii="Times New Roman" w:hAnsi="Times New Roman" w:eastAsia="宋体" w:cs="Times New Roman"/>
          <w:b/>
          <w:bCs/>
          <w:color w:val="auto"/>
        </w:rPr>
        <w:t>质量、售后服务要求</w:t>
      </w:r>
    </w:p>
    <w:bookmarkEnd w:id="48"/>
    <w:p>
      <w:pPr>
        <w:widowControl w:val="0"/>
        <w:adjustRightInd w:val="0"/>
        <w:snapToGrid w:val="0"/>
        <w:spacing w:line="360" w:lineRule="auto"/>
        <w:ind w:firstLine="480" w:firstLineChars="200"/>
        <w:rPr>
          <w:rFonts w:hint="eastAsia" w:ascii="宋体" w:hAnsi="宋体" w:eastAsia="宋体" w:cs="宋体"/>
          <w:color w:val="auto"/>
        </w:rPr>
      </w:pPr>
      <w:bookmarkStart w:id="112" w:name="_Hlk93996520"/>
      <w:r>
        <w:rPr>
          <w:rFonts w:hint="eastAsia" w:ascii="宋体" w:hAnsi="宋体" w:eastAsia="宋体" w:cs="宋体"/>
          <w:color w:val="auto"/>
        </w:rPr>
        <w:t>（一）设备要求</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投标人提供的设备必须是全新的原装优质产品（包括所有零部件、元器件、附件、备件），符合相应的国家标准，并提供相关产品的产品合格证、产品说明书和安装说明等资料，投标人所提供的产品在安装调试完成后，并试运行一次，达到相关功能要求。</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2.投标人应列出详细的产品配置清单（包括各主要零部件的厂家或品牌、型号和规格、数量等），作为技术评价依据之一。</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（二）施工规范要求</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1.投标人投入本项目的材料、设备、施工作业必须符合现行国家、行业及项目所在地地方标准、规范的要求、对于同一类标准、规范应以最新版本或最新颁发者为准。</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国家、行业及工程所在地地方标准、规范存在不一致时，约定选用的标准、规范名称：如果项目所在地地方标准、规范低于国家、行业标准的，则按国家、行业标准执行；如果项目所在地地方标准、规范高于国家、行业标准的，则按项目所在地地方标准、规范执行；如果项目所在地地方标准、规范与国家、行业的标准出现矛盾或歧义的，在满足国家、行业标准的基础上按合同约定的标准、规范执行。</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（三）施工要求</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1.中标人须严格按照国家标准规范要求进行施工。</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2.中标人须严格按照招标文件、投标文件及行业规范进行施工，并无条件地接受采购人全方位、全过程的监督管理。</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3.所有材料设备必须在检验合格经采购人同意后，方可用于本项目。</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4.隐蔽工程必须经采购人检查、验收后，方可进行下一道工序。</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5.在质保期内，中标人对有缺陷的部位必须无偿地给予修理与更换，并承担一切由此引起的对采购人或第三者的直接损失，除非该缺陷是由于人为破坏或合同规定的不可抗因素造成的损坏。</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6.中标人必须对项目施工质量负全部责任，其责任不因其他材料生产商提供的保证书而减轻或更改。</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（四）工期和质保期要求</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1.项目实施地点：金华市金东区多湖街道二环东路以东、环城南路延伸段以南。</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2.交货及完工时间：中标人在合同签订后150天内供货并安装调试完毕（注：具体以配合项目总包工程进度计划为准），同时提交完整的技术资料向采购人申请验收。</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3.质保期：所有设备质保期不少于3年。质保期从安装调试完毕、最终验收合格之日开始计算。除非采购人另有要求，质保期内的服务均为免费上门服务。</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响应时间：在质保期限内，接到用户报修电话通知后，应在4小时内上门服务，并在12小时内修复。出现故障后，中标人如未按上述要求进行响应，采购人可以采取必要的补救措施，由此产生的风险和费用全部由中标人承担。</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（五）验收要求</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1.验收时间：中标人在设备送达指定地点并安装调试完毕后，书面通知采购人报验。</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2.验收方式： </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（1）采购人对中标人提交的货物依据招标文件上的技术规格要求和国家有关质量标准进行现场初步验收，外观、说明书符合招标文件技术要求的，给予签收，初步验收不合格的不予签收。</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初步验收完成后，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（3）采购人可以邀请参加本项目的其他投标人或者第三方机构参与验收。参与验收的投标人或者第三方机构的意见作为验收书的参考资料一并存档。</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验收合格的项目，采购人将根据采购合同的约定及时向供应商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（6）验收时中标人必须在现场，验收过程中相关检测费用（如有）由中标人负责。</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（7）采购人原则上应当在履约验收之日起2个工作日内，将履约验收结果在浙江政府采购网上公告。</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（六）包装及运输要求</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投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2.由投标人将设备直接免费送至采购人指定的位置。如在运输、搬运、安装过程中造成设备损坏，采购人有权不签收并由中标人承担相应经济损失。</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（七）资料要求：提供全套使用说明书。</w:t>
      </w:r>
    </w:p>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八）技术服务：要求中标设备随机资料需齐全，备品备件齐全有效。中标人需提供对使用部门的操作人员进行集中使用培训或委派专业工程师上门不少于一天的专门培训，培训人次不少于1人。如额外增加培训名额或进行厂家培训的，需在商务技术标书中予以明确承诺。</w:t>
      </w:r>
    </w:p>
    <w:bookmarkEnd w:id="112"/>
    <w:p>
      <w:pPr>
        <w:spacing w:line="360" w:lineRule="auto"/>
        <w:rPr>
          <w:b/>
          <w:bCs/>
          <w:color w:val="auto"/>
        </w:rPr>
      </w:pPr>
      <w:r>
        <w:rPr>
          <w:rFonts w:hint="eastAsia"/>
          <w:b/>
          <w:bCs/>
          <w:color w:val="auto"/>
          <w:lang w:val="en-US" w:eastAsia="zh-CN"/>
        </w:rPr>
        <w:t>四</w:t>
      </w:r>
      <w:r>
        <w:rPr>
          <w:b/>
          <w:bCs/>
          <w:color w:val="auto"/>
        </w:rPr>
        <w:t>、付款方式</w:t>
      </w:r>
    </w:p>
    <w:bookmarkEnd w:id="45"/>
    <w:p>
      <w:pPr>
        <w:widowControl w:val="0"/>
        <w:adjustRightInd w:val="0"/>
        <w:snapToGrid w:val="0"/>
        <w:spacing w:line="360" w:lineRule="auto"/>
        <w:ind w:firstLine="480" w:firstLineChars="200"/>
        <w:rPr>
          <w:rFonts w:hint="eastAsia" w:ascii="宋体" w:hAnsi="宋体" w:eastAsia="宋体" w:cs="宋体"/>
          <w:color w:val="auto"/>
        </w:rPr>
      </w:pPr>
      <w:bookmarkStart w:id="113" w:name="_Toc39239706"/>
      <w:r>
        <w:rPr>
          <w:rFonts w:hint="eastAsia" w:ascii="宋体" w:hAnsi="宋体" w:eastAsia="宋体" w:cs="宋体"/>
          <w:color w:val="auto"/>
        </w:rPr>
        <w:t>（一）</w:t>
      </w:r>
      <w:bookmarkStart w:id="114" w:name="_Hlk110266047"/>
      <w:r>
        <w:rPr>
          <w:rFonts w:hint="eastAsia" w:ascii="宋体" w:hAnsi="宋体" w:eastAsia="宋体" w:cs="宋体"/>
          <w:color w:val="auto"/>
        </w:rPr>
        <w:t>合同生效以及具备实施条件后七个工作日内，采购人向中标人支付40%的合同预付款（采购人根据项目特点、投标人诚信等因素，可要求投标人提供预付款保函。签订合同时，中标供应商是大型企业的或中标人明确表示无需预付款或者主动要求降低预付款比例的，可不适用此条款）。</w:t>
      </w:r>
    </w:p>
    <w:bookmarkEnd w:id="114"/>
    <w:p>
      <w:pPr>
        <w:widowControl w:val="0"/>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（二）现场货物交货安装至90%时，采购人向中标人支付至合同价款的80%。</w:t>
      </w:r>
    </w:p>
    <w:p>
      <w:pPr>
        <w:widowControl w:val="0"/>
        <w:adjustRightInd w:val="0"/>
        <w:snapToGrid w:val="0"/>
        <w:spacing w:line="360" w:lineRule="auto"/>
        <w:ind w:firstLine="480" w:firstLineChars="200"/>
        <w:rPr>
          <w:rFonts w:hint="eastAsia" w:ascii="宋体" w:hAnsi="宋体" w:eastAsia="宋体" w:cs="宋体"/>
          <w:color w:val="auto"/>
        </w:rPr>
        <w:sectPr>
          <w:pgSz w:w="11906" w:h="16838"/>
          <w:pgMar w:top="1258" w:right="1286" w:bottom="1361" w:left="1620" w:header="709" w:footer="971" w:gutter="0"/>
          <w:cols w:space="720" w:num="1"/>
          <w:docGrid w:linePitch="360" w:charSpace="0"/>
        </w:sectPr>
      </w:pPr>
      <w:r>
        <w:rPr>
          <w:rFonts w:hint="eastAsia" w:ascii="宋体" w:hAnsi="宋体" w:eastAsia="宋体" w:cs="宋体"/>
          <w:color w:val="auto"/>
        </w:rPr>
        <w:t>（三）在所有货物交货安装完毕，经采购人验收合格后七个工作日内，采购人一次性支付至合同金额的100%。中标人应随付款进度提供正式税务发票。</w:t>
      </w:r>
    </w:p>
    <w:p>
      <w:pPr>
        <w:pStyle w:val="2"/>
        <w:spacing w:before="120" w:after="240" w:line="240" w:lineRule="auto"/>
        <w:jc w:val="center"/>
        <w:rPr>
          <w:rFonts w:ascii="宋体" w:hAnsi="宋体"/>
          <w:color w:val="auto"/>
        </w:rPr>
      </w:pPr>
      <w:bookmarkStart w:id="115" w:name="_Toc93668162"/>
      <w:r>
        <w:rPr>
          <w:rFonts w:ascii="宋体" w:hAnsi="宋体"/>
          <w:color w:val="auto"/>
        </w:rPr>
        <w:t>第四章  投标人须知</w:t>
      </w:r>
      <w:bookmarkEnd w:id="113"/>
      <w:bookmarkEnd w:id="115"/>
    </w:p>
    <w:p>
      <w:pPr>
        <w:pStyle w:val="25"/>
        <w:widowControl w:val="0"/>
        <w:adjustRightInd w:val="0"/>
        <w:snapToGrid w:val="0"/>
        <w:spacing w:before="0" w:beforeAutospacing="0" w:after="0" w:afterAutospacing="0" w:line="360" w:lineRule="auto"/>
        <w:ind w:firstLine="540" w:firstLineChars="224"/>
        <w:jc w:val="both"/>
        <w:rPr>
          <w:rFonts w:ascii="Times New Roman" w:hAnsi="Times New Roman"/>
          <w:b/>
          <w:bCs/>
          <w:color w:val="auto"/>
        </w:rPr>
      </w:pPr>
      <w:bookmarkStart w:id="116" w:name="_Toc198712702"/>
      <w:r>
        <w:rPr>
          <w:rFonts w:ascii="Times New Roman" w:hAnsi="Times New Roman"/>
          <w:b/>
          <w:bCs/>
          <w:color w:val="auto"/>
        </w:rPr>
        <w:t>一、总则</w:t>
      </w:r>
    </w:p>
    <w:p>
      <w:pPr>
        <w:widowControl w:val="0"/>
        <w:adjustRightInd w:val="0"/>
        <w:snapToGrid w:val="0"/>
        <w:spacing w:line="360" w:lineRule="auto"/>
        <w:ind w:firstLine="537" w:firstLineChars="224"/>
        <w:rPr>
          <w:color w:val="auto"/>
        </w:rPr>
      </w:pPr>
      <w:r>
        <w:rPr>
          <w:color w:val="auto"/>
        </w:rPr>
        <w:t>（一）适用范围</w:t>
      </w:r>
    </w:p>
    <w:p>
      <w:pPr>
        <w:widowControl w:val="0"/>
        <w:adjustRightInd w:val="0"/>
        <w:snapToGrid w:val="0"/>
        <w:spacing w:line="360" w:lineRule="auto"/>
        <w:ind w:firstLine="537" w:firstLineChars="224"/>
        <w:rPr>
          <w:color w:val="auto"/>
        </w:rPr>
      </w:pPr>
      <w:r>
        <w:rPr>
          <w:color w:val="auto"/>
        </w:rPr>
        <w:t>本招标文件适用于该项目的招标、投标、开标、资格审查及信用信息查询、评标、定标、合同、验收等行为（法律、法规另有规定的，从其规定）。</w:t>
      </w:r>
    </w:p>
    <w:p>
      <w:pPr>
        <w:widowControl w:val="0"/>
        <w:adjustRightInd w:val="0"/>
        <w:snapToGrid w:val="0"/>
        <w:spacing w:line="360" w:lineRule="auto"/>
        <w:ind w:firstLine="537" w:firstLineChars="224"/>
        <w:rPr>
          <w:color w:val="auto"/>
        </w:rPr>
      </w:pPr>
      <w:r>
        <w:rPr>
          <w:color w:val="auto"/>
        </w:rPr>
        <w:t>（二）定义</w:t>
      </w:r>
    </w:p>
    <w:p>
      <w:pPr>
        <w:widowControl w:val="0"/>
        <w:adjustRightInd w:val="0"/>
        <w:snapToGrid w:val="0"/>
        <w:spacing w:line="360" w:lineRule="auto"/>
        <w:ind w:firstLine="537" w:firstLineChars="224"/>
        <w:rPr>
          <w:color w:val="auto"/>
        </w:rPr>
      </w:pPr>
      <w:r>
        <w:rPr>
          <w:color w:val="auto"/>
        </w:rPr>
        <w:t>1.“采购人”系指</w:t>
      </w:r>
      <w:r>
        <w:rPr>
          <w:rFonts w:hint="eastAsia"/>
          <w:color w:val="auto"/>
        </w:rPr>
        <w:t>金华市金东区中医院</w:t>
      </w:r>
      <w:r>
        <w:rPr>
          <w:color w:val="auto"/>
        </w:rPr>
        <w:t>。</w:t>
      </w:r>
    </w:p>
    <w:p>
      <w:pPr>
        <w:widowControl w:val="0"/>
        <w:adjustRightInd w:val="0"/>
        <w:snapToGrid w:val="0"/>
        <w:spacing w:line="360" w:lineRule="auto"/>
        <w:ind w:firstLine="537" w:firstLineChars="224"/>
        <w:rPr>
          <w:color w:val="auto"/>
        </w:rPr>
      </w:pPr>
      <w:r>
        <w:rPr>
          <w:color w:val="auto"/>
        </w:rPr>
        <w:t>2.“投标人”系指是指响应招标、参加投标竞争的法人、其他组织或者自然人。</w:t>
      </w:r>
    </w:p>
    <w:p>
      <w:pPr>
        <w:widowControl w:val="0"/>
        <w:adjustRightInd w:val="0"/>
        <w:snapToGrid w:val="0"/>
        <w:spacing w:line="360" w:lineRule="auto"/>
        <w:ind w:firstLine="537" w:firstLineChars="224"/>
        <w:rPr>
          <w:color w:val="auto"/>
        </w:rPr>
      </w:pPr>
      <w:r>
        <w:rPr>
          <w:color w:val="auto"/>
        </w:rPr>
        <w:t>3.“代理机构”系指组织招标活动的浙江金华阳光招标代理有限公司。</w:t>
      </w:r>
    </w:p>
    <w:p>
      <w:pPr>
        <w:widowControl w:val="0"/>
        <w:adjustRightInd w:val="0"/>
        <w:snapToGrid w:val="0"/>
        <w:spacing w:line="360" w:lineRule="auto"/>
        <w:ind w:firstLine="537" w:firstLineChars="224"/>
        <w:rPr>
          <w:color w:val="auto"/>
        </w:rPr>
      </w:pPr>
      <w:r>
        <w:rPr>
          <w:color w:val="auto"/>
        </w:rPr>
        <w:t>4.“负责人”系指法人企业的法定负责人，或其他组织为法律、行政法规规定代表单位行使职权的主要负责人，或自然人本人。</w:t>
      </w:r>
    </w:p>
    <w:p>
      <w:pPr>
        <w:widowControl w:val="0"/>
        <w:adjustRightInd w:val="0"/>
        <w:snapToGrid w:val="0"/>
        <w:spacing w:line="360" w:lineRule="auto"/>
        <w:ind w:firstLine="537" w:firstLineChars="224"/>
        <w:rPr>
          <w:color w:val="auto"/>
        </w:rPr>
      </w:pPr>
      <w:r>
        <w:rPr>
          <w:color w:val="auto"/>
        </w:rPr>
        <w:t>5.“货物”系指招标文件规定投标人须向采购人提供的一切材料、设备、机械、仪器仪表、工具及其它有关技术资料和文字材料，详见数量及技术需求明细清单。</w:t>
      </w:r>
    </w:p>
    <w:p>
      <w:pPr>
        <w:widowControl w:val="0"/>
        <w:adjustRightInd w:val="0"/>
        <w:snapToGrid w:val="0"/>
        <w:spacing w:line="360" w:lineRule="auto"/>
        <w:ind w:firstLine="537" w:firstLineChars="224"/>
        <w:rPr>
          <w:color w:val="auto"/>
        </w:rPr>
      </w:pPr>
      <w:r>
        <w:rPr>
          <w:color w:val="auto"/>
        </w:rPr>
        <w:t>6.“服务”系指招标文件规定投标人须承担的运输、送货、培训、质保以及其他与本项目有关的辅助服务。</w:t>
      </w:r>
    </w:p>
    <w:p>
      <w:pPr>
        <w:widowControl w:val="0"/>
        <w:adjustRightInd w:val="0"/>
        <w:snapToGrid w:val="0"/>
        <w:spacing w:line="360" w:lineRule="auto"/>
        <w:ind w:firstLine="537" w:firstLineChars="224"/>
        <w:rPr>
          <w:color w:val="auto"/>
        </w:rPr>
      </w:pPr>
      <w:r>
        <w:rPr>
          <w:color w:val="auto"/>
        </w:rPr>
        <w:t>7. “电子签名”系指数据电文中以电子形式所含、所附用于识别签名人身份并表明签名人认可其中内容的数据</w:t>
      </w:r>
      <w:r>
        <w:rPr>
          <w:rFonts w:hint="eastAsia"/>
          <w:color w:val="auto"/>
        </w:rPr>
        <w:t>。投标人在投标文件中的公章均为“电子公章”。</w:t>
      </w:r>
    </w:p>
    <w:p>
      <w:pPr>
        <w:widowControl w:val="0"/>
        <w:adjustRightInd w:val="0"/>
        <w:snapToGrid w:val="0"/>
        <w:spacing w:line="360" w:lineRule="auto"/>
        <w:ind w:firstLine="537" w:firstLineChars="224"/>
        <w:rPr>
          <w:color w:val="auto"/>
        </w:rPr>
      </w:pPr>
      <w:r>
        <w:rPr>
          <w:color w:val="auto"/>
        </w:rPr>
        <w:t>8.“电子交易平台”是指本项目政府采购活动所依托的政府采购云平台（https</w:t>
      </w:r>
      <w:r>
        <w:rPr>
          <w:rFonts w:hint="eastAsia"/>
          <w:color w:val="auto"/>
        </w:rPr>
        <w:t>：</w:t>
      </w:r>
      <w:r>
        <w:rPr>
          <w:color w:val="auto"/>
        </w:rPr>
        <w:t>//www.zcygov.cn/）。</w:t>
      </w:r>
    </w:p>
    <w:p>
      <w:pPr>
        <w:widowControl w:val="0"/>
        <w:adjustRightInd w:val="0"/>
        <w:snapToGrid w:val="0"/>
        <w:spacing w:line="360" w:lineRule="auto"/>
        <w:ind w:firstLine="537" w:firstLineChars="224"/>
        <w:rPr>
          <w:color w:val="auto"/>
        </w:rPr>
      </w:pPr>
      <w:r>
        <w:rPr>
          <w:color w:val="auto"/>
        </w:rPr>
        <w:t>9.“</w:t>
      </w:r>
      <w:r>
        <w:rPr>
          <w:rFonts w:ascii="Segoe UI Symbol" w:hAnsi="Segoe UI Symbol" w:cs="Segoe UI Symbol"/>
          <w:color w:val="auto"/>
        </w:rPr>
        <w:t>★</w:t>
      </w:r>
      <w:r>
        <w:rPr>
          <w:color w:val="auto"/>
        </w:rPr>
        <w:t>”系指实质性要求条款，“▲” 系指重要条款，“</w:t>
      </w:r>
      <w:r>
        <w:rPr>
          <w:rFonts w:ascii="Segoe UI Symbol" w:hAnsi="Segoe UI Symbol" w:eastAsia="仿宋_GB2312" w:cs="Segoe UI Symbol"/>
          <w:color w:val="auto"/>
        </w:rPr>
        <w:t>☑</w:t>
      </w:r>
      <w:r>
        <w:rPr>
          <w:color w:val="auto"/>
        </w:rPr>
        <w:t>” 系指适用本项目的要求，“</w:t>
      </w:r>
      <w:r>
        <w:rPr>
          <w:rFonts w:ascii="Segoe UI Symbol" w:hAnsi="Segoe UI Symbol" w:cs="Segoe UI Symbol"/>
          <w:color w:val="auto"/>
        </w:rPr>
        <w:t>☐</w:t>
      </w:r>
      <w:r>
        <w:rPr>
          <w:color w:val="auto"/>
        </w:rPr>
        <w:t>” 系指不适用本项目的要求。</w:t>
      </w:r>
    </w:p>
    <w:p>
      <w:pPr>
        <w:widowControl w:val="0"/>
        <w:adjustRightInd w:val="0"/>
        <w:snapToGrid w:val="0"/>
        <w:spacing w:line="360" w:lineRule="auto"/>
        <w:ind w:firstLine="540" w:firstLineChars="224"/>
        <w:rPr>
          <w:b/>
          <w:bCs/>
          <w:color w:val="auto"/>
        </w:rPr>
      </w:pPr>
      <w:r>
        <w:rPr>
          <w:b/>
          <w:bCs/>
          <w:color w:val="auto"/>
        </w:rPr>
        <w:t>（三）采购项目需要落实的政府采购政策</w:t>
      </w:r>
    </w:p>
    <w:p>
      <w:pPr>
        <w:widowControl w:val="0"/>
        <w:adjustRightInd w:val="0"/>
        <w:snapToGrid w:val="0"/>
        <w:spacing w:line="360" w:lineRule="auto"/>
        <w:ind w:firstLine="537" w:firstLineChars="224"/>
        <w:rPr>
          <w:color w:val="auto"/>
        </w:rPr>
      </w:pPr>
      <w:r>
        <w:rPr>
          <w:color w:val="auto"/>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widowControl w:val="0"/>
        <w:adjustRightInd w:val="0"/>
        <w:snapToGrid w:val="0"/>
        <w:spacing w:line="360" w:lineRule="auto"/>
        <w:ind w:firstLine="537" w:firstLineChars="224"/>
        <w:rPr>
          <w:color w:val="auto"/>
        </w:rPr>
      </w:pPr>
      <w:r>
        <w:rPr>
          <w:color w:val="auto"/>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b/>
          <w:color w:val="auto"/>
        </w:rPr>
        <w:t>采购人拟采购的产品属于政府强制采购的节能产品品目清单范围的，投标人未按招标文件要求提供国家确定的认证机构出具的、处于有效期之内的节能产品认证证书的，投标无效。</w:t>
      </w:r>
    </w:p>
    <w:p>
      <w:pPr>
        <w:widowControl w:val="0"/>
        <w:adjustRightInd w:val="0"/>
        <w:snapToGrid w:val="0"/>
        <w:spacing w:line="360" w:lineRule="auto"/>
        <w:ind w:firstLine="537" w:firstLineChars="224"/>
        <w:rPr>
          <w:color w:val="auto"/>
        </w:rPr>
      </w:pPr>
      <w:r>
        <w:rPr>
          <w:color w:val="auto"/>
        </w:rPr>
        <w:t>3.支持中小企业发展</w:t>
      </w:r>
    </w:p>
    <w:p>
      <w:pPr>
        <w:widowControl w:val="0"/>
        <w:adjustRightInd w:val="0"/>
        <w:snapToGrid w:val="0"/>
        <w:spacing w:line="360" w:lineRule="auto"/>
        <w:ind w:firstLine="537" w:firstLineChars="224"/>
        <w:rPr>
          <w:color w:val="auto"/>
        </w:rPr>
      </w:pPr>
      <w:r>
        <w:rPr>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val="0"/>
        <w:adjustRightInd w:val="0"/>
        <w:snapToGrid w:val="0"/>
        <w:spacing w:line="360" w:lineRule="auto"/>
        <w:ind w:firstLine="537" w:firstLineChars="224"/>
        <w:rPr>
          <w:color w:val="auto"/>
        </w:rPr>
      </w:pPr>
      <w:r>
        <w:rPr>
          <w:color w:val="auto"/>
        </w:rPr>
        <w:t>符合中小企业划分标准的个体工商户，在政府采购活动中视同中小企业。</w:t>
      </w:r>
    </w:p>
    <w:p>
      <w:pPr>
        <w:widowControl w:val="0"/>
        <w:adjustRightInd w:val="0"/>
        <w:snapToGrid w:val="0"/>
        <w:spacing w:line="360" w:lineRule="auto"/>
        <w:ind w:firstLine="537" w:firstLineChars="224"/>
        <w:rPr>
          <w:color w:val="auto"/>
        </w:rPr>
      </w:pPr>
      <w:r>
        <w:rPr>
          <w:color w:val="auto"/>
        </w:rPr>
        <w:t>3.2在政府采购活动中，投标人提供的货物、工程或者服务符合下列情形的，享受中小企业扶持政策：</w:t>
      </w:r>
    </w:p>
    <w:p>
      <w:pPr>
        <w:widowControl w:val="0"/>
        <w:adjustRightInd w:val="0"/>
        <w:snapToGrid w:val="0"/>
        <w:spacing w:line="360" w:lineRule="auto"/>
        <w:ind w:firstLine="537" w:firstLineChars="224"/>
        <w:rPr>
          <w:color w:val="auto"/>
        </w:rPr>
      </w:pPr>
      <w:r>
        <w:rPr>
          <w:color w:val="auto"/>
        </w:rPr>
        <w:t>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val="0"/>
        <w:adjustRightInd w:val="0"/>
        <w:snapToGrid w:val="0"/>
        <w:spacing w:line="360" w:lineRule="auto"/>
        <w:ind w:firstLine="537" w:firstLineChars="224"/>
        <w:rPr>
          <w:color w:val="auto"/>
        </w:rPr>
      </w:pPr>
      <w:r>
        <w:rPr>
          <w:color w:val="auto"/>
        </w:rPr>
        <w:t>以联合体形式参加政府采购活动，联合体各方均为中小企业的，联合体视同中小企业。其中，联合体各方均为小微企业的，联合体视同小微企业。</w:t>
      </w:r>
    </w:p>
    <w:p>
      <w:pPr>
        <w:widowControl w:val="0"/>
        <w:adjustRightInd w:val="0"/>
        <w:snapToGrid w:val="0"/>
        <w:spacing w:line="360" w:lineRule="auto"/>
        <w:ind w:firstLine="537" w:firstLineChars="224"/>
        <w:rPr>
          <w:color w:val="auto"/>
        </w:rPr>
      </w:pPr>
      <w:r>
        <w:rPr>
          <w:color w:val="auto"/>
        </w:rPr>
        <w:t>3.3对符合前述条款要求的小型和微型企业的投标报价给予</w:t>
      </w:r>
      <w:r>
        <w:rPr>
          <w:rFonts w:hint="eastAsia"/>
          <w:color w:val="auto"/>
        </w:rPr>
        <w:t>2</w:t>
      </w:r>
      <w:r>
        <w:rPr>
          <w:color w:val="auto"/>
        </w:rPr>
        <w:t>0%的扣除，用扣除后的价格参与评审。</w:t>
      </w:r>
    </w:p>
    <w:p>
      <w:pPr>
        <w:widowControl w:val="0"/>
        <w:adjustRightInd w:val="0"/>
        <w:snapToGrid w:val="0"/>
        <w:spacing w:line="360" w:lineRule="auto"/>
        <w:ind w:firstLine="537" w:firstLineChars="224"/>
        <w:rPr>
          <w:color w:val="auto"/>
        </w:rPr>
      </w:pPr>
      <w:r>
        <w:rPr>
          <w:color w:val="auto"/>
        </w:rPr>
        <w:t>3.4符合《关于促进残疾人就业政府采购政策的通知》（财库〔2017〕141号）规定的条件并提供《残疾人福利性单位声明函》的残疾人福利性单位视同小型、微型企业；</w:t>
      </w:r>
    </w:p>
    <w:p>
      <w:pPr>
        <w:widowControl w:val="0"/>
        <w:adjustRightInd w:val="0"/>
        <w:snapToGrid w:val="0"/>
        <w:spacing w:line="360" w:lineRule="auto"/>
        <w:ind w:firstLine="537" w:firstLineChars="224"/>
        <w:rPr>
          <w:rFonts w:hint="eastAsia"/>
          <w:color w:val="auto"/>
        </w:rPr>
      </w:pPr>
      <w:r>
        <w:rPr>
          <w:rFonts w:hint="eastAsia"/>
          <w:color w:val="auto"/>
        </w:rPr>
        <w:t>3</w:t>
      </w:r>
      <w:r>
        <w:rPr>
          <w:color w:val="auto"/>
        </w:rPr>
        <w:t>.5</w:t>
      </w:r>
      <w:r>
        <w:rPr>
          <w:rFonts w:hint="eastAsia"/>
          <w:color w:val="auto"/>
        </w:rPr>
        <w:t>对于未预留份额专门面向中小企业的政府采购货物或服务项目，以及预留份额政府采购货物或服务项目中的非预留部分标项，对小型和微型企业的投标报价给予2</w:t>
      </w:r>
      <w:r>
        <w:rPr>
          <w:color w:val="auto"/>
        </w:rPr>
        <w:t>0%的扣除，用扣除后的价格参与评审。接受大中型企业与小微企业组成联合体或者允许大中型企业向一家或者多家小微企业分包的</w:t>
      </w:r>
      <w:r>
        <w:rPr>
          <w:rFonts w:hint="eastAsia"/>
          <w:color w:val="auto"/>
        </w:rPr>
        <w:t>政府</w:t>
      </w:r>
      <w:r>
        <w:rPr>
          <w:color w:val="auto"/>
        </w:rPr>
        <w:t>采购</w:t>
      </w:r>
      <w:r>
        <w:rPr>
          <w:rFonts w:hint="eastAsia"/>
          <w:color w:val="auto"/>
        </w:rPr>
        <w:t>货物或服务</w:t>
      </w:r>
      <w:r>
        <w:rPr>
          <w:color w:val="auto"/>
        </w:rPr>
        <w:t>项目，对于联合协议或者分包意向协议约定小微企业的合同份额占到合同总金额30%以上的，对联合体或者大中型企业的报价给予</w:t>
      </w:r>
      <w:r>
        <w:rPr>
          <w:rFonts w:hint="eastAsia"/>
          <w:color w:val="auto"/>
        </w:rPr>
        <w:t>6</w:t>
      </w:r>
      <w:r>
        <w:rPr>
          <w:color w:val="auto"/>
        </w:rPr>
        <w:t>%的扣除，用扣除后的价格参加评审。组成联合体或者接受分包的小微企业与联合体内其他企业、分包企业之间存在直接控股、管理关系的，不享受价格扣除优惠政策。</w:t>
      </w:r>
    </w:p>
    <w:p>
      <w:pPr>
        <w:widowControl w:val="0"/>
        <w:adjustRightInd w:val="0"/>
        <w:snapToGrid w:val="0"/>
        <w:spacing w:line="360" w:lineRule="auto"/>
        <w:ind w:firstLine="537" w:firstLineChars="224"/>
        <w:rPr>
          <w:color w:val="auto"/>
        </w:rPr>
      </w:pPr>
      <w:r>
        <w:rPr>
          <w:color w:val="auto"/>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val="0"/>
        <w:adjustRightInd w:val="0"/>
        <w:snapToGrid w:val="0"/>
        <w:spacing w:line="360" w:lineRule="auto"/>
        <w:ind w:firstLine="537" w:firstLineChars="224"/>
        <w:rPr>
          <w:color w:val="auto"/>
        </w:rPr>
      </w:pPr>
      <w:r>
        <w:rPr>
          <w:color w:val="auto"/>
        </w:rPr>
        <w:t>3.7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val="0"/>
        <w:adjustRightInd w:val="0"/>
        <w:snapToGrid w:val="0"/>
        <w:spacing w:line="360" w:lineRule="auto"/>
        <w:ind w:firstLine="537" w:firstLineChars="224"/>
        <w:rPr>
          <w:color w:val="auto"/>
        </w:rPr>
      </w:pPr>
      <w:r>
        <w:rPr>
          <w:color w:val="auto"/>
        </w:rPr>
        <w:t>3.8中小企业享受扶持政策获得政府采购合同的，小微企业不得将合同分包给大中型企业，中型企业不得将合同分包给大型企业。</w:t>
      </w:r>
    </w:p>
    <w:p>
      <w:pPr>
        <w:widowControl w:val="0"/>
        <w:adjustRightInd w:val="0"/>
        <w:snapToGrid w:val="0"/>
        <w:spacing w:line="360" w:lineRule="auto"/>
        <w:ind w:firstLine="537" w:firstLineChars="224"/>
        <w:rPr>
          <w:color w:val="auto"/>
        </w:rPr>
      </w:pPr>
      <w:r>
        <w:rPr>
          <w:rFonts w:hint="eastAsia"/>
          <w:color w:val="auto"/>
        </w:rPr>
        <w:t>4</w:t>
      </w:r>
      <w:r>
        <w:rPr>
          <w:color w:val="auto"/>
        </w:rPr>
        <w:t>.</w:t>
      </w:r>
      <w:r>
        <w:rPr>
          <w:rFonts w:hint="eastAsia"/>
          <w:color w:val="auto"/>
        </w:rPr>
        <w:t>支持创新发展</w:t>
      </w:r>
    </w:p>
    <w:p>
      <w:pPr>
        <w:widowControl w:val="0"/>
        <w:adjustRightInd w:val="0"/>
        <w:snapToGrid w:val="0"/>
        <w:spacing w:line="360" w:lineRule="auto"/>
        <w:ind w:firstLine="537" w:firstLineChars="224"/>
        <w:rPr>
          <w:color w:val="auto"/>
        </w:rPr>
      </w:pPr>
      <w:r>
        <w:rPr>
          <w:color w:val="auto"/>
        </w:rPr>
        <w:t>4.1</w:t>
      </w:r>
      <w:r>
        <w:rPr>
          <w:rFonts w:hint="eastAsia"/>
          <w:bCs/>
          <w:color w:val="auto"/>
        </w:rPr>
        <w:t>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w:t>
      </w:r>
    </w:p>
    <w:p>
      <w:pPr>
        <w:widowControl w:val="0"/>
        <w:adjustRightInd w:val="0"/>
        <w:snapToGrid w:val="0"/>
        <w:spacing w:line="360" w:lineRule="auto"/>
        <w:ind w:firstLine="537" w:firstLineChars="224"/>
        <w:rPr>
          <w:color w:val="auto"/>
        </w:rPr>
      </w:pPr>
      <w:r>
        <w:rPr>
          <w:color w:val="auto"/>
        </w:rPr>
        <w:t>（</w:t>
      </w:r>
      <w:r>
        <w:rPr>
          <w:rFonts w:hint="eastAsia"/>
          <w:color w:val="auto"/>
        </w:rPr>
        <w:t>四</w:t>
      </w:r>
      <w:r>
        <w:rPr>
          <w:color w:val="auto"/>
        </w:rPr>
        <w:t>）投标费用</w:t>
      </w:r>
    </w:p>
    <w:p>
      <w:pPr>
        <w:widowControl w:val="0"/>
        <w:adjustRightInd w:val="0"/>
        <w:snapToGrid w:val="0"/>
        <w:spacing w:line="360" w:lineRule="auto"/>
        <w:ind w:firstLine="537" w:firstLineChars="224"/>
        <w:rPr>
          <w:b/>
          <w:bCs/>
          <w:color w:val="auto"/>
        </w:rPr>
      </w:pPr>
      <w:r>
        <w:rPr>
          <w:color w:val="auto"/>
        </w:rPr>
        <w:t>无论投标过程中的做法和结果如何，投标人自行承担所有与参加投标有关的费用，投标人取得中标资格后，须向招标代理机构支付中标服务费（详见前附表）。</w:t>
      </w:r>
      <w:r>
        <w:rPr>
          <w:b/>
          <w:bCs/>
          <w:color w:val="auto"/>
        </w:rPr>
        <w:t>因中标人原因放弃</w:t>
      </w:r>
      <w:r>
        <w:rPr>
          <w:rFonts w:hint="eastAsia"/>
          <w:b/>
          <w:bCs/>
          <w:color w:val="auto"/>
        </w:rPr>
        <w:t>招标资格</w:t>
      </w:r>
      <w:r>
        <w:rPr>
          <w:b/>
          <w:bCs/>
          <w:color w:val="auto"/>
        </w:rPr>
        <w:t>的，须正常向代理机构支付服务费，并由代理机构上报财政，作相应处理。</w:t>
      </w:r>
    </w:p>
    <w:p>
      <w:pPr>
        <w:spacing w:line="360" w:lineRule="auto"/>
        <w:ind w:firstLine="480" w:firstLineChars="200"/>
        <w:jc w:val="both"/>
        <w:rPr>
          <w:color w:val="auto"/>
        </w:rPr>
      </w:pPr>
      <w:r>
        <w:rPr>
          <w:color w:val="auto"/>
        </w:rPr>
        <w:t>（</w:t>
      </w:r>
      <w:r>
        <w:rPr>
          <w:rFonts w:hint="eastAsia"/>
          <w:color w:val="auto"/>
        </w:rPr>
        <w:t>五</w:t>
      </w:r>
      <w:r>
        <w:rPr>
          <w:color w:val="auto"/>
        </w:rPr>
        <w:t>）特别说明：</w:t>
      </w:r>
    </w:p>
    <w:p>
      <w:pPr>
        <w:spacing w:line="360" w:lineRule="auto"/>
        <w:ind w:firstLine="480" w:firstLineChars="200"/>
        <w:jc w:val="both"/>
        <w:rPr>
          <w:color w:val="auto"/>
        </w:rPr>
      </w:pPr>
      <w:r>
        <w:rPr>
          <w:color w:val="auto"/>
        </w:rPr>
        <w:t>1.投标人投标所使用的资格、信誉、荣誉、业绩与企业认证必须为本法人所拥有。</w:t>
      </w:r>
    </w:p>
    <w:p>
      <w:pPr>
        <w:spacing w:line="360" w:lineRule="auto"/>
        <w:ind w:firstLine="480" w:firstLineChars="200"/>
        <w:jc w:val="both"/>
        <w:rPr>
          <w:color w:val="auto"/>
        </w:rPr>
      </w:pPr>
      <w:r>
        <w:rPr>
          <w:color w:val="auto"/>
        </w:rPr>
        <w:t>2.投标人应仔细阅读招标文件的所有内容，按照招标文件的要求提交投标文件，并对所提供的全部资料的真实性承担法律责任。</w:t>
      </w:r>
    </w:p>
    <w:p>
      <w:pPr>
        <w:spacing w:line="360" w:lineRule="auto"/>
        <w:ind w:firstLine="480" w:firstLineChars="200"/>
        <w:jc w:val="both"/>
        <w:rPr>
          <w:color w:val="auto"/>
        </w:rPr>
      </w:pPr>
      <w:r>
        <w:rPr>
          <w:color w:val="auto"/>
        </w:rPr>
        <w:t>3.投标人应仔细阅读招标文件的所有内容，按招标文件的要求提供投标文件，并保证所提供的全部资料的真实性，以使其投标对招标文件的实质性要求做出完全响应，否则其投标将被拒绝。</w:t>
      </w:r>
    </w:p>
    <w:p>
      <w:pPr>
        <w:spacing w:line="360" w:lineRule="auto"/>
        <w:ind w:firstLine="480" w:firstLineChars="200"/>
        <w:jc w:val="both"/>
        <w:rPr>
          <w:color w:val="auto"/>
        </w:rPr>
      </w:pPr>
      <w:r>
        <w:rPr>
          <w:color w:val="auto"/>
        </w:rPr>
        <w:t>4.投标人应按照招标文件要求及有关资料编制投标文件，并保证投标文件的正确性和真实性，所有文件资料必须是针对本次招标。</w:t>
      </w:r>
    </w:p>
    <w:p>
      <w:pPr>
        <w:widowControl w:val="0"/>
        <w:adjustRightInd w:val="0"/>
        <w:snapToGrid w:val="0"/>
        <w:spacing w:line="360" w:lineRule="auto"/>
        <w:ind w:firstLine="537" w:firstLineChars="224"/>
        <w:rPr>
          <w:color w:val="auto"/>
        </w:rPr>
      </w:pPr>
      <w:r>
        <w:rPr>
          <w:color w:val="auto"/>
        </w:rPr>
        <w:t>（</w:t>
      </w:r>
      <w:r>
        <w:rPr>
          <w:rFonts w:hint="eastAsia"/>
          <w:color w:val="auto"/>
        </w:rPr>
        <w:t>六</w:t>
      </w:r>
      <w:r>
        <w:rPr>
          <w:color w:val="auto"/>
        </w:rPr>
        <w:t>）现场踏勘</w:t>
      </w:r>
    </w:p>
    <w:p>
      <w:pPr>
        <w:widowControl w:val="0"/>
        <w:adjustRightInd w:val="0"/>
        <w:snapToGrid w:val="0"/>
        <w:spacing w:line="360" w:lineRule="auto"/>
        <w:ind w:firstLine="537" w:firstLineChars="224"/>
        <w:rPr>
          <w:color w:val="auto"/>
        </w:rPr>
      </w:pPr>
      <w:r>
        <w:rPr>
          <w:color w:val="auto"/>
        </w:rPr>
        <w:t>1.不组织集中踏勘，由各投标人自行安排。投标人在踏勘过程中发生的各类事件和所发生的各项费用，均由投标人自行承担，采购人和代理机构概不负责。</w:t>
      </w:r>
    </w:p>
    <w:p>
      <w:pPr>
        <w:spacing w:line="360" w:lineRule="auto"/>
        <w:ind w:firstLine="480" w:firstLineChars="200"/>
        <w:jc w:val="both"/>
        <w:rPr>
          <w:color w:val="auto"/>
        </w:rPr>
      </w:pPr>
      <w:r>
        <w:rPr>
          <w:color w:val="auto"/>
        </w:rPr>
        <w:t>2.采购人向投标人提供的有关现场的数据和资料，是采购人现有的能被投标人利用的资料，采购人对投标人据此做出的任何推论、理解和结论不负责任。</w:t>
      </w:r>
    </w:p>
    <w:p>
      <w:pPr>
        <w:spacing w:line="360" w:lineRule="auto"/>
        <w:ind w:firstLine="480" w:firstLineChars="200"/>
        <w:jc w:val="both"/>
        <w:rPr>
          <w:color w:val="auto"/>
        </w:rPr>
      </w:pPr>
      <w:r>
        <w:rPr>
          <w:color w:val="auto"/>
        </w:rPr>
        <w:t>（</w:t>
      </w:r>
      <w:r>
        <w:rPr>
          <w:rFonts w:hint="eastAsia"/>
          <w:color w:val="auto"/>
        </w:rPr>
        <w:t>七</w:t>
      </w:r>
      <w:r>
        <w:rPr>
          <w:color w:val="auto"/>
        </w:rPr>
        <w:t>）询问、质疑、投诉</w:t>
      </w:r>
    </w:p>
    <w:p>
      <w:pPr>
        <w:spacing w:line="360" w:lineRule="auto"/>
        <w:ind w:firstLine="480" w:firstLineChars="200"/>
        <w:jc w:val="both"/>
        <w:rPr>
          <w:color w:val="auto"/>
        </w:rPr>
      </w:pPr>
      <w:r>
        <w:rPr>
          <w:color w:val="auto"/>
        </w:rPr>
        <w:t>1.询问</w:t>
      </w:r>
    </w:p>
    <w:p>
      <w:pPr>
        <w:spacing w:line="360" w:lineRule="auto"/>
        <w:ind w:firstLine="480" w:firstLineChars="200"/>
        <w:jc w:val="both"/>
        <w:rPr>
          <w:color w:val="auto"/>
        </w:rPr>
      </w:pPr>
      <w:r>
        <w:rPr>
          <w:color w:val="auto"/>
        </w:rPr>
        <w:t>供应商对政府采购活动事项有疑问的，可以提出询问，采购人或者采购代理机构应当在</w:t>
      </w:r>
      <w:r>
        <w:rPr>
          <w:rFonts w:hint="eastAsia"/>
          <w:color w:val="auto"/>
        </w:rPr>
        <w:t>3</w:t>
      </w:r>
      <w:r>
        <w:rPr>
          <w:color w:val="auto"/>
        </w:rPr>
        <w:t>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jc w:val="both"/>
        <w:rPr>
          <w:color w:val="auto"/>
        </w:rPr>
      </w:pPr>
      <w:r>
        <w:rPr>
          <w:color w:val="auto"/>
        </w:rPr>
        <w:t>2.质疑</w:t>
      </w:r>
    </w:p>
    <w:p>
      <w:pPr>
        <w:spacing w:line="360" w:lineRule="auto"/>
        <w:ind w:firstLine="480" w:firstLineChars="200"/>
        <w:jc w:val="both"/>
        <w:rPr>
          <w:color w:val="auto"/>
        </w:rPr>
      </w:pPr>
      <w:r>
        <w:rPr>
          <w:color w:val="auto"/>
        </w:rPr>
        <w:t>2.1提出质疑的供应商应当是参与所质疑项目采购活动的供应商。潜在供应商已依法获取其可质疑的招标文件的，可以对该文件提出质疑。</w:t>
      </w:r>
    </w:p>
    <w:p>
      <w:pPr>
        <w:spacing w:line="360" w:lineRule="auto"/>
        <w:ind w:firstLine="480" w:firstLineChars="200"/>
        <w:jc w:val="both"/>
        <w:rPr>
          <w:color w:val="auto"/>
        </w:rPr>
      </w:pPr>
      <w:r>
        <w:rPr>
          <w:color w:val="auto"/>
          <w:lang w:val="zh-CN"/>
        </w:rPr>
        <w:t>2</w:t>
      </w:r>
      <w:r>
        <w:rPr>
          <w:color w:val="auto"/>
        </w:rPr>
        <w:t>.2供应商认为招标文件、采购过程和中标结果使自己的权益受到损害的，可以在知道或者应知其权益受到损害之日起</w:t>
      </w:r>
      <w:r>
        <w:rPr>
          <w:rFonts w:hint="eastAsia"/>
          <w:color w:val="auto"/>
        </w:rPr>
        <w:t>7</w:t>
      </w:r>
      <w:r>
        <w:rPr>
          <w:color w:val="auto"/>
        </w:rPr>
        <w:t>个工作日内，以书面形式向采购人或者采购代理机构提出质疑，否则，采购人或者采购代理机构不予受理：</w:t>
      </w:r>
    </w:p>
    <w:p>
      <w:pPr>
        <w:spacing w:line="360" w:lineRule="auto"/>
        <w:ind w:firstLine="480" w:firstLineChars="200"/>
        <w:jc w:val="both"/>
        <w:rPr>
          <w:color w:val="auto"/>
          <w:kern w:val="2"/>
        </w:rPr>
      </w:pPr>
      <w:r>
        <w:rPr>
          <w:color w:val="auto"/>
        </w:rPr>
        <w:t>（1）</w:t>
      </w:r>
      <w:r>
        <w:rPr>
          <w:color w:val="auto"/>
          <w:kern w:val="2"/>
        </w:rPr>
        <w:t>对招标文件提出质疑的，质疑期限为供应商获得招标文件之日或者招标文件公告期限届满之日起计算。</w:t>
      </w:r>
    </w:p>
    <w:p>
      <w:pPr>
        <w:spacing w:line="360" w:lineRule="auto"/>
        <w:ind w:firstLine="480" w:firstLineChars="200"/>
        <w:jc w:val="both"/>
        <w:rPr>
          <w:color w:val="auto"/>
        </w:rPr>
      </w:pPr>
      <w:r>
        <w:rPr>
          <w:color w:val="auto"/>
        </w:rPr>
        <w:t>（2）对采购过程提出质疑的，质疑期限为各采购程序环节结束之日起计算。对同一采购程序环节的质疑，供应商须一次性提出。</w:t>
      </w:r>
    </w:p>
    <w:p>
      <w:pPr>
        <w:spacing w:line="360" w:lineRule="auto"/>
        <w:ind w:firstLine="480" w:firstLineChars="200"/>
        <w:jc w:val="both"/>
        <w:rPr>
          <w:color w:val="auto"/>
        </w:rPr>
      </w:pPr>
      <w:r>
        <w:rPr>
          <w:color w:val="auto"/>
        </w:rPr>
        <w:t>（3）对采购结果提出质疑的，质疑期限自采购结果公告期限届满之日起计算。</w:t>
      </w:r>
    </w:p>
    <w:p>
      <w:pPr>
        <w:spacing w:line="360" w:lineRule="auto"/>
        <w:ind w:firstLine="480" w:firstLineChars="200"/>
        <w:jc w:val="both"/>
        <w:rPr>
          <w:color w:val="auto"/>
        </w:rPr>
      </w:pPr>
      <w:r>
        <w:rPr>
          <w:color w:val="auto"/>
        </w:rPr>
        <w:t>2.3供应商提出质疑应当提交质疑函和必要的证明材料。质疑函应当包括下列内容：</w:t>
      </w:r>
    </w:p>
    <w:p>
      <w:pPr>
        <w:spacing w:line="360" w:lineRule="auto"/>
        <w:ind w:firstLine="480" w:firstLineChars="200"/>
        <w:jc w:val="both"/>
        <w:rPr>
          <w:color w:val="auto"/>
        </w:rPr>
      </w:pPr>
      <w:r>
        <w:rPr>
          <w:color w:val="auto"/>
        </w:rPr>
        <w:t>（1）供应商的姓名或者名称、地址、邮编、联系人及联系电话；</w:t>
      </w:r>
    </w:p>
    <w:p>
      <w:pPr>
        <w:spacing w:line="360" w:lineRule="auto"/>
        <w:ind w:firstLine="480" w:firstLineChars="200"/>
        <w:jc w:val="both"/>
        <w:rPr>
          <w:color w:val="auto"/>
        </w:rPr>
      </w:pPr>
      <w:r>
        <w:rPr>
          <w:color w:val="auto"/>
        </w:rPr>
        <w:t>（2）质疑项目的名称、编号；</w:t>
      </w:r>
    </w:p>
    <w:p>
      <w:pPr>
        <w:spacing w:line="360" w:lineRule="auto"/>
        <w:ind w:firstLine="480" w:firstLineChars="200"/>
        <w:jc w:val="both"/>
        <w:rPr>
          <w:color w:val="auto"/>
        </w:rPr>
      </w:pPr>
      <w:r>
        <w:rPr>
          <w:color w:val="auto"/>
        </w:rPr>
        <w:t>（3）具体、明确的质疑事项和与质疑事项相关的请求；</w:t>
      </w:r>
    </w:p>
    <w:p>
      <w:pPr>
        <w:spacing w:line="360" w:lineRule="auto"/>
        <w:ind w:firstLine="480" w:firstLineChars="200"/>
        <w:jc w:val="both"/>
        <w:rPr>
          <w:color w:val="auto"/>
        </w:rPr>
      </w:pPr>
      <w:r>
        <w:rPr>
          <w:color w:val="auto"/>
        </w:rPr>
        <w:t>（4）事实依据；</w:t>
      </w:r>
    </w:p>
    <w:p>
      <w:pPr>
        <w:spacing w:line="360" w:lineRule="auto"/>
        <w:ind w:firstLine="480" w:firstLineChars="200"/>
        <w:jc w:val="both"/>
        <w:rPr>
          <w:color w:val="auto"/>
        </w:rPr>
      </w:pPr>
      <w:r>
        <w:rPr>
          <w:color w:val="auto"/>
        </w:rPr>
        <w:t>（5）必要的法律依据；</w:t>
      </w:r>
    </w:p>
    <w:p>
      <w:pPr>
        <w:spacing w:line="360" w:lineRule="auto"/>
        <w:ind w:firstLine="480" w:firstLineChars="200"/>
        <w:jc w:val="both"/>
        <w:rPr>
          <w:color w:val="auto"/>
        </w:rPr>
      </w:pPr>
      <w:r>
        <w:rPr>
          <w:color w:val="auto"/>
        </w:rPr>
        <w:t>（6）提出质疑的日期。</w:t>
      </w:r>
    </w:p>
    <w:p>
      <w:pPr>
        <w:spacing w:line="360" w:lineRule="auto"/>
        <w:ind w:firstLine="480" w:firstLineChars="200"/>
        <w:jc w:val="both"/>
        <w:rPr>
          <w:color w:val="auto"/>
        </w:rPr>
      </w:pPr>
      <w:r>
        <w:rPr>
          <w:color w:val="auto"/>
        </w:rPr>
        <w:t>2.4采购人或者采购代理机构应当在收到供应商的书面质疑后</w:t>
      </w:r>
      <w:r>
        <w:rPr>
          <w:rFonts w:hint="eastAsia"/>
          <w:color w:val="auto"/>
        </w:rPr>
        <w:t>7</w:t>
      </w:r>
      <w:r>
        <w:rPr>
          <w:color w:val="auto"/>
        </w:rPr>
        <w:t>个工作日内作出答复，并以书面形式通知质疑供应商和其他与质疑处理结果有利害关系的政府采购当事人，但答复的内容不得涉及商业秘密。</w:t>
      </w:r>
    </w:p>
    <w:p>
      <w:pPr>
        <w:spacing w:line="360" w:lineRule="auto"/>
        <w:ind w:firstLine="480" w:firstLineChars="200"/>
        <w:jc w:val="both"/>
        <w:rPr>
          <w:color w:val="auto"/>
        </w:rPr>
      </w:pPr>
      <w:r>
        <w:rPr>
          <w:color w:val="auto"/>
        </w:rPr>
        <w:t>2.5投标人须在法定质疑期内一次性提出针对同一采购程序环节的质疑。未按上述要求提供的质疑函，采购代理机构不予受理。</w:t>
      </w:r>
    </w:p>
    <w:p>
      <w:pPr>
        <w:spacing w:line="360" w:lineRule="auto"/>
        <w:ind w:firstLine="480" w:firstLineChars="200"/>
        <w:jc w:val="both"/>
        <w:rPr>
          <w:color w:val="auto"/>
        </w:rPr>
      </w:pPr>
      <w:r>
        <w:rPr>
          <w:color w:val="auto"/>
        </w:rPr>
        <w:t>3.投诉</w:t>
      </w:r>
    </w:p>
    <w:p>
      <w:pPr>
        <w:spacing w:line="360" w:lineRule="auto"/>
        <w:ind w:firstLine="480" w:firstLineChars="200"/>
        <w:jc w:val="both"/>
        <w:rPr>
          <w:color w:val="auto"/>
        </w:rPr>
      </w:pPr>
      <w:r>
        <w:rPr>
          <w:color w:val="auto"/>
        </w:rPr>
        <w:t>3.1质疑供应商对采购人、采购代理机构的答复不满意或者采购人、采购代理机构未在规定的时间内作出答复的，可以在答复期满后</w:t>
      </w:r>
      <w:r>
        <w:rPr>
          <w:rFonts w:hint="eastAsia"/>
          <w:color w:val="auto"/>
        </w:rPr>
        <w:t>1</w:t>
      </w:r>
      <w:r>
        <w:rPr>
          <w:color w:val="auto"/>
        </w:rPr>
        <w:t>5个工作日内向同级政府采购监督管理部门提出投诉。</w:t>
      </w:r>
    </w:p>
    <w:p>
      <w:pPr>
        <w:spacing w:line="360" w:lineRule="auto"/>
        <w:ind w:firstLine="480" w:firstLineChars="200"/>
        <w:jc w:val="both"/>
        <w:rPr>
          <w:color w:val="auto"/>
        </w:rPr>
      </w:pPr>
      <w:r>
        <w:rPr>
          <w:color w:val="auto"/>
        </w:rPr>
        <w:t>3.2供应商投诉的事项不得超出已质疑事项的范围，基于质疑答复内容提出的投诉事项除外。</w:t>
      </w:r>
    </w:p>
    <w:p>
      <w:pPr>
        <w:spacing w:line="360" w:lineRule="auto"/>
        <w:ind w:firstLine="480" w:firstLineChars="200"/>
        <w:jc w:val="both"/>
        <w:rPr>
          <w:color w:val="auto"/>
        </w:rPr>
      </w:pPr>
      <w:r>
        <w:rPr>
          <w:color w:val="auto"/>
        </w:rPr>
        <w:t>3.3供应商投诉应当有明确的请求和必要的证明材料。</w:t>
      </w:r>
    </w:p>
    <w:p>
      <w:pPr>
        <w:spacing w:line="360" w:lineRule="auto"/>
        <w:ind w:firstLine="482" w:firstLineChars="200"/>
        <w:jc w:val="both"/>
        <w:rPr>
          <w:color w:val="auto"/>
        </w:rPr>
      </w:pPr>
      <w:r>
        <w:rPr>
          <w:b/>
          <w:bCs/>
          <w:color w:val="auto"/>
        </w:rPr>
        <w:t>质疑函范本、投诉书范本请到浙江政府采购网下载专区下载</w:t>
      </w:r>
      <w:r>
        <w:rPr>
          <w:color w:val="auto"/>
        </w:rPr>
        <w:t>。</w:t>
      </w:r>
    </w:p>
    <w:p>
      <w:pPr>
        <w:spacing w:line="360" w:lineRule="auto"/>
        <w:ind w:firstLine="482" w:firstLineChars="200"/>
        <w:jc w:val="both"/>
        <w:rPr>
          <w:b/>
          <w:color w:val="auto"/>
        </w:rPr>
      </w:pPr>
      <w:r>
        <w:rPr>
          <w:b/>
          <w:color w:val="auto"/>
        </w:rPr>
        <w:t>二、招标文件构成、澄清、 修改</w:t>
      </w:r>
    </w:p>
    <w:p>
      <w:pPr>
        <w:widowControl w:val="0"/>
        <w:adjustRightInd w:val="0"/>
        <w:snapToGrid w:val="0"/>
        <w:spacing w:line="360" w:lineRule="auto"/>
        <w:ind w:firstLine="537" w:firstLineChars="224"/>
        <w:rPr>
          <w:color w:val="auto"/>
        </w:rPr>
      </w:pPr>
      <w:r>
        <w:rPr>
          <w:color w:val="auto"/>
        </w:rPr>
        <w:t>（一）招标文件的构成：</w:t>
      </w:r>
    </w:p>
    <w:p>
      <w:pPr>
        <w:widowControl w:val="0"/>
        <w:adjustRightInd w:val="0"/>
        <w:snapToGrid w:val="0"/>
        <w:spacing w:line="360" w:lineRule="auto"/>
        <w:ind w:firstLine="537" w:firstLineChars="224"/>
        <w:rPr>
          <w:color w:val="auto"/>
        </w:rPr>
      </w:pPr>
      <w:r>
        <w:rPr>
          <w:color w:val="auto"/>
        </w:rPr>
        <w:t>1.招标公告</w:t>
      </w:r>
    </w:p>
    <w:p>
      <w:pPr>
        <w:widowControl w:val="0"/>
        <w:adjustRightInd w:val="0"/>
        <w:snapToGrid w:val="0"/>
        <w:spacing w:line="360" w:lineRule="auto"/>
        <w:ind w:firstLine="537" w:firstLineChars="224"/>
        <w:rPr>
          <w:color w:val="auto"/>
        </w:rPr>
      </w:pPr>
      <w:r>
        <w:rPr>
          <w:color w:val="auto"/>
        </w:rPr>
        <w:t>2.前附表</w:t>
      </w:r>
    </w:p>
    <w:p>
      <w:pPr>
        <w:widowControl w:val="0"/>
        <w:adjustRightInd w:val="0"/>
        <w:snapToGrid w:val="0"/>
        <w:spacing w:line="360" w:lineRule="auto"/>
        <w:ind w:firstLine="537" w:firstLineChars="224"/>
        <w:rPr>
          <w:color w:val="auto"/>
        </w:rPr>
      </w:pPr>
      <w:r>
        <w:rPr>
          <w:color w:val="auto"/>
        </w:rPr>
        <w:t>3.项目技术规范和要求</w:t>
      </w:r>
    </w:p>
    <w:p>
      <w:pPr>
        <w:widowControl w:val="0"/>
        <w:adjustRightInd w:val="0"/>
        <w:snapToGrid w:val="0"/>
        <w:spacing w:line="360" w:lineRule="auto"/>
        <w:ind w:firstLine="537" w:firstLineChars="224"/>
        <w:rPr>
          <w:color w:val="auto"/>
        </w:rPr>
      </w:pPr>
      <w:r>
        <w:rPr>
          <w:color w:val="auto"/>
        </w:rPr>
        <w:t>4.投标人须知</w:t>
      </w:r>
    </w:p>
    <w:p>
      <w:pPr>
        <w:widowControl w:val="0"/>
        <w:adjustRightInd w:val="0"/>
        <w:snapToGrid w:val="0"/>
        <w:spacing w:line="360" w:lineRule="auto"/>
        <w:ind w:firstLine="537" w:firstLineChars="224"/>
        <w:rPr>
          <w:rFonts w:hint="eastAsia"/>
          <w:color w:val="auto"/>
        </w:rPr>
      </w:pPr>
      <w:r>
        <w:rPr>
          <w:color w:val="auto"/>
        </w:rPr>
        <w:t>5.评标办法</w:t>
      </w:r>
    </w:p>
    <w:p>
      <w:pPr>
        <w:widowControl w:val="0"/>
        <w:adjustRightInd w:val="0"/>
        <w:snapToGrid w:val="0"/>
        <w:spacing w:line="360" w:lineRule="auto"/>
        <w:ind w:firstLine="537" w:firstLineChars="224"/>
        <w:rPr>
          <w:color w:val="auto"/>
        </w:rPr>
      </w:pPr>
      <w:r>
        <w:rPr>
          <w:color w:val="auto"/>
        </w:rPr>
        <w:t>6.合同范本</w:t>
      </w:r>
    </w:p>
    <w:p>
      <w:pPr>
        <w:widowControl w:val="0"/>
        <w:adjustRightInd w:val="0"/>
        <w:snapToGrid w:val="0"/>
        <w:spacing w:line="360" w:lineRule="auto"/>
        <w:ind w:firstLine="537" w:firstLineChars="224"/>
        <w:rPr>
          <w:color w:val="auto"/>
        </w:rPr>
      </w:pPr>
      <w:r>
        <w:rPr>
          <w:color w:val="auto"/>
        </w:rPr>
        <w:t>7.投标文件格式</w:t>
      </w:r>
    </w:p>
    <w:p>
      <w:pPr>
        <w:widowControl w:val="0"/>
        <w:adjustRightInd w:val="0"/>
        <w:snapToGrid w:val="0"/>
        <w:spacing w:line="360" w:lineRule="auto"/>
        <w:ind w:firstLine="537" w:firstLineChars="224"/>
        <w:rPr>
          <w:color w:val="auto"/>
        </w:rPr>
      </w:pPr>
      <w:r>
        <w:rPr>
          <w:color w:val="auto"/>
        </w:rPr>
        <w:t>8.本项目招标文件的澄清、答复、修改、补充的内容</w:t>
      </w:r>
    </w:p>
    <w:p>
      <w:pPr>
        <w:widowControl w:val="0"/>
        <w:adjustRightInd w:val="0"/>
        <w:snapToGrid w:val="0"/>
        <w:spacing w:line="360" w:lineRule="auto"/>
        <w:ind w:firstLine="537" w:firstLineChars="224"/>
        <w:rPr>
          <w:color w:val="auto"/>
        </w:rPr>
      </w:pPr>
      <w:r>
        <w:rPr>
          <w:color w:val="auto"/>
        </w:rPr>
        <w:t xml:space="preserve">（二）招标文件的澄清与修改 </w:t>
      </w:r>
    </w:p>
    <w:p>
      <w:pPr>
        <w:widowControl w:val="0"/>
        <w:adjustRightInd w:val="0"/>
        <w:snapToGrid w:val="0"/>
        <w:spacing w:line="360" w:lineRule="auto"/>
        <w:ind w:firstLine="537" w:firstLineChars="224"/>
        <w:rPr>
          <w:color w:val="auto"/>
        </w:rPr>
      </w:pPr>
      <w:r>
        <w:rPr>
          <w:color w:val="auto"/>
        </w:rPr>
        <w:t>1.已获取招标文件的潜在投标人，若有问题需要澄清，应于投标截止时间前，以书面形式向采购代理机构提出。</w:t>
      </w:r>
    </w:p>
    <w:p>
      <w:pPr>
        <w:widowControl w:val="0"/>
        <w:adjustRightInd w:val="0"/>
        <w:snapToGrid w:val="0"/>
        <w:spacing w:line="360" w:lineRule="auto"/>
        <w:ind w:firstLine="537" w:firstLineChars="224"/>
        <w:rPr>
          <w:color w:val="auto"/>
        </w:rPr>
      </w:pPr>
      <w:r>
        <w:rPr>
          <w:color w:val="auto"/>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widowControl w:val="0"/>
        <w:adjustRightInd w:val="0"/>
        <w:snapToGrid w:val="0"/>
        <w:spacing w:before="0" w:beforeAutospacing="0" w:after="0" w:afterAutospacing="0" w:line="360" w:lineRule="auto"/>
        <w:ind w:firstLine="540" w:firstLineChars="224"/>
        <w:rPr>
          <w:rFonts w:ascii="Times New Roman" w:hAnsi="Times New Roman"/>
          <w:b/>
          <w:color w:val="auto"/>
        </w:rPr>
      </w:pPr>
      <w:r>
        <w:rPr>
          <w:rFonts w:ascii="Times New Roman" w:hAnsi="Times New Roman"/>
          <w:b/>
          <w:color w:val="auto"/>
        </w:rPr>
        <w:t>三、投标</w:t>
      </w:r>
    </w:p>
    <w:p>
      <w:pPr>
        <w:widowControl w:val="0"/>
        <w:adjustRightInd w:val="0"/>
        <w:snapToGrid w:val="0"/>
        <w:spacing w:line="360" w:lineRule="auto"/>
        <w:ind w:firstLine="537" w:firstLineChars="224"/>
        <w:rPr>
          <w:color w:val="auto"/>
        </w:rPr>
      </w:pPr>
      <w:r>
        <w:rPr>
          <w:color w:val="auto"/>
        </w:rPr>
        <w:t>（一）投标保证金</w:t>
      </w:r>
    </w:p>
    <w:p>
      <w:pPr>
        <w:widowControl w:val="0"/>
        <w:adjustRightInd w:val="0"/>
        <w:snapToGrid w:val="0"/>
        <w:spacing w:line="360" w:lineRule="auto"/>
        <w:ind w:firstLine="537" w:firstLineChars="224"/>
        <w:rPr>
          <w:color w:val="auto"/>
        </w:rPr>
      </w:pPr>
      <w:r>
        <w:rPr>
          <w:color w:val="auto"/>
        </w:rPr>
        <w:t>本项目不需缴纳投标保证金。</w:t>
      </w:r>
    </w:p>
    <w:p>
      <w:pPr>
        <w:widowControl w:val="0"/>
        <w:adjustRightInd w:val="0"/>
        <w:snapToGrid w:val="0"/>
        <w:spacing w:line="360" w:lineRule="auto"/>
        <w:ind w:firstLine="537" w:firstLineChars="224"/>
        <w:rPr>
          <w:color w:val="auto"/>
        </w:rPr>
      </w:pPr>
      <w:r>
        <w:rPr>
          <w:color w:val="auto"/>
        </w:rPr>
        <w:t>（二）投标文件的语言</w:t>
      </w:r>
    </w:p>
    <w:p>
      <w:pPr>
        <w:widowControl w:val="0"/>
        <w:adjustRightInd w:val="0"/>
        <w:snapToGrid w:val="0"/>
        <w:spacing w:line="360" w:lineRule="auto"/>
        <w:ind w:firstLine="537" w:firstLineChars="224"/>
        <w:rPr>
          <w:color w:val="auto"/>
        </w:rPr>
      </w:pPr>
      <w:r>
        <w:rPr>
          <w:color w:val="auto"/>
        </w:rPr>
        <w:t>投标文件及投标人与采购有关的来往通知、函件和文件均应使用中文。</w:t>
      </w:r>
    </w:p>
    <w:p>
      <w:pPr>
        <w:widowControl w:val="0"/>
        <w:adjustRightInd w:val="0"/>
        <w:snapToGrid w:val="0"/>
        <w:spacing w:line="360" w:lineRule="auto"/>
        <w:ind w:firstLine="537" w:firstLineChars="224"/>
        <w:rPr>
          <w:color w:val="auto"/>
        </w:rPr>
      </w:pPr>
      <w:r>
        <w:rPr>
          <w:color w:val="auto"/>
        </w:rPr>
        <w:t>（三）计量单位</w:t>
      </w:r>
    </w:p>
    <w:p>
      <w:pPr>
        <w:widowControl w:val="0"/>
        <w:adjustRightInd w:val="0"/>
        <w:snapToGrid w:val="0"/>
        <w:spacing w:line="360" w:lineRule="auto"/>
        <w:ind w:firstLine="537" w:firstLineChars="224"/>
        <w:rPr>
          <w:color w:val="auto"/>
        </w:rPr>
      </w:pPr>
      <w:r>
        <w:rPr>
          <w:color w:val="auto"/>
        </w:rPr>
        <w:t>除在招标文件中另有规定外，计量单位应使用中华人民共和国法定计量单位（国际单位制和国家选定的其他计量单位）。</w:t>
      </w:r>
    </w:p>
    <w:p>
      <w:pPr>
        <w:widowControl w:val="0"/>
        <w:adjustRightInd w:val="0"/>
        <w:snapToGrid w:val="0"/>
        <w:spacing w:line="360" w:lineRule="auto"/>
        <w:ind w:firstLine="537" w:firstLineChars="224"/>
        <w:rPr>
          <w:color w:val="auto"/>
        </w:rPr>
      </w:pPr>
      <w:r>
        <w:rPr>
          <w:color w:val="auto"/>
        </w:rPr>
        <w:t>（四）投标文件的组成</w:t>
      </w:r>
    </w:p>
    <w:p>
      <w:pPr>
        <w:widowControl w:val="0"/>
        <w:adjustRightInd w:val="0"/>
        <w:snapToGrid w:val="0"/>
        <w:spacing w:line="360" w:lineRule="auto"/>
        <w:ind w:firstLine="540" w:firstLineChars="224"/>
        <w:rPr>
          <w:b/>
          <w:bCs/>
          <w:color w:val="auto"/>
        </w:rPr>
      </w:pPr>
      <w:bookmarkStart w:id="117" w:name="_Hlk94089038"/>
      <w:r>
        <w:rPr>
          <w:b/>
          <w:bCs/>
          <w:color w:val="auto"/>
        </w:rPr>
        <w:t>1.资格文件</w:t>
      </w:r>
      <w:r>
        <w:rPr>
          <w:color w:val="auto"/>
        </w:rPr>
        <w:t>（</w:t>
      </w:r>
      <w:r>
        <w:rPr>
          <w:b/>
          <w:color w:val="auto"/>
          <w:u w:val="single"/>
        </w:rPr>
        <w:t>未提供齐全将导致资格审查不通过，投标文件无效</w:t>
      </w:r>
      <w:r>
        <w:rPr>
          <w:color w:val="auto"/>
        </w:rPr>
        <w:t>）</w:t>
      </w:r>
    </w:p>
    <w:p>
      <w:pPr>
        <w:widowControl w:val="0"/>
        <w:adjustRightInd w:val="0"/>
        <w:snapToGrid w:val="0"/>
        <w:spacing w:line="360" w:lineRule="auto"/>
        <w:ind w:firstLine="537" w:firstLineChars="224"/>
        <w:rPr>
          <w:color w:val="auto"/>
        </w:rPr>
      </w:pPr>
      <w:bookmarkStart w:id="118" w:name="_Hlk114148040"/>
      <w:r>
        <w:rPr>
          <w:color w:val="auto"/>
        </w:rPr>
        <w:t>1.1</w:t>
      </w:r>
      <w:r>
        <w:rPr>
          <w:rFonts w:hint="eastAsia"/>
          <w:color w:val="auto"/>
        </w:rPr>
        <w:t>投标人</w:t>
      </w:r>
      <w:r>
        <w:rPr>
          <w:color w:val="auto"/>
        </w:rPr>
        <w:t>法人营业执照（副本）或事业单位法人证书（副本）或个体工商户营业执照或有效的自然人身份证明或社会团体法人登记证书（提供复印件</w:t>
      </w:r>
      <w:r>
        <w:rPr>
          <w:rFonts w:hint="eastAsia"/>
          <w:color w:val="auto"/>
        </w:rPr>
        <w:t>上传</w:t>
      </w:r>
      <w:r>
        <w:rPr>
          <w:color w:val="auto"/>
        </w:rPr>
        <w:t>）</w:t>
      </w:r>
    </w:p>
    <w:p>
      <w:pPr>
        <w:widowControl w:val="0"/>
        <w:adjustRightInd w:val="0"/>
        <w:snapToGrid w:val="0"/>
        <w:spacing w:line="360" w:lineRule="auto"/>
        <w:ind w:firstLine="537" w:firstLineChars="224"/>
        <w:rPr>
          <w:rFonts w:hint="eastAsia"/>
          <w:color w:val="auto"/>
        </w:rPr>
      </w:pPr>
      <w:r>
        <w:rPr>
          <w:color w:val="auto"/>
        </w:rPr>
        <w:t>1.2符合参加政府采购活动应当具备的一般条件的承诺函</w:t>
      </w:r>
      <w:r>
        <w:rPr>
          <w:rFonts w:hint="eastAsia"/>
          <w:color w:val="auto"/>
        </w:rPr>
        <w:t>（格式详见第七章）；</w:t>
      </w:r>
    </w:p>
    <w:p>
      <w:pPr>
        <w:spacing w:line="360" w:lineRule="auto"/>
        <w:ind w:firstLine="540" w:firstLineChars="225"/>
        <w:rPr>
          <w:rFonts w:hint="eastAsia"/>
          <w:color w:val="auto"/>
        </w:rPr>
      </w:pPr>
      <w:r>
        <w:rPr>
          <w:rFonts w:hint="eastAsia"/>
          <w:color w:val="auto"/>
        </w:rPr>
        <w:t>1</w:t>
      </w:r>
      <w:r>
        <w:rPr>
          <w:color w:val="auto"/>
        </w:rPr>
        <w:t>.3落实政府采购政策需满足的资格要求：</w:t>
      </w:r>
      <w:r>
        <w:rPr>
          <w:rFonts w:hint="eastAsia" w:ascii="Segoe UI Symbol" w:hAnsi="Segoe UI Symbol" w:cs="Segoe UI Symbol"/>
          <w:color w:val="auto"/>
        </w:rPr>
        <w:t>详见公告</w:t>
      </w:r>
    </w:p>
    <w:p>
      <w:pPr>
        <w:widowControl w:val="0"/>
        <w:adjustRightInd w:val="0"/>
        <w:snapToGrid w:val="0"/>
        <w:spacing w:line="360" w:lineRule="auto"/>
        <w:ind w:firstLine="537" w:firstLineChars="224"/>
        <w:rPr>
          <w:rFonts w:ascii="Segoe UI Symbol" w:hAnsi="Segoe UI Symbol" w:cs="Segoe UI Symbol"/>
          <w:color w:val="auto"/>
        </w:rPr>
      </w:pPr>
      <w:r>
        <w:rPr>
          <w:color w:val="auto"/>
        </w:rPr>
        <w:t>1.4“本项目的特定资格要求”中规定的相关证书复印件</w:t>
      </w:r>
      <w:r>
        <w:rPr>
          <w:rFonts w:hint="eastAsia"/>
          <w:color w:val="auto"/>
        </w:rPr>
        <w:t>：</w:t>
      </w:r>
      <w:r>
        <w:rPr>
          <w:rFonts w:hint="eastAsia" w:ascii="Segoe UI Symbol" w:hAnsi="Segoe UI Symbol" w:cs="Segoe UI Symbol"/>
          <w:color w:val="auto"/>
        </w:rPr>
        <w:t>详见公告</w:t>
      </w:r>
    </w:p>
    <w:bookmarkEnd w:id="118"/>
    <w:p>
      <w:pPr>
        <w:widowControl w:val="0"/>
        <w:adjustRightInd w:val="0"/>
        <w:snapToGrid w:val="0"/>
        <w:spacing w:line="360" w:lineRule="auto"/>
        <w:ind w:firstLine="540" w:firstLineChars="224"/>
        <w:rPr>
          <w:b/>
          <w:color w:val="auto"/>
        </w:rPr>
      </w:pPr>
      <w:r>
        <w:rPr>
          <w:b/>
          <w:color w:val="auto"/>
        </w:rPr>
        <w:t>2.商务技术文件</w:t>
      </w:r>
    </w:p>
    <w:p>
      <w:pPr>
        <w:widowControl w:val="0"/>
        <w:adjustRightInd w:val="0"/>
        <w:snapToGrid w:val="0"/>
        <w:spacing w:line="360" w:lineRule="auto"/>
        <w:ind w:firstLine="537" w:firstLineChars="224"/>
        <w:rPr>
          <w:color w:val="auto"/>
        </w:rPr>
      </w:pPr>
      <w:r>
        <w:rPr>
          <w:color w:val="auto"/>
        </w:rPr>
        <w:t>2.1投标函。</w:t>
      </w:r>
    </w:p>
    <w:p>
      <w:pPr>
        <w:widowControl w:val="0"/>
        <w:adjustRightInd w:val="0"/>
        <w:snapToGrid w:val="0"/>
        <w:spacing w:line="360" w:lineRule="auto"/>
        <w:ind w:firstLine="537" w:firstLineChars="224"/>
        <w:rPr>
          <w:rFonts w:hint="eastAsia"/>
          <w:color w:val="auto"/>
        </w:rPr>
      </w:pPr>
      <w:r>
        <w:rPr>
          <w:rFonts w:hint="eastAsia"/>
          <w:color w:val="auto"/>
        </w:rPr>
        <w:t>2</w:t>
      </w:r>
      <w:r>
        <w:rPr>
          <w:color w:val="auto"/>
        </w:rPr>
        <w:t>.2法定代表人（负责人）授权委托书（法定代表人或负责人亲自参加的仅须提供身份证复印件）</w:t>
      </w:r>
      <w:r>
        <w:rPr>
          <w:rFonts w:hint="eastAsia"/>
          <w:color w:val="auto"/>
        </w:rPr>
        <w:t>。</w:t>
      </w:r>
    </w:p>
    <w:p>
      <w:pPr>
        <w:widowControl w:val="0"/>
        <w:adjustRightInd w:val="0"/>
        <w:snapToGrid w:val="0"/>
        <w:spacing w:line="360" w:lineRule="auto"/>
        <w:ind w:firstLine="537" w:firstLineChars="224"/>
        <w:rPr>
          <w:color w:val="auto"/>
        </w:rPr>
      </w:pPr>
      <w:r>
        <w:rPr>
          <w:color w:val="auto"/>
        </w:rPr>
        <w:t>2.3投标货物技术参数明细表。</w:t>
      </w:r>
    </w:p>
    <w:p>
      <w:pPr>
        <w:widowControl w:val="0"/>
        <w:adjustRightInd w:val="0"/>
        <w:snapToGrid w:val="0"/>
        <w:spacing w:line="360" w:lineRule="auto"/>
        <w:ind w:firstLine="537" w:firstLineChars="224"/>
        <w:rPr>
          <w:color w:val="auto"/>
        </w:rPr>
      </w:pPr>
      <w:r>
        <w:rPr>
          <w:color w:val="auto"/>
        </w:rPr>
        <w:t>2.4技术要求偏离表（投标人拟提供的技术要求与招标文件中的要求不一致时，则必须在《技术要求偏离表》中予以明确，否则将视为投标人完全响应招标文件的要求，并以招标文件作为合同条件。）。</w:t>
      </w:r>
    </w:p>
    <w:p>
      <w:pPr>
        <w:widowControl w:val="0"/>
        <w:adjustRightInd w:val="0"/>
        <w:snapToGrid w:val="0"/>
        <w:spacing w:line="360" w:lineRule="auto"/>
        <w:ind w:firstLine="537" w:firstLineChars="224"/>
        <w:rPr>
          <w:color w:val="auto"/>
        </w:rPr>
      </w:pPr>
      <w:r>
        <w:rPr>
          <w:color w:val="auto"/>
        </w:rPr>
        <w:t>2.5服务要求偏离表（投标人拟提供的服务要求与招标文件中的要求不一致时，则必须在《服务要求偏离表》中予以明确，否则将视为投标人完全响应招标文件的要求，并以招标文件作为合同条件。）。</w:t>
      </w:r>
    </w:p>
    <w:p>
      <w:pPr>
        <w:widowControl w:val="0"/>
        <w:adjustRightInd w:val="0"/>
        <w:snapToGrid w:val="0"/>
        <w:spacing w:line="360" w:lineRule="auto"/>
        <w:ind w:firstLine="537" w:firstLineChars="224"/>
        <w:rPr>
          <w:color w:val="auto"/>
        </w:rPr>
      </w:pPr>
      <w:r>
        <w:rPr>
          <w:color w:val="auto"/>
        </w:rPr>
        <w:t>2.6项目实施人员一览表。</w:t>
      </w:r>
    </w:p>
    <w:p>
      <w:pPr>
        <w:widowControl w:val="0"/>
        <w:adjustRightInd w:val="0"/>
        <w:snapToGrid w:val="0"/>
        <w:spacing w:line="360" w:lineRule="auto"/>
        <w:ind w:firstLine="537" w:firstLineChars="224"/>
        <w:rPr>
          <w:color w:val="auto"/>
        </w:rPr>
      </w:pPr>
      <w:r>
        <w:rPr>
          <w:color w:val="auto"/>
        </w:rPr>
        <w:t>2.7服务计划书（例：质量保证措施及承诺，服务措施及承诺，售后服务措施及承诺，其他服务措施及承诺）。</w:t>
      </w:r>
    </w:p>
    <w:p>
      <w:pPr>
        <w:widowControl w:val="0"/>
        <w:adjustRightInd w:val="0"/>
        <w:snapToGrid w:val="0"/>
        <w:spacing w:line="360" w:lineRule="auto"/>
        <w:ind w:firstLine="537" w:firstLineChars="224"/>
        <w:rPr>
          <w:color w:val="auto"/>
        </w:rPr>
      </w:pPr>
      <w:r>
        <w:rPr>
          <w:color w:val="auto"/>
        </w:rPr>
        <w:t>2.8投标人情况：</w:t>
      </w:r>
    </w:p>
    <w:p>
      <w:pPr>
        <w:widowControl w:val="0"/>
        <w:adjustRightInd w:val="0"/>
        <w:snapToGrid w:val="0"/>
        <w:spacing w:line="360" w:lineRule="auto"/>
        <w:ind w:firstLine="537" w:firstLineChars="224"/>
        <w:rPr>
          <w:color w:val="auto"/>
        </w:rPr>
      </w:pPr>
      <w:r>
        <w:rPr>
          <w:color w:val="auto"/>
        </w:rPr>
        <w:t>（1）单位简介；</w:t>
      </w:r>
    </w:p>
    <w:p>
      <w:pPr>
        <w:widowControl w:val="0"/>
        <w:adjustRightInd w:val="0"/>
        <w:snapToGrid w:val="0"/>
        <w:spacing w:line="360" w:lineRule="auto"/>
        <w:ind w:firstLine="537" w:firstLineChars="224"/>
        <w:rPr>
          <w:color w:val="auto"/>
        </w:rPr>
      </w:pPr>
      <w:r>
        <w:rPr>
          <w:color w:val="auto"/>
        </w:rPr>
        <w:t>（2）投标人的信誉、荣誉证书；（如有）</w:t>
      </w:r>
    </w:p>
    <w:p>
      <w:pPr>
        <w:widowControl w:val="0"/>
        <w:adjustRightInd w:val="0"/>
        <w:snapToGrid w:val="0"/>
        <w:spacing w:line="360" w:lineRule="auto"/>
        <w:ind w:firstLine="537" w:firstLineChars="224"/>
        <w:rPr>
          <w:rFonts w:hint="eastAsia"/>
          <w:color w:val="auto"/>
        </w:rPr>
      </w:pPr>
      <w:r>
        <w:rPr>
          <w:color w:val="auto"/>
        </w:rPr>
        <w:t>（</w:t>
      </w:r>
      <w:r>
        <w:rPr>
          <w:rFonts w:hint="eastAsia"/>
          <w:color w:val="auto"/>
        </w:rPr>
        <w:t>3</w:t>
      </w:r>
      <w:r>
        <w:rPr>
          <w:color w:val="auto"/>
        </w:rPr>
        <w:t>）投标人质量管理和质量保证体系等方面的认证证书（如有）</w:t>
      </w:r>
      <w:r>
        <w:rPr>
          <w:rFonts w:hint="eastAsia"/>
          <w:color w:val="auto"/>
        </w:rPr>
        <w:t>；</w:t>
      </w:r>
    </w:p>
    <w:p>
      <w:pPr>
        <w:widowControl w:val="0"/>
        <w:adjustRightInd w:val="0"/>
        <w:snapToGrid w:val="0"/>
        <w:spacing w:line="360" w:lineRule="auto"/>
        <w:ind w:firstLine="537" w:firstLineChars="224"/>
        <w:rPr>
          <w:rFonts w:hint="eastAsia"/>
          <w:color w:val="auto"/>
        </w:rPr>
      </w:pPr>
      <w:r>
        <w:rPr>
          <w:color w:val="auto"/>
        </w:rPr>
        <w:t>（</w:t>
      </w:r>
      <w:r>
        <w:rPr>
          <w:rFonts w:hint="eastAsia"/>
          <w:color w:val="auto"/>
        </w:rPr>
        <w:t>4</w:t>
      </w:r>
      <w:r>
        <w:rPr>
          <w:color w:val="auto"/>
        </w:rPr>
        <w:t>）同类业绩证明（如有，需提供合同复印件）</w:t>
      </w:r>
      <w:r>
        <w:rPr>
          <w:rFonts w:hint="eastAsia"/>
          <w:color w:val="auto"/>
        </w:rPr>
        <w:t>。</w:t>
      </w:r>
    </w:p>
    <w:p>
      <w:pPr>
        <w:widowControl w:val="0"/>
        <w:adjustRightInd w:val="0"/>
        <w:snapToGrid w:val="0"/>
        <w:spacing w:line="360" w:lineRule="auto"/>
        <w:ind w:firstLine="537" w:firstLineChars="224"/>
        <w:rPr>
          <w:color w:val="auto"/>
        </w:rPr>
      </w:pPr>
      <w:r>
        <w:rPr>
          <w:color w:val="auto"/>
        </w:rPr>
        <w:t>2.9评标标准相应的商务技术资料。</w:t>
      </w:r>
    </w:p>
    <w:p>
      <w:pPr>
        <w:widowControl w:val="0"/>
        <w:adjustRightInd w:val="0"/>
        <w:snapToGrid w:val="0"/>
        <w:spacing w:line="360" w:lineRule="auto"/>
        <w:ind w:firstLine="540" w:firstLineChars="224"/>
        <w:rPr>
          <w:b/>
          <w:color w:val="auto"/>
        </w:rPr>
      </w:pPr>
      <w:r>
        <w:rPr>
          <w:b/>
          <w:color w:val="auto"/>
        </w:rPr>
        <w:t>3.报价文件</w:t>
      </w:r>
    </w:p>
    <w:p>
      <w:pPr>
        <w:widowControl w:val="0"/>
        <w:adjustRightInd w:val="0"/>
        <w:snapToGrid w:val="0"/>
        <w:spacing w:line="360" w:lineRule="auto"/>
        <w:ind w:firstLine="537" w:firstLineChars="224"/>
        <w:rPr>
          <w:color w:val="auto"/>
        </w:rPr>
      </w:pPr>
      <w:r>
        <w:rPr>
          <w:color w:val="auto"/>
        </w:rPr>
        <w:t xml:space="preserve">3.1开标一览表。 </w:t>
      </w:r>
    </w:p>
    <w:p>
      <w:pPr>
        <w:widowControl w:val="0"/>
        <w:adjustRightInd w:val="0"/>
        <w:snapToGrid w:val="0"/>
        <w:spacing w:line="360" w:lineRule="auto"/>
        <w:ind w:firstLine="537" w:firstLineChars="224"/>
        <w:rPr>
          <w:color w:val="auto"/>
        </w:rPr>
      </w:pPr>
      <w:r>
        <w:rPr>
          <w:rFonts w:hint="eastAsia"/>
          <w:color w:val="auto"/>
        </w:rPr>
        <w:t>3.2</w:t>
      </w:r>
      <w:r>
        <w:rPr>
          <w:color w:val="auto"/>
        </w:rPr>
        <w:t>《中小微企业声明函》、残疾人福利性单位、监狱企业声明函（如有）。</w:t>
      </w:r>
    </w:p>
    <w:p>
      <w:pPr>
        <w:widowControl w:val="0"/>
        <w:adjustRightInd w:val="0"/>
        <w:snapToGrid w:val="0"/>
        <w:spacing w:line="360" w:lineRule="auto"/>
        <w:ind w:firstLine="540" w:firstLineChars="224"/>
        <w:rPr>
          <w:color w:val="auto"/>
        </w:rPr>
      </w:pPr>
      <w:r>
        <w:rPr>
          <w:b/>
          <w:color w:val="auto"/>
        </w:rPr>
        <w:t>资格文件和商务技术文件不得出现报价，否则作无效标处理。</w:t>
      </w:r>
    </w:p>
    <w:bookmarkEnd w:id="117"/>
    <w:p>
      <w:pPr>
        <w:widowControl w:val="0"/>
        <w:adjustRightInd w:val="0"/>
        <w:snapToGrid w:val="0"/>
        <w:spacing w:line="360" w:lineRule="auto"/>
        <w:ind w:firstLine="537" w:firstLineChars="224"/>
        <w:rPr>
          <w:color w:val="auto"/>
        </w:rPr>
      </w:pPr>
      <w:r>
        <w:rPr>
          <w:rFonts w:ascii="Segoe UI Symbol" w:hAnsi="Segoe UI Symbol" w:cs="Segoe UI Symbol"/>
          <w:color w:val="auto"/>
        </w:rPr>
        <w:t>★</w:t>
      </w:r>
      <w:r>
        <w:rPr>
          <w:color w:val="auto"/>
        </w:rPr>
        <w:t>（五）投标报价</w:t>
      </w:r>
    </w:p>
    <w:p>
      <w:pPr>
        <w:widowControl w:val="0"/>
        <w:adjustRightInd w:val="0"/>
        <w:snapToGrid w:val="0"/>
        <w:spacing w:line="360" w:lineRule="auto"/>
        <w:ind w:firstLine="537" w:firstLineChars="224"/>
        <w:rPr>
          <w:color w:val="auto"/>
        </w:rPr>
      </w:pPr>
      <w:r>
        <w:rPr>
          <w:color w:val="auto"/>
        </w:rPr>
        <w:t>1.有关本项目实施所需的所有费用（含税费）均计入报价。招标文件未列明，而投标人认为必需的费用也需列入报价。</w:t>
      </w:r>
    </w:p>
    <w:p>
      <w:pPr>
        <w:widowControl w:val="0"/>
        <w:adjustRightInd w:val="0"/>
        <w:snapToGrid w:val="0"/>
        <w:spacing w:line="360" w:lineRule="auto"/>
        <w:ind w:firstLine="537" w:firstLineChars="224"/>
        <w:rPr>
          <w:color w:val="auto"/>
        </w:rPr>
      </w:pPr>
      <w:r>
        <w:rPr>
          <w:color w:val="auto"/>
        </w:rPr>
        <w:t>2.</w:t>
      </w:r>
      <w:r>
        <w:rPr>
          <w:rFonts w:hint="eastAsia"/>
          <w:color w:val="auto"/>
        </w:rPr>
        <w:t>报价口径详见前附表</w:t>
      </w:r>
      <w:r>
        <w:rPr>
          <w:color w:val="auto"/>
        </w:rPr>
        <w:t>。</w:t>
      </w:r>
    </w:p>
    <w:p>
      <w:pPr>
        <w:widowControl w:val="0"/>
        <w:adjustRightInd w:val="0"/>
        <w:snapToGrid w:val="0"/>
        <w:spacing w:line="360" w:lineRule="auto"/>
        <w:ind w:firstLine="537" w:firstLineChars="224"/>
        <w:rPr>
          <w:color w:val="auto"/>
        </w:rPr>
      </w:pPr>
      <w:r>
        <w:rPr>
          <w:color w:val="auto"/>
        </w:rPr>
        <w:t>3.投标人根据企业内部的管理水平，结合市场综合分析后自主确定。投标人报价时需考虑以下因素：</w:t>
      </w:r>
    </w:p>
    <w:p>
      <w:pPr>
        <w:widowControl w:val="0"/>
        <w:adjustRightInd w:val="0"/>
        <w:snapToGrid w:val="0"/>
        <w:spacing w:line="360" w:lineRule="auto"/>
        <w:ind w:firstLine="537" w:firstLineChars="224"/>
        <w:rPr>
          <w:color w:val="auto"/>
        </w:rPr>
      </w:pPr>
      <w:r>
        <w:rPr>
          <w:color w:val="auto"/>
        </w:rPr>
        <w:t>3.1因国家政策性调整或市场供求关系引起的各种材料、货物的价格调整。</w:t>
      </w:r>
    </w:p>
    <w:p>
      <w:pPr>
        <w:widowControl w:val="0"/>
        <w:adjustRightInd w:val="0"/>
        <w:snapToGrid w:val="0"/>
        <w:spacing w:line="360" w:lineRule="auto"/>
        <w:ind w:firstLine="537" w:firstLineChars="224"/>
        <w:rPr>
          <w:color w:val="auto"/>
        </w:rPr>
      </w:pPr>
      <w:r>
        <w:rPr>
          <w:color w:val="auto"/>
        </w:rPr>
        <w:t>3.2其它各种风险和费用。</w:t>
      </w:r>
    </w:p>
    <w:p>
      <w:pPr>
        <w:widowControl w:val="0"/>
        <w:adjustRightInd w:val="0"/>
        <w:snapToGrid w:val="0"/>
        <w:spacing w:line="360" w:lineRule="auto"/>
        <w:ind w:firstLine="540" w:firstLineChars="224"/>
        <w:rPr>
          <w:b/>
          <w:color w:val="auto"/>
        </w:rPr>
      </w:pPr>
      <w:r>
        <w:rPr>
          <w:b/>
          <w:color w:val="auto"/>
        </w:rPr>
        <w:t>4.本次招标项目设有最高限价，超过最高限价的投标作无效标处理。</w:t>
      </w:r>
    </w:p>
    <w:p>
      <w:pPr>
        <w:widowControl w:val="0"/>
        <w:adjustRightInd w:val="0"/>
        <w:snapToGrid w:val="0"/>
        <w:spacing w:line="360" w:lineRule="auto"/>
        <w:ind w:firstLine="540" w:firstLineChars="224"/>
        <w:rPr>
          <w:b/>
          <w:bCs/>
          <w:color w:val="auto"/>
        </w:rPr>
      </w:pPr>
      <w:r>
        <w:rPr>
          <w:b/>
          <w:bCs/>
          <w:color w:val="auto"/>
        </w:rPr>
        <w:t>5.投标文件只允许有一个报价，有选择的或有条件的报价作无效标处理。</w:t>
      </w:r>
    </w:p>
    <w:p>
      <w:pPr>
        <w:adjustRightInd w:val="0"/>
        <w:snapToGrid w:val="0"/>
        <w:spacing w:line="360" w:lineRule="auto"/>
        <w:ind w:firstLine="537" w:firstLineChars="224"/>
        <w:rPr>
          <w:color w:val="auto"/>
        </w:rPr>
      </w:pPr>
      <w:r>
        <w:rPr>
          <w:color w:val="auto"/>
        </w:rPr>
        <w:t>（六）投标文件的编制</w:t>
      </w:r>
    </w:p>
    <w:p>
      <w:pPr>
        <w:widowControl w:val="0"/>
        <w:adjustRightInd w:val="0"/>
        <w:snapToGrid w:val="0"/>
        <w:spacing w:line="360" w:lineRule="auto"/>
        <w:ind w:firstLine="537" w:firstLineChars="224"/>
        <w:rPr>
          <w:color w:val="auto"/>
        </w:rPr>
      </w:pPr>
      <w:r>
        <w:rPr>
          <w:color w:val="auto"/>
        </w:rPr>
        <w:t>1.投标文件分为资格文件、商务技术文件、报价文件三部分。各投标人在编制投标文件时请参照招标文件第七</w:t>
      </w:r>
      <w:r>
        <w:rPr>
          <w:rFonts w:hint="eastAsia"/>
          <w:color w:val="auto"/>
        </w:rPr>
        <w:t>章</w:t>
      </w:r>
      <w:r>
        <w:rPr>
          <w:color w:val="auto"/>
        </w:rPr>
        <w:t>的格式进行，混乱的编排导致投标文件被误读或评标委员会查找不到有效文件是投标人的风险。</w:t>
      </w:r>
    </w:p>
    <w:p>
      <w:pPr>
        <w:widowControl w:val="0"/>
        <w:adjustRightInd w:val="0"/>
        <w:snapToGrid w:val="0"/>
        <w:spacing w:line="360" w:lineRule="auto"/>
        <w:ind w:firstLine="537" w:firstLineChars="224"/>
        <w:rPr>
          <w:color w:val="auto"/>
        </w:rPr>
      </w:pPr>
      <w:r>
        <w:rPr>
          <w:color w:val="auto"/>
        </w:rPr>
        <w:t>2.投标人进行电子投标应安装客户端软件—“政采云电子交易客户端”，并按照招标文件和电子交易平台的要求编制并加密投标文件。投标人未按规定加密的投标文件，电子交易平台将拒收并提示。</w:t>
      </w:r>
    </w:p>
    <w:p>
      <w:pPr>
        <w:widowControl w:val="0"/>
        <w:adjustRightInd w:val="0"/>
        <w:snapToGrid w:val="0"/>
        <w:spacing w:line="360" w:lineRule="auto"/>
        <w:ind w:firstLine="537" w:firstLineChars="224"/>
        <w:rPr>
          <w:color w:val="auto"/>
        </w:rPr>
      </w:pPr>
      <w:r>
        <w:rPr>
          <w:color w:val="auto"/>
        </w:rPr>
        <w:t>3.使用“政采云电子交易客户端”需要提前申领CA数字证书，申领流程请自行前往“浙江政府采购网-下载专区-电子交易客户端-CA驱动和申领流程”进行查阅。</w:t>
      </w:r>
    </w:p>
    <w:p>
      <w:pPr>
        <w:widowControl w:val="0"/>
        <w:adjustRightInd w:val="0"/>
        <w:snapToGrid w:val="0"/>
        <w:spacing w:line="360" w:lineRule="auto"/>
        <w:ind w:firstLine="537" w:firstLineChars="224"/>
        <w:rPr>
          <w:color w:val="auto"/>
        </w:rPr>
      </w:pPr>
      <w:r>
        <w:rPr>
          <w:color w:val="auto"/>
        </w:rPr>
        <w:t>（七）投标文件的签署、盖章</w:t>
      </w:r>
    </w:p>
    <w:p>
      <w:pPr>
        <w:widowControl w:val="0"/>
        <w:adjustRightInd w:val="0"/>
        <w:snapToGrid w:val="0"/>
        <w:spacing w:line="360" w:lineRule="auto"/>
        <w:ind w:firstLine="537" w:firstLineChars="224"/>
        <w:rPr>
          <w:color w:val="auto"/>
        </w:rPr>
      </w:pPr>
      <w:r>
        <w:rPr>
          <w:color w:val="auto"/>
        </w:rPr>
        <w:t>1.投标文件按照招标文件第</w:t>
      </w:r>
      <w:r>
        <w:rPr>
          <w:rFonts w:hint="eastAsia"/>
          <w:color w:val="auto"/>
        </w:rPr>
        <w:t>七章</w:t>
      </w:r>
      <w:r>
        <w:rPr>
          <w:color w:val="auto"/>
        </w:rPr>
        <w:t>格式要求进行签署、盖章。</w:t>
      </w:r>
      <w:r>
        <w:rPr>
          <w:rFonts w:ascii="Segoe UI Symbol" w:hAnsi="Segoe UI Symbol" w:cs="Segoe UI Symbol"/>
          <w:b/>
          <w:bCs/>
          <w:color w:val="auto"/>
        </w:rPr>
        <w:t>★</w:t>
      </w:r>
      <w:r>
        <w:rPr>
          <w:b/>
          <w:bCs/>
          <w:color w:val="auto"/>
        </w:rPr>
        <w:t>投标人的投标文件未按照招标文件要求签署、盖章的，其投标无效。</w:t>
      </w:r>
    </w:p>
    <w:p>
      <w:pPr>
        <w:widowControl w:val="0"/>
        <w:adjustRightInd w:val="0"/>
        <w:snapToGrid w:val="0"/>
        <w:spacing w:line="360" w:lineRule="auto"/>
        <w:ind w:firstLine="537" w:firstLineChars="224"/>
        <w:rPr>
          <w:color w:val="auto"/>
        </w:rPr>
      </w:pPr>
      <w:r>
        <w:rPr>
          <w:color w:val="auto"/>
        </w:rPr>
        <w:t>2.为确保网上操作合法、有效和安全，投标人应当在投标截止时间前完成在“政府采购云平台”的身份认证，确保在电子投标过程中能够对相关数据电文进行加密和使用电子签名。</w:t>
      </w:r>
    </w:p>
    <w:p>
      <w:pPr>
        <w:widowControl w:val="0"/>
        <w:adjustRightInd w:val="0"/>
        <w:snapToGrid w:val="0"/>
        <w:spacing w:line="360" w:lineRule="auto"/>
        <w:ind w:firstLine="537" w:firstLineChars="224"/>
        <w:rPr>
          <w:rFonts w:hint="eastAsia"/>
          <w:color w:val="auto"/>
        </w:rPr>
      </w:pPr>
      <w:r>
        <w:rPr>
          <w:color w:val="auto"/>
        </w:rPr>
        <w:t>3.招标文件对投标文件签署、盖章的要求适用于电子签名。</w:t>
      </w:r>
    </w:p>
    <w:p>
      <w:pPr>
        <w:widowControl w:val="0"/>
        <w:adjustRightInd w:val="0"/>
        <w:snapToGrid w:val="0"/>
        <w:spacing w:line="360" w:lineRule="auto"/>
        <w:ind w:firstLine="537" w:firstLineChars="224"/>
        <w:rPr>
          <w:color w:val="auto"/>
        </w:rPr>
      </w:pPr>
      <w:bookmarkStart w:id="119" w:name="_Hlk93998502"/>
      <w:r>
        <w:rPr>
          <w:color w:val="auto"/>
        </w:rPr>
        <w:t>（八） 投标文件的提交、补充、修改、撤回</w:t>
      </w:r>
    </w:p>
    <w:p>
      <w:pPr>
        <w:widowControl w:val="0"/>
        <w:adjustRightInd w:val="0"/>
        <w:snapToGrid w:val="0"/>
        <w:spacing w:line="360" w:lineRule="auto"/>
        <w:ind w:firstLine="537" w:firstLineChars="224"/>
        <w:rPr>
          <w:color w:val="auto"/>
        </w:rPr>
      </w:pPr>
      <w:r>
        <w:rPr>
          <w:color w:val="auto"/>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val="0"/>
        <w:adjustRightInd w:val="0"/>
        <w:snapToGrid w:val="0"/>
        <w:spacing w:line="360" w:lineRule="auto"/>
        <w:ind w:firstLine="537" w:firstLineChars="224"/>
        <w:rPr>
          <w:color w:val="auto"/>
        </w:rPr>
      </w:pPr>
      <w:r>
        <w:rPr>
          <w:color w:val="auto"/>
        </w:rPr>
        <w:t>2.电子交易平台收到投标文件，将妥善保存并即时向供应商发出确认回执通知。在投标截止时间前，除供应商补充、修改或者撤回投标文件外，任何单位和个人不得解密或提取投标文件。</w:t>
      </w:r>
    </w:p>
    <w:p>
      <w:pPr>
        <w:widowControl w:val="0"/>
        <w:adjustRightInd w:val="0"/>
        <w:snapToGrid w:val="0"/>
        <w:spacing w:line="360" w:lineRule="auto"/>
        <w:ind w:firstLine="537" w:firstLineChars="224"/>
        <w:rPr>
          <w:color w:val="auto"/>
        </w:rPr>
      </w:pPr>
      <w:r>
        <w:rPr>
          <w:color w:val="auto"/>
        </w:rPr>
        <w:t>3.采购人、采购代理机构可以视情况延长投标文件提交的截止时间。</w:t>
      </w:r>
    </w:p>
    <w:bookmarkEnd w:id="119"/>
    <w:p>
      <w:pPr>
        <w:widowControl w:val="0"/>
        <w:adjustRightInd w:val="0"/>
        <w:snapToGrid w:val="0"/>
        <w:spacing w:line="360" w:lineRule="auto"/>
        <w:ind w:firstLine="537" w:firstLineChars="224"/>
        <w:rPr>
          <w:color w:val="auto"/>
        </w:rPr>
      </w:pPr>
      <w:r>
        <w:rPr>
          <w:color w:val="auto"/>
        </w:rPr>
        <w:t>（九）备份投标文件</w:t>
      </w:r>
    </w:p>
    <w:p>
      <w:pPr>
        <w:widowControl w:val="0"/>
        <w:adjustRightInd w:val="0"/>
        <w:snapToGrid w:val="0"/>
        <w:spacing w:line="360" w:lineRule="auto"/>
        <w:ind w:firstLine="537" w:firstLineChars="224"/>
        <w:rPr>
          <w:b/>
          <w:bCs/>
          <w:color w:val="auto"/>
        </w:rPr>
      </w:pPr>
      <w:r>
        <w:rPr>
          <w:color w:val="auto"/>
        </w:rPr>
        <w:t>1.投标人在电子交易平台传输递交投标文件后，可自行选择</w:t>
      </w:r>
      <w:r>
        <w:rPr>
          <w:rFonts w:hint="eastAsia"/>
          <w:color w:val="auto"/>
        </w:rPr>
        <w:t>是否递交备份电子投标文件，递交事项详见前附表</w:t>
      </w:r>
      <w:r>
        <w:rPr>
          <w:color w:val="auto"/>
        </w:rPr>
        <w:t>。</w:t>
      </w:r>
      <w:r>
        <w:rPr>
          <w:b/>
          <w:bCs/>
          <w:color w:val="auto"/>
          <w:kern w:val="2"/>
        </w:rPr>
        <w:t>“电子备份投标文件”为非强制性要求，但如遇投标人未按时解密成功且未提供“电子备份投标文件”的，作投标无效处理，后果由投标人自负。</w:t>
      </w:r>
    </w:p>
    <w:p>
      <w:pPr>
        <w:widowControl w:val="0"/>
        <w:adjustRightInd w:val="0"/>
        <w:snapToGrid w:val="0"/>
        <w:spacing w:line="360" w:lineRule="auto"/>
        <w:ind w:firstLine="540" w:firstLineChars="224"/>
        <w:rPr>
          <w:color w:val="auto"/>
        </w:rPr>
      </w:pPr>
      <w:r>
        <w:rPr>
          <w:b/>
          <w:color w:val="auto"/>
        </w:rPr>
        <w:t>2.投标人仅提交</w:t>
      </w:r>
      <w:r>
        <w:rPr>
          <w:rFonts w:hint="eastAsia"/>
          <w:b/>
          <w:color w:val="auto"/>
        </w:rPr>
        <w:t>电子</w:t>
      </w:r>
      <w:r>
        <w:rPr>
          <w:b/>
          <w:color w:val="auto"/>
        </w:rPr>
        <w:t>备份投标文件，没有在电子交易平台传输递交投标文件的，投标无效。</w:t>
      </w:r>
    </w:p>
    <w:p>
      <w:pPr>
        <w:widowControl w:val="0"/>
        <w:adjustRightInd w:val="0"/>
        <w:snapToGrid w:val="0"/>
        <w:spacing w:line="360" w:lineRule="auto"/>
        <w:ind w:firstLine="537" w:firstLineChars="224"/>
        <w:rPr>
          <w:color w:val="auto"/>
        </w:rPr>
      </w:pPr>
      <w:r>
        <w:rPr>
          <w:color w:val="auto"/>
        </w:rPr>
        <w:t>（十）投标有效期</w:t>
      </w:r>
    </w:p>
    <w:p>
      <w:pPr>
        <w:widowControl w:val="0"/>
        <w:adjustRightInd w:val="0"/>
        <w:snapToGrid w:val="0"/>
        <w:spacing w:line="360" w:lineRule="auto"/>
        <w:ind w:firstLine="537" w:firstLineChars="224"/>
        <w:rPr>
          <w:color w:val="auto"/>
        </w:rPr>
      </w:pPr>
      <w:r>
        <w:rPr>
          <w:color w:val="auto"/>
        </w:rPr>
        <w:t>1.自投标截止日起90天投标文件应保持有效。</w:t>
      </w:r>
      <w:r>
        <w:rPr>
          <w:b/>
          <w:color w:val="auto"/>
        </w:rPr>
        <w:t>投标人的投标文件中承诺的投标有效期少于招标文件中载明的投标有效期的，投标无效。</w:t>
      </w:r>
    </w:p>
    <w:p>
      <w:pPr>
        <w:snapToGrid w:val="0"/>
        <w:spacing w:line="360" w:lineRule="auto"/>
        <w:ind w:firstLine="480" w:firstLineChars="200"/>
        <w:rPr>
          <w:color w:val="auto"/>
        </w:rPr>
      </w:pPr>
      <w:r>
        <w:rPr>
          <w:color w:val="auto"/>
        </w:rPr>
        <w:t>2.投标文件合格投递后，自投标截止日期起，在投标有效期内有效。</w:t>
      </w:r>
    </w:p>
    <w:p>
      <w:pPr>
        <w:snapToGrid w:val="0"/>
        <w:spacing w:line="360" w:lineRule="auto"/>
        <w:ind w:firstLine="480" w:firstLineChars="200"/>
        <w:rPr>
          <w:color w:val="auto"/>
        </w:rPr>
      </w:pPr>
      <w:r>
        <w:rPr>
          <w:color w:val="auto"/>
        </w:rPr>
        <w:t>3.在原定投标有效期满之前，如果出现特殊情况，采购代理机构可以以书面形式通知投标人延长投标有效期。投标人同意延长的，不得要求或被允许修改其投标文件，投标人拒绝延长的，其投标无效。</w:t>
      </w:r>
    </w:p>
    <w:p>
      <w:pPr>
        <w:widowControl w:val="0"/>
        <w:adjustRightInd w:val="0"/>
        <w:snapToGrid w:val="0"/>
        <w:spacing w:line="360" w:lineRule="auto"/>
        <w:ind w:firstLine="540" w:firstLineChars="224"/>
        <w:rPr>
          <w:b/>
          <w:bCs/>
          <w:color w:val="auto"/>
        </w:rPr>
      </w:pPr>
      <w:r>
        <w:rPr>
          <w:b/>
          <w:bCs/>
          <w:color w:val="auto"/>
        </w:rPr>
        <w:t>（十一）投标无效的情形</w:t>
      </w:r>
    </w:p>
    <w:p>
      <w:pPr>
        <w:pStyle w:val="21"/>
        <w:snapToGrid w:val="0"/>
        <w:spacing w:line="360" w:lineRule="auto"/>
        <w:ind w:firstLine="470" w:firstLineChars="196"/>
        <w:rPr>
          <w:rFonts w:eastAsia="宋体"/>
          <w:color w:val="auto"/>
        </w:rPr>
      </w:pPr>
      <w:r>
        <w:rPr>
          <w:rFonts w:eastAsia="宋体"/>
          <w:color w:val="auto"/>
        </w:rPr>
        <w:t>1.投标人不具备招标文件中规定的资格要求的（投标人未提供有效的资格文件的，视为投标人不具备招标文件中规定的资格要求）；</w:t>
      </w:r>
    </w:p>
    <w:p>
      <w:pPr>
        <w:pStyle w:val="21"/>
        <w:snapToGrid w:val="0"/>
        <w:spacing w:line="360" w:lineRule="auto"/>
        <w:ind w:firstLine="470" w:firstLineChars="196"/>
        <w:rPr>
          <w:rFonts w:eastAsia="宋体"/>
          <w:color w:val="auto"/>
        </w:rPr>
      </w:pPr>
      <w:r>
        <w:rPr>
          <w:rFonts w:eastAsia="宋体"/>
          <w:color w:val="auto"/>
        </w:rPr>
        <w:t>2.投标人仅提交备份投标文件，没有在电子交易平台传输递交投标文件的；</w:t>
      </w:r>
    </w:p>
    <w:p>
      <w:pPr>
        <w:pStyle w:val="21"/>
        <w:snapToGrid w:val="0"/>
        <w:spacing w:line="360" w:lineRule="auto"/>
        <w:ind w:firstLine="470" w:firstLineChars="196"/>
        <w:rPr>
          <w:rFonts w:eastAsia="宋体"/>
          <w:color w:val="auto"/>
        </w:rPr>
      </w:pPr>
      <w:r>
        <w:rPr>
          <w:rFonts w:eastAsia="宋体"/>
          <w:color w:val="auto"/>
        </w:rPr>
        <w:t>3.投标文件未按照招标文件要求签署、盖章的；</w:t>
      </w:r>
    </w:p>
    <w:p>
      <w:pPr>
        <w:pStyle w:val="21"/>
        <w:snapToGrid w:val="0"/>
        <w:spacing w:line="360" w:lineRule="auto"/>
        <w:ind w:firstLine="470" w:firstLineChars="196"/>
        <w:rPr>
          <w:rFonts w:eastAsia="宋体"/>
          <w:color w:val="auto"/>
        </w:rPr>
      </w:pPr>
      <w:r>
        <w:rPr>
          <w:rFonts w:eastAsia="宋体"/>
          <w:color w:val="auto"/>
        </w:rPr>
        <w:t>4.投标文件不满足招标文件的实质性要求的；</w:t>
      </w:r>
    </w:p>
    <w:p>
      <w:pPr>
        <w:pStyle w:val="21"/>
        <w:snapToGrid w:val="0"/>
        <w:spacing w:line="360" w:lineRule="auto"/>
        <w:ind w:firstLine="470" w:firstLineChars="196"/>
        <w:rPr>
          <w:rFonts w:eastAsia="宋体"/>
          <w:color w:val="auto"/>
        </w:rPr>
      </w:pPr>
      <w:r>
        <w:rPr>
          <w:rFonts w:eastAsia="宋体"/>
          <w:color w:val="auto"/>
        </w:rPr>
        <w:t>5.允许偏离的技术、性能指标或者辅助功能项目发生负偏离与招标文件的要求存在差异并严重影响项目实施的，经评标委员会集体（少数服从多数原则）认定确属的；</w:t>
      </w:r>
    </w:p>
    <w:p>
      <w:pPr>
        <w:pStyle w:val="21"/>
        <w:snapToGrid w:val="0"/>
        <w:spacing w:line="360" w:lineRule="auto"/>
        <w:ind w:firstLine="470" w:firstLineChars="196"/>
        <w:rPr>
          <w:rFonts w:eastAsia="宋体"/>
          <w:color w:val="auto"/>
        </w:rPr>
      </w:pPr>
      <w:r>
        <w:rPr>
          <w:rFonts w:eastAsia="宋体"/>
          <w:color w:val="auto"/>
        </w:rPr>
        <w:t>6.投标方案不明确，存在一个或一个以上备选（替代）投标方案的；</w:t>
      </w:r>
    </w:p>
    <w:p>
      <w:pPr>
        <w:pStyle w:val="21"/>
        <w:snapToGrid w:val="0"/>
        <w:spacing w:line="360" w:lineRule="auto"/>
        <w:ind w:firstLine="470" w:firstLineChars="196"/>
        <w:rPr>
          <w:rFonts w:eastAsia="宋体"/>
          <w:color w:val="auto"/>
        </w:rPr>
      </w:pPr>
      <w:r>
        <w:rPr>
          <w:rFonts w:eastAsia="宋体"/>
          <w:color w:val="auto"/>
        </w:rPr>
        <w:t>7.投标人提供虚假材料投标的（包括中标后发现的）；</w:t>
      </w:r>
    </w:p>
    <w:p>
      <w:pPr>
        <w:pStyle w:val="21"/>
        <w:snapToGrid w:val="0"/>
        <w:spacing w:line="360" w:lineRule="auto"/>
        <w:ind w:firstLine="470" w:firstLineChars="196"/>
        <w:rPr>
          <w:rFonts w:eastAsia="宋体"/>
          <w:color w:val="auto"/>
        </w:rPr>
      </w:pPr>
      <w:r>
        <w:rPr>
          <w:rFonts w:eastAsia="宋体"/>
          <w:color w:val="auto"/>
        </w:rPr>
        <w:t>8.投标人所提供的样品（如有）参数与其投标文件承诺参数明显不符的；</w:t>
      </w:r>
    </w:p>
    <w:p>
      <w:pPr>
        <w:pStyle w:val="21"/>
        <w:snapToGrid w:val="0"/>
        <w:spacing w:line="360" w:lineRule="auto"/>
        <w:ind w:firstLine="470" w:firstLineChars="196"/>
        <w:rPr>
          <w:rFonts w:eastAsia="宋体"/>
          <w:color w:val="auto"/>
        </w:rPr>
      </w:pPr>
      <w:r>
        <w:rPr>
          <w:rFonts w:eastAsia="宋体"/>
          <w:color w:val="auto"/>
        </w:rPr>
        <w:t>9.投标文件有采购人不能接受的附加条件的；</w:t>
      </w:r>
    </w:p>
    <w:p>
      <w:pPr>
        <w:pStyle w:val="21"/>
        <w:snapToGrid w:val="0"/>
        <w:spacing w:line="360" w:lineRule="auto"/>
        <w:ind w:firstLine="470" w:firstLineChars="196"/>
        <w:rPr>
          <w:rFonts w:eastAsia="宋体"/>
          <w:color w:val="auto"/>
        </w:rPr>
      </w:pPr>
      <w:r>
        <w:rPr>
          <w:rFonts w:eastAsia="宋体"/>
          <w:color w:val="auto"/>
        </w:rPr>
        <w:t>10.资格文件或商务技术文件中包含有本次投标报价内容的；</w:t>
      </w:r>
    </w:p>
    <w:p>
      <w:pPr>
        <w:pStyle w:val="21"/>
        <w:snapToGrid w:val="0"/>
        <w:spacing w:line="360" w:lineRule="auto"/>
        <w:ind w:firstLine="470" w:firstLineChars="196"/>
        <w:rPr>
          <w:rFonts w:eastAsia="宋体"/>
          <w:color w:val="auto"/>
        </w:rPr>
      </w:pPr>
      <w:r>
        <w:rPr>
          <w:rFonts w:eastAsia="宋体"/>
          <w:color w:val="auto"/>
        </w:rPr>
        <w:t>11.投标报价未按照招标文件标明报价口径进行报价的；</w:t>
      </w:r>
    </w:p>
    <w:p>
      <w:pPr>
        <w:pStyle w:val="21"/>
        <w:snapToGrid w:val="0"/>
        <w:spacing w:line="360" w:lineRule="auto"/>
        <w:ind w:firstLine="470" w:firstLineChars="196"/>
        <w:rPr>
          <w:rFonts w:eastAsia="宋体"/>
          <w:color w:val="auto"/>
        </w:rPr>
      </w:pPr>
      <w:r>
        <w:rPr>
          <w:rFonts w:eastAsia="宋体"/>
          <w:color w:val="auto"/>
        </w:rPr>
        <w:t>12.投标报价超出最高限价，或者超出采购预算金额，采购人不能支付的；</w:t>
      </w:r>
    </w:p>
    <w:p>
      <w:pPr>
        <w:pStyle w:val="21"/>
        <w:snapToGrid w:val="0"/>
        <w:spacing w:line="360" w:lineRule="auto"/>
        <w:rPr>
          <w:rFonts w:eastAsia="宋体"/>
          <w:color w:val="auto"/>
        </w:rPr>
      </w:pPr>
      <w:r>
        <w:rPr>
          <w:rFonts w:eastAsia="宋体"/>
          <w:color w:val="auto"/>
        </w:rPr>
        <w:t>13.投标报价具有选择性，投标人在一套投标文件中对同一项目有二个或多个报价，且未声明哪个有效的；</w:t>
      </w:r>
    </w:p>
    <w:p>
      <w:pPr>
        <w:pStyle w:val="21"/>
        <w:snapToGrid w:val="0"/>
        <w:spacing w:line="360" w:lineRule="auto"/>
        <w:rPr>
          <w:rFonts w:eastAsia="宋体"/>
          <w:color w:val="auto"/>
        </w:rPr>
      </w:pPr>
      <w:r>
        <w:rPr>
          <w:rFonts w:eastAsia="宋体"/>
          <w:color w:val="auto"/>
        </w:rPr>
        <w:t>14.投标报价出现计算或表达上的错误，投标人拒绝修正的；</w:t>
      </w:r>
    </w:p>
    <w:p>
      <w:pPr>
        <w:pStyle w:val="21"/>
        <w:snapToGrid w:val="0"/>
        <w:spacing w:line="360" w:lineRule="auto"/>
        <w:rPr>
          <w:rFonts w:eastAsia="宋体"/>
          <w:color w:val="auto"/>
        </w:rPr>
      </w:pPr>
      <w:r>
        <w:rPr>
          <w:rFonts w:eastAsia="宋体"/>
          <w:color w:val="auto"/>
        </w:rPr>
        <w:t>15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21"/>
        <w:snapToGrid w:val="0"/>
        <w:spacing w:line="360" w:lineRule="auto"/>
        <w:ind w:firstLine="470" w:firstLineChars="196"/>
        <w:rPr>
          <w:rFonts w:eastAsia="宋体"/>
          <w:color w:val="auto"/>
        </w:rPr>
      </w:pPr>
      <w:r>
        <w:rPr>
          <w:rFonts w:eastAsia="宋体"/>
          <w:color w:val="auto"/>
        </w:rPr>
        <w:t>16.不符合法律、法规规定的其他要求的。</w:t>
      </w:r>
    </w:p>
    <w:p>
      <w:pPr>
        <w:pStyle w:val="21"/>
        <w:snapToGrid w:val="0"/>
        <w:spacing w:line="360" w:lineRule="auto"/>
        <w:ind w:firstLine="472" w:firstLineChars="196"/>
        <w:rPr>
          <w:rFonts w:eastAsia="宋体"/>
          <w:b/>
          <w:bCs/>
          <w:color w:val="auto"/>
        </w:rPr>
      </w:pPr>
      <w:r>
        <w:rPr>
          <w:rFonts w:eastAsia="宋体"/>
          <w:b/>
          <w:bCs/>
          <w:color w:val="auto"/>
        </w:rPr>
        <w:t>（十二）废标</w:t>
      </w:r>
    </w:p>
    <w:p>
      <w:pPr>
        <w:pStyle w:val="21"/>
        <w:snapToGrid w:val="0"/>
        <w:spacing w:line="360" w:lineRule="auto"/>
        <w:rPr>
          <w:rFonts w:eastAsia="宋体"/>
          <w:color w:val="auto"/>
        </w:rPr>
      </w:pPr>
      <w:r>
        <w:rPr>
          <w:rFonts w:hint="eastAsia" w:eastAsia="宋体"/>
          <w:color w:val="auto"/>
        </w:rPr>
        <w:t>1</w:t>
      </w:r>
      <w:r>
        <w:rPr>
          <w:rFonts w:eastAsia="宋体"/>
          <w:color w:val="auto"/>
        </w:rPr>
        <w:t>.根据《中华人民共和国政府采购法》第三十六条之规定，在采购中，出现下列情形之一的，应予废标：</w:t>
      </w:r>
    </w:p>
    <w:p>
      <w:pPr>
        <w:pStyle w:val="21"/>
        <w:snapToGrid w:val="0"/>
        <w:spacing w:line="360" w:lineRule="auto"/>
        <w:rPr>
          <w:rFonts w:eastAsia="宋体"/>
          <w:color w:val="auto"/>
        </w:rPr>
      </w:pPr>
      <w:r>
        <w:rPr>
          <w:rFonts w:eastAsia="宋体"/>
          <w:color w:val="auto"/>
        </w:rPr>
        <w:t>1.1符合专业条件的供应商或者对招标文件作实质响应的供应商不足3家的；</w:t>
      </w:r>
    </w:p>
    <w:p>
      <w:pPr>
        <w:pStyle w:val="21"/>
        <w:snapToGrid w:val="0"/>
        <w:spacing w:line="360" w:lineRule="auto"/>
        <w:rPr>
          <w:rFonts w:eastAsia="宋体"/>
          <w:color w:val="auto"/>
        </w:rPr>
      </w:pPr>
      <w:r>
        <w:rPr>
          <w:rFonts w:eastAsia="宋体"/>
          <w:color w:val="auto"/>
        </w:rPr>
        <w:t>1.2出现影响采购公正的违法、违规行为的；</w:t>
      </w:r>
    </w:p>
    <w:p>
      <w:pPr>
        <w:pStyle w:val="21"/>
        <w:snapToGrid w:val="0"/>
        <w:spacing w:line="360" w:lineRule="auto"/>
        <w:rPr>
          <w:rFonts w:eastAsia="宋体"/>
          <w:color w:val="auto"/>
        </w:rPr>
      </w:pPr>
      <w:r>
        <w:rPr>
          <w:rFonts w:eastAsia="宋体"/>
          <w:color w:val="auto"/>
        </w:rPr>
        <w:t>1.3投标人的报价均超过了采购预算，采购人不能支付的；</w:t>
      </w:r>
    </w:p>
    <w:p>
      <w:pPr>
        <w:pStyle w:val="21"/>
        <w:snapToGrid w:val="0"/>
        <w:spacing w:line="360" w:lineRule="auto"/>
        <w:rPr>
          <w:rFonts w:eastAsia="宋体"/>
          <w:color w:val="auto"/>
        </w:rPr>
      </w:pPr>
      <w:r>
        <w:rPr>
          <w:rFonts w:eastAsia="宋体"/>
          <w:color w:val="auto"/>
        </w:rPr>
        <w:t>1.4因重大变故，采购任务取消的。</w:t>
      </w:r>
    </w:p>
    <w:p>
      <w:pPr>
        <w:pStyle w:val="21"/>
        <w:snapToGrid w:val="0"/>
        <w:spacing w:line="360" w:lineRule="auto"/>
        <w:rPr>
          <w:rFonts w:eastAsia="宋体"/>
          <w:color w:val="auto"/>
        </w:rPr>
      </w:pPr>
      <w:r>
        <w:rPr>
          <w:rFonts w:eastAsia="宋体"/>
          <w:color w:val="auto"/>
        </w:rPr>
        <w:t>废标后，采购代理机构应当将废标理由通知所有投标人。</w:t>
      </w:r>
    </w:p>
    <w:p>
      <w:pPr>
        <w:pStyle w:val="25"/>
        <w:widowControl w:val="0"/>
        <w:adjustRightInd w:val="0"/>
        <w:snapToGrid w:val="0"/>
        <w:spacing w:before="0" w:beforeAutospacing="0" w:after="0" w:afterAutospacing="0" w:line="360" w:lineRule="auto"/>
        <w:ind w:firstLine="480" w:firstLineChars="200"/>
        <w:rPr>
          <w:rFonts w:ascii="Times New Roman" w:hAnsi="Times New Roman"/>
          <w:color w:val="auto"/>
        </w:rPr>
      </w:pPr>
      <w:r>
        <w:rPr>
          <w:rFonts w:ascii="Times New Roman" w:hAnsi="Times New Roman"/>
          <w:color w:val="auto"/>
        </w:rPr>
        <w:t>2.除采购任务取消情形外，按照以下方式处理：</w:t>
      </w:r>
    </w:p>
    <w:p>
      <w:pPr>
        <w:pStyle w:val="25"/>
        <w:widowControl w:val="0"/>
        <w:adjustRightInd w:val="0"/>
        <w:snapToGrid w:val="0"/>
        <w:spacing w:before="0" w:beforeAutospacing="0" w:after="0" w:afterAutospacing="0" w:line="360" w:lineRule="auto"/>
        <w:ind w:firstLine="480" w:firstLineChars="200"/>
        <w:rPr>
          <w:rFonts w:ascii="Times New Roman" w:hAnsi="Times New Roman"/>
          <w:color w:val="auto"/>
        </w:rPr>
      </w:pPr>
      <w:r>
        <w:rPr>
          <w:rFonts w:ascii="Times New Roman" w:hAnsi="Times New Roman"/>
          <w:color w:val="auto"/>
        </w:rPr>
        <w:t>2.1招标文件存在不合理条款或者招标程序不符合规定的，改正后依法重新招标；</w:t>
      </w:r>
    </w:p>
    <w:p>
      <w:pPr>
        <w:pStyle w:val="25"/>
        <w:widowControl w:val="0"/>
        <w:adjustRightInd w:val="0"/>
        <w:snapToGrid w:val="0"/>
        <w:spacing w:before="0" w:beforeAutospacing="0" w:after="0" w:afterAutospacing="0" w:line="360" w:lineRule="auto"/>
        <w:ind w:firstLine="480" w:firstLineChars="200"/>
        <w:rPr>
          <w:rFonts w:hint="eastAsia" w:ascii="Times New Roman" w:hAnsi="Times New Roman"/>
          <w:color w:val="auto"/>
        </w:rPr>
      </w:pPr>
      <w:r>
        <w:rPr>
          <w:rFonts w:ascii="Times New Roman" w:hAnsi="Times New Roman"/>
          <w:color w:val="auto"/>
        </w:rPr>
        <w:t>2.2招标文件没有不合理条款、招标程序符合规定，需要采用其他采购方式采购的，采购人应当依法报财政部门批准。</w:t>
      </w:r>
    </w:p>
    <w:p>
      <w:pPr>
        <w:pStyle w:val="21"/>
        <w:snapToGrid w:val="0"/>
        <w:spacing w:line="360" w:lineRule="auto"/>
        <w:ind w:firstLine="482"/>
        <w:rPr>
          <w:rFonts w:eastAsia="宋体"/>
          <w:b/>
          <w:bCs/>
          <w:color w:val="auto"/>
        </w:rPr>
      </w:pPr>
      <w:r>
        <w:rPr>
          <w:rFonts w:eastAsia="宋体"/>
          <w:b/>
          <w:bCs/>
          <w:color w:val="auto"/>
        </w:rPr>
        <w:t>（十三）修改招标文件，重新组织采购活动</w:t>
      </w:r>
    </w:p>
    <w:p>
      <w:pPr>
        <w:pStyle w:val="21"/>
        <w:snapToGrid w:val="0"/>
        <w:spacing w:line="360" w:lineRule="auto"/>
        <w:rPr>
          <w:rFonts w:eastAsia="宋体"/>
          <w:color w:val="auto"/>
        </w:rPr>
      </w:pPr>
      <w:r>
        <w:rPr>
          <w:rFonts w:eastAsia="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1"/>
        <w:snapToGrid w:val="0"/>
        <w:spacing w:line="360" w:lineRule="auto"/>
        <w:ind w:firstLine="590" w:firstLineChars="245"/>
        <w:rPr>
          <w:rFonts w:eastAsia="宋体"/>
          <w:b/>
          <w:color w:val="auto"/>
        </w:rPr>
      </w:pPr>
      <w:r>
        <w:rPr>
          <w:rFonts w:eastAsia="宋体"/>
          <w:b/>
          <w:bCs/>
          <w:color w:val="auto"/>
        </w:rPr>
        <w:t>（十四）重新开展采购</w:t>
      </w:r>
    </w:p>
    <w:p>
      <w:pPr>
        <w:pStyle w:val="21"/>
        <w:snapToGrid w:val="0"/>
        <w:spacing w:line="360" w:lineRule="auto"/>
        <w:rPr>
          <w:rFonts w:eastAsia="宋体"/>
          <w:color w:val="auto"/>
        </w:rPr>
      </w:pPr>
      <w:r>
        <w:rPr>
          <w:rFonts w:eastAsia="宋体"/>
          <w:color w:val="auto"/>
        </w:rPr>
        <w:t>有政府采购法第七十一条、第七十二条规定的违法行为之一，影响或者可能影响中标、成交结果的，依照下列规定处理：</w:t>
      </w:r>
    </w:p>
    <w:p>
      <w:pPr>
        <w:pStyle w:val="21"/>
        <w:snapToGrid w:val="0"/>
        <w:spacing w:line="360" w:lineRule="auto"/>
        <w:rPr>
          <w:rFonts w:eastAsia="宋体"/>
          <w:color w:val="auto"/>
        </w:rPr>
      </w:pPr>
      <w:r>
        <w:rPr>
          <w:rFonts w:eastAsia="宋体"/>
          <w:color w:val="auto"/>
        </w:rPr>
        <w:t>1.未确定中标或者中标人的，终止本次政府采购活动，重新开展政府采购活动。</w:t>
      </w:r>
    </w:p>
    <w:p>
      <w:pPr>
        <w:pStyle w:val="21"/>
        <w:snapToGrid w:val="0"/>
        <w:spacing w:line="360" w:lineRule="auto"/>
        <w:rPr>
          <w:rFonts w:eastAsia="宋体"/>
          <w:color w:val="auto"/>
        </w:rPr>
      </w:pPr>
      <w:r>
        <w:rPr>
          <w:rFonts w:eastAsia="宋体"/>
          <w:color w:val="auto"/>
        </w:rPr>
        <w:t>2.已确定中标或者中标人但尚未签订政府采购合同的，中标或者成交结果无效，从合格的中标或者成交候选人中另行确定中标或者中标人；没有合格的中标或者成交候选人的，重新开展政府采购活动。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360" w:lineRule="auto"/>
        <w:rPr>
          <w:rFonts w:eastAsia="宋体"/>
          <w:color w:val="auto"/>
        </w:rPr>
      </w:pPr>
      <w:r>
        <w:rPr>
          <w:rFonts w:eastAsia="宋体"/>
          <w:color w:val="auto"/>
        </w:rPr>
        <w:t>3.政府采购合同已签订但尚未履行的，撤销合同，从合格的中标或者成交候选人中另行确定中标或者中标人；没有合格的中标或者成交候选人的，重新开展政府采购活动。</w:t>
      </w:r>
    </w:p>
    <w:p>
      <w:pPr>
        <w:pStyle w:val="21"/>
        <w:snapToGrid w:val="0"/>
        <w:spacing w:line="360" w:lineRule="auto"/>
        <w:rPr>
          <w:rFonts w:eastAsia="宋体"/>
          <w:color w:val="auto"/>
        </w:rPr>
      </w:pPr>
      <w:r>
        <w:rPr>
          <w:rFonts w:eastAsia="宋体"/>
          <w:color w:val="auto"/>
        </w:rPr>
        <w:t>4.政府采购合同已经履行，给采购人、供应商造成损失的，由责任人承担赔偿责任。</w:t>
      </w:r>
    </w:p>
    <w:p>
      <w:pPr>
        <w:pStyle w:val="21"/>
        <w:snapToGrid w:val="0"/>
        <w:spacing w:line="360" w:lineRule="auto"/>
        <w:rPr>
          <w:rFonts w:hint="eastAsia" w:eastAsia="宋体"/>
          <w:color w:val="auto"/>
        </w:rPr>
      </w:pPr>
      <w:r>
        <w:rPr>
          <w:rFonts w:eastAsia="宋体"/>
          <w:color w:val="auto"/>
        </w:rPr>
        <w:t>5.政府采购当事人有其他违反政府采购法或者政府采购法实施条例等法律法规规定的行为，经改正后仍然影响或者可能影响中标、成交结果或者依法被认定为中标、成交无效的，依照1-4规定处理。</w:t>
      </w:r>
    </w:p>
    <w:p>
      <w:pPr>
        <w:pStyle w:val="21"/>
        <w:snapToGrid w:val="0"/>
        <w:spacing w:line="360" w:lineRule="auto"/>
        <w:ind w:firstLine="482"/>
        <w:rPr>
          <w:rFonts w:eastAsia="宋体"/>
          <w:b/>
          <w:bCs/>
          <w:color w:val="auto"/>
        </w:rPr>
      </w:pPr>
      <w:r>
        <w:rPr>
          <w:rFonts w:eastAsia="宋体"/>
          <w:b/>
          <w:bCs/>
          <w:color w:val="auto"/>
        </w:rPr>
        <w:t>四、开标、资格审查与信用信息查询</w:t>
      </w:r>
    </w:p>
    <w:p>
      <w:pPr>
        <w:pStyle w:val="21"/>
        <w:snapToGrid w:val="0"/>
        <w:spacing w:line="360" w:lineRule="auto"/>
        <w:rPr>
          <w:rFonts w:eastAsia="宋体"/>
          <w:color w:val="auto"/>
        </w:rPr>
      </w:pPr>
      <w:r>
        <w:rPr>
          <w:rFonts w:eastAsia="宋体"/>
          <w:color w:val="auto"/>
        </w:rPr>
        <w:t>（一）开标</w:t>
      </w:r>
    </w:p>
    <w:p>
      <w:pPr>
        <w:pStyle w:val="21"/>
        <w:snapToGrid w:val="0"/>
        <w:spacing w:line="360" w:lineRule="auto"/>
        <w:rPr>
          <w:rFonts w:eastAsia="宋体"/>
          <w:color w:val="auto"/>
        </w:rPr>
      </w:pPr>
      <w:r>
        <w:rPr>
          <w:rFonts w:eastAsia="宋体"/>
          <w:color w:val="auto"/>
        </w:rPr>
        <w:t>1.采购代理机构按照招标文件规定的时间通过电子交易平台组织开标，所有投标人均应当准时在线参加。投标人不足3家的，不得开标。</w:t>
      </w:r>
    </w:p>
    <w:p>
      <w:pPr>
        <w:pStyle w:val="21"/>
        <w:snapToGrid w:val="0"/>
        <w:spacing w:line="360" w:lineRule="auto"/>
        <w:rPr>
          <w:rFonts w:eastAsia="宋体"/>
          <w:color w:val="auto"/>
        </w:rPr>
      </w:pPr>
      <w:r>
        <w:rPr>
          <w:rFonts w:eastAsia="宋体"/>
          <w:color w:val="auto"/>
        </w:rPr>
        <w:t>2.开标时，电子交易平台按开标时间自动提取所有投标文件。采购代理机构依托电子交易平台发起开始解密指令，投标人按照平台提示和招标文件的规定在半小时内完成在线解密。</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3.投标文件未按时解密，投标人提供了备份投标文件的，以备份投标文件作为依据，否则视为投标文件撤回。投标文件已按时解密的，备份投标文件自动失效。</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（二）资格审查</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1.开标后，采购人或采购代理机构将依据法律法规和招标文件的规定，对投标人的基本资格条件、特定资格条件进行审查。</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2.投标人未按照招标文件要求提供与基本资格条件、特定资格条件相应的有效资格证明材料的，视为投标人不具备招标文件中规定的资格要求，其投标无效。</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3.对未通过资格审查的投标人，采购人或采购代理机构告知其未通过的原因。</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4.合格投标人不足3家的，不再评标，项目作流标处理。</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（三）信用信息查询</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1.信用信息查询渠道及截止时间：截至投标截止时间前1个工作日17</w:t>
      </w:r>
      <w:r>
        <w:rPr>
          <w:rFonts w:hint="eastAsia" w:ascii="Times New Roman" w:hAnsi="Times New Roman"/>
          <w:color w:val="auto"/>
        </w:rPr>
        <w:t>：</w:t>
      </w:r>
      <w:r>
        <w:rPr>
          <w:rFonts w:ascii="Times New Roman" w:hAnsi="Times New Roman"/>
          <w:color w:val="auto"/>
        </w:rPr>
        <w:t>00（北京时间），采购代理机构将通过“信用中国”网站(www.creditchina.gov.cn)、中国政府采购网(www.ccgp.gov.cn)渠道查询投标人的信用记录。</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2.信用信息查询记录和证据留存的具体方式：投标人的信用记录、查询结果经确认后将与采购文件一起存档。</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3.信用信息的使用规则：经查询列入失信被执行人名单、重大税收违法案件当事人名单、政府采购严重违法失信行为记录名单的投标人将被拒绝参与政府采购活动。</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5"/>
        <w:widowControl w:val="0"/>
        <w:snapToGrid w:val="0"/>
        <w:spacing w:before="0" w:beforeAutospacing="0" w:after="0" w:afterAutospacing="0" w:line="360" w:lineRule="auto"/>
        <w:ind w:firstLine="479" w:firstLineChars="199"/>
        <w:rPr>
          <w:rFonts w:ascii="Times New Roman" w:hAnsi="Times New Roman"/>
          <w:b/>
          <w:bCs/>
          <w:color w:val="auto"/>
        </w:rPr>
      </w:pPr>
      <w:r>
        <w:rPr>
          <w:rFonts w:ascii="Times New Roman" w:hAnsi="Times New Roman"/>
          <w:b/>
          <w:bCs/>
          <w:color w:val="auto"/>
        </w:rPr>
        <w:t>五、评标</w:t>
      </w:r>
    </w:p>
    <w:p>
      <w:pPr>
        <w:pStyle w:val="25"/>
        <w:widowControl w:val="0"/>
        <w:snapToGrid w:val="0"/>
        <w:spacing w:before="0" w:beforeAutospacing="0" w:after="0" w:afterAutospacing="0" w:line="360" w:lineRule="auto"/>
        <w:ind w:firstLine="477" w:firstLineChars="199"/>
        <w:rPr>
          <w:rFonts w:ascii="Times New Roman" w:hAnsi="Times New Roman"/>
          <w:b/>
          <w:bCs/>
          <w:color w:val="auto"/>
        </w:rPr>
      </w:pPr>
      <w:r>
        <w:rPr>
          <w:rFonts w:ascii="Times New Roman" w:hAnsi="Times New Roman"/>
          <w:color w:va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imes New Roman" w:hAnsi="Times New Roman"/>
          <w:b/>
          <w:bCs/>
          <w:color w:val="auto"/>
        </w:rPr>
        <w:t>详见招标文件第</w:t>
      </w:r>
      <w:r>
        <w:rPr>
          <w:rFonts w:hint="eastAsia" w:ascii="Times New Roman" w:hAnsi="Times New Roman"/>
          <w:b/>
          <w:bCs/>
          <w:color w:val="auto"/>
        </w:rPr>
        <w:t>五章</w:t>
      </w:r>
      <w:r>
        <w:rPr>
          <w:rFonts w:ascii="Times New Roman" w:hAnsi="Times New Roman"/>
          <w:b/>
          <w:bCs/>
          <w:color w:val="auto"/>
        </w:rPr>
        <w:t>评标办法。</w:t>
      </w:r>
    </w:p>
    <w:p>
      <w:pPr>
        <w:pStyle w:val="25"/>
        <w:widowControl w:val="0"/>
        <w:snapToGrid w:val="0"/>
        <w:spacing w:before="0" w:beforeAutospacing="0" w:after="0" w:afterAutospacing="0" w:line="360" w:lineRule="auto"/>
        <w:ind w:firstLine="479" w:firstLineChars="199"/>
        <w:rPr>
          <w:rFonts w:ascii="Times New Roman" w:hAnsi="Times New Roman"/>
          <w:b/>
          <w:bCs/>
          <w:color w:val="auto"/>
        </w:rPr>
      </w:pPr>
      <w:r>
        <w:rPr>
          <w:rFonts w:ascii="Times New Roman" w:hAnsi="Times New Roman"/>
          <w:b/>
          <w:bCs/>
          <w:color w:val="auto"/>
        </w:rPr>
        <w:t>六、定标</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1.确定中标人</w:t>
      </w:r>
    </w:p>
    <w:p>
      <w:pPr>
        <w:widowControl w:val="0"/>
        <w:adjustRightInd w:val="0"/>
        <w:snapToGrid w:val="0"/>
        <w:spacing w:line="360" w:lineRule="auto"/>
        <w:ind w:firstLine="435"/>
        <w:jc w:val="both"/>
        <w:rPr>
          <w:color w:val="auto"/>
          <w:kern w:val="2"/>
        </w:rPr>
      </w:pPr>
      <w:r>
        <w:rPr>
          <w:color w:val="auto"/>
          <w:kern w:val="2"/>
        </w:rPr>
        <w:t>1.1评标委员会将根据综合得分由高到低排序推荐中标候选人。</w:t>
      </w:r>
    </w:p>
    <w:p>
      <w:pPr>
        <w:widowControl w:val="0"/>
        <w:adjustRightInd w:val="0"/>
        <w:snapToGrid w:val="0"/>
        <w:spacing w:line="360" w:lineRule="auto"/>
        <w:ind w:firstLine="435"/>
        <w:jc w:val="both"/>
        <w:rPr>
          <w:color w:val="auto"/>
          <w:kern w:val="2"/>
        </w:rPr>
      </w:pPr>
      <w:r>
        <w:rPr>
          <w:color w:val="auto"/>
        </w:rPr>
        <w:t>1.2采购人自收到评审报告之日起5个工作日内通过电子交易平台在评审报告推荐的中标候选人中按顺序确定中标人。</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2.中标通知书与中标结果公告</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2.1自中标人确定之日起2个工作日内，采购代理机构在省级及以上财政部门指定媒体上发布采购结果公告。同时，采购代理机构也以书面形式发出中标通知书。</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2.2公告期限为1个工作日。</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2.3《中标通知书》一经发出即产生法律效力，采购人改变中标结果或中标人放弃中标的，应当依法承担法律责任。</w:t>
      </w:r>
    </w:p>
    <w:p>
      <w:pPr>
        <w:pStyle w:val="25"/>
        <w:widowControl w:val="0"/>
        <w:snapToGrid w:val="0"/>
        <w:spacing w:before="0" w:beforeAutospacing="0" w:after="0" w:afterAutospacing="0" w:line="360" w:lineRule="auto"/>
        <w:ind w:firstLine="479" w:firstLineChars="199"/>
        <w:rPr>
          <w:rFonts w:ascii="Times New Roman" w:hAnsi="Times New Roman"/>
          <w:b/>
          <w:bCs/>
          <w:color w:val="auto"/>
        </w:rPr>
      </w:pPr>
      <w:r>
        <w:rPr>
          <w:rFonts w:ascii="Times New Roman" w:hAnsi="Times New Roman"/>
          <w:b/>
          <w:bCs/>
          <w:color w:val="auto"/>
        </w:rPr>
        <w:t>七、合同授予</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1.合同的签订</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hint="eastAsia" w:ascii="Times New Roman" w:hAnsi="Times New Roman"/>
          <w:color w:val="auto"/>
        </w:rPr>
        <w:t>1.1除不可抗力等特殊情况外，采购人原则上应当在中标通知书发出之日起20日内，与中标人按照采购文件确定的事项签订政府采购合同，并在签订之日起2个工作日内将政府采购合同在浙江政府采购网上公告。</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hint="eastAsia" w:ascii="Times New Roman" w:hAnsi="Times New Roman"/>
          <w:color w:val="auto"/>
        </w:rPr>
        <w:t>1.2中标人按规定的日期、时间、地点，由法定代表人或其授权代表与采购人代表签订合同。如成交人为联合体的，由联合体成员各方法定代表人或其授权代表与采购人代表签订合同。</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hint="eastAsia" w:ascii="Times New Roman" w:hAnsi="Times New Roman"/>
          <w:color w:val="auto"/>
        </w:rPr>
        <w:t>1.3如签订合同并生效后，供应商无故拒绝或延期，除按照合同条款处理外，列入不良行为记录一次，并给予通报。</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hint="eastAsia" w:ascii="Times New Roman" w:hAnsi="Times New Roman"/>
          <w:color w:val="auto"/>
        </w:rPr>
        <w:t>1.4中标人拒绝与采购人签订合同的，采购人可以按照评审报告推荐的中标或者成交候选人名单排序，确定下一候选人为中标人，也可以重新开展政府采购活动。</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hint="eastAsia" w:ascii="Times New Roman" w:hAnsi="Times New Roman"/>
          <w:color w:val="auto"/>
        </w:rPr>
        <w:t>1.</w:t>
      </w:r>
      <w:r>
        <w:rPr>
          <w:rFonts w:ascii="Times New Roman" w:hAnsi="Times New Roman"/>
          <w:color w:val="auto"/>
        </w:rPr>
        <w:t>5</w:t>
      </w:r>
      <w:r>
        <w:rPr>
          <w:rFonts w:hint="eastAsia" w:ascii="Times New Roman" w:hAnsi="Times New Roman"/>
          <w:color w:val="auto"/>
        </w:rPr>
        <w:t>政府采购货物和服务项目不得收取质量保证金。政府采购工程以及与工程建设有关的货物、服务，采用招标方式采购的，按国家和省有关规定执行。</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1.6招标文件、投标文件、投标人作出的承诺及其澄清文件、中标通知书等，均为合同的组成部分。</w:t>
      </w:r>
    </w:p>
    <w:p>
      <w:pPr>
        <w:pStyle w:val="25"/>
        <w:widowControl w:val="0"/>
        <w:adjustRightInd w:val="0"/>
        <w:snapToGrid w:val="0"/>
        <w:spacing w:before="0" w:beforeAutospacing="0" w:after="0" w:afterAutospacing="0" w:line="360" w:lineRule="auto"/>
        <w:ind w:firstLine="537" w:firstLineChars="224"/>
        <w:rPr>
          <w:rFonts w:ascii="Times New Roman" w:hAnsi="Times New Roman"/>
          <w:color w:val="auto"/>
        </w:rPr>
      </w:pPr>
      <w:r>
        <w:rPr>
          <w:rFonts w:ascii="Times New Roman" w:hAnsi="Times New Roman"/>
          <w:color w:val="auto"/>
        </w:rPr>
        <w:t>2.履约保证金</w:t>
      </w:r>
    </w:p>
    <w:p>
      <w:pPr>
        <w:pStyle w:val="25"/>
        <w:widowControl w:val="0"/>
        <w:adjustRightInd w:val="0"/>
        <w:snapToGrid w:val="0"/>
        <w:spacing w:before="0" w:beforeAutospacing="0" w:after="0" w:afterAutospacing="0" w:line="360" w:lineRule="auto"/>
        <w:ind w:firstLine="537" w:firstLineChars="224"/>
        <w:rPr>
          <w:rFonts w:ascii="Times New Roman" w:hAnsi="Times New Roman"/>
          <w:color w:val="auto"/>
        </w:rPr>
      </w:pPr>
      <w:r>
        <w:rPr>
          <w:rFonts w:ascii="Times New Roman" w:hAnsi="Times New Roman"/>
          <w:color w:val="auto"/>
        </w:rPr>
        <w:t>2.1</w:t>
      </w:r>
      <w:r>
        <w:rPr>
          <w:rFonts w:hint="eastAsia" w:ascii="Times New Roman" w:hAnsi="Times New Roman"/>
          <w:color w:val="auto"/>
        </w:rPr>
        <w:t>缴纳规则详见前附表。</w:t>
      </w:r>
    </w:p>
    <w:p>
      <w:pPr>
        <w:widowControl w:val="0"/>
        <w:adjustRightInd w:val="0"/>
        <w:snapToGrid w:val="0"/>
        <w:spacing w:line="360" w:lineRule="auto"/>
        <w:ind w:firstLine="537" w:firstLineChars="224"/>
        <w:rPr>
          <w:color w:val="auto"/>
        </w:rPr>
      </w:pPr>
      <w:r>
        <w:rPr>
          <w:color w:val="auto"/>
        </w:rPr>
        <w:t>2.2签订合同后，如中标人不按双方合同约定履约，违反有关法律法规的规定及合同约定的条款，损害了采购人利益的，采购人将没收全部履约保证金。履约保证金不足以赔偿损失的，按实际损失赔偿。</w:t>
      </w:r>
    </w:p>
    <w:p>
      <w:pPr>
        <w:widowControl w:val="0"/>
        <w:adjustRightInd w:val="0"/>
        <w:snapToGrid w:val="0"/>
        <w:spacing w:line="360" w:lineRule="auto"/>
        <w:ind w:firstLine="537" w:firstLineChars="224"/>
        <w:rPr>
          <w:color w:val="auto"/>
        </w:rPr>
      </w:pPr>
      <w:r>
        <w:rPr>
          <w:rFonts w:hint="eastAsia"/>
          <w:color w:val="auto"/>
        </w:rPr>
        <w:t>2</w:t>
      </w:r>
      <w:r>
        <w:rPr>
          <w:color w:val="auto"/>
        </w:rPr>
        <w:t>.3</w:t>
      </w:r>
      <w:r>
        <w:rPr>
          <w:rFonts w:hint="eastAsia"/>
          <w:color w:val="auto"/>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val="0"/>
        <w:adjustRightInd w:val="0"/>
        <w:snapToGrid w:val="0"/>
        <w:spacing w:line="360" w:lineRule="auto"/>
        <w:ind w:firstLine="537" w:firstLineChars="224"/>
        <w:rPr>
          <w:color w:val="auto"/>
        </w:rPr>
      </w:pPr>
      <w:r>
        <w:rPr>
          <w:rFonts w:hint="eastAsia"/>
          <w:color w:val="auto"/>
        </w:rPr>
        <w:t>3</w:t>
      </w:r>
      <w:r>
        <w:rPr>
          <w:color w:val="auto"/>
        </w:rPr>
        <w:t>.</w:t>
      </w:r>
      <w:r>
        <w:rPr>
          <w:rFonts w:hint="eastAsia"/>
          <w:color w:val="auto"/>
        </w:rPr>
        <w:t>预付款</w:t>
      </w:r>
    </w:p>
    <w:p>
      <w:pPr>
        <w:widowControl w:val="0"/>
        <w:adjustRightInd w:val="0"/>
        <w:snapToGrid w:val="0"/>
        <w:spacing w:line="360" w:lineRule="auto"/>
        <w:ind w:firstLine="537" w:firstLineChars="224"/>
        <w:rPr>
          <w:rFonts w:hint="eastAsia"/>
          <w:color w:val="auto"/>
        </w:rPr>
      </w:pPr>
      <w:r>
        <w:rPr>
          <w:rFonts w:hint="eastAsia"/>
          <w:color w:val="auto"/>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widowControl w:val="0"/>
        <w:adjustRightInd w:val="0"/>
        <w:snapToGrid w:val="0"/>
        <w:spacing w:line="360" w:lineRule="auto"/>
        <w:ind w:firstLine="537" w:firstLineChars="224"/>
        <w:rPr>
          <w:color w:val="auto"/>
        </w:rPr>
      </w:pPr>
      <w:r>
        <w:rPr>
          <w:rFonts w:hint="eastAsia"/>
          <w:color w:val="auto"/>
        </w:rPr>
        <w:t>4</w:t>
      </w:r>
      <w:r>
        <w:rPr>
          <w:color w:val="auto"/>
        </w:rPr>
        <w:t>.</w:t>
      </w:r>
      <w:r>
        <w:rPr>
          <w:rFonts w:hint="eastAsia"/>
          <w:color w:val="auto"/>
        </w:rPr>
        <w:t>资金支付</w:t>
      </w:r>
    </w:p>
    <w:p>
      <w:pPr>
        <w:widowControl w:val="0"/>
        <w:adjustRightInd w:val="0"/>
        <w:snapToGrid w:val="0"/>
        <w:spacing w:line="360" w:lineRule="auto"/>
        <w:ind w:firstLine="537" w:firstLineChars="224"/>
        <w:rPr>
          <w:rFonts w:hint="eastAsia"/>
          <w:color w:val="auto"/>
        </w:rPr>
      </w:pPr>
      <w:r>
        <w:rPr>
          <w:rFonts w:hint="eastAsia"/>
          <w:color w:val="auto"/>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widowControl w:val="0"/>
        <w:adjustRightInd w:val="0"/>
        <w:snapToGrid w:val="0"/>
        <w:spacing w:line="360" w:lineRule="auto"/>
        <w:ind w:firstLine="540" w:firstLineChars="224"/>
        <w:rPr>
          <w:b/>
          <w:bCs/>
          <w:color w:val="auto"/>
        </w:rPr>
      </w:pPr>
      <w:r>
        <w:rPr>
          <w:rFonts w:hint="eastAsia"/>
          <w:b/>
          <w:bCs/>
          <w:color w:val="auto"/>
        </w:rPr>
        <w:t>八</w:t>
      </w:r>
      <w:r>
        <w:rPr>
          <w:b/>
          <w:bCs/>
          <w:color w:val="auto"/>
        </w:rPr>
        <w:t>、电子交易活动的中止</w:t>
      </w:r>
    </w:p>
    <w:p>
      <w:pPr>
        <w:widowControl w:val="0"/>
        <w:adjustRightInd w:val="0"/>
        <w:snapToGrid w:val="0"/>
        <w:spacing w:line="360" w:lineRule="auto"/>
        <w:ind w:firstLine="537" w:firstLineChars="224"/>
        <w:rPr>
          <w:color w:val="auto"/>
        </w:rPr>
      </w:pPr>
      <w:r>
        <w:rPr>
          <w:color w:val="auto"/>
        </w:rPr>
        <w:t>1.采购过程中出现以下情形，导致电子交易平台无法正常运行，或者无法保证电子交易的公平、公正和安全时，采购代理机构可中止电子交易活动：</w:t>
      </w:r>
    </w:p>
    <w:p>
      <w:pPr>
        <w:widowControl w:val="0"/>
        <w:adjustRightInd w:val="0"/>
        <w:snapToGrid w:val="0"/>
        <w:spacing w:line="360" w:lineRule="auto"/>
        <w:ind w:firstLine="537" w:firstLineChars="224"/>
        <w:rPr>
          <w:color w:val="auto"/>
        </w:rPr>
      </w:pPr>
      <w:r>
        <w:rPr>
          <w:color w:val="auto"/>
        </w:rPr>
        <w:t xml:space="preserve">1.1电子交易平台发生故障而无法登录访问的； </w:t>
      </w:r>
    </w:p>
    <w:p>
      <w:pPr>
        <w:widowControl w:val="0"/>
        <w:adjustRightInd w:val="0"/>
        <w:snapToGrid w:val="0"/>
        <w:spacing w:line="360" w:lineRule="auto"/>
        <w:ind w:firstLine="537" w:firstLineChars="224"/>
        <w:rPr>
          <w:color w:val="auto"/>
        </w:rPr>
      </w:pPr>
      <w:r>
        <w:rPr>
          <w:color w:val="auto"/>
        </w:rPr>
        <w:t>1.2电子交易平台应用或数据库出现错误，不能进行正常操作的；</w:t>
      </w:r>
    </w:p>
    <w:p>
      <w:pPr>
        <w:widowControl w:val="0"/>
        <w:adjustRightInd w:val="0"/>
        <w:snapToGrid w:val="0"/>
        <w:spacing w:line="360" w:lineRule="auto"/>
        <w:ind w:firstLine="537" w:firstLineChars="224"/>
        <w:rPr>
          <w:color w:val="auto"/>
        </w:rPr>
      </w:pPr>
      <w:r>
        <w:rPr>
          <w:color w:val="auto"/>
        </w:rPr>
        <w:t>1.3电子交易平台发现严重安全漏洞，有潜在泄密危险的；</w:t>
      </w:r>
    </w:p>
    <w:p>
      <w:pPr>
        <w:widowControl w:val="0"/>
        <w:adjustRightInd w:val="0"/>
        <w:snapToGrid w:val="0"/>
        <w:spacing w:line="360" w:lineRule="auto"/>
        <w:ind w:firstLine="537" w:firstLineChars="224"/>
        <w:rPr>
          <w:color w:val="auto"/>
        </w:rPr>
      </w:pPr>
      <w:r>
        <w:rPr>
          <w:color w:val="auto"/>
        </w:rPr>
        <w:t xml:space="preserve">1.4病毒发作导致不能进行正常操作的； </w:t>
      </w:r>
    </w:p>
    <w:p>
      <w:pPr>
        <w:widowControl w:val="0"/>
        <w:adjustRightInd w:val="0"/>
        <w:snapToGrid w:val="0"/>
        <w:spacing w:line="360" w:lineRule="auto"/>
        <w:ind w:firstLine="537" w:firstLineChars="224"/>
        <w:rPr>
          <w:color w:val="auto"/>
        </w:rPr>
      </w:pPr>
      <w:r>
        <w:rPr>
          <w:color w:val="auto"/>
        </w:rPr>
        <w:t>1.5其他无法保证电子交易的公平、公正和安全的情况。</w:t>
      </w:r>
    </w:p>
    <w:p>
      <w:pPr>
        <w:widowControl w:val="0"/>
        <w:adjustRightInd w:val="0"/>
        <w:snapToGrid w:val="0"/>
        <w:spacing w:line="360" w:lineRule="auto"/>
        <w:ind w:firstLine="537" w:firstLineChars="224"/>
        <w:rPr>
          <w:color w:val="auto"/>
        </w:rPr>
      </w:pPr>
      <w:r>
        <w:rPr>
          <w:color w:val="auto"/>
        </w:rPr>
        <w:t>2.出现以上情形，不影响采购公平、公正性的，采购组织机构可以待上述情形消除后继续组织电子交易活动；影响或可能影响采购公平、公正性的，应当重新采购。</w:t>
      </w:r>
    </w:p>
    <w:p>
      <w:pPr>
        <w:pStyle w:val="21"/>
        <w:snapToGrid w:val="0"/>
        <w:spacing w:line="360" w:lineRule="auto"/>
        <w:rPr>
          <w:rFonts w:eastAsia="宋体"/>
          <w:color w:val="auto"/>
        </w:rPr>
      </w:pPr>
      <w:r>
        <w:rPr>
          <w:rFonts w:eastAsia="宋体"/>
          <w:color w:val="auto"/>
        </w:rPr>
        <w:t xml:space="preserve">                                                                                             </w:t>
      </w:r>
      <w:bookmarkStart w:id="120" w:name="_Hlk69810139"/>
      <w:bookmarkStart w:id="121" w:name="_Hlk62118689"/>
    </w:p>
    <w:bookmarkEnd w:id="116"/>
    <w:bookmarkEnd w:id="120"/>
    <w:bookmarkEnd w:id="121"/>
    <w:p>
      <w:pPr>
        <w:pStyle w:val="2"/>
        <w:spacing w:before="120" w:after="240" w:line="240" w:lineRule="auto"/>
        <w:jc w:val="center"/>
        <w:rPr>
          <w:rFonts w:ascii="宋体" w:hAnsi="宋体"/>
          <w:b w:val="0"/>
          <w:color w:val="auto"/>
          <w:sz w:val="48"/>
          <w:szCs w:val="48"/>
        </w:rPr>
      </w:pPr>
      <w:bookmarkStart w:id="122" w:name="_Toc39239707"/>
      <w:bookmarkStart w:id="123" w:name="_Toc93668163"/>
      <w:r>
        <w:rPr>
          <w:rFonts w:ascii="宋体" w:hAnsi="宋体"/>
          <w:color w:val="auto"/>
        </w:rPr>
        <w:t xml:space="preserve">第五章  </w:t>
      </w:r>
      <w:bookmarkEnd w:id="122"/>
      <w:r>
        <w:rPr>
          <w:rFonts w:hint="eastAsia" w:ascii="宋体" w:hAnsi="宋体"/>
          <w:color w:val="auto"/>
        </w:rPr>
        <w:t>评标办法</w:t>
      </w:r>
      <w:bookmarkEnd w:id="123"/>
    </w:p>
    <w:p>
      <w:pPr>
        <w:widowControl w:val="0"/>
        <w:adjustRightInd w:val="0"/>
        <w:snapToGrid w:val="0"/>
        <w:spacing w:line="360" w:lineRule="auto"/>
        <w:ind w:firstLine="435"/>
        <w:jc w:val="both"/>
        <w:rPr>
          <w:b/>
          <w:bCs/>
          <w:color w:val="auto"/>
        </w:rPr>
      </w:pPr>
      <w:r>
        <w:rPr>
          <w:b/>
          <w:bCs/>
          <w:color w:val="auto"/>
        </w:rPr>
        <w:t>一、评标</w:t>
      </w:r>
    </w:p>
    <w:p>
      <w:pPr>
        <w:pStyle w:val="25"/>
        <w:widowControl w:val="0"/>
        <w:adjustRightInd w:val="0"/>
        <w:snapToGrid w:val="0"/>
        <w:spacing w:before="0" w:beforeAutospacing="0" w:after="0" w:afterAutospacing="0" w:line="360" w:lineRule="auto"/>
        <w:ind w:firstLine="480" w:firstLineChars="200"/>
        <w:rPr>
          <w:rFonts w:ascii="Times New Roman" w:hAnsi="Times New Roman"/>
          <w:color w:val="auto"/>
        </w:rPr>
      </w:pPr>
      <w:r>
        <w:rPr>
          <w:rFonts w:ascii="Times New Roman" w:hAnsi="Times New Roman"/>
          <w:color w:val="auto"/>
        </w:rPr>
        <w:t>1.评标办法</w:t>
      </w:r>
    </w:p>
    <w:p>
      <w:pPr>
        <w:pStyle w:val="25"/>
        <w:widowControl w:val="0"/>
        <w:adjustRightInd w:val="0"/>
        <w:snapToGrid w:val="0"/>
        <w:spacing w:before="0" w:beforeAutospacing="0" w:after="0" w:afterAutospacing="0" w:line="360" w:lineRule="auto"/>
        <w:ind w:firstLine="482" w:firstLineChars="200"/>
        <w:rPr>
          <w:rFonts w:ascii="Times New Roman" w:hAnsi="Times New Roman"/>
          <w:color w:val="auto"/>
        </w:rPr>
      </w:pPr>
      <w:r>
        <w:rPr>
          <w:rFonts w:ascii="Times New Roman" w:hAnsi="Times New Roman"/>
          <w:b/>
          <w:bCs/>
          <w:color w:val="auto"/>
        </w:rPr>
        <w:t>本项目采用综合评分法</w:t>
      </w:r>
      <w:r>
        <w:rPr>
          <w:rFonts w:ascii="Times New Roman" w:hAnsi="Times New Roman"/>
          <w:color w:val="auto"/>
        </w:rPr>
        <w:t>。综合评分法，是指投标文件满足招标文件全部实质性要求，且按照评审因素的量化指标评审得分最高的投标人为中标候选人的评标方法。先进行资格审查和</w:t>
      </w:r>
      <w:r>
        <w:rPr>
          <w:rFonts w:hint="eastAsia" w:ascii="Times New Roman" w:hAnsi="Times New Roman"/>
          <w:color w:val="auto"/>
        </w:rPr>
        <w:t>商务</w:t>
      </w:r>
      <w:r>
        <w:rPr>
          <w:rFonts w:ascii="Times New Roman" w:hAnsi="Times New Roman"/>
          <w:color w:val="auto"/>
        </w:rPr>
        <w:t>技术评审，评定计算</w:t>
      </w:r>
      <w:r>
        <w:rPr>
          <w:rFonts w:hint="eastAsia" w:ascii="Times New Roman" w:hAnsi="Times New Roman"/>
          <w:color w:val="auto"/>
        </w:rPr>
        <w:t>商务</w:t>
      </w:r>
      <w:r>
        <w:rPr>
          <w:rFonts w:ascii="Times New Roman" w:hAnsi="Times New Roman"/>
          <w:color w:val="auto"/>
        </w:rPr>
        <w:t>技术分后再进行价格评审。</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2.评标组织</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采购人和代理机构将根据本项目的特点依法组建评标委员会，评标委员会由采购人代表和评审专家组成，成员人数应当为5人或以上单数，其中评审专家不得少于成员总数的三分之二。评审专家统一在省级以上财政部门设立的政府采购评审专家库中随机抽取。</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3.评标方式</w:t>
      </w:r>
    </w:p>
    <w:p>
      <w:pPr>
        <w:pStyle w:val="25"/>
        <w:widowControl w:val="0"/>
        <w:snapToGrid w:val="0"/>
        <w:spacing w:before="0" w:beforeAutospacing="0" w:after="0" w:afterAutospacing="0" w:line="360" w:lineRule="auto"/>
        <w:ind w:firstLine="477" w:firstLineChars="199"/>
        <w:rPr>
          <w:rFonts w:ascii="Times New Roman" w:hAnsi="Times New Roman"/>
          <w:color w:val="auto"/>
        </w:rPr>
      </w:pPr>
      <w:r>
        <w:rPr>
          <w:rFonts w:ascii="Times New Roman" w:hAnsi="Times New Roman"/>
          <w:color w:val="auto"/>
        </w:rPr>
        <w:t>3.1本项目采用电子评标，评标的依据为招标文件和投标文件。投标人在投标截止以后提供的资料不得作为评标依据，但应评标委员会要求提供的证明、说明不在此列。</w:t>
      </w:r>
    </w:p>
    <w:p>
      <w:pPr>
        <w:widowControl w:val="0"/>
        <w:adjustRightInd w:val="0"/>
        <w:snapToGrid w:val="0"/>
        <w:spacing w:line="360" w:lineRule="auto"/>
        <w:ind w:firstLine="435"/>
        <w:jc w:val="both"/>
        <w:rPr>
          <w:color w:val="auto"/>
        </w:rPr>
      </w:pPr>
      <w:r>
        <w:rPr>
          <w:color w:val="auto"/>
        </w:rPr>
        <w:t>3.2评标是招标过程中的重要环节，评标工作在评标委员会成员内独立进行。评标委员会将遵照评标原则，公正、公平、客观地对待所有投标人。</w:t>
      </w:r>
    </w:p>
    <w:p>
      <w:pPr>
        <w:widowControl w:val="0"/>
        <w:adjustRightInd w:val="0"/>
        <w:snapToGrid w:val="0"/>
        <w:spacing w:line="360" w:lineRule="auto"/>
        <w:ind w:firstLine="435"/>
        <w:rPr>
          <w:color w:val="auto"/>
        </w:rPr>
      </w:pPr>
      <w:r>
        <w:rPr>
          <w:color w:val="auto"/>
        </w:rPr>
        <w:t>3.3采购人、代理机构及评标委员会不向落标方解释落标原因。</w:t>
      </w:r>
    </w:p>
    <w:p>
      <w:pPr>
        <w:widowControl w:val="0"/>
        <w:adjustRightInd w:val="0"/>
        <w:snapToGrid w:val="0"/>
        <w:spacing w:line="360" w:lineRule="auto"/>
        <w:ind w:firstLine="435"/>
        <w:rPr>
          <w:color w:val="auto"/>
        </w:rPr>
      </w:pPr>
      <w:r>
        <w:rPr>
          <w:color w:val="auto"/>
        </w:rPr>
        <w:t>3.4本项目评标过程实行全程录音、录像监控。</w:t>
      </w:r>
    </w:p>
    <w:p>
      <w:pPr>
        <w:widowControl w:val="0"/>
        <w:adjustRightInd w:val="0"/>
        <w:snapToGrid w:val="0"/>
        <w:spacing w:line="360" w:lineRule="auto"/>
        <w:ind w:firstLine="435"/>
        <w:jc w:val="both"/>
        <w:rPr>
          <w:b/>
          <w:bCs/>
          <w:color w:val="auto"/>
        </w:rPr>
      </w:pPr>
      <w:r>
        <w:rPr>
          <w:b/>
          <w:bCs/>
          <w:color w:val="auto"/>
        </w:rPr>
        <w:t>二、评标办法</w:t>
      </w:r>
    </w:p>
    <w:p>
      <w:pPr>
        <w:widowControl w:val="0"/>
        <w:adjustRightInd w:val="0"/>
        <w:snapToGrid w:val="0"/>
        <w:spacing w:line="360" w:lineRule="auto"/>
        <w:ind w:firstLine="480" w:firstLineChars="200"/>
        <w:jc w:val="both"/>
        <w:rPr>
          <w:color w:val="auto"/>
        </w:rPr>
      </w:pPr>
      <w:r>
        <w:rPr>
          <w:color w:val="auto"/>
        </w:rPr>
        <w:t>1.</w:t>
      </w:r>
      <w:r>
        <w:rPr>
          <w:rFonts w:hint="eastAsia"/>
          <w:color w:val="auto"/>
        </w:rPr>
        <w:t>商务</w:t>
      </w:r>
      <w:r>
        <w:rPr>
          <w:color w:val="auto"/>
        </w:rPr>
        <w:t>技术评审</w:t>
      </w:r>
      <w:r>
        <w:rPr>
          <w:rFonts w:hint="eastAsia"/>
          <w:color w:val="auto"/>
        </w:rPr>
        <w:t>（满分70分）</w:t>
      </w:r>
      <w:r>
        <w:rPr>
          <w:color w:val="auto"/>
        </w:rPr>
        <w:t>：由评标委员会采用记名方式独立进行评审，此项评分计算方法为：</w:t>
      </w:r>
      <w:r>
        <w:rPr>
          <w:rFonts w:hint="eastAsia"/>
          <w:color w:val="auto"/>
        </w:rPr>
        <w:t>商务</w:t>
      </w:r>
      <w:r>
        <w:rPr>
          <w:color w:val="auto"/>
        </w:rPr>
        <w:t>技术得分=（评标委员会所有成员评分之和）÷（评标委员会组成人数）。</w:t>
      </w:r>
    </w:p>
    <w:p>
      <w:pPr>
        <w:pStyle w:val="41"/>
        <w:widowControl w:val="0"/>
        <w:adjustRightInd w:val="0"/>
        <w:snapToGrid w:val="0"/>
        <w:spacing w:before="0" w:beforeAutospacing="0" w:after="0" w:afterAutospacing="0"/>
        <w:jc w:val="center"/>
        <w:rPr>
          <w:rFonts w:hint="default" w:ascii="Times New Roman" w:hAnsi="Times New Roman"/>
          <w:b/>
          <w:color w:val="auto"/>
          <w:sz w:val="36"/>
          <w:szCs w:val="36"/>
        </w:rPr>
      </w:pPr>
      <w:r>
        <w:rPr>
          <w:rFonts w:ascii="Times New Roman" w:hAnsi="Times New Roman"/>
          <w:b/>
          <w:color w:val="auto"/>
          <w:sz w:val="36"/>
          <w:szCs w:val="36"/>
        </w:rPr>
        <w:t>商务</w:t>
      </w:r>
      <w:r>
        <w:rPr>
          <w:rFonts w:hint="default" w:ascii="Times New Roman" w:hAnsi="Times New Roman"/>
          <w:b/>
          <w:color w:val="auto"/>
          <w:sz w:val="36"/>
          <w:szCs w:val="36"/>
        </w:rPr>
        <w:t>技术评分明细表</w:t>
      </w:r>
    </w:p>
    <w:tbl>
      <w:tblPr>
        <w:tblStyle w:val="45"/>
        <w:tblW w:w="9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723"/>
        <w:gridCol w:w="6277"/>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10" w:type="dxa"/>
            <w:tcBorders>
              <w:bottom w:val="single" w:color="000000" w:sz="4" w:space="0"/>
            </w:tcBorders>
            <w:noWrap w:val="0"/>
            <w:vAlign w:val="center"/>
          </w:tcPr>
          <w:p>
            <w:pPr>
              <w:jc w:val="center"/>
              <w:rPr>
                <w:rFonts w:ascii="Times New Roman" w:hAnsi="Times New Roman" w:eastAsia="宋体" w:cs="Times New Roman"/>
                <w:b/>
                <w:color w:val="auto"/>
              </w:rPr>
            </w:pPr>
            <w:r>
              <w:rPr>
                <w:rFonts w:ascii="Times New Roman" w:hAnsi="Times New Roman" w:eastAsia="宋体" w:cs="Times New Roman"/>
                <w:b/>
                <w:color w:val="auto"/>
              </w:rPr>
              <w:t>序号</w:t>
            </w:r>
          </w:p>
        </w:tc>
        <w:tc>
          <w:tcPr>
            <w:tcW w:w="1723" w:type="dxa"/>
            <w:tcBorders>
              <w:bottom w:val="single" w:color="000000" w:sz="4" w:space="0"/>
            </w:tcBorders>
            <w:noWrap w:val="0"/>
            <w:vAlign w:val="center"/>
          </w:tcPr>
          <w:p>
            <w:pPr>
              <w:jc w:val="center"/>
              <w:rPr>
                <w:rFonts w:ascii="Times New Roman" w:hAnsi="Times New Roman" w:eastAsia="宋体" w:cs="Times New Roman"/>
                <w:b/>
                <w:color w:val="auto"/>
              </w:rPr>
            </w:pPr>
            <w:r>
              <w:rPr>
                <w:rFonts w:ascii="Times New Roman" w:hAnsi="Times New Roman" w:eastAsia="宋体" w:cs="Times New Roman"/>
                <w:b/>
                <w:color w:val="auto"/>
              </w:rPr>
              <w:t>评审内容</w:t>
            </w:r>
          </w:p>
        </w:tc>
        <w:tc>
          <w:tcPr>
            <w:tcW w:w="6277" w:type="dxa"/>
            <w:tcBorders>
              <w:bottom w:val="single" w:color="000000" w:sz="4" w:space="0"/>
            </w:tcBorders>
            <w:noWrap w:val="0"/>
            <w:vAlign w:val="center"/>
          </w:tcPr>
          <w:p>
            <w:pPr>
              <w:jc w:val="center"/>
              <w:rPr>
                <w:rFonts w:ascii="Times New Roman" w:hAnsi="Times New Roman" w:eastAsia="宋体" w:cs="Times New Roman"/>
                <w:b/>
                <w:color w:val="auto"/>
              </w:rPr>
            </w:pPr>
            <w:r>
              <w:rPr>
                <w:rFonts w:ascii="Times New Roman" w:hAnsi="Times New Roman" w:eastAsia="宋体" w:cs="Times New Roman"/>
                <w:b/>
                <w:color w:val="auto"/>
              </w:rPr>
              <w:t>评分标准及分数</w:t>
            </w:r>
          </w:p>
        </w:tc>
        <w:tc>
          <w:tcPr>
            <w:tcW w:w="695" w:type="dxa"/>
            <w:tcBorders>
              <w:bottom w:val="single" w:color="000000" w:sz="4" w:space="0"/>
            </w:tcBorders>
            <w:noWrap w:val="0"/>
            <w:vAlign w:val="center"/>
          </w:tcPr>
          <w:p>
            <w:pPr>
              <w:jc w:val="center"/>
              <w:rPr>
                <w:rFonts w:ascii="Times New Roman" w:hAnsi="Times New Roman" w:eastAsia="宋体" w:cs="Times New Roman"/>
                <w:b/>
                <w:color w:val="auto"/>
              </w:rPr>
            </w:pPr>
            <w:r>
              <w:rPr>
                <w:rFonts w:ascii="Times New Roman" w:hAnsi="Times New Roman" w:eastAsia="宋体" w:cs="Times New Roman"/>
                <w:b/>
                <w:color w:val="auto"/>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0" w:type="dxa"/>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1723" w:type="dxa"/>
            <w:noWrap w:val="0"/>
            <w:vAlign w:val="center"/>
          </w:tcPr>
          <w:p>
            <w:pPr>
              <w:jc w:val="center"/>
              <w:rPr>
                <w:rFonts w:ascii="Times New Roman" w:hAnsi="Times New Roman" w:eastAsia="宋体" w:cs="Times New Roman"/>
                <w:bCs/>
                <w:color w:val="auto"/>
              </w:rPr>
            </w:pPr>
            <w:r>
              <w:rPr>
                <w:rFonts w:ascii="Times New Roman" w:hAnsi="Times New Roman" w:eastAsia="宋体" w:cs="Times New Roman"/>
                <w:color w:val="auto"/>
              </w:rPr>
              <w:t>投标货物技术参数性能</w:t>
            </w:r>
          </w:p>
        </w:tc>
        <w:tc>
          <w:tcPr>
            <w:tcW w:w="6277" w:type="dxa"/>
            <w:noWrap w:val="0"/>
            <w:vAlign w:val="center"/>
          </w:tcPr>
          <w:p>
            <w:pPr>
              <w:rPr>
                <w:rFonts w:ascii="Times New Roman" w:hAnsi="Times New Roman" w:eastAsia="宋体" w:cs="Times New Roman"/>
                <w:color w:val="auto"/>
              </w:rPr>
            </w:pPr>
            <w:r>
              <w:rPr>
                <w:rFonts w:ascii="Times New Roman" w:hAnsi="Times New Roman" w:eastAsia="宋体" w:cs="Times New Roman"/>
                <w:color w:val="auto"/>
              </w:rPr>
              <w:t>投标产品总体性能符合招标文件要求的得</w:t>
            </w:r>
            <w:r>
              <w:rPr>
                <w:rFonts w:hint="eastAsia" w:ascii="Times New Roman" w:hAnsi="Times New Roman" w:eastAsia="宋体" w:cs="Times New Roman"/>
                <w:color w:val="auto"/>
              </w:rPr>
              <w:t>30</w:t>
            </w:r>
            <w:r>
              <w:rPr>
                <w:rFonts w:ascii="Times New Roman" w:hAnsi="Times New Roman" w:eastAsia="宋体" w:cs="Times New Roman"/>
                <w:color w:val="auto"/>
              </w:rPr>
              <w:t>分，根据投标人投标文件中技术参数的负偏离情况，标示“▲”项技术参数，每项负偏离扣2分，</w:t>
            </w:r>
            <w:r>
              <w:rPr>
                <w:rFonts w:hint="eastAsia" w:ascii="Times New Roman" w:hAnsi="Times New Roman" w:eastAsia="宋体" w:cs="Times New Roman"/>
                <w:color w:val="auto"/>
              </w:rPr>
              <w:t>核心产品技术参数</w:t>
            </w:r>
            <w:r>
              <w:rPr>
                <w:rFonts w:ascii="Times New Roman" w:hAnsi="Times New Roman" w:eastAsia="宋体" w:cs="Times New Roman"/>
                <w:color w:val="auto"/>
              </w:rPr>
              <w:t>每项负偏离扣</w:t>
            </w:r>
            <w:r>
              <w:rPr>
                <w:rFonts w:hint="eastAsia" w:ascii="Times New Roman" w:hAnsi="Times New Roman" w:eastAsia="宋体" w:cs="Times New Roman"/>
                <w:color w:val="auto"/>
              </w:rPr>
              <w:t>1</w:t>
            </w:r>
            <w:r>
              <w:rPr>
                <w:rFonts w:ascii="Times New Roman" w:hAnsi="Times New Roman" w:eastAsia="宋体" w:cs="Times New Roman"/>
                <w:color w:val="auto"/>
              </w:rPr>
              <w:t>分</w:t>
            </w:r>
            <w:r>
              <w:rPr>
                <w:rFonts w:hint="eastAsia" w:ascii="Times New Roman" w:hAnsi="Times New Roman" w:eastAsia="宋体" w:cs="Times New Roman"/>
                <w:color w:val="auto"/>
              </w:rPr>
              <w:t>，</w:t>
            </w:r>
            <w:r>
              <w:rPr>
                <w:rFonts w:ascii="Times New Roman" w:hAnsi="Times New Roman" w:eastAsia="宋体" w:cs="Times New Roman"/>
                <w:color w:val="auto"/>
              </w:rPr>
              <w:t>其他技术参数，每项负偏离扣</w:t>
            </w:r>
            <w:r>
              <w:rPr>
                <w:rFonts w:hint="eastAsia" w:ascii="Times New Roman" w:hAnsi="Times New Roman" w:eastAsia="宋体" w:cs="Times New Roman"/>
                <w:color w:val="auto"/>
              </w:rPr>
              <w:t>0.5</w:t>
            </w:r>
            <w:r>
              <w:rPr>
                <w:rFonts w:ascii="Times New Roman" w:hAnsi="Times New Roman" w:eastAsia="宋体" w:cs="Times New Roman"/>
                <w:color w:val="auto"/>
              </w:rPr>
              <w:t>分。是否负偏离由评委认定，扣完为止。</w:t>
            </w:r>
          </w:p>
        </w:tc>
        <w:tc>
          <w:tcPr>
            <w:tcW w:w="695" w:type="dxa"/>
            <w:noWrap w:val="0"/>
            <w:vAlign w:val="center"/>
          </w:tcPr>
          <w:p>
            <w:pPr>
              <w:tabs>
                <w:tab w:val="left" w:pos="3850"/>
              </w:tabs>
              <w:jc w:val="center"/>
              <w:rPr>
                <w:rFonts w:ascii="Times New Roman" w:hAnsi="Times New Roman" w:eastAsia="宋体" w:cs="Times New Roman"/>
                <w:bCs/>
                <w:color w:val="auto"/>
              </w:rPr>
            </w:pPr>
            <w:r>
              <w:rPr>
                <w:rFonts w:hint="eastAsia" w:ascii="Times New Roman" w:hAnsi="Times New Roman" w:eastAsia="宋体" w:cs="Times New Roman"/>
                <w:bCs/>
                <w:color w:val="auto"/>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810" w:type="dxa"/>
            <w:vMerge w:val="restart"/>
            <w:tcBorders>
              <w:top w:val="single" w:color="auto" w:sz="4" w:space="0"/>
            </w:tcBorders>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2</w:t>
            </w:r>
          </w:p>
        </w:tc>
        <w:tc>
          <w:tcPr>
            <w:tcW w:w="1723" w:type="dxa"/>
            <w:vMerge w:val="restart"/>
            <w:tcBorders>
              <w:top w:val="single" w:color="auto" w:sz="4" w:space="0"/>
            </w:tcBorders>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服务计划书</w:t>
            </w:r>
          </w:p>
        </w:tc>
        <w:tc>
          <w:tcPr>
            <w:tcW w:w="6277" w:type="dxa"/>
            <w:tcBorders>
              <w:top w:val="single" w:color="auto" w:sz="4" w:space="0"/>
            </w:tcBorders>
            <w:noWrap w:val="0"/>
            <w:vAlign w:val="center"/>
          </w:tcPr>
          <w:p>
            <w:pPr>
              <w:rPr>
                <w:rFonts w:ascii="Times New Roman" w:hAnsi="Times New Roman" w:eastAsia="宋体" w:cs="Times New Roman"/>
                <w:color w:val="auto"/>
              </w:rPr>
            </w:pPr>
            <w:r>
              <w:rPr>
                <w:rFonts w:ascii="Times New Roman" w:hAnsi="Times New Roman" w:eastAsia="宋体" w:cs="Times New Roman"/>
                <w:color w:val="auto"/>
              </w:rPr>
              <w:t>供货、安装、调试、验收的方案和措施：方案和措施科学严谨、有效的，得</w:t>
            </w:r>
            <w:r>
              <w:rPr>
                <w:rFonts w:hint="eastAsia" w:ascii="Times New Roman" w:hAnsi="Times New Roman" w:eastAsia="宋体" w:cs="Times New Roman"/>
                <w:color w:val="auto"/>
              </w:rPr>
              <w:t>3</w:t>
            </w:r>
            <w:r>
              <w:rPr>
                <w:rFonts w:ascii="Times New Roman" w:hAnsi="Times New Roman" w:eastAsia="宋体" w:cs="Times New Roman"/>
                <w:color w:val="auto"/>
              </w:rPr>
              <w:t>分；有所欠缺的每处扣1分，扣完为止，由评委自行判定打分。</w:t>
            </w:r>
          </w:p>
        </w:tc>
        <w:tc>
          <w:tcPr>
            <w:tcW w:w="695" w:type="dxa"/>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810" w:type="dxa"/>
            <w:vMerge w:val="continue"/>
            <w:noWrap w:val="0"/>
            <w:vAlign w:val="center"/>
          </w:tcPr>
          <w:p>
            <w:pPr>
              <w:jc w:val="center"/>
              <w:rPr>
                <w:rFonts w:ascii="Times New Roman" w:hAnsi="Times New Roman" w:eastAsia="宋体" w:cs="Times New Roman"/>
                <w:color w:val="auto"/>
              </w:rPr>
            </w:pPr>
          </w:p>
        </w:tc>
        <w:tc>
          <w:tcPr>
            <w:tcW w:w="1723" w:type="dxa"/>
            <w:vMerge w:val="continue"/>
            <w:noWrap w:val="0"/>
            <w:vAlign w:val="center"/>
          </w:tcPr>
          <w:p>
            <w:pPr>
              <w:jc w:val="center"/>
              <w:rPr>
                <w:rFonts w:ascii="Times New Roman" w:hAnsi="Times New Roman" w:eastAsia="宋体" w:cs="Times New Roman"/>
                <w:color w:val="auto"/>
              </w:rPr>
            </w:pPr>
          </w:p>
        </w:tc>
        <w:tc>
          <w:tcPr>
            <w:tcW w:w="6277" w:type="dxa"/>
            <w:tcBorders>
              <w:top w:val="single" w:color="auto" w:sz="4" w:space="0"/>
            </w:tcBorders>
            <w:noWrap w:val="0"/>
            <w:vAlign w:val="center"/>
          </w:tcPr>
          <w:p>
            <w:pPr>
              <w:rPr>
                <w:rFonts w:ascii="Times New Roman" w:hAnsi="Times New Roman" w:eastAsia="宋体" w:cs="Times New Roman"/>
                <w:color w:val="auto"/>
              </w:rPr>
            </w:pPr>
            <w:r>
              <w:rPr>
                <w:rFonts w:ascii="Times New Roman" w:hAnsi="Times New Roman" w:eastAsia="宋体" w:cs="Times New Roman"/>
                <w:color w:val="auto"/>
              </w:rPr>
              <w:t>投标人质量保证措施及承诺、技术服务措施及承诺等情况。承诺标准较高、且执行性强的得</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分，有所欠缺的每处扣1分，扣完为止，由评委自行判定打分。   </w:t>
            </w:r>
          </w:p>
        </w:tc>
        <w:tc>
          <w:tcPr>
            <w:tcW w:w="695" w:type="dxa"/>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810" w:type="dxa"/>
            <w:vMerge w:val="continue"/>
            <w:noWrap w:val="0"/>
            <w:vAlign w:val="center"/>
          </w:tcPr>
          <w:p>
            <w:pPr>
              <w:jc w:val="center"/>
              <w:rPr>
                <w:rFonts w:ascii="Times New Roman" w:hAnsi="Times New Roman" w:eastAsia="宋体" w:cs="Times New Roman"/>
                <w:color w:val="auto"/>
              </w:rPr>
            </w:pPr>
          </w:p>
        </w:tc>
        <w:tc>
          <w:tcPr>
            <w:tcW w:w="1723" w:type="dxa"/>
            <w:vMerge w:val="continue"/>
            <w:noWrap w:val="0"/>
            <w:vAlign w:val="center"/>
          </w:tcPr>
          <w:p>
            <w:pPr>
              <w:jc w:val="center"/>
              <w:rPr>
                <w:rFonts w:ascii="Times New Roman" w:hAnsi="Times New Roman" w:eastAsia="宋体" w:cs="Times New Roman"/>
                <w:color w:val="auto"/>
              </w:rPr>
            </w:pPr>
          </w:p>
        </w:tc>
        <w:tc>
          <w:tcPr>
            <w:tcW w:w="6277" w:type="dxa"/>
            <w:tcBorders>
              <w:top w:val="single" w:color="auto" w:sz="4" w:space="0"/>
            </w:tcBorders>
            <w:noWrap w:val="0"/>
            <w:vAlign w:val="center"/>
          </w:tcPr>
          <w:p>
            <w:pPr>
              <w:spacing w:line="259" w:lineRule="auto"/>
              <w:rPr>
                <w:rFonts w:ascii="Times New Roman" w:hAnsi="Times New Roman" w:eastAsia="宋体" w:cs="Times New Roman"/>
                <w:color w:val="auto"/>
              </w:rPr>
            </w:pPr>
            <w:r>
              <w:rPr>
                <w:rFonts w:ascii="Times New Roman" w:hAnsi="Times New Roman" w:eastAsia="宋体" w:cs="Times New Roman"/>
                <w:color w:val="auto"/>
              </w:rPr>
              <w:t>根据投标人承诺给予招标人的各种优惠条件，包括易损备品备件、专用耗材等方面的优惠等</w:t>
            </w:r>
            <w:r>
              <w:rPr>
                <w:rFonts w:hint="eastAsia" w:ascii="Times New Roman" w:hAnsi="Times New Roman" w:eastAsia="宋体" w:cs="Times New Roman"/>
                <w:color w:val="auto"/>
              </w:rPr>
              <w:t>进行打分</w:t>
            </w:r>
            <w:r>
              <w:rPr>
                <w:rFonts w:ascii="Times New Roman" w:hAnsi="Times New Roman" w:eastAsia="宋体" w:cs="Times New Roman"/>
                <w:color w:val="auto"/>
              </w:rPr>
              <w:t>，由评委</w:t>
            </w:r>
            <w:r>
              <w:rPr>
                <w:rFonts w:hint="eastAsia" w:ascii="Times New Roman" w:hAnsi="Times New Roman" w:eastAsia="宋体" w:cs="Times New Roman"/>
                <w:color w:val="auto"/>
              </w:rPr>
              <w:t>综合</w:t>
            </w:r>
            <w:r>
              <w:rPr>
                <w:rFonts w:ascii="Times New Roman" w:hAnsi="Times New Roman" w:eastAsia="宋体" w:cs="Times New Roman"/>
                <w:color w:val="auto"/>
              </w:rPr>
              <w:t>打分。</w:t>
            </w:r>
          </w:p>
        </w:tc>
        <w:tc>
          <w:tcPr>
            <w:tcW w:w="695" w:type="dxa"/>
            <w:noWrap w:val="0"/>
            <w:vAlign w:val="center"/>
          </w:tcPr>
          <w:p>
            <w:pPr>
              <w:spacing w:line="259" w:lineRule="auto"/>
              <w:ind w:right="45"/>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810" w:type="dxa"/>
            <w:vMerge w:val="continue"/>
            <w:noWrap w:val="0"/>
            <w:vAlign w:val="center"/>
          </w:tcPr>
          <w:p>
            <w:pPr>
              <w:jc w:val="center"/>
              <w:rPr>
                <w:rFonts w:ascii="Times New Roman" w:hAnsi="Times New Roman" w:eastAsia="宋体" w:cs="Times New Roman"/>
                <w:color w:val="auto"/>
              </w:rPr>
            </w:pPr>
          </w:p>
        </w:tc>
        <w:tc>
          <w:tcPr>
            <w:tcW w:w="1723" w:type="dxa"/>
            <w:vMerge w:val="continue"/>
            <w:noWrap w:val="0"/>
            <w:vAlign w:val="center"/>
          </w:tcPr>
          <w:p>
            <w:pPr>
              <w:jc w:val="center"/>
              <w:rPr>
                <w:rFonts w:ascii="Times New Roman" w:hAnsi="Times New Roman" w:eastAsia="宋体" w:cs="Times New Roman"/>
                <w:color w:val="auto"/>
              </w:rPr>
            </w:pPr>
          </w:p>
        </w:tc>
        <w:tc>
          <w:tcPr>
            <w:tcW w:w="6277" w:type="dxa"/>
            <w:tcBorders>
              <w:top w:val="single" w:color="auto" w:sz="4" w:space="0"/>
            </w:tcBorders>
            <w:noWrap w:val="0"/>
            <w:vAlign w:val="center"/>
          </w:tcPr>
          <w:p>
            <w:pPr>
              <w:rPr>
                <w:rFonts w:ascii="Times New Roman" w:hAnsi="Times New Roman" w:eastAsia="宋体" w:cs="Times New Roman"/>
                <w:bCs/>
                <w:color w:val="auto"/>
              </w:rPr>
            </w:pPr>
            <w:r>
              <w:rPr>
                <w:rFonts w:ascii="Times New Roman" w:hAnsi="Times New Roman" w:eastAsia="宋体" w:cs="Times New Roman"/>
                <w:bCs/>
                <w:color w:val="auto"/>
              </w:rPr>
              <w:t>投标人提供针对本项目特点设计的培训方案（包括培训内容、培训方式、时间安排、师资力量等情况），本评分项最高得</w:t>
            </w:r>
            <w:r>
              <w:rPr>
                <w:rFonts w:hint="eastAsia" w:ascii="Times New Roman" w:hAnsi="Times New Roman" w:eastAsia="宋体" w:cs="Times New Roman"/>
                <w:bCs/>
                <w:color w:val="auto"/>
              </w:rPr>
              <w:t>2</w:t>
            </w:r>
            <w:r>
              <w:rPr>
                <w:rFonts w:ascii="Times New Roman" w:hAnsi="Times New Roman" w:eastAsia="宋体" w:cs="Times New Roman"/>
                <w:bCs/>
                <w:color w:val="auto"/>
              </w:rPr>
              <w:t>分；有所欠缺的每处扣1分，扣完为止，由评委自行判定打分。</w:t>
            </w:r>
          </w:p>
        </w:tc>
        <w:tc>
          <w:tcPr>
            <w:tcW w:w="695" w:type="dxa"/>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10" w:type="dxa"/>
            <w:tcBorders>
              <w:top w:val="single" w:color="auto" w:sz="4" w:space="0"/>
            </w:tcBorders>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3</w:t>
            </w:r>
          </w:p>
        </w:tc>
        <w:tc>
          <w:tcPr>
            <w:tcW w:w="1723" w:type="dxa"/>
            <w:tcBorders>
              <w:top w:val="single" w:color="auto" w:sz="4" w:space="0"/>
            </w:tcBorders>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技术力量</w:t>
            </w:r>
          </w:p>
        </w:tc>
        <w:tc>
          <w:tcPr>
            <w:tcW w:w="6277" w:type="dxa"/>
            <w:tcBorders>
              <w:top w:val="single" w:color="auto" w:sz="4" w:space="0"/>
            </w:tcBorders>
            <w:noWrap w:val="0"/>
            <w:vAlign w:val="center"/>
          </w:tcPr>
          <w:p>
            <w:pPr>
              <w:rPr>
                <w:rFonts w:ascii="Times New Roman" w:hAnsi="Times New Roman" w:eastAsia="宋体" w:cs="Times New Roman"/>
                <w:bCs/>
                <w:color w:val="auto"/>
              </w:rPr>
            </w:pPr>
            <w:r>
              <w:rPr>
                <w:rFonts w:ascii="Times New Roman" w:hAnsi="Times New Roman" w:eastAsia="宋体" w:cs="Times New Roman"/>
                <w:bCs/>
                <w:color w:val="auto"/>
              </w:rPr>
              <w:t>投标人投入本项目的专业人员的技术能力情况评分：</w:t>
            </w:r>
          </w:p>
          <w:p>
            <w:pPr>
              <w:rPr>
                <w:rFonts w:ascii="Times New Roman" w:hAnsi="Times New Roman" w:eastAsia="宋体" w:cs="Times New Roman"/>
                <w:bCs/>
                <w:color w:val="auto"/>
              </w:rPr>
            </w:pPr>
            <w:r>
              <w:rPr>
                <w:rFonts w:ascii="Times New Roman" w:hAnsi="Times New Roman" w:eastAsia="宋体" w:cs="Times New Roman"/>
                <w:bCs/>
                <w:color w:val="auto"/>
              </w:rPr>
              <w:t>1.项目负责人：具备中级工程师职称的得</w:t>
            </w:r>
            <w:r>
              <w:rPr>
                <w:rFonts w:hint="eastAsia" w:ascii="Times New Roman" w:hAnsi="Times New Roman" w:eastAsia="宋体" w:cs="Times New Roman"/>
                <w:bCs/>
                <w:color w:val="auto"/>
              </w:rPr>
              <w:t>2</w:t>
            </w:r>
            <w:r>
              <w:rPr>
                <w:rFonts w:ascii="Times New Roman" w:hAnsi="Times New Roman" w:eastAsia="宋体" w:cs="Times New Roman"/>
                <w:bCs/>
                <w:color w:val="auto"/>
              </w:rPr>
              <w:t>分；具有机电</w:t>
            </w:r>
            <w:r>
              <w:rPr>
                <w:rFonts w:hint="eastAsia" w:ascii="Times New Roman" w:hAnsi="Times New Roman" w:eastAsia="宋体" w:cs="Times New Roman"/>
                <w:bCs/>
                <w:color w:val="auto"/>
              </w:rPr>
              <w:t>工程</w:t>
            </w:r>
            <w:r>
              <w:rPr>
                <w:rFonts w:ascii="Times New Roman" w:hAnsi="Times New Roman" w:eastAsia="宋体" w:cs="Times New Roman"/>
                <w:bCs/>
                <w:color w:val="auto"/>
              </w:rPr>
              <w:t>（或建筑工程）二级及以上建造师注册证书的得</w:t>
            </w:r>
            <w:r>
              <w:rPr>
                <w:rFonts w:hint="eastAsia" w:ascii="Times New Roman" w:hAnsi="Times New Roman" w:eastAsia="宋体" w:cs="Times New Roman"/>
                <w:bCs/>
                <w:color w:val="auto"/>
              </w:rPr>
              <w:t>2</w:t>
            </w:r>
            <w:r>
              <w:rPr>
                <w:rFonts w:ascii="Times New Roman" w:hAnsi="Times New Roman" w:eastAsia="宋体" w:cs="Times New Roman"/>
                <w:bCs/>
                <w:color w:val="auto"/>
              </w:rPr>
              <w:t>分（聘用企业须为投标人）；具备有效的安全生产考核合格证书（B 证）的得1分。最高得</w:t>
            </w:r>
            <w:r>
              <w:rPr>
                <w:rFonts w:hint="eastAsia" w:ascii="Times New Roman" w:hAnsi="Times New Roman" w:eastAsia="宋体" w:cs="Times New Roman"/>
                <w:bCs/>
                <w:color w:val="auto"/>
              </w:rPr>
              <w:t>5</w:t>
            </w:r>
            <w:r>
              <w:rPr>
                <w:rFonts w:ascii="Times New Roman" w:hAnsi="Times New Roman" w:eastAsia="宋体" w:cs="Times New Roman"/>
                <w:bCs/>
                <w:color w:val="auto"/>
              </w:rPr>
              <w:t>分。</w:t>
            </w:r>
          </w:p>
          <w:p>
            <w:pPr>
              <w:rPr>
                <w:rFonts w:hint="eastAsia" w:ascii="Times New Roman" w:hAnsi="Times New Roman" w:eastAsia="宋体" w:cs="Times New Roman"/>
                <w:bCs/>
                <w:color w:val="auto"/>
              </w:rPr>
            </w:pPr>
            <w:r>
              <w:rPr>
                <w:rFonts w:ascii="Times New Roman" w:hAnsi="Times New Roman" w:eastAsia="宋体" w:cs="Times New Roman"/>
                <w:bCs/>
                <w:color w:val="auto"/>
              </w:rPr>
              <w:t>2.技术负责人：具有机电（或建筑工程）二级及以上建造师注册证书的得</w:t>
            </w:r>
            <w:r>
              <w:rPr>
                <w:rFonts w:hint="eastAsia" w:ascii="Times New Roman" w:hAnsi="Times New Roman" w:eastAsia="宋体" w:cs="Times New Roman"/>
                <w:bCs/>
                <w:color w:val="auto"/>
              </w:rPr>
              <w:t>2</w:t>
            </w:r>
            <w:r>
              <w:rPr>
                <w:rFonts w:ascii="Times New Roman" w:hAnsi="Times New Roman" w:eastAsia="宋体" w:cs="Times New Roman"/>
                <w:bCs/>
                <w:color w:val="auto"/>
              </w:rPr>
              <w:t>分（聘用企业须为投标人），具备中级工程师职称的得</w:t>
            </w:r>
            <w:r>
              <w:rPr>
                <w:rFonts w:hint="eastAsia" w:ascii="Times New Roman" w:hAnsi="Times New Roman" w:eastAsia="宋体" w:cs="Times New Roman"/>
                <w:bCs/>
                <w:color w:val="auto"/>
              </w:rPr>
              <w:t>2</w:t>
            </w:r>
            <w:r>
              <w:rPr>
                <w:rFonts w:ascii="Times New Roman" w:hAnsi="Times New Roman" w:eastAsia="宋体" w:cs="Times New Roman"/>
                <w:bCs/>
                <w:color w:val="auto"/>
              </w:rPr>
              <w:t>分。最高得</w:t>
            </w:r>
            <w:r>
              <w:rPr>
                <w:rFonts w:hint="eastAsia" w:ascii="Times New Roman" w:hAnsi="Times New Roman" w:eastAsia="宋体" w:cs="Times New Roman"/>
                <w:bCs/>
                <w:color w:val="auto"/>
              </w:rPr>
              <w:t>4</w:t>
            </w:r>
            <w:r>
              <w:rPr>
                <w:rFonts w:ascii="Times New Roman" w:hAnsi="Times New Roman" w:eastAsia="宋体" w:cs="Times New Roman"/>
                <w:bCs/>
                <w:color w:val="auto"/>
              </w:rPr>
              <w:t>分</w:t>
            </w:r>
            <w:r>
              <w:rPr>
                <w:rFonts w:hint="eastAsia" w:ascii="Times New Roman" w:hAnsi="Times New Roman" w:eastAsia="宋体" w:cs="Times New Roman"/>
                <w:bCs/>
                <w:color w:val="auto"/>
              </w:rPr>
              <w:t>。</w:t>
            </w:r>
          </w:p>
          <w:p>
            <w:pPr>
              <w:rPr>
                <w:rFonts w:ascii="Times New Roman" w:hAnsi="Times New Roman" w:eastAsia="宋体" w:cs="Times New Roman"/>
                <w:bCs/>
                <w:color w:val="auto"/>
              </w:rPr>
            </w:pPr>
            <w:r>
              <w:rPr>
                <w:rFonts w:hint="eastAsia" w:ascii="Times New Roman" w:hAnsi="Times New Roman" w:eastAsia="宋体" w:cs="Times New Roman"/>
                <w:bCs/>
                <w:color w:val="auto"/>
              </w:rPr>
              <w:t>提供相关人员证书复印件及社保证明，未提供不得分。</w:t>
            </w:r>
          </w:p>
        </w:tc>
        <w:tc>
          <w:tcPr>
            <w:tcW w:w="695" w:type="dxa"/>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0" w:type="dxa"/>
            <w:vMerge w:val="restart"/>
            <w:tcBorders>
              <w:top w:val="single" w:color="auto" w:sz="4" w:space="0"/>
            </w:tcBorders>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4</w:t>
            </w:r>
          </w:p>
        </w:tc>
        <w:tc>
          <w:tcPr>
            <w:tcW w:w="1723" w:type="dxa"/>
            <w:vMerge w:val="restart"/>
            <w:tcBorders>
              <w:top w:val="single" w:color="auto" w:sz="4" w:space="0"/>
            </w:tcBorders>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投标人情况</w:t>
            </w:r>
          </w:p>
        </w:tc>
        <w:tc>
          <w:tcPr>
            <w:tcW w:w="6277" w:type="dxa"/>
            <w:tcBorders>
              <w:top w:val="single" w:color="auto" w:sz="4" w:space="0"/>
            </w:tcBorders>
            <w:noWrap w:val="0"/>
            <w:vAlign w:val="center"/>
          </w:tcPr>
          <w:p>
            <w:pPr>
              <w:spacing w:line="259" w:lineRule="auto"/>
              <w:rPr>
                <w:rFonts w:ascii="Times New Roman" w:hAnsi="Times New Roman" w:eastAsia="宋体" w:cs="Times New Roman"/>
                <w:color w:val="auto"/>
              </w:rPr>
            </w:pPr>
            <w:r>
              <w:rPr>
                <w:rFonts w:ascii="Times New Roman" w:hAnsi="Times New Roman" w:eastAsia="宋体" w:cs="Times New Roman"/>
                <w:color w:val="auto"/>
              </w:rPr>
              <w:t>投标人具有质量管理体系认证、环境管理体系认证、职业健康安全管理体系认证、</w:t>
            </w:r>
            <w:r>
              <w:rPr>
                <w:rFonts w:hint="eastAsia" w:ascii="Times New Roman" w:hAnsi="Times New Roman" w:eastAsia="宋体" w:cs="Times New Roman"/>
                <w:color w:val="auto"/>
              </w:rPr>
              <w:t>有害物质过程管理体系认证证书</w:t>
            </w:r>
            <w:r>
              <w:rPr>
                <w:rFonts w:ascii="Times New Roman" w:hAnsi="Times New Roman" w:eastAsia="宋体" w:cs="Times New Roman"/>
                <w:color w:val="auto"/>
              </w:rPr>
              <w:t>，每提供一个得</w:t>
            </w:r>
            <w:r>
              <w:rPr>
                <w:rFonts w:hint="eastAsia" w:ascii="Times New Roman" w:hAnsi="Times New Roman" w:eastAsia="宋体" w:cs="Times New Roman"/>
                <w:color w:val="auto"/>
              </w:rPr>
              <w:t>1</w:t>
            </w:r>
            <w:r>
              <w:rPr>
                <w:rFonts w:ascii="Times New Roman" w:hAnsi="Times New Roman" w:eastAsia="宋体" w:cs="Times New Roman"/>
                <w:color w:val="auto"/>
              </w:rPr>
              <w:t>分，最多得</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分。 </w:t>
            </w:r>
          </w:p>
          <w:p>
            <w:pPr>
              <w:spacing w:line="259" w:lineRule="auto"/>
              <w:rPr>
                <w:rFonts w:ascii="Times New Roman" w:hAnsi="Times New Roman" w:eastAsia="宋体" w:cs="Times New Roman"/>
                <w:color w:val="auto"/>
              </w:rPr>
            </w:pPr>
            <w:r>
              <w:rPr>
                <w:rFonts w:ascii="Times New Roman" w:hAnsi="Times New Roman" w:eastAsia="宋体" w:cs="Times New Roman"/>
                <w:color w:val="auto"/>
              </w:rPr>
              <w:t>未提供相关证明材料或超出有效期的不给分。</w:t>
            </w:r>
          </w:p>
        </w:tc>
        <w:tc>
          <w:tcPr>
            <w:tcW w:w="695" w:type="dxa"/>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810" w:type="dxa"/>
            <w:vMerge w:val="continue"/>
            <w:noWrap w:val="0"/>
            <w:vAlign w:val="center"/>
          </w:tcPr>
          <w:p>
            <w:pPr>
              <w:jc w:val="center"/>
              <w:rPr>
                <w:rFonts w:ascii="Times New Roman" w:hAnsi="Times New Roman" w:eastAsia="宋体" w:cs="Times New Roman"/>
                <w:color w:val="auto"/>
              </w:rPr>
            </w:pPr>
          </w:p>
        </w:tc>
        <w:tc>
          <w:tcPr>
            <w:tcW w:w="1723" w:type="dxa"/>
            <w:vMerge w:val="continue"/>
            <w:noWrap w:val="0"/>
            <w:vAlign w:val="center"/>
          </w:tcPr>
          <w:p>
            <w:pPr>
              <w:jc w:val="center"/>
              <w:rPr>
                <w:rFonts w:ascii="Times New Roman" w:hAnsi="Times New Roman" w:eastAsia="宋体" w:cs="Times New Roman"/>
                <w:color w:val="auto"/>
              </w:rPr>
            </w:pPr>
          </w:p>
        </w:tc>
        <w:tc>
          <w:tcPr>
            <w:tcW w:w="6277" w:type="dxa"/>
            <w:tcBorders>
              <w:top w:val="single" w:color="auto" w:sz="4" w:space="0"/>
            </w:tcBorders>
            <w:noWrap w:val="0"/>
            <w:vAlign w:val="center"/>
          </w:tcPr>
          <w:p>
            <w:pPr>
              <w:spacing w:line="259" w:lineRule="auto"/>
              <w:rPr>
                <w:rFonts w:hint="eastAsia" w:ascii="Times New Roman" w:hAnsi="Times New Roman" w:eastAsia="宋体" w:cs="Times New Roman"/>
                <w:color w:val="auto"/>
              </w:rPr>
            </w:pPr>
            <w:r>
              <w:rPr>
                <w:rFonts w:hint="eastAsia" w:ascii="Times New Roman" w:hAnsi="Times New Roman" w:eastAsia="宋体" w:cs="Times New Roman"/>
                <w:color w:val="auto"/>
              </w:rPr>
              <w:t>2019年1月1日以来（以证书时间为准），投标人类似项目业绩获得国家级表彰的一个得3分、最高得6分；获得省级表彰的，一个得1分，最高得2分。</w:t>
            </w:r>
          </w:p>
          <w:p>
            <w:pPr>
              <w:spacing w:line="259"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本项最高得6分。同一奖项就高计算。表彰证书需体现投标人名称。</w:t>
            </w:r>
          </w:p>
          <w:p>
            <w:pPr>
              <w:spacing w:line="259"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需提供获奖证书、获奖文件及网上公示截图。</w:t>
            </w:r>
          </w:p>
          <w:p>
            <w:pPr>
              <w:spacing w:line="259" w:lineRule="auto"/>
              <w:rPr>
                <w:rFonts w:ascii="Times New Roman" w:hAnsi="Times New Roman" w:eastAsia="宋体" w:cs="Times New Roman"/>
                <w:color w:val="auto"/>
              </w:rPr>
            </w:pPr>
            <w:r>
              <w:rPr>
                <w:rFonts w:hint="eastAsia" w:ascii="Times New Roman" w:hAnsi="Times New Roman" w:eastAsia="宋体" w:cs="Times New Roman"/>
                <w:color w:val="auto"/>
              </w:rPr>
              <w:t>未提供相关证明材料的不给分。</w:t>
            </w:r>
          </w:p>
        </w:tc>
        <w:tc>
          <w:tcPr>
            <w:tcW w:w="695" w:type="dxa"/>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0" w:type="dxa"/>
            <w:vMerge w:val="restart"/>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5</w:t>
            </w:r>
          </w:p>
        </w:tc>
        <w:tc>
          <w:tcPr>
            <w:tcW w:w="1723" w:type="dxa"/>
            <w:vMerge w:val="restart"/>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售后服务</w:t>
            </w:r>
          </w:p>
        </w:tc>
        <w:tc>
          <w:tcPr>
            <w:tcW w:w="6277" w:type="dxa"/>
            <w:noWrap w:val="0"/>
            <w:vAlign w:val="center"/>
          </w:tcPr>
          <w:p>
            <w:pPr>
              <w:rPr>
                <w:rFonts w:ascii="Times New Roman" w:hAnsi="Times New Roman" w:eastAsia="宋体" w:cs="Times New Roman"/>
                <w:color w:val="auto"/>
              </w:rPr>
            </w:pPr>
            <w:r>
              <w:rPr>
                <w:rFonts w:ascii="Times New Roman" w:hAnsi="Times New Roman" w:eastAsia="宋体" w:cs="Times New Roman"/>
                <w:color w:val="auto"/>
              </w:rPr>
              <w:t>投标人针对本项目的售后服务计划（详细完整的“三包”、定期巡检、保障措施等情况），阐述详细、合理，且针对性强的得3分，存在不合理或欠缺之处的，每处扣1分，扣完为止。</w:t>
            </w:r>
          </w:p>
        </w:tc>
        <w:tc>
          <w:tcPr>
            <w:tcW w:w="695" w:type="dxa"/>
            <w:noWrap w:val="0"/>
            <w:vAlign w:val="center"/>
          </w:tcPr>
          <w:p>
            <w:pPr>
              <w:kinsoku w:val="0"/>
              <w:jc w:val="center"/>
              <w:rPr>
                <w:rFonts w:ascii="Times New Roman" w:hAnsi="Times New Roman" w:eastAsia="宋体" w:cs="Times New Roman"/>
                <w:color w:val="auto"/>
              </w:rPr>
            </w:pPr>
            <w:r>
              <w:rPr>
                <w:rFonts w:ascii="Times New Roman" w:hAnsi="Times New Roman" w:eastAsia="宋体" w:cs="Times New Roman"/>
                <w:color w:val="auto"/>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0" w:type="dxa"/>
            <w:vMerge w:val="continue"/>
            <w:noWrap w:val="0"/>
            <w:vAlign w:val="center"/>
          </w:tcPr>
          <w:p>
            <w:pPr>
              <w:jc w:val="center"/>
              <w:rPr>
                <w:rFonts w:ascii="Times New Roman" w:hAnsi="Times New Roman" w:eastAsia="宋体" w:cs="Times New Roman"/>
                <w:color w:val="auto"/>
              </w:rPr>
            </w:pPr>
          </w:p>
        </w:tc>
        <w:tc>
          <w:tcPr>
            <w:tcW w:w="1723" w:type="dxa"/>
            <w:vMerge w:val="continue"/>
            <w:noWrap w:val="0"/>
            <w:vAlign w:val="center"/>
          </w:tcPr>
          <w:p>
            <w:pPr>
              <w:jc w:val="center"/>
              <w:rPr>
                <w:rFonts w:ascii="Times New Roman" w:hAnsi="Times New Roman" w:eastAsia="宋体" w:cs="Times New Roman"/>
                <w:color w:val="auto"/>
              </w:rPr>
            </w:pPr>
          </w:p>
        </w:tc>
        <w:tc>
          <w:tcPr>
            <w:tcW w:w="6277" w:type="dxa"/>
            <w:noWrap w:val="0"/>
            <w:vAlign w:val="center"/>
          </w:tcPr>
          <w:p>
            <w:pPr>
              <w:adjustRightInd w:val="0"/>
              <w:snapToGrid w:val="0"/>
              <w:spacing w:line="300" w:lineRule="exact"/>
              <w:ind w:right="-82" w:rightChars="-34"/>
              <w:rPr>
                <w:rFonts w:ascii="Times New Roman" w:hAnsi="Times New Roman" w:eastAsia="宋体" w:cs="Times New Roman"/>
                <w:color w:val="auto"/>
              </w:rPr>
            </w:pPr>
            <w:r>
              <w:rPr>
                <w:rFonts w:ascii="Times New Roman" w:hAnsi="Times New Roman" w:eastAsia="宋体" w:cs="Times New Roman"/>
                <w:color w:val="auto"/>
              </w:rPr>
              <w:t>投标人按招标文件要求提供质保的得</w:t>
            </w:r>
            <w:r>
              <w:rPr>
                <w:rFonts w:hint="eastAsia" w:ascii="Times New Roman" w:hAnsi="Times New Roman" w:eastAsia="宋体" w:cs="Times New Roman"/>
                <w:color w:val="auto"/>
              </w:rPr>
              <w:t>0</w:t>
            </w:r>
            <w:r>
              <w:rPr>
                <w:rFonts w:ascii="Times New Roman" w:hAnsi="Times New Roman" w:eastAsia="宋体" w:cs="Times New Roman"/>
                <w:color w:val="auto"/>
              </w:rPr>
              <w:t>分，在此基础上每</w:t>
            </w:r>
            <w:r>
              <w:rPr>
                <w:rFonts w:hint="eastAsia" w:ascii="Times New Roman" w:hAnsi="Times New Roman" w:eastAsia="宋体" w:cs="Times New Roman"/>
                <w:color w:val="auto"/>
              </w:rPr>
              <w:t>个设备</w:t>
            </w:r>
            <w:r>
              <w:rPr>
                <w:rFonts w:ascii="Times New Roman" w:hAnsi="Times New Roman" w:eastAsia="宋体" w:cs="Times New Roman"/>
                <w:color w:val="auto"/>
              </w:rPr>
              <w:t>增加</w:t>
            </w:r>
            <w:r>
              <w:rPr>
                <w:rFonts w:hint="eastAsia" w:ascii="Times New Roman" w:hAnsi="Times New Roman" w:eastAsia="宋体" w:cs="Times New Roman"/>
                <w:color w:val="auto"/>
              </w:rPr>
              <w:t>12</w:t>
            </w:r>
            <w:r>
              <w:rPr>
                <w:rFonts w:ascii="Times New Roman" w:hAnsi="Times New Roman" w:eastAsia="宋体" w:cs="Times New Roman"/>
                <w:color w:val="auto"/>
              </w:rPr>
              <w:t>个月的加</w:t>
            </w:r>
            <w:r>
              <w:rPr>
                <w:rFonts w:hint="eastAsia" w:ascii="Times New Roman" w:hAnsi="Times New Roman" w:eastAsia="宋体" w:cs="Times New Roman"/>
                <w:color w:val="auto"/>
              </w:rPr>
              <w:t>1</w:t>
            </w:r>
            <w:r>
              <w:rPr>
                <w:rFonts w:ascii="Times New Roman" w:hAnsi="Times New Roman" w:eastAsia="宋体" w:cs="Times New Roman"/>
                <w:color w:val="auto"/>
              </w:rPr>
              <w:t>分，最高加</w:t>
            </w:r>
            <w:r>
              <w:rPr>
                <w:rFonts w:hint="eastAsia" w:ascii="Times New Roman" w:hAnsi="Times New Roman" w:eastAsia="宋体" w:cs="Times New Roman"/>
                <w:color w:val="auto"/>
              </w:rPr>
              <w:t>2</w:t>
            </w:r>
            <w:r>
              <w:rPr>
                <w:rFonts w:ascii="Times New Roman" w:hAnsi="Times New Roman" w:eastAsia="宋体" w:cs="Times New Roman"/>
                <w:color w:val="auto"/>
              </w:rPr>
              <w:t>分。</w:t>
            </w:r>
            <w:r>
              <w:rPr>
                <w:rFonts w:hint="eastAsia" w:ascii="Times New Roman" w:hAnsi="Times New Roman" w:eastAsia="宋体" w:cs="Times New Roman"/>
                <w:color w:val="auto"/>
              </w:rPr>
              <w:t>不足12个月部分不计分。</w:t>
            </w:r>
          </w:p>
        </w:tc>
        <w:tc>
          <w:tcPr>
            <w:tcW w:w="695" w:type="dxa"/>
            <w:noWrap w:val="0"/>
            <w:vAlign w:val="center"/>
          </w:tcPr>
          <w:p>
            <w:pPr>
              <w:kinsoku w:val="0"/>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0" w:type="dxa"/>
            <w:tcBorders>
              <w:top w:val="single" w:color="000000" w:sz="4" w:space="0"/>
              <w:bottom w:val="single" w:color="000000" w:sz="4" w:space="0"/>
            </w:tcBorders>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6</w:t>
            </w:r>
          </w:p>
        </w:tc>
        <w:tc>
          <w:tcPr>
            <w:tcW w:w="1723" w:type="dxa"/>
            <w:tcBorders>
              <w:top w:val="single" w:color="000000" w:sz="4" w:space="0"/>
              <w:bottom w:val="single" w:color="000000" w:sz="4" w:space="0"/>
            </w:tcBorders>
            <w:noWrap w:val="0"/>
            <w:vAlign w:val="center"/>
          </w:tcPr>
          <w:p>
            <w:pPr>
              <w:tabs>
                <w:tab w:val="left" w:pos="3850"/>
              </w:tabs>
              <w:jc w:val="center"/>
              <w:rPr>
                <w:rFonts w:ascii="Times New Roman" w:hAnsi="Times New Roman" w:eastAsia="宋体" w:cs="Times New Roman"/>
                <w:bCs/>
                <w:color w:val="auto"/>
              </w:rPr>
            </w:pPr>
            <w:r>
              <w:rPr>
                <w:rFonts w:ascii="Times New Roman" w:hAnsi="Times New Roman" w:eastAsia="宋体" w:cs="Times New Roman"/>
                <w:bCs/>
                <w:color w:val="auto"/>
              </w:rPr>
              <w:t>同类业绩</w:t>
            </w:r>
          </w:p>
        </w:tc>
        <w:tc>
          <w:tcPr>
            <w:tcW w:w="6277" w:type="dxa"/>
            <w:tcBorders>
              <w:top w:val="single" w:color="000000" w:sz="4" w:space="0"/>
              <w:bottom w:val="single" w:color="000000" w:sz="4" w:space="0"/>
            </w:tcBorders>
            <w:noWrap w:val="0"/>
            <w:vAlign w:val="center"/>
          </w:tcPr>
          <w:p>
            <w:pPr>
              <w:rPr>
                <w:rFonts w:hint="eastAsia" w:ascii="宋体" w:hAnsi="宋体" w:eastAsia="宋体" w:cs="宋体"/>
                <w:color w:val="auto"/>
              </w:rPr>
            </w:pPr>
            <w:r>
              <w:rPr>
                <w:rFonts w:hint="eastAsia" w:ascii="宋体" w:hAnsi="宋体" w:eastAsia="宋体" w:cs="宋体"/>
                <w:color w:val="auto"/>
                <w:lang w:eastAsia="zh-Hans"/>
              </w:rPr>
              <w:t>投标人提供</w:t>
            </w:r>
            <w:r>
              <w:rPr>
                <w:rFonts w:hint="eastAsia" w:ascii="宋体" w:hAnsi="宋体" w:eastAsia="宋体" w:cs="宋体"/>
                <w:color w:val="auto"/>
                <w:kern w:val="2"/>
              </w:rPr>
              <w:t>（</w:t>
            </w:r>
            <w:r>
              <w:rPr>
                <w:rFonts w:hint="eastAsia" w:ascii="宋体" w:hAnsi="宋体" w:eastAsia="宋体" w:cs="宋体"/>
                <w:color w:val="auto"/>
                <w:lang w:eastAsia="zh-Hans"/>
              </w:rPr>
              <w:t>2019年1月1日以来</w:t>
            </w:r>
            <w:r>
              <w:rPr>
                <w:rFonts w:hint="eastAsia" w:ascii="宋体" w:hAnsi="宋体" w:eastAsia="宋体" w:cs="宋体"/>
                <w:color w:val="auto"/>
              </w:rPr>
              <w:t>、以竣工时间为准）同类净化</w:t>
            </w:r>
            <w:r>
              <w:rPr>
                <w:rFonts w:hint="eastAsia" w:ascii="宋体" w:hAnsi="宋体" w:eastAsia="宋体" w:cs="宋体"/>
                <w:color w:val="auto"/>
                <w:lang w:eastAsia="zh-Hans"/>
              </w:rPr>
              <w:t>业绩：</w:t>
            </w:r>
            <w:r>
              <w:rPr>
                <w:rFonts w:hint="eastAsia" w:ascii="宋体" w:hAnsi="宋体" w:eastAsia="宋体" w:cs="宋体"/>
                <w:color w:val="auto"/>
              </w:rPr>
              <w:t>每提供1个同类业绩得1分，最高得3分。</w:t>
            </w:r>
          </w:p>
          <w:p>
            <w:pPr>
              <w:rPr>
                <w:rFonts w:ascii="Times New Roman" w:hAnsi="Times New Roman" w:eastAsia="宋体" w:cs="Times New Roman"/>
                <w:color w:val="auto"/>
              </w:rPr>
            </w:pPr>
            <w:r>
              <w:rPr>
                <w:rFonts w:hint="eastAsia" w:ascii="宋体" w:hAnsi="宋体" w:eastAsia="宋体" w:cs="宋体"/>
                <w:color w:val="auto"/>
                <w:kern w:val="2"/>
                <w:lang w:eastAsia="zh-Hans"/>
              </w:rPr>
              <w:t>注：投标人应提供以下材料的彩色扫描件并加盖投标人电子签章：中标通知书、施工合同、第三方空气洁净检测报告、验收证明，且各项证明资料均须体现投标人名称，有一项不符合不得分；</w:t>
            </w:r>
          </w:p>
        </w:tc>
        <w:tc>
          <w:tcPr>
            <w:tcW w:w="695" w:type="dxa"/>
            <w:tcBorders>
              <w:top w:val="single" w:color="000000" w:sz="4" w:space="0"/>
              <w:bottom w:val="single" w:color="000000" w:sz="4" w:space="0"/>
            </w:tcBorders>
            <w:noWrap w:val="0"/>
            <w:vAlign w:val="center"/>
          </w:tcPr>
          <w:p>
            <w:pPr>
              <w:kinsoku w:val="0"/>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jc w:val="center"/>
        </w:trPr>
        <w:tc>
          <w:tcPr>
            <w:tcW w:w="810" w:type="dxa"/>
            <w:tcBorders>
              <w:top w:val="single" w:color="000000" w:sz="4" w:space="0"/>
              <w:bottom w:val="single" w:color="000000" w:sz="4" w:space="0"/>
            </w:tcBorders>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7</w:t>
            </w:r>
          </w:p>
        </w:tc>
        <w:tc>
          <w:tcPr>
            <w:tcW w:w="1723" w:type="dxa"/>
            <w:tcBorders>
              <w:top w:val="single" w:color="000000" w:sz="4" w:space="0"/>
              <w:bottom w:val="single" w:color="000000" w:sz="4" w:space="0"/>
            </w:tcBorders>
            <w:noWrap w:val="0"/>
            <w:vAlign w:val="center"/>
          </w:tcPr>
          <w:p>
            <w:pPr>
              <w:tabs>
                <w:tab w:val="left" w:pos="3850"/>
              </w:tabs>
              <w:jc w:val="center"/>
              <w:rPr>
                <w:rFonts w:ascii="Times New Roman" w:hAnsi="Times New Roman" w:eastAsia="宋体" w:cs="Times New Roman"/>
                <w:bCs/>
                <w:color w:val="auto"/>
              </w:rPr>
            </w:pPr>
            <w:r>
              <w:rPr>
                <w:rFonts w:ascii="Times New Roman" w:hAnsi="Times New Roman" w:eastAsia="宋体" w:cs="Times New Roman"/>
                <w:color w:val="auto"/>
              </w:rPr>
              <w:t>政策分</w:t>
            </w:r>
          </w:p>
        </w:tc>
        <w:tc>
          <w:tcPr>
            <w:tcW w:w="6277" w:type="dxa"/>
            <w:tcBorders>
              <w:top w:val="single" w:color="000000" w:sz="4" w:space="0"/>
              <w:bottom w:val="single" w:color="000000" w:sz="4" w:space="0"/>
            </w:tcBorders>
            <w:noWrap w:val="0"/>
            <w:vAlign w:val="center"/>
          </w:tcPr>
          <w:p>
            <w:pPr>
              <w:keepNext/>
              <w:tabs>
                <w:tab w:val="left" w:pos="3808"/>
              </w:tabs>
              <w:adjustRightInd w:val="0"/>
              <w:snapToGrid w:val="0"/>
              <w:spacing w:before="60" w:after="60"/>
              <w:rPr>
                <w:rFonts w:ascii="Times New Roman" w:hAnsi="Times New Roman" w:eastAsia="宋体" w:cs="Times New Roman"/>
                <w:color w:val="auto"/>
              </w:rPr>
            </w:pPr>
            <w:bookmarkStart w:id="148" w:name="_GoBack"/>
            <w:r>
              <w:rPr>
                <w:rFonts w:ascii="Times New Roman" w:hAnsi="Times New Roman" w:eastAsia="宋体" w:cs="Times New Roman"/>
                <w:color w:val="auto"/>
              </w:rPr>
              <w:t>1.投标产品列入财政部、发展改革委、生态环境部等部门发布的节能产品品目清单（财库〔2019〕19号）且提供国家确定的认证机构出具的、处于有效期之内的节能产品认证证书的，每项证书得0.5分，最高得1分。</w:t>
            </w:r>
          </w:p>
          <w:p>
            <w:pPr>
              <w:keepNext/>
              <w:tabs>
                <w:tab w:val="left" w:pos="3808"/>
              </w:tabs>
              <w:adjustRightInd w:val="0"/>
              <w:snapToGrid w:val="0"/>
              <w:spacing w:before="60" w:after="60"/>
              <w:rPr>
                <w:rFonts w:ascii="Times New Roman" w:hAnsi="Times New Roman" w:eastAsia="宋体" w:cs="Times New Roman"/>
                <w:color w:val="auto"/>
              </w:rPr>
            </w:pPr>
            <w:r>
              <w:rPr>
                <w:rFonts w:ascii="Times New Roman" w:hAnsi="Times New Roman" w:eastAsia="宋体" w:cs="Times New Roman"/>
                <w:color w:val="auto"/>
              </w:rPr>
              <w:t>2.投标产品列入财政部、发展改革委、生态环境部等部门发布的环境标志产品品目清单（财库〔2019〕18号）且提供国家确定的认证机构出具的、处于有效期之内的环境标志产品认证证书的，每项证书得0.5分，最高得1分。</w:t>
            </w:r>
          </w:p>
          <w:p>
            <w:pPr>
              <w:kinsoku w:val="0"/>
              <w:ind w:right="-22" w:rightChars="-9"/>
              <w:rPr>
                <w:rFonts w:ascii="Times New Roman" w:hAnsi="Times New Roman" w:eastAsia="宋体" w:cs="Times New Roman"/>
                <w:color w:val="auto"/>
              </w:rPr>
            </w:pPr>
            <w:r>
              <w:rPr>
                <w:rFonts w:ascii="Times New Roman" w:hAnsi="Times New Roman" w:eastAsia="宋体" w:cs="Times New Roman"/>
                <w:color w:val="auto"/>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bookmarkEnd w:id="148"/>
          </w:p>
        </w:tc>
        <w:tc>
          <w:tcPr>
            <w:tcW w:w="695" w:type="dxa"/>
            <w:tcBorders>
              <w:top w:val="single" w:color="000000" w:sz="4" w:space="0"/>
              <w:bottom w:val="single" w:color="000000" w:sz="4" w:space="0"/>
            </w:tcBorders>
            <w:noWrap w:val="0"/>
            <w:vAlign w:val="center"/>
          </w:tcPr>
          <w:p>
            <w:pPr>
              <w:kinsoku w:val="0"/>
              <w:jc w:val="center"/>
              <w:rPr>
                <w:rFonts w:ascii="Times New Roman" w:hAnsi="Times New Roman" w:eastAsia="宋体" w:cs="Times New Roman"/>
                <w:color w:val="auto"/>
              </w:rPr>
            </w:pPr>
            <w:r>
              <w:rPr>
                <w:rFonts w:ascii="Times New Roman" w:hAnsi="Times New Roman" w:eastAsia="宋体" w:cs="Times New Roman"/>
                <w:color w:val="auto"/>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9505" w:type="dxa"/>
            <w:gridSpan w:val="4"/>
            <w:tcBorders>
              <w:top w:val="single" w:color="000000" w:sz="4" w:space="0"/>
              <w:bottom w:val="single" w:color="000000" w:sz="4" w:space="0"/>
            </w:tcBorders>
            <w:noWrap w:val="0"/>
            <w:vAlign w:val="center"/>
          </w:tcPr>
          <w:p>
            <w:pPr>
              <w:widowControl w:val="0"/>
              <w:jc w:val="both"/>
              <w:rPr>
                <w:rFonts w:ascii="Times New Roman" w:hAnsi="Times New Roman" w:eastAsia="宋体" w:cs="Times New Roman"/>
                <w:b/>
                <w:color w:val="auto"/>
              </w:rPr>
            </w:pPr>
            <w:r>
              <w:rPr>
                <w:rFonts w:ascii="Times New Roman" w:hAnsi="Times New Roman" w:eastAsia="宋体" w:cs="Times New Roman"/>
                <w:b/>
                <w:color w:val="auto"/>
              </w:rPr>
              <w:t>注：上述评分项目，以投标人在投标文件中做出的书面承诺、相关证书、证明材料复印件为准。所有外文版本的证明材料，须提供中文版本的翻译件。</w:t>
            </w:r>
          </w:p>
          <w:p>
            <w:pPr>
              <w:kinsoku w:val="0"/>
              <w:rPr>
                <w:rFonts w:ascii="Times New Roman" w:hAnsi="Times New Roman" w:eastAsia="宋体" w:cs="Times New Roman"/>
                <w:color w:val="auto"/>
              </w:rPr>
            </w:pPr>
            <w:r>
              <w:rPr>
                <w:rFonts w:ascii="Times New Roman" w:hAnsi="Times New Roman" w:eastAsia="宋体" w:cs="Times New Roman"/>
                <w:b/>
                <w:color w:val="auto"/>
              </w:rPr>
              <w:t>任何由于投标人原因导致书面及证明材料缺失、字迹模糊无法分辨、内容错漏的情形，均可能导致该投标人的评审项失分。</w:t>
            </w:r>
          </w:p>
        </w:tc>
      </w:tr>
    </w:tbl>
    <w:p>
      <w:pPr>
        <w:pStyle w:val="44"/>
        <w:ind w:left="0" w:leftChars="0" w:firstLine="0" w:firstLineChars="0"/>
        <w:rPr>
          <w:rFonts w:hint="eastAsia"/>
          <w:color w:val="auto"/>
        </w:rPr>
      </w:pPr>
    </w:p>
    <w:p>
      <w:pPr>
        <w:pStyle w:val="41"/>
        <w:widowControl w:val="0"/>
        <w:adjustRightInd w:val="0"/>
        <w:snapToGrid w:val="0"/>
        <w:spacing w:before="0" w:beforeAutospacing="0" w:after="0" w:afterAutospacing="0" w:line="360" w:lineRule="auto"/>
        <w:ind w:firstLine="470" w:firstLineChars="196"/>
        <w:rPr>
          <w:rFonts w:hint="default" w:ascii="Times New Roman" w:hAnsi="Times New Roman"/>
          <w:color w:val="auto"/>
        </w:rPr>
      </w:pPr>
      <w:r>
        <w:rPr>
          <w:rFonts w:hint="default" w:ascii="Times New Roman" w:hAnsi="Times New Roman"/>
          <w:color w:val="auto"/>
        </w:rPr>
        <w:t>2.价格评审</w:t>
      </w:r>
      <w:r>
        <w:rPr>
          <w:rFonts w:ascii="Times New Roman" w:hAnsi="Times New Roman"/>
          <w:color w:val="auto"/>
        </w:rPr>
        <w:t>（满分30分）</w:t>
      </w:r>
      <w:r>
        <w:rPr>
          <w:rFonts w:hint="default" w:ascii="Times New Roman" w:hAnsi="Times New Roman"/>
          <w:color w:val="auto"/>
        </w:rPr>
        <w:t xml:space="preserve">：有效投标报价的最低价作为评标基准价，其最低报价为满分，其余各投标人价格得分的计算公式为：（评标基准价÷各投标人的有效报价）×30分。 </w:t>
      </w:r>
    </w:p>
    <w:p>
      <w:pPr>
        <w:widowControl w:val="0"/>
        <w:adjustRightInd w:val="0"/>
        <w:snapToGrid w:val="0"/>
        <w:spacing w:line="360" w:lineRule="auto"/>
        <w:ind w:firstLine="361" w:firstLineChars="150"/>
        <w:rPr>
          <w:b/>
          <w:color w:val="auto"/>
        </w:rPr>
      </w:pPr>
      <w:r>
        <w:rPr>
          <w:b/>
          <w:color w:val="auto"/>
        </w:rPr>
        <w:t>注：根据相关扶持政策的规定，对符合相关要求的有效投标人，给予小型和微型企业产品</w:t>
      </w:r>
      <w:r>
        <w:rPr>
          <w:rFonts w:hint="eastAsia"/>
          <w:b/>
          <w:color w:val="auto"/>
        </w:rPr>
        <w:t>2</w:t>
      </w:r>
      <w:r>
        <w:rPr>
          <w:b/>
          <w:color w:val="auto"/>
        </w:rPr>
        <w:t>0%的价格扣除，以调整后的价格计算评标基准价和投标报价。</w:t>
      </w:r>
    </w:p>
    <w:p>
      <w:pPr>
        <w:widowControl w:val="0"/>
        <w:adjustRightInd w:val="0"/>
        <w:snapToGrid w:val="0"/>
        <w:spacing w:line="360" w:lineRule="auto"/>
        <w:ind w:firstLine="361" w:firstLineChars="150"/>
        <w:rPr>
          <w:b/>
          <w:color w:val="auto"/>
        </w:rPr>
      </w:pPr>
      <w:r>
        <w:rPr>
          <w:b/>
          <w:color w:val="auto"/>
        </w:rPr>
        <w:t>小型和微型企业评标价格＝符合小微企业的报价×(1-</w:t>
      </w:r>
      <w:r>
        <w:rPr>
          <w:rFonts w:hint="eastAsia"/>
          <w:b/>
          <w:color w:val="auto"/>
        </w:rPr>
        <w:t>2</w:t>
      </w:r>
      <w:r>
        <w:rPr>
          <w:b/>
          <w:color w:val="auto"/>
        </w:rPr>
        <w:t>0%)</w:t>
      </w:r>
    </w:p>
    <w:p>
      <w:pPr>
        <w:widowControl w:val="0"/>
        <w:adjustRightInd w:val="0"/>
        <w:snapToGrid w:val="0"/>
        <w:spacing w:line="360" w:lineRule="auto"/>
        <w:ind w:firstLine="480" w:firstLineChars="200"/>
        <w:rPr>
          <w:color w:val="auto"/>
        </w:rPr>
      </w:pPr>
      <w:r>
        <w:rPr>
          <w:color w:val="auto"/>
        </w:rPr>
        <w:t>3.总分计算（满分为100分）</w:t>
      </w:r>
    </w:p>
    <w:p>
      <w:pPr>
        <w:widowControl w:val="0"/>
        <w:adjustRightInd w:val="0"/>
        <w:snapToGrid w:val="0"/>
        <w:spacing w:line="360" w:lineRule="auto"/>
        <w:ind w:firstLine="480" w:firstLineChars="200"/>
        <w:rPr>
          <w:color w:val="auto"/>
        </w:rPr>
      </w:pPr>
      <w:r>
        <w:rPr>
          <w:color w:val="auto"/>
        </w:rPr>
        <w:t>投标人的最终得分=</w:t>
      </w:r>
      <w:r>
        <w:rPr>
          <w:rFonts w:hint="eastAsia"/>
          <w:color w:val="auto"/>
        </w:rPr>
        <w:t>商务</w:t>
      </w:r>
      <w:r>
        <w:rPr>
          <w:color w:val="auto"/>
        </w:rPr>
        <w:t>技术得分+价格得分</w:t>
      </w:r>
    </w:p>
    <w:p>
      <w:pPr>
        <w:widowControl w:val="0"/>
        <w:adjustRightInd w:val="0"/>
        <w:snapToGrid w:val="0"/>
        <w:spacing w:line="360" w:lineRule="auto"/>
        <w:ind w:firstLine="435"/>
        <w:jc w:val="both"/>
        <w:rPr>
          <w:b/>
          <w:bCs/>
          <w:color w:val="auto"/>
        </w:rPr>
      </w:pPr>
      <w:r>
        <w:rPr>
          <w:b/>
          <w:bCs/>
          <w:color w:val="auto"/>
        </w:rPr>
        <w:t>三、评标程序</w:t>
      </w:r>
    </w:p>
    <w:p>
      <w:pPr>
        <w:spacing w:line="360" w:lineRule="auto"/>
        <w:ind w:firstLine="472" w:firstLineChars="196"/>
        <w:rPr>
          <w:color w:val="auto"/>
        </w:rPr>
      </w:pPr>
      <w:r>
        <w:rPr>
          <w:b/>
          <w:color w:val="auto"/>
        </w:rPr>
        <w:t>1.符合性审查。</w:t>
      </w:r>
      <w:r>
        <w:rPr>
          <w:color w:val="auto"/>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color w:val="auto"/>
        </w:rPr>
      </w:pPr>
      <w:r>
        <w:rPr>
          <w:b/>
          <w:color w:val="auto"/>
        </w:rPr>
        <w:t>2.比较与评价。</w:t>
      </w:r>
      <w:r>
        <w:rPr>
          <w:color w:val="auto"/>
        </w:rPr>
        <w:t>评标委员会应当按照招标文件中规定的评标方法和标准，对符合性审查合格的投标文件进行商务技术评估，综合比较与评价。</w:t>
      </w:r>
    </w:p>
    <w:p>
      <w:pPr>
        <w:widowControl w:val="0"/>
        <w:adjustRightInd w:val="0"/>
        <w:snapToGrid w:val="0"/>
        <w:spacing w:line="360" w:lineRule="auto"/>
        <w:ind w:firstLine="435"/>
        <w:jc w:val="both"/>
        <w:rPr>
          <w:color w:val="auto"/>
        </w:rPr>
      </w:pPr>
      <w:r>
        <w:rPr>
          <w:b/>
          <w:bCs/>
          <w:color w:val="auto"/>
        </w:rPr>
        <w:t>3.投标人澄清、说明或者补正。</w:t>
      </w:r>
      <w:r>
        <w:rPr>
          <w:color w:va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对投标文件中含义不明确、同类问题表述不一致或者有明显文字和计算错误的内容，评标委员会可要求投标人作出必要的澄清说明。投标人的澄清说明应当在政采云端口进行，内容不得超出投标文件的范围或者改变投标文件的实质性内容。</w:t>
      </w:r>
    </w:p>
    <w:p>
      <w:pPr>
        <w:spacing w:line="360" w:lineRule="auto"/>
        <w:ind w:firstLine="472" w:firstLineChars="196"/>
        <w:rPr>
          <w:color w:val="auto"/>
        </w:rPr>
      </w:pPr>
      <w:r>
        <w:rPr>
          <w:b/>
          <w:color w:val="auto"/>
        </w:rPr>
        <w:t>4.汇总商务技术得分。</w:t>
      </w:r>
      <w:r>
        <w:rPr>
          <w:color w:val="auto"/>
        </w:rPr>
        <w:t>评标委员会各成员应当独立对每个投标人的商务技术文件进行评价，并汇总商务技术得分情况。</w:t>
      </w:r>
    </w:p>
    <w:p>
      <w:pPr>
        <w:widowControl w:val="0"/>
        <w:adjustRightInd w:val="0"/>
        <w:snapToGrid w:val="0"/>
        <w:spacing w:line="360" w:lineRule="auto"/>
        <w:ind w:firstLine="435"/>
        <w:jc w:val="both"/>
        <w:rPr>
          <w:b/>
          <w:bCs/>
          <w:color w:val="auto"/>
        </w:rPr>
      </w:pPr>
      <w:r>
        <w:rPr>
          <w:b/>
          <w:bCs/>
          <w:color w:val="auto"/>
        </w:rPr>
        <w:t>5.错误修正</w:t>
      </w:r>
    </w:p>
    <w:p>
      <w:pPr>
        <w:widowControl w:val="0"/>
        <w:adjustRightInd w:val="0"/>
        <w:snapToGrid w:val="0"/>
        <w:spacing w:line="360" w:lineRule="auto"/>
        <w:ind w:firstLine="435"/>
        <w:jc w:val="both"/>
        <w:rPr>
          <w:color w:val="auto"/>
        </w:rPr>
      </w:pPr>
      <w:r>
        <w:rPr>
          <w:color w:val="auto"/>
        </w:rPr>
        <w:t>报价文件如果出现计算或表达上的错误，修正错误的原则如下：</w:t>
      </w:r>
    </w:p>
    <w:p>
      <w:pPr>
        <w:widowControl w:val="0"/>
        <w:adjustRightInd w:val="0"/>
        <w:snapToGrid w:val="0"/>
        <w:spacing w:line="360" w:lineRule="auto"/>
        <w:ind w:firstLine="435"/>
        <w:jc w:val="both"/>
        <w:rPr>
          <w:color w:val="auto"/>
        </w:rPr>
      </w:pPr>
      <w:bookmarkStart w:id="124" w:name="_Hlk92876645"/>
      <w:r>
        <w:rPr>
          <w:color w:val="auto"/>
        </w:rPr>
        <w:t>5.1电子交易平台中“开标一览表”与投标人上传报价文件中“开标一览表”不一致的，以投标人上传报价文件的“开标一览表”为准。</w:t>
      </w:r>
    </w:p>
    <w:p>
      <w:pPr>
        <w:widowControl w:val="0"/>
        <w:adjustRightInd w:val="0"/>
        <w:snapToGrid w:val="0"/>
        <w:spacing w:line="360" w:lineRule="auto"/>
        <w:ind w:firstLine="435"/>
        <w:jc w:val="both"/>
        <w:rPr>
          <w:color w:val="auto"/>
        </w:rPr>
      </w:pPr>
      <w:r>
        <w:rPr>
          <w:color w:val="auto"/>
        </w:rPr>
        <w:t>5.2投标文件中开标一览表（报价表）内容与投标文件中相应内容不一致的，以开标一览表（报价表）为准；</w:t>
      </w:r>
    </w:p>
    <w:p>
      <w:pPr>
        <w:widowControl w:val="0"/>
        <w:adjustRightInd w:val="0"/>
        <w:snapToGrid w:val="0"/>
        <w:spacing w:line="360" w:lineRule="auto"/>
        <w:ind w:firstLine="435"/>
        <w:jc w:val="both"/>
        <w:rPr>
          <w:color w:val="auto"/>
        </w:rPr>
      </w:pPr>
      <w:r>
        <w:rPr>
          <w:color w:val="auto"/>
        </w:rPr>
        <w:t>5.3大写金额和小写金额不一致的，以大写金额为准；</w:t>
      </w:r>
    </w:p>
    <w:p>
      <w:pPr>
        <w:widowControl w:val="0"/>
        <w:adjustRightInd w:val="0"/>
        <w:snapToGrid w:val="0"/>
        <w:spacing w:line="360" w:lineRule="auto"/>
        <w:ind w:firstLine="435"/>
        <w:jc w:val="both"/>
        <w:rPr>
          <w:color w:val="auto"/>
        </w:rPr>
      </w:pPr>
      <w:r>
        <w:rPr>
          <w:color w:val="auto"/>
        </w:rPr>
        <w:t>5.4单价金额小数点或者百分比有明显错位的，以报价一览表的总价为准，并修改单价；</w:t>
      </w:r>
    </w:p>
    <w:p>
      <w:pPr>
        <w:widowControl w:val="0"/>
        <w:adjustRightInd w:val="0"/>
        <w:snapToGrid w:val="0"/>
        <w:spacing w:line="360" w:lineRule="auto"/>
        <w:ind w:firstLine="435"/>
        <w:jc w:val="both"/>
        <w:rPr>
          <w:color w:val="auto"/>
        </w:rPr>
      </w:pPr>
      <w:r>
        <w:rPr>
          <w:color w:val="auto"/>
        </w:rPr>
        <w:t>5.5总价金额与按单价汇总金额不一致的，以单价金额计算结果为准。</w:t>
      </w:r>
    </w:p>
    <w:bookmarkEnd w:id="124"/>
    <w:p>
      <w:pPr>
        <w:pStyle w:val="124"/>
        <w:spacing w:before="0"/>
        <w:ind w:firstLine="482"/>
        <w:rPr>
          <w:b/>
          <w:bCs/>
          <w:color w:val="auto"/>
        </w:rPr>
      </w:pPr>
      <w:r>
        <w:rPr>
          <w:b/>
          <w:bCs/>
          <w:color w:val="auto"/>
        </w:rPr>
        <w:t>同时出现两种以上不一致的，按照顺序修正，修正后的报价按照财政部第87号令 《政府采购货物和服务招标投标管理办法》第五十一条第二款的规定经投标人确认后产生约束力。</w:t>
      </w:r>
    </w:p>
    <w:p>
      <w:pPr>
        <w:widowControl w:val="0"/>
        <w:adjustRightInd w:val="0"/>
        <w:snapToGrid w:val="0"/>
        <w:spacing w:line="360" w:lineRule="auto"/>
        <w:ind w:firstLine="435"/>
        <w:jc w:val="both"/>
        <w:rPr>
          <w:color w:val="auto"/>
          <w:kern w:val="2"/>
        </w:rPr>
      </w:pPr>
      <w:r>
        <w:rPr>
          <w:b/>
          <w:bCs/>
          <w:color w:val="auto"/>
        </w:rPr>
        <w:t>6.</w:t>
      </w:r>
      <w:r>
        <w:rPr>
          <w:b/>
          <w:color w:val="auto"/>
        </w:rPr>
        <w:t>排序与推荐。</w:t>
      </w:r>
      <w:r>
        <w:rPr>
          <w:color w:val="auto"/>
        </w:rPr>
        <w:t>采用综合评分法的，评标结果按评审后得分由高到低顺序排列。如出现得分相同的，则按投标报价由低到高顺序排列；得分且投标报价相同的并列，</w:t>
      </w:r>
      <w:r>
        <w:rPr>
          <w:rFonts w:hint="eastAsia"/>
          <w:color w:val="auto"/>
        </w:rPr>
        <w:t>由</w:t>
      </w:r>
      <w:r>
        <w:rPr>
          <w:color w:val="auto"/>
        </w:rPr>
        <w:t>评标委员会采取抽签方式确定排序。</w:t>
      </w:r>
    </w:p>
    <w:p>
      <w:pPr>
        <w:spacing w:line="360" w:lineRule="auto"/>
        <w:ind w:firstLine="480" w:firstLineChars="200"/>
        <w:rPr>
          <w:b/>
          <w:color w:val="auto"/>
        </w:rPr>
      </w:pPr>
      <w:r>
        <w:rPr>
          <w:color w:va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color w:val="auto"/>
        </w:rPr>
      </w:pPr>
      <w:r>
        <w:rPr>
          <w:b/>
          <w:color w:val="auto"/>
        </w:rPr>
        <w:t>7.编写评标报告。</w:t>
      </w:r>
      <w:r>
        <w:rPr>
          <w:color w:va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bookmarkStart w:id="125" w:name="_Toc39239708"/>
    </w:p>
    <w:p>
      <w:pPr>
        <w:widowControl w:val="0"/>
        <w:adjustRightInd w:val="0"/>
        <w:snapToGrid w:val="0"/>
        <w:spacing w:line="360" w:lineRule="auto"/>
        <w:ind w:firstLine="435"/>
        <w:jc w:val="both"/>
        <w:rPr>
          <w:b/>
          <w:bCs/>
          <w:color w:val="auto"/>
        </w:rPr>
      </w:pPr>
      <w:r>
        <w:rPr>
          <w:rFonts w:hint="eastAsia"/>
          <w:b/>
          <w:bCs/>
          <w:color w:val="auto"/>
        </w:rPr>
        <w:t>四、评审纪律和要求</w:t>
      </w:r>
    </w:p>
    <w:p>
      <w:pPr>
        <w:spacing w:line="360" w:lineRule="auto"/>
        <w:ind w:firstLine="480" w:firstLineChars="200"/>
        <w:rPr>
          <w:color w:val="auto"/>
        </w:rPr>
      </w:pPr>
      <w:r>
        <w:rPr>
          <w:color w:val="auto"/>
        </w:rPr>
        <w:t>1.评审专家必须公平、公正评审，遵纪守法，客观、廉洁地履行职责。</w:t>
      </w:r>
    </w:p>
    <w:p>
      <w:pPr>
        <w:spacing w:line="360" w:lineRule="auto"/>
        <w:ind w:firstLine="480" w:firstLineChars="200"/>
        <w:rPr>
          <w:color w:val="auto"/>
        </w:rPr>
      </w:pPr>
      <w:r>
        <w:rPr>
          <w:color w:val="auto"/>
        </w:rPr>
        <w:t>2.评审专家在评审开始前，应关闭并上交随身携带的各种通信工具。</w:t>
      </w:r>
    </w:p>
    <w:p>
      <w:pPr>
        <w:spacing w:line="360" w:lineRule="auto"/>
        <w:ind w:firstLine="480" w:firstLineChars="200"/>
        <w:rPr>
          <w:color w:val="auto"/>
        </w:rPr>
      </w:pPr>
      <w:r>
        <w:rPr>
          <w:color w:val="auto"/>
        </w:rPr>
        <w:t>3.评审专家在评审过程中，未经许可不得中途离开评审现场，不得迟到早退。</w:t>
      </w:r>
    </w:p>
    <w:p>
      <w:pPr>
        <w:spacing w:line="360" w:lineRule="auto"/>
        <w:ind w:firstLine="480" w:firstLineChars="200"/>
        <w:rPr>
          <w:color w:val="auto"/>
        </w:rPr>
      </w:pPr>
      <w:r>
        <w:rPr>
          <w:color w:val="auto"/>
        </w:rPr>
        <w:t>4.评审专家和工作人员不得透露评审过程中的讨论情况和评审结果。</w:t>
      </w:r>
    </w:p>
    <w:p>
      <w:pPr>
        <w:spacing w:line="360" w:lineRule="auto"/>
        <w:ind w:firstLine="480" w:firstLineChars="200"/>
        <w:rPr>
          <w:color w:val="auto"/>
        </w:rPr>
      </w:pPr>
      <w:r>
        <w:rPr>
          <w:color w:val="auto"/>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color w:val="auto"/>
        </w:rPr>
      </w:pPr>
      <w:r>
        <w:rPr>
          <w:color w:val="auto"/>
        </w:rPr>
        <w:t>6.采购人、采购代理机构不得向评审委员会的评审专家作倾向性、误导性的解释或者说明。</w:t>
      </w:r>
    </w:p>
    <w:p>
      <w:pPr>
        <w:spacing w:line="360" w:lineRule="auto"/>
        <w:ind w:firstLine="480" w:firstLineChars="200"/>
        <w:rPr>
          <w:color w:val="auto"/>
        </w:rPr>
      </w:pPr>
      <w:r>
        <w:rPr>
          <w:color w:val="auto"/>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rPr>
          <w:color w:val="auto"/>
        </w:rPr>
      </w:pPr>
      <w:r>
        <w:rPr>
          <w:color w:val="auto"/>
        </w:rPr>
        <w:t>8.评审专家在评审过程中不得将自己的观点强加给其他评审专家，评审专家应自主发表见解，对评审意见承担个人责任。</w:t>
      </w:r>
    </w:p>
    <w:p>
      <w:pPr>
        <w:spacing w:line="360" w:lineRule="auto"/>
        <w:ind w:firstLine="480" w:firstLineChars="200"/>
        <w:rPr>
          <w:color w:val="auto"/>
        </w:rPr>
      </w:pPr>
      <w:r>
        <w:rPr>
          <w:color w:val="auto"/>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color w:val="auto"/>
        </w:rPr>
      </w:pPr>
      <w:r>
        <w:rPr>
          <w:color w:val="auto"/>
        </w:rPr>
        <w:t>10.评审专家应当独立、客观、公正地提出评审意见，不得带有倾向性，不得影响其他评审专家评审，并在评审报告上签字；如对评审报告有异议的，可在报告上签署不同意见，并说明理由，否则将视为同意。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color w:val="auto"/>
        </w:rPr>
      </w:pPr>
      <w:r>
        <w:rPr>
          <w:color w:val="auto"/>
        </w:rPr>
        <w:t>11.评审专家应当遵守评审工作纪律，不得泄露评审文件、评审情况和评审中获悉的商业秘密。</w:t>
      </w:r>
    </w:p>
    <w:p>
      <w:pPr>
        <w:spacing w:line="360" w:lineRule="auto"/>
        <w:ind w:firstLine="480" w:firstLineChars="200"/>
        <w:rPr>
          <w:color w:val="auto"/>
        </w:rPr>
      </w:pPr>
      <w:r>
        <w:rPr>
          <w:color w:val="auto"/>
        </w:rPr>
        <w:t>评审委员会在评审过程中发现投标人有行贿、提供虚假材料或者串通等违法行为的，应当及时向财政部门报告。</w:t>
      </w:r>
    </w:p>
    <w:p>
      <w:pPr>
        <w:spacing w:line="360" w:lineRule="auto"/>
        <w:ind w:firstLine="480" w:firstLineChars="200"/>
        <w:rPr>
          <w:color w:val="auto"/>
        </w:rPr>
      </w:pPr>
      <w:r>
        <w:rPr>
          <w:color w:val="auto"/>
        </w:rPr>
        <w:t>12.招标文件内容违反国家有关强制性规定的，评审委员会应当停止评审并向采购代理机构说明情况。</w:t>
      </w:r>
    </w:p>
    <w:p>
      <w:pPr>
        <w:spacing w:line="360" w:lineRule="auto"/>
        <w:ind w:firstLine="480" w:firstLineChars="200"/>
        <w:rPr>
          <w:color w:val="auto"/>
        </w:rPr>
      </w:pPr>
      <w:r>
        <w:rPr>
          <w:color w:val="auto"/>
        </w:rPr>
        <w:t>13.评审专家应当配合采购代理机构答复投标人提出的质疑。</w:t>
      </w:r>
    </w:p>
    <w:p>
      <w:pPr>
        <w:spacing w:line="360" w:lineRule="auto"/>
        <w:ind w:firstLine="480" w:firstLineChars="200"/>
        <w:rPr>
          <w:color w:val="auto"/>
        </w:rPr>
      </w:pPr>
      <w:r>
        <w:rPr>
          <w:color w:val="auto"/>
        </w:rPr>
        <w:t>14.评审专家应当配合财政部门的投诉处理工作。</w:t>
      </w:r>
    </w:p>
    <w:p>
      <w:pPr>
        <w:spacing w:line="360" w:lineRule="auto"/>
        <w:ind w:firstLine="480" w:firstLineChars="200"/>
        <w:rPr>
          <w:color w:val="auto"/>
        </w:rPr>
      </w:pPr>
      <w:r>
        <w:rPr>
          <w:color w:val="auto"/>
        </w:rPr>
        <w:t>15.评审专家有如下行为之一的，责令改正，给予警告，可以并处一千元以下的罚款：</w:t>
      </w:r>
    </w:p>
    <w:p>
      <w:pPr>
        <w:spacing w:line="360" w:lineRule="auto"/>
        <w:ind w:firstLine="480" w:firstLineChars="200"/>
        <w:rPr>
          <w:color w:val="auto"/>
        </w:rPr>
      </w:pPr>
      <w:r>
        <w:rPr>
          <w:rFonts w:hint="eastAsia" w:ascii="宋体" w:hAnsi="宋体" w:cs="宋体"/>
          <w:color w:val="auto"/>
        </w:rPr>
        <w:t>①</w:t>
      </w:r>
      <w:r>
        <w:rPr>
          <w:color w:val="auto"/>
        </w:rPr>
        <w:t>明知应当回避而未主动回避的；</w:t>
      </w:r>
    </w:p>
    <w:p>
      <w:pPr>
        <w:spacing w:line="360" w:lineRule="auto"/>
        <w:ind w:firstLine="480" w:firstLineChars="200"/>
        <w:rPr>
          <w:color w:val="auto"/>
        </w:rPr>
      </w:pPr>
      <w:r>
        <w:rPr>
          <w:rFonts w:hint="eastAsia" w:ascii="宋体" w:hAnsi="宋体" w:cs="宋体"/>
          <w:color w:val="auto"/>
        </w:rPr>
        <w:t>②</w:t>
      </w:r>
      <w:r>
        <w:rPr>
          <w:color w:val="auto"/>
        </w:rPr>
        <w:t>在得知自己为评审专家身份后至评审结束前时段内私下接触投标人的；</w:t>
      </w:r>
    </w:p>
    <w:p>
      <w:pPr>
        <w:spacing w:line="360" w:lineRule="auto"/>
        <w:ind w:firstLine="480" w:firstLineChars="200"/>
        <w:rPr>
          <w:color w:val="auto"/>
        </w:rPr>
      </w:pPr>
      <w:r>
        <w:rPr>
          <w:rFonts w:hint="eastAsia" w:ascii="宋体" w:hAnsi="宋体" w:cs="宋体"/>
          <w:color w:val="auto"/>
        </w:rPr>
        <w:t>③</w:t>
      </w:r>
      <w:r>
        <w:rPr>
          <w:color w:val="auto"/>
        </w:rPr>
        <w:t>在评审过程中擅离职守，影响评审程序正常进行的；</w:t>
      </w:r>
    </w:p>
    <w:p>
      <w:pPr>
        <w:spacing w:line="360" w:lineRule="auto"/>
        <w:ind w:firstLine="480" w:firstLineChars="200"/>
        <w:rPr>
          <w:color w:val="auto"/>
        </w:rPr>
      </w:pPr>
      <w:r>
        <w:rPr>
          <w:rFonts w:hint="eastAsia" w:ascii="宋体" w:hAnsi="宋体" w:cs="宋体"/>
          <w:color w:val="auto"/>
        </w:rPr>
        <w:t>④</w:t>
      </w:r>
      <w:r>
        <w:rPr>
          <w:color w:val="auto"/>
        </w:rPr>
        <w:t>在评审过程有明显不合理或者不正当倾向性的；</w:t>
      </w:r>
    </w:p>
    <w:p>
      <w:pPr>
        <w:spacing w:line="360" w:lineRule="auto"/>
        <w:ind w:firstLine="480" w:firstLineChars="200"/>
        <w:rPr>
          <w:color w:val="auto"/>
        </w:rPr>
      </w:pPr>
      <w:r>
        <w:rPr>
          <w:rFonts w:hint="eastAsia" w:ascii="宋体" w:hAnsi="宋体" w:cs="宋体"/>
          <w:color w:val="auto"/>
        </w:rPr>
        <w:t>⑤</w:t>
      </w:r>
      <w:r>
        <w:rPr>
          <w:color w:val="auto"/>
        </w:rPr>
        <w:t>未按招标文件规定的评审方法和标准进行评审的。</w:t>
      </w:r>
    </w:p>
    <w:p>
      <w:pPr>
        <w:spacing w:line="360" w:lineRule="auto"/>
        <w:ind w:firstLine="480" w:firstLineChars="200"/>
        <w:rPr>
          <w:color w:val="auto"/>
        </w:rPr>
      </w:pPr>
      <w:r>
        <w:rPr>
          <w:rFonts w:hint="eastAsia" w:ascii="宋体" w:hAnsi="宋体" w:cs="宋体"/>
          <w:color w:val="auto"/>
        </w:rPr>
        <w:t>⑥</w:t>
      </w:r>
      <w:r>
        <w:rPr>
          <w:color w:val="auto"/>
        </w:rPr>
        <w:t>上述</w:t>
      </w:r>
      <w:r>
        <w:rPr>
          <w:rFonts w:hint="eastAsia" w:ascii="宋体" w:hAnsi="宋体" w:cs="宋体"/>
          <w:color w:val="auto"/>
        </w:rPr>
        <w:t>①</w:t>
      </w:r>
      <w:r>
        <w:rPr>
          <w:color w:val="auto"/>
        </w:rPr>
        <w:t>至</w:t>
      </w:r>
      <w:r>
        <w:rPr>
          <w:rFonts w:hint="eastAsia" w:ascii="宋体" w:hAnsi="宋体" w:cs="宋体"/>
          <w:color w:val="auto"/>
        </w:rPr>
        <w:t>⑤</w:t>
      </w:r>
      <w:r>
        <w:rPr>
          <w:color w:val="auto"/>
        </w:rPr>
        <w:t>行为影响中标结果的，中标结果无效。</w:t>
      </w:r>
    </w:p>
    <w:p>
      <w:pPr>
        <w:spacing w:line="360" w:lineRule="auto"/>
        <w:ind w:firstLine="480" w:firstLineChars="200"/>
        <w:rPr>
          <w:color w:val="auto"/>
        </w:rPr>
      </w:pPr>
      <w:r>
        <w:rPr>
          <w:color w:val="auto"/>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color w:val="auto"/>
        </w:rPr>
      </w:pPr>
      <w:r>
        <w:rPr>
          <w:color w:val="auto"/>
        </w:rPr>
        <w:t>政府采购评审专家与投标人存在利害关系未回避的，处2万元以上5万元以下的罚款，禁止其参加政府采购评审活动。</w:t>
      </w:r>
    </w:p>
    <w:p>
      <w:pPr>
        <w:spacing w:line="360" w:lineRule="auto"/>
        <w:ind w:firstLine="480" w:firstLineChars="200"/>
        <w:rPr>
          <w:color w:val="auto"/>
        </w:rPr>
      </w:pPr>
      <w:r>
        <w:rPr>
          <w:color w:val="auto"/>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ascii="宋体" w:hAnsi="宋体"/>
          <w:color w:val="auto"/>
        </w:rPr>
      </w:pPr>
      <w:r>
        <w:rPr>
          <w:color w:val="auto"/>
        </w:rPr>
        <w:t>政府采购评审专家有上述违法行为的，其评审意见无效，不得获取评审费；有违法所得的，没收违法所得；给他人造成损失的，依法承担民事责任。</w:t>
      </w:r>
      <w:bookmarkStart w:id="126" w:name="_Toc93668164"/>
    </w:p>
    <w:p>
      <w:pPr>
        <w:pStyle w:val="2"/>
        <w:spacing w:before="120" w:after="240" w:line="240" w:lineRule="auto"/>
        <w:jc w:val="center"/>
        <w:rPr>
          <w:rFonts w:hint="eastAsia" w:ascii="宋体" w:hAnsi="宋体"/>
          <w:color w:val="auto"/>
        </w:rPr>
      </w:pPr>
      <w:r>
        <w:rPr>
          <w:rFonts w:ascii="宋体" w:hAnsi="宋体"/>
          <w:color w:val="auto"/>
        </w:rPr>
        <w:br w:type="page"/>
      </w:r>
      <w:r>
        <w:rPr>
          <w:rFonts w:ascii="宋体" w:hAnsi="宋体"/>
          <w:color w:val="auto"/>
        </w:rPr>
        <w:t xml:space="preserve">第六章  </w:t>
      </w:r>
      <w:bookmarkEnd w:id="125"/>
      <w:bookmarkStart w:id="127" w:name="_Toc39239709"/>
      <w:r>
        <w:rPr>
          <w:rFonts w:ascii="宋体" w:hAnsi="宋体"/>
          <w:color w:val="auto"/>
        </w:rPr>
        <w:t>合同</w:t>
      </w:r>
      <w:r>
        <w:rPr>
          <w:rFonts w:hint="eastAsia" w:ascii="宋体" w:hAnsi="宋体"/>
          <w:color w:val="auto"/>
        </w:rPr>
        <w:t>范本</w:t>
      </w:r>
      <w:bookmarkEnd w:id="126"/>
    </w:p>
    <w:p>
      <w:pPr>
        <w:widowControl w:val="0"/>
        <w:adjustRightInd w:val="0"/>
        <w:snapToGrid w:val="0"/>
        <w:spacing w:after="60" w:line="360" w:lineRule="auto"/>
        <w:rPr>
          <w:rFonts w:ascii="宋体" w:hAnsi="宋体"/>
          <w:b/>
          <w:color w:val="auto"/>
          <w:szCs w:val="22"/>
        </w:rPr>
      </w:pPr>
      <w:r>
        <w:rPr>
          <w:rFonts w:hint="eastAsia" w:ascii="宋体" w:hAnsi="宋体"/>
          <w:b/>
          <w:color w:val="auto"/>
          <w:szCs w:val="22"/>
        </w:rPr>
        <w:t>本合同为样稿，最终稿由甲乙双方协商后确定，但不允许偏离招投标文件。中标人须将合同电子版交由采购代理机构审核（邮件发送至j</w:t>
      </w:r>
      <w:r>
        <w:rPr>
          <w:rFonts w:ascii="宋体" w:hAnsi="宋体"/>
          <w:b/>
          <w:color w:val="auto"/>
          <w:szCs w:val="22"/>
        </w:rPr>
        <w:t>hygzb@qq.com</w:t>
      </w:r>
      <w:r>
        <w:rPr>
          <w:rFonts w:hint="eastAsia" w:ascii="宋体" w:hAnsi="宋体"/>
          <w:b/>
          <w:color w:val="auto"/>
          <w:szCs w:val="22"/>
        </w:rPr>
        <w:t>），审核后的合同经甲乙双方盖章签字后送至采购代理机构盖章备案。</w:t>
      </w:r>
    </w:p>
    <w:p>
      <w:pPr>
        <w:pStyle w:val="44"/>
        <w:ind w:left="0" w:leftChars="0" w:firstLine="0" w:firstLineChars="0"/>
        <w:jc w:val="center"/>
        <w:rPr>
          <w:rFonts w:hint="eastAsia"/>
          <w:color w:val="auto"/>
          <w:sz w:val="32"/>
          <w:szCs w:val="32"/>
        </w:rPr>
      </w:pPr>
      <w:bookmarkStart w:id="128" w:name="_Hlk94003826"/>
      <w:r>
        <w:rPr>
          <w:rFonts w:hint="eastAsia"/>
          <w:color w:val="auto"/>
          <w:sz w:val="32"/>
          <w:szCs w:val="32"/>
        </w:rPr>
        <w:t>X</w:t>
      </w:r>
      <w:r>
        <w:rPr>
          <w:color w:val="auto"/>
          <w:sz w:val="32"/>
          <w:szCs w:val="32"/>
        </w:rPr>
        <w:t>XXX</w:t>
      </w:r>
      <w:r>
        <w:rPr>
          <w:rFonts w:hint="eastAsia"/>
          <w:color w:val="auto"/>
          <w:sz w:val="32"/>
          <w:szCs w:val="32"/>
        </w:rPr>
        <w:t>项目采购合同</w:t>
      </w:r>
    </w:p>
    <w:bookmarkEnd w:id="128"/>
    <w:p>
      <w:pPr>
        <w:widowControl w:val="0"/>
        <w:adjustRightInd w:val="0"/>
        <w:snapToGrid w:val="0"/>
        <w:spacing w:after="60" w:line="360" w:lineRule="auto"/>
        <w:ind w:firstLine="480" w:firstLineChars="200"/>
        <w:rPr>
          <w:color w:val="auto"/>
        </w:rPr>
      </w:pPr>
      <w:r>
        <w:rPr>
          <w:color w:val="auto"/>
        </w:rPr>
        <w:t xml:space="preserve">项目名称：                                      </w:t>
      </w:r>
    </w:p>
    <w:p>
      <w:pPr>
        <w:widowControl w:val="0"/>
        <w:adjustRightInd w:val="0"/>
        <w:snapToGrid w:val="0"/>
        <w:spacing w:after="60" w:line="360" w:lineRule="auto"/>
        <w:ind w:firstLine="480" w:firstLineChars="200"/>
        <w:rPr>
          <w:color w:val="auto"/>
        </w:rPr>
      </w:pPr>
      <w:r>
        <w:rPr>
          <w:color w:val="auto"/>
        </w:rPr>
        <w:t>项目编号：</w:t>
      </w:r>
    </w:p>
    <w:p>
      <w:pPr>
        <w:widowControl w:val="0"/>
        <w:adjustRightInd w:val="0"/>
        <w:snapToGrid w:val="0"/>
        <w:spacing w:after="60" w:line="360" w:lineRule="auto"/>
        <w:ind w:firstLine="480" w:firstLineChars="200"/>
        <w:rPr>
          <w:color w:val="auto"/>
        </w:rPr>
      </w:pPr>
      <w:r>
        <w:rPr>
          <w:color w:val="auto"/>
        </w:rPr>
        <w:t>甲方：（采购人）</w:t>
      </w:r>
    </w:p>
    <w:p>
      <w:pPr>
        <w:widowControl w:val="0"/>
        <w:adjustRightInd w:val="0"/>
        <w:snapToGrid w:val="0"/>
        <w:spacing w:after="60" w:line="360" w:lineRule="auto"/>
        <w:ind w:firstLine="480" w:firstLineChars="200"/>
        <w:rPr>
          <w:color w:val="auto"/>
        </w:rPr>
      </w:pPr>
      <w:r>
        <w:rPr>
          <w:color w:val="auto"/>
        </w:rPr>
        <w:t>乙方：（中标人）</w:t>
      </w:r>
    </w:p>
    <w:p>
      <w:pPr>
        <w:widowControl w:val="0"/>
        <w:adjustRightInd w:val="0"/>
        <w:snapToGrid w:val="0"/>
        <w:spacing w:after="60" w:line="360" w:lineRule="auto"/>
        <w:ind w:firstLine="480" w:firstLineChars="200"/>
        <w:rPr>
          <w:color w:val="auto"/>
        </w:rPr>
      </w:pPr>
      <w:r>
        <w:rPr>
          <w:color w:val="auto"/>
        </w:rPr>
        <w:t>甲方以</w:t>
      </w:r>
      <w:r>
        <w:rPr>
          <w:color w:val="auto"/>
          <w:u w:val="single"/>
        </w:rPr>
        <w:t xml:space="preserve">         </w:t>
      </w:r>
      <w:r>
        <w:rPr>
          <w:color w:val="auto"/>
        </w:rPr>
        <w:t>的方式确定乙方为</w:t>
      </w:r>
      <w:r>
        <w:rPr>
          <w:color w:val="auto"/>
          <w:u w:val="single"/>
        </w:rPr>
        <w:t xml:space="preserve">                                  </w:t>
      </w:r>
      <w:r>
        <w:rPr>
          <w:color w:val="auto"/>
        </w:rPr>
        <w:t>项目的中标人，根据招标文件、投标文件，依据《中华人民共和国民法典》及有关法规，结合项目实际，经双方协商，签订本合同。</w:t>
      </w:r>
    </w:p>
    <w:p>
      <w:pPr>
        <w:widowControl w:val="0"/>
        <w:adjustRightInd w:val="0"/>
        <w:snapToGrid w:val="0"/>
        <w:spacing w:after="60" w:line="360" w:lineRule="auto"/>
        <w:ind w:firstLine="480" w:firstLineChars="200"/>
        <w:rPr>
          <w:color w:val="auto"/>
        </w:rPr>
      </w:pPr>
      <w:r>
        <w:rPr>
          <w:color w:val="auto"/>
        </w:rPr>
        <w:t>一、货物内容（可附清单）</w:t>
      </w:r>
    </w:p>
    <w:p>
      <w:pPr>
        <w:widowControl w:val="0"/>
        <w:adjustRightInd w:val="0"/>
        <w:snapToGrid w:val="0"/>
        <w:spacing w:after="60" w:line="360" w:lineRule="auto"/>
        <w:ind w:firstLine="480" w:firstLineChars="200"/>
        <w:rPr>
          <w:color w:val="auto"/>
        </w:rPr>
      </w:pPr>
      <w:r>
        <w:rPr>
          <w:color w:val="auto"/>
        </w:rPr>
        <w:t>1. 货物名称：</w:t>
      </w:r>
    </w:p>
    <w:p>
      <w:pPr>
        <w:widowControl w:val="0"/>
        <w:adjustRightInd w:val="0"/>
        <w:snapToGrid w:val="0"/>
        <w:spacing w:after="60" w:line="360" w:lineRule="auto"/>
        <w:ind w:firstLine="480" w:firstLineChars="200"/>
        <w:rPr>
          <w:color w:val="auto"/>
        </w:rPr>
      </w:pPr>
      <w:r>
        <w:rPr>
          <w:color w:val="auto"/>
        </w:rPr>
        <w:t>2. 型号规格（技术参数）：</w:t>
      </w:r>
    </w:p>
    <w:p>
      <w:pPr>
        <w:widowControl w:val="0"/>
        <w:adjustRightInd w:val="0"/>
        <w:snapToGrid w:val="0"/>
        <w:spacing w:after="60" w:line="360" w:lineRule="auto"/>
        <w:ind w:firstLine="480" w:firstLineChars="200"/>
        <w:rPr>
          <w:color w:val="auto"/>
        </w:rPr>
      </w:pPr>
      <w:r>
        <w:rPr>
          <w:color w:val="auto"/>
        </w:rPr>
        <w:t>3.数量（单位）：</w:t>
      </w:r>
    </w:p>
    <w:p>
      <w:pPr>
        <w:widowControl w:val="0"/>
        <w:adjustRightInd w:val="0"/>
        <w:snapToGrid w:val="0"/>
        <w:spacing w:after="60" w:line="360" w:lineRule="auto"/>
        <w:ind w:firstLine="480" w:firstLineChars="200"/>
        <w:rPr>
          <w:color w:val="auto"/>
        </w:rPr>
      </w:pPr>
      <w:r>
        <w:rPr>
          <w:color w:val="auto"/>
        </w:rPr>
        <w:t>二、合同金额（可附清单）</w:t>
      </w:r>
    </w:p>
    <w:p>
      <w:pPr>
        <w:widowControl w:val="0"/>
        <w:adjustRightInd w:val="0"/>
        <w:snapToGrid w:val="0"/>
        <w:spacing w:after="60" w:line="360" w:lineRule="auto"/>
        <w:ind w:firstLine="480" w:firstLineChars="200"/>
        <w:rPr>
          <w:color w:val="auto"/>
        </w:rPr>
      </w:pPr>
      <w:r>
        <w:rPr>
          <w:color w:val="auto"/>
        </w:rPr>
        <w:t xml:space="preserve"> 本合同金额为：大写人民币_________元（￥________元）。</w:t>
      </w:r>
    </w:p>
    <w:p>
      <w:pPr>
        <w:widowControl w:val="0"/>
        <w:adjustRightInd w:val="0"/>
        <w:snapToGrid w:val="0"/>
        <w:spacing w:after="60" w:line="360" w:lineRule="auto"/>
        <w:ind w:firstLine="480" w:firstLineChars="200"/>
        <w:rPr>
          <w:color w:val="auto"/>
        </w:rPr>
      </w:pPr>
      <w:r>
        <w:rPr>
          <w:color w:val="auto"/>
        </w:rPr>
        <w:t>三、技术资料</w:t>
      </w:r>
    </w:p>
    <w:p>
      <w:pPr>
        <w:widowControl w:val="0"/>
        <w:adjustRightInd w:val="0"/>
        <w:snapToGrid w:val="0"/>
        <w:spacing w:after="60" w:line="360" w:lineRule="auto"/>
        <w:ind w:firstLine="480" w:firstLineChars="200"/>
        <w:rPr>
          <w:color w:val="auto"/>
        </w:rPr>
      </w:pPr>
      <w:r>
        <w:rPr>
          <w:color w:val="auto"/>
        </w:rPr>
        <w:t>1.乙方应按招标文件规定的时间向甲方提供使用货物的有关技术资料。</w:t>
      </w:r>
    </w:p>
    <w:p>
      <w:pPr>
        <w:widowControl w:val="0"/>
        <w:adjustRightInd w:val="0"/>
        <w:snapToGrid w:val="0"/>
        <w:spacing w:after="60" w:line="360" w:lineRule="auto"/>
        <w:ind w:firstLine="480" w:firstLineChars="200"/>
        <w:rPr>
          <w:color w:val="auto"/>
        </w:rPr>
      </w:pPr>
      <w:r>
        <w:rPr>
          <w:color w:va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adjustRightInd w:val="0"/>
        <w:snapToGrid w:val="0"/>
        <w:spacing w:after="60" w:line="360" w:lineRule="auto"/>
        <w:ind w:firstLine="480" w:firstLineChars="200"/>
        <w:rPr>
          <w:color w:val="auto"/>
        </w:rPr>
      </w:pPr>
      <w:r>
        <w:rPr>
          <w:color w:val="auto"/>
        </w:rPr>
        <w:t>四、知识产权</w:t>
      </w:r>
    </w:p>
    <w:p>
      <w:pPr>
        <w:widowControl w:val="0"/>
        <w:adjustRightInd w:val="0"/>
        <w:snapToGrid w:val="0"/>
        <w:spacing w:after="60" w:line="360" w:lineRule="auto"/>
        <w:ind w:firstLine="480" w:firstLineChars="200"/>
        <w:rPr>
          <w:color w:val="auto"/>
        </w:rPr>
      </w:pPr>
      <w:r>
        <w:rPr>
          <w:color w:val="auto"/>
        </w:rPr>
        <w:t>乙方应保证所提供的货物或其任何一部分均不会侵犯任何第三方的知识产权。</w:t>
      </w:r>
    </w:p>
    <w:p>
      <w:pPr>
        <w:widowControl w:val="0"/>
        <w:adjustRightInd w:val="0"/>
        <w:snapToGrid w:val="0"/>
        <w:spacing w:after="60" w:line="360" w:lineRule="auto"/>
        <w:ind w:firstLine="480" w:firstLineChars="200"/>
        <w:rPr>
          <w:color w:val="auto"/>
        </w:rPr>
      </w:pPr>
      <w:r>
        <w:rPr>
          <w:color w:val="auto"/>
        </w:rPr>
        <w:t>五、产权担保</w:t>
      </w:r>
    </w:p>
    <w:p>
      <w:pPr>
        <w:widowControl w:val="0"/>
        <w:adjustRightInd w:val="0"/>
        <w:snapToGrid w:val="0"/>
        <w:spacing w:after="60" w:line="360" w:lineRule="auto"/>
        <w:ind w:firstLine="480" w:firstLineChars="200"/>
        <w:rPr>
          <w:color w:val="auto"/>
        </w:rPr>
      </w:pPr>
      <w:r>
        <w:rPr>
          <w:color w:val="auto"/>
        </w:rPr>
        <w:t>乙方保证所交付的货物的所有权完全属于乙方且无任何抵押、查封等产权瑕疵。</w:t>
      </w:r>
    </w:p>
    <w:p>
      <w:pPr>
        <w:widowControl w:val="0"/>
        <w:adjustRightInd w:val="0"/>
        <w:snapToGrid w:val="0"/>
        <w:spacing w:after="60" w:line="360" w:lineRule="auto"/>
        <w:ind w:firstLine="480" w:firstLineChars="200"/>
        <w:rPr>
          <w:color w:val="auto"/>
        </w:rPr>
      </w:pPr>
      <w:r>
        <w:rPr>
          <w:color w:val="auto"/>
        </w:rPr>
        <w:t>六、履约保证金</w:t>
      </w:r>
    </w:p>
    <w:p>
      <w:pPr>
        <w:pStyle w:val="25"/>
        <w:widowControl w:val="0"/>
        <w:adjustRightInd w:val="0"/>
        <w:snapToGrid w:val="0"/>
        <w:spacing w:before="0" w:beforeAutospacing="0" w:after="0" w:afterAutospacing="0" w:line="360" w:lineRule="auto"/>
        <w:ind w:firstLine="537" w:firstLineChars="224"/>
        <w:rPr>
          <w:rFonts w:hint="eastAsia" w:ascii="Times New Roman" w:hAnsi="Times New Roman"/>
          <w:color w:val="auto"/>
        </w:rPr>
      </w:pPr>
      <w:r>
        <w:rPr>
          <w:rFonts w:hint="eastAsia"/>
          <w:color w:val="auto"/>
        </w:rPr>
        <w:t>根据招标文件要求填写</w:t>
      </w:r>
    </w:p>
    <w:p>
      <w:pPr>
        <w:widowControl w:val="0"/>
        <w:adjustRightInd w:val="0"/>
        <w:snapToGrid w:val="0"/>
        <w:spacing w:after="60" w:line="360" w:lineRule="auto"/>
        <w:ind w:firstLine="480" w:firstLineChars="200"/>
        <w:rPr>
          <w:color w:val="auto"/>
        </w:rPr>
      </w:pPr>
      <w:r>
        <w:rPr>
          <w:color w:val="auto"/>
        </w:rPr>
        <w:t>七、转包或分包</w:t>
      </w:r>
    </w:p>
    <w:p>
      <w:pPr>
        <w:widowControl w:val="0"/>
        <w:adjustRightInd w:val="0"/>
        <w:snapToGrid w:val="0"/>
        <w:spacing w:after="60" w:line="360" w:lineRule="auto"/>
        <w:ind w:firstLine="480" w:firstLineChars="200"/>
        <w:rPr>
          <w:color w:val="auto"/>
        </w:rPr>
      </w:pPr>
      <w:r>
        <w:rPr>
          <w:color w:val="auto"/>
        </w:rPr>
        <w:t>1.合同的权利义务依法不得转包。但经甲方同意招标文件中确认，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widowControl w:val="0"/>
        <w:adjustRightInd w:val="0"/>
        <w:snapToGrid w:val="0"/>
        <w:spacing w:after="60" w:line="360" w:lineRule="auto"/>
        <w:ind w:firstLine="480" w:firstLineChars="200"/>
        <w:rPr>
          <w:color w:val="auto"/>
        </w:rPr>
      </w:pPr>
      <w:r>
        <w:rPr>
          <w:color w:val="auto"/>
        </w:rPr>
        <w:t>2.乙方采取分包方式履行合同的，甲方可直接向分包供应商支付款项。</w:t>
      </w:r>
    </w:p>
    <w:p>
      <w:pPr>
        <w:widowControl w:val="0"/>
        <w:adjustRightInd w:val="0"/>
        <w:snapToGrid w:val="0"/>
        <w:spacing w:after="60" w:line="360" w:lineRule="auto"/>
        <w:ind w:firstLine="480" w:firstLineChars="200"/>
        <w:rPr>
          <w:color w:val="auto"/>
        </w:rPr>
      </w:pPr>
      <w:r>
        <w:rPr>
          <w:color w:val="auto"/>
        </w:rPr>
        <w:t>八、质保期</w:t>
      </w:r>
    </w:p>
    <w:p>
      <w:pPr>
        <w:widowControl w:val="0"/>
        <w:adjustRightInd w:val="0"/>
        <w:snapToGrid w:val="0"/>
        <w:spacing w:after="60" w:line="360" w:lineRule="auto"/>
        <w:ind w:firstLine="480" w:firstLineChars="200"/>
        <w:rPr>
          <w:color w:val="auto"/>
        </w:rPr>
      </w:pPr>
      <w:r>
        <w:rPr>
          <w:color w:val="auto"/>
        </w:rPr>
        <w:t xml:space="preserve"> 质保期自验收合格之日起</w:t>
      </w:r>
      <w:r>
        <w:rPr>
          <w:color w:val="auto"/>
          <w:u w:val="single"/>
        </w:rPr>
        <w:t xml:space="preserve">     </w:t>
      </w:r>
      <w:r>
        <w:rPr>
          <w:color w:val="auto"/>
        </w:rPr>
        <w:t>年。</w:t>
      </w:r>
    </w:p>
    <w:p>
      <w:pPr>
        <w:widowControl w:val="0"/>
        <w:adjustRightInd w:val="0"/>
        <w:snapToGrid w:val="0"/>
        <w:spacing w:after="60" w:line="360" w:lineRule="auto"/>
        <w:ind w:firstLine="480" w:firstLineChars="200"/>
        <w:rPr>
          <w:color w:val="auto"/>
        </w:rPr>
      </w:pPr>
      <w:r>
        <w:rPr>
          <w:color w:val="auto"/>
        </w:rPr>
        <w:t>九、交货期、交货方式及交货地点</w:t>
      </w:r>
    </w:p>
    <w:p>
      <w:pPr>
        <w:widowControl w:val="0"/>
        <w:adjustRightInd w:val="0"/>
        <w:snapToGrid w:val="0"/>
        <w:spacing w:after="60" w:line="360" w:lineRule="auto"/>
        <w:ind w:firstLine="480" w:firstLineChars="200"/>
        <w:rPr>
          <w:color w:val="auto"/>
        </w:rPr>
      </w:pPr>
      <w:r>
        <w:rPr>
          <w:color w:val="auto"/>
        </w:rPr>
        <w:t>1. 交货期：</w:t>
      </w:r>
    </w:p>
    <w:p>
      <w:pPr>
        <w:widowControl w:val="0"/>
        <w:adjustRightInd w:val="0"/>
        <w:snapToGrid w:val="0"/>
        <w:spacing w:after="60" w:line="360" w:lineRule="auto"/>
        <w:ind w:firstLine="480" w:firstLineChars="200"/>
        <w:rPr>
          <w:color w:val="auto"/>
        </w:rPr>
      </w:pPr>
      <w:r>
        <w:rPr>
          <w:color w:val="auto"/>
        </w:rPr>
        <w:t>2. 交货方式：</w:t>
      </w:r>
    </w:p>
    <w:p>
      <w:pPr>
        <w:widowControl w:val="0"/>
        <w:adjustRightInd w:val="0"/>
        <w:snapToGrid w:val="0"/>
        <w:spacing w:after="60" w:line="360" w:lineRule="auto"/>
        <w:ind w:firstLine="480" w:firstLineChars="200"/>
        <w:rPr>
          <w:color w:val="auto"/>
        </w:rPr>
      </w:pPr>
      <w:r>
        <w:rPr>
          <w:color w:val="auto"/>
        </w:rPr>
        <w:t>3. 交货地点：</w:t>
      </w:r>
    </w:p>
    <w:p>
      <w:pPr>
        <w:widowControl w:val="0"/>
        <w:adjustRightInd w:val="0"/>
        <w:snapToGrid w:val="0"/>
        <w:spacing w:after="60" w:line="360" w:lineRule="auto"/>
        <w:ind w:firstLine="480" w:firstLineChars="200"/>
        <w:rPr>
          <w:color w:val="auto"/>
        </w:rPr>
      </w:pPr>
      <w:r>
        <w:rPr>
          <w:color w:val="auto"/>
        </w:rPr>
        <w:t>十、付款方式：</w:t>
      </w:r>
    </w:p>
    <w:p>
      <w:pPr>
        <w:widowControl w:val="0"/>
        <w:adjustRightInd w:val="0"/>
        <w:snapToGrid w:val="0"/>
        <w:spacing w:after="60" w:line="360" w:lineRule="auto"/>
        <w:ind w:firstLine="480" w:firstLineChars="200"/>
        <w:rPr>
          <w:color w:val="auto"/>
        </w:rPr>
      </w:pPr>
      <w:r>
        <w:rPr>
          <w:rFonts w:ascii="Segoe UI Symbol" w:hAnsi="Segoe UI Symbol" w:cs="Segoe UI Symbol"/>
          <w:color w:val="auto"/>
        </w:rPr>
        <w:t>☐</w:t>
      </w:r>
      <w:r>
        <w:rPr>
          <w:rFonts w:hint="eastAsia" w:ascii="Segoe UI Symbol" w:hAnsi="Segoe UI Symbol" w:cs="Segoe UI Symbol"/>
          <w:color w:val="auto"/>
        </w:rPr>
        <w:t xml:space="preserve">不需要预付款，…… </w:t>
      </w:r>
      <w:r>
        <w:rPr>
          <w:rFonts w:ascii="Segoe UI Symbol" w:hAnsi="Segoe UI Symbol" w:cs="Segoe UI Symbol"/>
          <w:color w:val="auto"/>
        </w:rPr>
        <w:t xml:space="preserve">  </w:t>
      </w:r>
    </w:p>
    <w:p>
      <w:pPr>
        <w:widowControl w:val="0"/>
        <w:adjustRightInd w:val="0"/>
        <w:snapToGrid w:val="0"/>
        <w:spacing w:after="60" w:line="360" w:lineRule="auto"/>
        <w:ind w:firstLine="480" w:firstLineChars="200"/>
        <w:rPr>
          <w:rFonts w:hint="eastAsia" w:ascii="Segoe UI Symbol" w:hAnsi="Segoe UI Symbol" w:cs="Segoe UI Symbol"/>
          <w:color w:val="auto"/>
        </w:rPr>
      </w:pPr>
      <w:r>
        <w:rPr>
          <w:rFonts w:ascii="Segoe UI Symbol" w:hAnsi="Segoe UI Symbol" w:cs="Segoe UI Symbol"/>
          <w:color w:val="auto"/>
        </w:rPr>
        <w:t>☐</w:t>
      </w:r>
      <w:r>
        <w:rPr>
          <w:rFonts w:hint="eastAsia" w:ascii="Segoe UI Symbol" w:hAnsi="Segoe UI Symbol" w:cs="Segoe UI Symbol"/>
          <w:color w:val="auto"/>
        </w:rPr>
        <w:t>需要预付款，……</w:t>
      </w:r>
    </w:p>
    <w:p>
      <w:pPr>
        <w:widowControl w:val="0"/>
        <w:adjustRightInd w:val="0"/>
        <w:snapToGrid w:val="0"/>
        <w:spacing w:after="60" w:line="360" w:lineRule="auto"/>
        <w:ind w:firstLine="480" w:firstLineChars="200"/>
        <w:rPr>
          <w:color w:val="auto"/>
        </w:rPr>
      </w:pPr>
      <w:r>
        <w:rPr>
          <w:color w:val="auto"/>
        </w:rPr>
        <w:t>十一、税费</w:t>
      </w:r>
    </w:p>
    <w:p>
      <w:pPr>
        <w:widowControl w:val="0"/>
        <w:adjustRightInd w:val="0"/>
        <w:snapToGrid w:val="0"/>
        <w:spacing w:after="60" w:line="360" w:lineRule="auto"/>
        <w:ind w:firstLine="480" w:firstLineChars="200"/>
        <w:rPr>
          <w:color w:val="auto"/>
        </w:rPr>
      </w:pPr>
      <w:r>
        <w:rPr>
          <w:color w:val="auto"/>
        </w:rPr>
        <w:t>本合同执行中相关的一切税费均由乙方负担。</w:t>
      </w:r>
    </w:p>
    <w:p>
      <w:pPr>
        <w:widowControl w:val="0"/>
        <w:adjustRightInd w:val="0"/>
        <w:snapToGrid w:val="0"/>
        <w:spacing w:after="60" w:line="360" w:lineRule="auto"/>
        <w:ind w:firstLine="480" w:firstLineChars="200"/>
        <w:rPr>
          <w:color w:val="auto"/>
        </w:rPr>
      </w:pPr>
      <w:r>
        <w:rPr>
          <w:color w:val="auto"/>
        </w:rPr>
        <w:t>十二、质量保证及售后服务</w:t>
      </w:r>
    </w:p>
    <w:p>
      <w:pPr>
        <w:widowControl w:val="0"/>
        <w:adjustRightInd w:val="0"/>
        <w:snapToGrid w:val="0"/>
        <w:spacing w:after="60" w:line="360" w:lineRule="auto"/>
        <w:ind w:firstLine="480" w:firstLineChars="200"/>
        <w:rPr>
          <w:color w:val="auto"/>
        </w:rPr>
      </w:pPr>
      <w:r>
        <w:rPr>
          <w:color w:val="auto"/>
        </w:rPr>
        <w:t>1. 乙方应按招标文件规定的货物性能、技术要求、质量标准向甲方提供未经使用的全新产品。</w:t>
      </w:r>
    </w:p>
    <w:p>
      <w:pPr>
        <w:widowControl w:val="0"/>
        <w:adjustRightInd w:val="0"/>
        <w:snapToGrid w:val="0"/>
        <w:spacing w:after="60" w:line="360" w:lineRule="auto"/>
        <w:ind w:firstLine="480" w:firstLineChars="200"/>
        <w:rPr>
          <w:color w:val="auto"/>
        </w:rPr>
      </w:pPr>
      <w:r>
        <w:rPr>
          <w:color w:val="auto"/>
        </w:rPr>
        <w:t>2. 乙方提供的货物在质保期内因货物本身的质量问题发生故障，乙方应负责免费更换。对达不到技术要求者，根据实际情况，经双方协商，可按以下办法处理：</w:t>
      </w:r>
    </w:p>
    <w:p>
      <w:pPr>
        <w:widowControl w:val="0"/>
        <w:adjustRightInd w:val="0"/>
        <w:snapToGrid w:val="0"/>
        <w:spacing w:after="60" w:line="360" w:lineRule="auto"/>
        <w:ind w:firstLine="480" w:firstLineChars="200"/>
        <w:rPr>
          <w:color w:val="auto"/>
        </w:rPr>
      </w:pPr>
      <w:r>
        <w:rPr>
          <w:color w:val="auto"/>
        </w:rPr>
        <w:t>（1）更换：由乙方承担所发生的全部费用。</w:t>
      </w:r>
    </w:p>
    <w:p>
      <w:pPr>
        <w:widowControl w:val="0"/>
        <w:adjustRightInd w:val="0"/>
        <w:snapToGrid w:val="0"/>
        <w:spacing w:after="60" w:line="360" w:lineRule="auto"/>
        <w:ind w:firstLine="480" w:firstLineChars="200"/>
        <w:rPr>
          <w:color w:val="auto"/>
        </w:rPr>
      </w:pPr>
      <w:r>
        <w:rPr>
          <w:color w:val="auto"/>
        </w:rPr>
        <w:t>（2）贬值处理：由甲乙双方合议定价。</w:t>
      </w:r>
    </w:p>
    <w:p>
      <w:pPr>
        <w:widowControl w:val="0"/>
        <w:adjustRightInd w:val="0"/>
        <w:snapToGrid w:val="0"/>
        <w:spacing w:after="60" w:line="360" w:lineRule="auto"/>
        <w:ind w:firstLine="480" w:firstLineChars="200"/>
        <w:rPr>
          <w:color w:val="auto"/>
        </w:rPr>
      </w:pPr>
      <w:r>
        <w:rPr>
          <w:color w:val="auto"/>
        </w:rPr>
        <w:t>（3）退货处理：乙方应退还甲方支付的合同款，同时应承担该货物的直接费用（运输、保险、检验、货款利息及银行手续费等）。</w:t>
      </w:r>
    </w:p>
    <w:p>
      <w:pPr>
        <w:spacing w:line="360" w:lineRule="auto"/>
        <w:ind w:firstLine="480" w:firstLineChars="200"/>
        <w:rPr>
          <w:color w:val="auto"/>
        </w:rPr>
      </w:pPr>
      <w:r>
        <w:rPr>
          <w:color w:val="auto"/>
        </w:rPr>
        <w:t>3. 如在使用过程中发生质量问题，乙方在接到甲方通知后在</w:t>
      </w:r>
      <w:r>
        <w:rPr>
          <w:color w:val="auto"/>
          <w:u w:val="single"/>
        </w:rPr>
        <w:t>（按招标文件或优于招标文件的承诺执行）时间</w:t>
      </w:r>
      <w:r>
        <w:rPr>
          <w:color w:val="auto"/>
        </w:rPr>
        <w:t>内到达甲方现场，并在</w:t>
      </w:r>
      <w:r>
        <w:rPr>
          <w:color w:val="auto"/>
          <w:u w:val="single"/>
        </w:rPr>
        <w:t xml:space="preserve">        </w:t>
      </w:r>
      <w:r>
        <w:rPr>
          <w:color w:val="auto"/>
        </w:rPr>
        <w:t>小时内修复。若无法按规定及时修复的须根据使用单位要求提供备用设备。</w:t>
      </w:r>
    </w:p>
    <w:p>
      <w:pPr>
        <w:widowControl w:val="0"/>
        <w:adjustRightInd w:val="0"/>
        <w:snapToGrid w:val="0"/>
        <w:spacing w:after="60" w:line="360" w:lineRule="auto"/>
        <w:ind w:firstLine="480" w:firstLineChars="200"/>
        <w:rPr>
          <w:color w:val="auto"/>
        </w:rPr>
      </w:pPr>
      <w:r>
        <w:rPr>
          <w:color w:val="auto"/>
        </w:rPr>
        <w:t>4. 在质保期内，乙方应对货物出现的质量及安全问题负责处理解决并承担一切费用。</w:t>
      </w:r>
    </w:p>
    <w:p>
      <w:pPr>
        <w:widowControl w:val="0"/>
        <w:adjustRightInd w:val="0"/>
        <w:snapToGrid w:val="0"/>
        <w:spacing w:after="60" w:line="360" w:lineRule="auto"/>
        <w:ind w:firstLine="480" w:firstLineChars="200"/>
        <w:rPr>
          <w:color w:val="auto"/>
        </w:rPr>
      </w:pPr>
      <w:r>
        <w:rPr>
          <w:color w:val="auto"/>
        </w:rPr>
        <w:t>5.上述的货物免费保修期为</w:t>
      </w:r>
      <w:r>
        <w:rPr>
          <w:color w:val="auto"/>
          <w:u w:val="single"/>
        </w:rPr>
        <w:t>（按招标文件或优于招标文件的承诺执行）</w:t>
      </w:r>
      <w:r>
        <w:rPr>
          <w:color w:val="auto"/>
        </w:rPr>
        <w:t>年，因人为因素出现的故障不在免费保修范围内。超过保修期的机器货物，终生维修，维修时只收部件成本费。</w:t>
      </w:r>
    </w:p>
    <w:p>
      <w:pPr>
        <w:widowControl w:val="0"/>
        <w:adjustRightInd w:val="0"/>
        <w:snapToGrid w:val="0"/>
        <w:spacing w:after="60" w:line="360" w:lineRule="auto"/>
        <w:ind w:firstLine="480" w:firstLineChars="200"/>
        <w:rPr>
          <w:color w:val="auto"/>
        </w:rPr>
      </w:pPr>
      <w:r>
        <w:rPr>
          <w:color w:val="auto"/>
        </w:rPr>
        <w:t>十三、验收</w:t>
      </w:r>
    </w:p>
    <w:p>
      <w:pPr>
        <w:widowControl w:val="0"/>
        <w:adjustRightInd w:val="0"/>
        <w:snapToGrid w:val="0"/>
        <w:spacing w:line="360" w:lineRule="auto"/>
        <w:ind w:firstLine="537" w:firstLineChars="224"/>
        <w:rPr>
          <w:color w:val="auto"/>
        </w:rPr>
      </w:pPr>
      <w:r>
        <w:rPr>
          <w:rFonts w:hint="eastAsia"/>
          <w:color w:val="auto"/>
        </w:rPr>
        <w:t>1</w:t>
      </w:r>
      <w:r>
        <w:rPr>
          <w:color w:val="auto"/>
        </w:rPr>
        <w:t>.</w:t>
      </w:r>
      <w:r>
        <w:rPr>
          <w:rFonts w:hint="eastAsia"/>
          <w:color w:val="auto"/>
        </w:rPr>
        <w:t>甲方</w:t>
      </w:r>
      <w:r>
        <w:rPr>
          <w:color w:val="auto"/>
        </w:rPr>
        <w:t>对</w:t>
      </w:r>
      <w:r>
        <w:rPr>
          <w:rFonts w:hint="eastAsia"/>
          <w:color w:val="auto"/>
        </w:rPr>
        <w:t>乙方</w:t>
      </w:r>
      <w:r>
        <w:rPr>
          <w:color w:val="auto"/>
        </w:rPr>
        <w:t>提交的货物依据招标文件上的技术规格要求和国家有关质量标准进行现场初步验收，外观、说明书符合招标文件技术要求的，给予签收，初步验收不合格的不予签收。</w:t>
      </w:r>
    </w:p>
    <w:p>
      <w:pPr>
        <w:widowControl w:val="0"/>
        <w:adjustRightInd w:val="0"/>
        <w:snapToGrid w:val="0"/>
        <w:spacing w:line="360" w:lineRule="auto"/>
        <w:ind w:firstLine="537" w:firstLineChars="224"/>
        <w:rPr>
          <w:color w:val="auto"/>
        </w:rPr>
      </w:pPr>
      <w:r>
        <w:rPr>
          <w:rFonts w:hint="eastAsia"/>
          <w:color w:val="auto"/>
        </w:rPr>
        <w:t>2</w:t>
      </w:r>
      <w:r>
        <w:rPr>
          <w:color w:val="auto"/>
        </w:rPr>
        <w:t>.</w:t>
      </w:r>
      <w:r>
        <w:rPr>
          <w:rFonts w:hint="eastAsia"/>
          <w:color w:val="auto"/>
        </w:rPr>
        <w:t>初步验收完成后，甲方</w:t>
      </w:r>
      <w:r>
        <w:rPr>
          <w:color w:val="auto"/>
        </w:rPr>
        <w:t>组织对</w:t>
      </w:r>
      <w:r>
        <w:rPr>
          <w:rFonts w:hint="eastAsia"/>
          <w:color w:val="auto"/>
        </w:rPr>
        <w:t>乙方</w:t>
      </w:r>
      <w:r>
        <w:rPr>
          <w:color w:val="auto"/>
        </w:rPr>
        <w:t>履约的验收。大型或者复杂的政府采购项目，应当邀请国家认可的质量检测机构参加验收工作。验收方成员应当在验收书上签字，并承担相应的法律责任。如果发现与合同中要求不符，</w:t>
      </w:r>
      <w:r>
        <w:rPr>
          <w:rFonts w:hint="eastAsia"/>
          <w:color w:val="auto"/>
        </w:rPr>
        <w:t>乙方</w:t>
      </w:r>
      <w:r>
        <w:rPr>
          <w:color w:val="auto"/>
        </w:rPr>
        <w:t>须承担由此发生的一切损失和费用，并接受相应的处理。</w:t>
      </w:r>
    </w:p>
    <w:p>
      <w:pPr>
        <w:widowControl w:val="0"/>
        <w:adjustRightInd w:val="0"/>
        <w:snapToGrid w:val="0"/>
        <w:spacing w:line="360" w:lineRule="auto"/>
        <w:ind w:firstLine="537" w:firstLineChars="224"/>
        <w:rPr>
          <w:color w:val="auto"/>
        </w:rPr>
      </w:pPr>
      <w:r>
        <w:rPr>
          <w:rFonts w:hint="eastAsia"/>
          <w:color w:val="auto"/>
        </w:rPr>
        <w:t>3</w:t>
      </w:r>
      <w:r>
        <w:rPr>
          <w:color w:val="auto"/>
        </w:rPr>
        <w:t>.</w:t>
      </w:r>
      <w:r>
        <w:rPr>
          <w:rFonts w:hint="eastAsia"/>
          <w:color w:val="auto"/>
        </w:rPr>
        <w:t>甲方</w:t>
      </w:r>
      <w:r>
        <w:rPr>
          <w:color w:val="auto"/>
        </w:rPr>
        <w:t>可以邀请参加本项目的其他投标人或者第三方机构参与验收。参与验收的投标人或者第三方机构的意见作为验收书的参考资料一并存档。</w:t>
      </w:r>
    </w:p>
    <w:p>
      <w:pPr>
        <w:widowControl w:val="0"/>
        <w:adjustRightInd w:val="0"/>
        <w:snapToGrid w:val="0"/>
        <w:spacing w:line="360" w:lineRule="auto"/>
        <w:ind w:firstLine="537" w:firstLineChars="224"/>
        <w:rPr>
          <w:color w:val="auto"/>
        </w:rPr>
      </w:pPr>
      <w:r>
        <w:rPr>
          <w:rFonts w:hint="eastAsia"/>
          <w:color w:val="auto"/>
        </w:rPr>
        <w:t>4</w:t>
      </w:r>
      <w:r>
        <w:rPr>
          <w:color w:val="auto"/>
        </w:rPr>
        <w:t>.严格按照采购合同开展履约验收。</w:t>
      </w:r>
      <w:r>
        <w:rPr>
          <w:rFonts w:hint="eastAsia"/>
          <w:color w:val="auto"/>
        </w:rPr>
        <w:t>甲方</w:t>
      </w:r>
      <w:r>
        <w:rPr>
          <w:color w:val="auto"/>
        </w:rPr>
        <w:t>成立验收小组，按照采购合同的约定对</w:t>
      </w:r>
      <w:r>
        <w:rPr>
          <w:rFonts w:hint="eastAsia"/>
          <w:color w:val="auto"/>
        </w:rPr>
        <w:t>乙方</w:t>
      </w:r>
      <w:r>
        <w:rPr>
          <w:color w:val="auto"/>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adjustRightInd w:val="0"/>
        <w:snapToGrid w:val="0"/>
        <w:spacing w:line="360" w:lineRule="auto"/>
        <w:ind w:firstLine="537" w:firstLineChars="224"/>
        <w:rPr>
          <w:color w:val="auto"/>
        </w:rPr>
      </w:pPr>
      <w:r>
        <w:rPr>
          <w:rFonts w:hint="eastAsia"/>
          <w:color w:val="auto"/>
        </w:rPr>
        <w:t>5</w:t>
      </w:r>
      <w:r>
        <w:rPr>
          <w:color w:val="auto"/>
        </w:rPr>
        <w:t>.验收合格的项目，</w:t>
      </w:r>
      <w:r>
        <w:rPr>
          <w:rFonts w:hint="eastAsia"/>
          <w:color w:val="auto"/>
        </w:rPr>
        <w:t>甲方</w:t>
      </w:r>
      <w:r>
        <w:rPr>
          <w:color w:val="auto"/>
        </w:rPr>
        <w:t>将根据采购合同的约定及时向</w:t>
      </w:r>
      <w:r>
        <w:rPr>
          <w:rFonts w:hint="eastAsia"/>
          <w:color w:val="auto"/>
        </w:rPr>
        <w:t>乙方</w:t>
      </w:r>
      <w:r>
        <w:rPr>
          <w:color w:val="auto"/>
        </w:rPr>
        <w:t>支付采购资金、退还履约保证金。验收不合格的项目，</w:t>
      </w:r>
      <w:r>
        <w:rPr>
          <w:rFonts w:hint="eastAsia"/>
          <w:color w:val="auto"/>
        </w:rPr>
        <w:t>甲方</w:t>
      </w:r>
      <w:r>
        <w:rPr>
          <w:color w:val="auto"/>
        </w:rPr>
        <w:t>将依法及时处理。采购合同的履行、违约责任和解决争议的方式等适用《中华人民共和国民法典》。</w:t>
      </w:r>
      <w:r>
        <w:rPr>
          <w:rFonts w:hint="eastAsia"/>
          <w:color w:val="auto"/>
        </w:rPr>
        <w:t>乙方</w:t>
      </w:r>
      <w:r>
        <w:rPr>
          <w:color w:val="auto"/>
        </w:rPr>
        <w:t>在履约过程中有政府采购法律法规规定的违法违规情形的，</w:t>
      </w:r>
      <w:r>
        <w:rPr>
          <w:rFonts w:hint="eastAsia"/>
          <w:color w:val="auto"/>
        </w:rPr>
        <w:t>甲方</w:t>
      </w:r>
      <w:r>
        <w:rPr>
          <w:color w:val="auto"/>
        </w:rPr>
        <w:t>应当及时报告本级财政部门。</w:t>
      </w:r>
    </w:p>
    <w:p>
      <w:pPr>
        <w:widowControl w:val="0"/>
        <w:adjustRightInd w:val="0"/>
        <w:snapToGrid w:val="0"/>
        <w:spacing w:after="60" w:line="360" w:lineRule="auto"/>
        <w:ind w:firstLine="480" w:firstLineChars="200"/>
        <w:rPr>
          <w:color w:val="auto"/>
        </w:rPr>
      </w:pPr>
      <w:r>
        <w:rPr>
          <w:rFonts w:hint="eastAsia"/>
          <w:color w:val="auto"/>
        </w:rPr>
        <w:t>6</w:t>
      </w:r>
      <w:r>
        <w:rPr>
          <w:color w:val="auto"/>
        </w:rPr>
        <w:t>.验收时</w:t>
      </w:r>
      <w:r>
        <w:rPr>
          <w:rFonts w:hint="eastAsia"/>
          <w:color w:val="auto"/>
        </w:rPr>
        <w:t>乙方</w:t>
      </w:r>
      <w:r>
        <w:rPr>
          <w:color w:val="auto"/>
        </w:rPr>
        <w:t>必须在现场，验收过程中相关检测费用（如有）由</w:t>
      </w:r>
      <w:r>
        <w:rPr>
          <w:rFonts w:hint="eastAsia"/>
          <w:color w:val="auto"/>
        </w:rPr>
        <w:t>乙方</w:t>
      </w:r>
      <w:r>
        <w:rPr>
          <w:color w:val="auto"/>
        </w:rPr>
        <w:t>负责。</w:t>
      </w:r>
    </w:p>
    <w:p>
      <w:pPr>
        <w:widowControl w:val="0"/>
        <w:adjustRightInd w:val="0"/>
        <w:snapToGrid w:val="0"/>
        <w:spacing w:after="60" w:line="360" w:lineRule="auto"/>
        <w:ind w:firstLine="480" w:firstLineChars="200"/>
        <w:rPr>
          <w:color w:val="auto"/>
        </w:rPr>
      </w:pPr>
      <w:r>
        <w:rPr>
          <w:color w:val="auto"/>
        </w:rPr>
        <w:t>十四、货物包装、发运及运输</w:t>
      </w:r>
    </w:p>
    <w:p>
      <w:pPr>
        <w:widowControl w:val="0"/>
        <w:adjustRightInd w:val="0"/>
        <w:snapToGrid w:val="0"/>
        <w:spacing w:after="60" w:line="360" w:lineRule="auto"/>
        <w:ind w:firstLine="480" w:firstLineChars="200"/>
        <w:rPr>
          <w:color w:val="auto"/>
        </w:rPr>
      </w:pPr>
      <w:r>
        <w:rPr>
          <w:color w:val="auto"/>
        </w:rPr>
        <w:t>1. 乙方应在货物发运前对其进行满足运输距离、防潮、防震、防锈和防破损装卸等要求包装，以保证货物安全运达甲方指定地点。</w:t>
      </w:r>
    </w:p>
    <w:p>
      <w:pPr>
        <w:widowControl w:val="0"/>
        <w:adjustRightInd w:val="0"/>
        <w:snapToGrid w:val="0"/>
        <w:spacing w:after="60" w:line="360" w:lineRule="auto"/>
        <w:ind w:firstLine="480" w:firstLineChars="200"/>
        <w:rPr>
          <w:color w:val="auto"/>
        </w:rPr>
      </w:pPr>
      <w:r>
        <w:rPr>
          <w:color w:val="auto"/>
        </w:rPr>
        <w:t>2. 使用说明书、质量检验证明书、随配附件和工具以及清单一并附于货物内。</w:t>
      </w:r>
    </w:p>
    <w:p>
      <w:pPr>
        <w:widowControl w:val="0"/>
        <w:adjustRightInd w:val="0"/>
        <w:snapToGrid w:val="0"/>
        <w:spacing w:after="60" w:line="360" w:lineRule="auto"/>
        <w:ind w:firstLine="480" w:firstLineChars="200"/>
        <w:rPr>
          <w:color w:val="auto"/>
        </w:rPr>
      </w:pPr>
      <w:r>
        <w:rPr>
          <w:color w:val="auto"/>
        </w:rPr>
        <w:t>3. 乙方在货物发运手续办理完毕后24小时内或货到甲方48小时前通知甲方，以准备接货。</w:t>
      </w:r>
    </w:p>
    <w:p>
      <w:pPr>
        <w:widowControl w:val="0"/>
        <w:adjustRightInd w:val="0"/>
        <w:snapToGrid w:val="0"/>
        <w:spacing w:after="60" w:line="360" w:lineRule="auto"/>
        <w:ind w:firstLine="480" w:firstLineChars="200"/>
        <w:rPr>
          <w:color w:val="auto"/>
        </w:rPr>
      </w:pPr>
      <w:r>
        <w:rPr>
          <w:color w:val="auto"/>
        </w:rPr>
        <w:t>4. 货物在交付甲方前发生的风险均由乙方负责。</w:t>
      </w:r>
    </w:p>
    <w:p>
      <w:pPr>
        <w:widowControl w:val="0"/>
        <w:adjustRightInd w:val="0"/>
        <w:snapToGrid w:val="0"/>
        <w:spacing w:after="60" w:line="360" w:lineRule="auto"/>
        <w:ind w:firstLine="480" w:firstLineChars="200"/>
        <w:rPr>
          <w:color w:val="auto"/>
        </w:rPr>
      </w:pPr>
      <w:r>
        <w:rPr>
          <w:color w:val="auto"/>
        </w:rPr>
        <w:t>5. 货物在规定的交付期限内由乙方送达甲方指定的地点视为交付，乙方同时需通知甲方货物已送达。</w:t>
      </w:r>
    </w:p>
    <w:p>
      <w:pPr>
        <w:widowControl w:val="0"/>
        <w:adjustRightInd w:val="0"/>
        <w:snapToGrid w:val="0"/>
        <w:spacing w:after="60" w:line="360" w:lineRule="auto"/>
        <w:ind w:firstLine="480" w:firstLineChars="200"/>
        <w:rPr>
          <w:color w:val="auto"/>
        </w:rPr>
      </w:pPr>
      <w:r>
        <w:rPr>
          <w:color w:val="auto"/>
        </w:rPr>
        <w:t>十五、违约责任</w:t>
      </w:r>
    </w:p>
    <w:p>
      <w:pPr>
        <w:widowControl w:val="0"/>
        <w:spacing w:line="360" w:lineRule="auto"/>
        <w:ind w:firstLine="537" w:firstLineChars="224"/>
        <w:jc w:val="both"/>
        <w:rPr>
          <w:rFonts w:hint="eastAsia" w:ascii="宋体" w:hAnsi="宋体" w:cs="宋体"/>
          <w:color w:val="auto"/>
        </w:rPr>
      </w:pPr>
      <w:bookmarkStart w:id="129" w:name="_Toc14055"/>
      <w:r>
        <w:rPr>
          <w:rFonts w:hint="eastAsia" w:ascii="宋体" w:hAnsi="宋体" w:cs="宋体"/>
          <w:color w:val="auto"/>
        </w:rPr>
        <w:t>1.甲方无正当理由拒绝接受服务的，甲方向乙方偿付合同款项百分之四作为违约金。</w:t>
      </w:r>
    </w:p>
    <w:p>
      <w:pPr>
        <w:widowControl w:val="0"/>
        <w:spacing w:line="360" w:lineRule="auto"/>
        <w:ind w:firstLine="537" w:firstLineChars="224"/>
        <w:jc w:val="both"/>
        <w:rPr>
          <w:rFonts w:hint="eastAsia" w:ascii="宋体" w:hAnsi="宋体" w:cs="宋体"/>
          <w:color w:val="auto"/>
        </w:rPr>
      </w:pPr>
      <w:r>
        <w:rPr>
          <w:rFonts w:hint="eastAsia" w:ascii="宋体" w:hAnsi="宋体" w:cs="宋体"/>
          <w:color w:val="auto"/>
        </w:rPr>
        <w:t>2.甲方无故逾期验收和办理款项支付手续的，甲方应按逾期付款总额每日万分之四向乙方支付违约金。</w:t>
      </w:r>
    </w:p>
    <w:p>
      <w:pPr>
        <w:widowControl w:val="0"/>
        <w:spacing w:line="360" w:lineRule="auto"/>
        <w:ind w:firstLine="537" w:firstLineChars="224"/>
        <w:jc w:val="both"/>
        <w:rPr>
          <w:rFonts w:hint="eastAsia" w:ascii="宋体" w:hAnsi="宋体" w:cs="宋体"/>
          <w:color w:val="auto"/>
        </w:rPr>
      </w:pPr>
      <w:r>
        <w:rPr>
          <w:rFonts w:hint="eastAsia" w:ascii="宋体" w:hAnsi="宋体" w:cs="宋体"/>
          <w:color w:val="auto"/>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 </w:t>
      </w:r>
    </w:p>
    <w:p>
      <w:pPr>
        <w:widowControl w:val="0"/>
        <w:adjustRightInd w:val="0"/>
        <w:snapToGrid w:val="0"/>
        <w:spacing w:after="60" w:line="360" w:lineRule="auto"/>
        <w:ind w:firstLine="480" w:firstLineChars="200"/>
        <w:rPr>
          <w:color w:val="auto"/>
        </w:rPr>
      </w:pPr>
      <w:r>
        <w:rPr>
          <w:color w:val="auto"/>
        </w:rPr>
        <w:t>4.</w:t>
      </w:r>
      <w:r>
        <w:rPr>
          <w:rFonts w:hint="eastAsia"/>
          <w:color w:val="auto"/>
        </w:rPr>
        <w:t>任何一方按照前述约定要求违约方支付违约金的同时，仍有权要求违约方继续履行合同、采取补救措施，并有权按照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pPr>
        <w:widowControl w:val="0"/>
        <w:adjustRightInd w:val="0"/>
        <w:snapToGrid w:val="0"/>
        <w:spacing w:after="60" w:line="360" w:lineRule="auto"/>
        <w:ind w:firstLine="480" w:firstLineChars="200"/>
        <w:rPr>
          <w:color w:val="auto"/>
        </w:rPr>
      </w:pPr>
      <w:r>
        <w:rPr>
          <w:rFonts w:hint="eastAsia"/>
          <w:color w:val="auto"/>
        </w:rPr>
        <w:t>5</w:t>
      </w:r>
      <w:r>
        <w:rPr>
          <w:color w:val="auto"/>
        </w:rPr>
        <w:t>.</w:t>
      </w:r>
      <w:r>
        <w:rPr>
          <w:rFonts w:hint="eastAsia"/>
          <w:color w:val="auto"/>
        </w:rPr>
        <w:t>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0" w:firstLineChars="200"/>
        <w:outlineLvl w:val="0"/>
        <w:rPr>
          <w:color w:val="auto"/>
        </w:rPr>
      </w:pPr>
      <w:r>
        <w:rPr>
          <w:color w:val="auto"/>
        </w:rPr>
        <w:t>十六、 延迟交货</w:t>
      </w:r>
      <w:bookmarkEnd w:id="129"/>
    </w:p>
    <w:p>
      <w:pPr>
        <w:spacing w:line="360" w:lineRule="auto"/>
        <w:ind w:firstLine="480" w:firstLineChars="200"/>
        <w:outlineLvl w:val="0"/>
        <w:rPr>
          <w:color w:val="auto"/>
        </w:rPr>
      </w:pPr>
      <w:r>
        <w:rPr>
          <w:color w:val="auto"/>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0" w:firstLineChars="200"/>
        <w:outlineLvl w:val="0"/>
        <w:rPr>
          <w:color w:val="auto"/>
        </w:rPr>
      </w:pPr>
      <w:bookmarkStart w:id="130" w:name="_Toc7502"/>
      <w:r>
        <w:rPr>
          <w:color w:val="auto"/>
        </w:rPr>
        <w:t>十七、合同变更</w:t>
      </w:r>
      <w:bookmarkEnd w:id="130"/>
    </w:p>
    <w:p>
      <w:pPr>
        <w:spacing w:line="360" w:lineRule="auto"/>
        <w:ind w:firstLine="480" w:firstLineChars="200"/>
        <w:outlineLvl w:val="0"/>
        <w:rPr>
          <w:color w:val="auto"/>
        </w:rPr>
      </w:pPr>
      <w:r>
        <w:rPr>
          <w:color w:val="auto"/>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outlineLvl w:val="0"/>
        <w:rPr>
          <w:color w:val="auto"/>
        </w:rPr>
      </w:pPr>
      <w:r>
        <w:rPr>
          <w:color w:val="auto"/>
        </w:rPr>
        <w:t>十</w:t>
      </w:r>
      <w:r>
        <w:rPr>
          <w:rFonts w:hint="eastAsia"/>
          <w:color w:val="auto"/>
        </w:rPr>
        <w:t>八</w:t>
      </w:r>
      <w:r>
        <w:rPr>
          <w:color w:val="auto"/>
        </w:rPr>
        <w:t>、不可抗力事件处理</w:t>
      </w:r>
    </w:p>
    <w:p>
      <w:pPr>
        <w:spacing w:line="360" w:lineRule="auto"/>
        <w:ind w:firstLine="480" w:firstLineChars="200"/>
        <w:outlineLvl w:val="0"/>
        <w:rPr>
          <w:color w:val="auto"/>
        </w:rPr>
      </w:pPr>
      <w:r>
        <w:rPr>
          <w:color w:val="auto"/>
        </w:rPr>
        <w:t>1.如果任何一方遭遇法律规定的不可抗力，致使合同履行受阻时，履行合同的期限应予延长，延长的期限应相当于不可抗力所影响的时间；</w:t>
      </w:r>
    </w:p>
    <w:p>
      <w:pPr>
        <w:spacing w:line="360" w:lineRule="auto"/>
        <w:ind w:firstLine="480" w:firstLineChars="200"/>
        <w:outlineLvl w:val="0"/>
        <w:rPr>
          <w:color w:val="auto"/>
        </w:rPr>
      </w:pPr>
      <w:r>
        <w:rPr>
          <w:color w:val="auto"/>
        </w:rPr>
        <w:t>2. 因不可抗力致使不能实现合同目的的，当事人可以解除合同；</w:t>
      </w:r>
    </w:p>
    <w:p>
      <w:pPr>
        <w:spacing w:line="360" w:lineRule="auto"/>
        <w:ind w:firstLine="480" w:firstLineChars="200"/>
        <w:outlineLvl w:val="0"/>
        <w:rPr>
          <w:color w:val="auto"/>
        </w:rPr>
      </w:pPr>
      <w:r>
        <w:rPr>
          <w:color w:val="auto"/>
        </w:rPr>
        <w:t>3. 因不可抗力致使合同有变更必要的，双方当事人应以书面形式变更合同；</w:t>
      </w:r>
    </w:p>
    <w:p>
      <w:pPr>
        <w:spacing w:line="360" w:lineRule="auto"/>
        <w:ind w:firstLine="480" w:firstLineChars="200"/>
        <w:outlineLvl w:val="0"/>
        <w:rPr>
          <w:color w:val="auto"/>
        </w:rPr>
      </w:pPr>
      <w:r>
        <w:rPr>
          <w:color w:val="auto"/>
        </w:rPr>
        <w:t>4.受不可抗力影响的一方在不可抗力发生后，应以书面形式通知对方当事人，并在约定时间内，将有关部门出具的证明文件送达对方当事人。</w:t>
      </w:r>
    </w:p>
    <w:p>
      <w:pPr>
        <w:spacing w:line="360" w:lineRule="auto"/>
        <w:ind w:firstLine="480" w:firstLineChars="200"/>
        <w:outlineLvl w:val="0"/>
        <w:rPr>
          <w:color w:val="auto"/>
        </w:rPr>
      </w:pPr>
      <w:bookmarkStart w:id="131" w:name="_Toc7102"/>
      <w:bookmarkStart w:id="132" w:name="_Toc16959"/>
      <w:bookmarkStart w:id="133" w:name="_Toc8298"/>
      <w:bookmarkStart w:id="134" w:name="_Toc259093687"/>
      <w:bookmarkStart w:id="135" w:name="_Toc487900368"/>
      <w:bookmarkStart w:id="136" w:name="_Toc279701258"/>
      <w:r>
        <w:rPr>
          <w:color w:val="auto"/>
        </w:rPr>
        <w:t>十</w:t>
      </w:r>
      <w:r>
        <w:rPr>
          <w:rFonts w:hint="eastAsia"/>
          <w:color w:val="auto"/>
        </w:rPr>
        <w:t>九</w:t>
      </w:r>
      <w:r>
        <w:rPr>
          <w:color w:val="auto"/>
        </w:rPr>
        <w:t>、</w:t>
      </w:r>
      <w:bookmarkEnd w:id="131"/>
      <w:bookmarkEnd w:id="132"/>
      <w:bookmarkEnd w:id="133"/>
      <w:bookmarkEnd w:id="134"/>
      <w:bookmarkEnd w:id="135"/>
      <w:bookmarkEnd w:id="136"/>
      <w:bookmarkStart w:id="137" w:name="_Toc29333"/>
      <w:bookmarkStart w:id="138" w:name="_Toc6134"/>
      <w:bookmarkStart w:id="139" w:name="_Toc15387"/>
      <w:r>
        <w:rPr>
          <w:color w:val="auto"/>
        </w:rPr>
        <w:t>合同中止、终止</w:t>
      </w:r>
      <w:bookmarkEnd w:id="137"/>
      <w:bookmarkEnd w:id="138"/>
      <w:bookmarkEnd w:id="139"/>
    </w:p>
    <w:p>
      <w:pPr>
        <w:spacing w:line="360" w:lineRule="auto"/>
        <w:ind w:firstLine="480" w:firstLineChars="200"/>
        <w:outlineLvl w:val="0"/>
        <w:rPr>
          <w:color w:val="auto"/>
        </w:rPr>
      </w:pPr>
      <w:r>
        <w:rPr>
          <w:color w:val="auto"/>
        </w:rPr>
        <w:t>1.双方当事人不得擅自中止或者终止合同；</w:t>
      </w:r>
    </w:p>
    <w:p>
      <w:pPr>
        <w:spacing w:line="360" w:lineRule="auto"/>
        <w:ind w:firstLine="480" w:firstLineChars="200"/>
        <w:outlineLvl w:val="0"/>
        <w:rPr>
          <w:color w:val="auto"/>
        </w:rPr>
      </w:pPr>
      <w:r>
        <w:rPr>
          <w:color w:val="auto"/>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outlineLvl w:val="0"/>
        <w:rPr>
          <w:color w:val="auto"/>
        </w:rPr>
      </w:pPr>
      <w:r>
        <w:rPr>
          <w:color w:val="auto"/>
        </w:rPr>
        <w:t>二十、合同争议的解决</w:t>
      </w:r>
    </w:p>
    <w:p>
      <w:pPr>
        <w:spacing w:line="360" w:lineRule="auto"/>
        <w:ind w:firstLine="480" w:firstLineChars="200"/>
        <w:outlineLvl w:val="0"/>
        <w:rPr>
          <w:color w:val="auto"/>
        </w:rPr>
      </w:pPr>
      <w:r>
        <w:rPr>
          <w:color w:val="auto"/>
        </w:rPr>
        <w:t xml:space="preserve">  本合同履行过程中发生的任何争议，双方当事人均可通过和解或者调解解决；不愿和解、调解或者和解、调解不成的，可以向</w:t>
      </w:r>
      <w:r>
        <w:rPr>
          <w:rFonts w:hint="eastAsia"/>
          <w:color w:val="auto"/>
          <w:u w:val="single"/>
        </w:rPr>
        <w:t>甲方</w:t>
      </w:r>
      <w:r>
        <w:rPr>
          <w:color w:val="auto"/>
          <w:u w:val="single"/>
        </w:rPr>
        <w:t>所在地</w:t>
      </w:r>
      <w:r>
        <w:rPr>
          <w:color w:val="auto"/>
        </w:rPr>
        <w:t>人民法院起诉。</w:t>
      </w:r>
    </w:p>
    <w:p>
      <w:pPr>
        <w:spacing w:line="360" w:lineRule="auto"/>
        <w:ind w:firstLine="480" w:firstLineChars="200"/>
        <w:outlineLvl w:val="0"/>
        <w:rPr>
          <w:color w:val="auto"/>
        </w:rPr>
      </w:pPr>
      <w:r>
        <w:rPr>
          <w:color w:val="auto"/>
        </w:rPr>
        <w:t>二十一、合同构成</w:t>
      </w:r>
    </w:p>
    <w:p>
      <w:pPr>
        <w:spacing w:line="360" w:lineRule="auto"/>
        <w:ind w:firstLine="480" w:firstLineChars="200"/>
        <w:rPr>
          <w:color w:val="auto"/>
        </w:rPr>
      </w:pPr>
      <w:r>
        <w:rPr>
          <w:color w:val="auto"/>
        </w:rPr>
        <w:t>下述文件是构成合同不可分割的部分，应一并阅读和理解。</w:t>
      </w:r>
    </w:p>
    <w:p>
      <w:pPr>
        <w:spacing w:line="360" w:lineRule="auto"/>
        <w:ind w:firstLine="480" w:firstLineChars="200"/>
        <w:rPr>
          <w:color w:val="auto"/>
        </w:rPr>
      </w:pPr>
      <w:r>
        <w:rPr>
          <w:rFonts w:hint="eastAsia"/>
          <w:color w:val="auto"/>
        </w:rPr>
        <w:t>1</w:t>
      </w:r>
      <w:r>
        <w:rPr>
          <w:color w:val="auto"/>
        </w:rPr>
        <w:t>.本合同协议书；</w:t>
      </w:r>
    </w:p>
    <w:p>
      <w:pPr>
        <w:spacing w:line="360" w:lineRule="auto"/>
        <w:ind w:firstLine="480" w:firstLineChars="200"/>
        <w:rPr>
          <w:color w:val="auto"/>
        </w:rPr>
      </w:pPr>
      <w:r>
        <w:rPr>
          <w:rFonts w:hint="eastAsia"/>
          <w:color w:val="auto"/>
        </w:rPr>
        <w:t>2</w:t>
      </w:r>
      <w:r>
        <w:rPr>
          <w:color w:val="auto"/>
        </w:rPr>
        <w:t>.中标通知书；</w:t>
      </w:r>
    </w:p>
    <w:p>
      <w:pPr>
        <w:spacing w:line="360" w:lineRule="auto"/>
        <w:ind w:firstLine="480" w:firstLineChars="200"/>
        <w:rPr>
          <w:color w:val="auto"/>
        </w:rPr>
      </w:pPr>
      <w:r>
        <w:rPr>
          <w:rFonts w:hint="eastAsia"/>
          <w:color w:val="auto"/>
        </w:rPr>
        <w:t>3</w:t>
      </w:r>
      <w:r>
        <w:rPr>
          <w:color w:val="auto"/>
        </w:rPr>
        <w:t>.招标文件及附件；</w:t>
      </w:r>
    </w:p>
    <w:p>
      <w:pPr>
        <w:spacing w:line="360" w:lineRule="auto"/>
        <w:ind w:firstLine="480" w:firstLineChars="200"/>
        <w:rPr>
          <w:color w:val="auto"/>
        </w:rPr>
      </w:pPr>
      <w:r>
        <w:rPr>
          <w:rFonts w:hint="eastAsia"/>
          <w:color w:val="auto"/>
        </w:rPr>
        <w:t>4</w:t>
      </w:r>
      <w:r>
        <w:rPr>
          <w:color w:val="auto"/>
        </w:rPr>
        <w:t>.投标文件及附件；</w:t>
      </w:r>
    </w:p>
    <w:p>
      <w:pPr>
        <w:spacing w:line="360" w:lineRule="auto"/>
        <w:ind w:firstLine="480" w:firstLineChars="200"/>
        <w:rPr>
          <w:color w:val="auto"/>
        </w:rPr>
      </w:pPr>
      <w:r>
        <w:rPr>
          <w:rFonts w:hint="eastAsia"/>
          <w:color w:val="auto"/>
        </w:rPr>
        <w:t>5</w:t>
      </w:r>
      <w:r>
        <w:rPr>
          <w:color w:val="auto"/>
        </w:rPr>
        <w:t>.经双方协商一致达成的补充协议。</w:t>
      </w:r>
    </w:p>
    <w:p>
      <w:pPr>
        <w:spacing w:line="360" w:lineRule="auto"/>
        <w:ind w:firstLine="480" w:firstLineChars="200"/>
        <w:rPr>
          <w:color w:val="auto"/>
        </w:rPr>
      </w:pPr>
      <w:r>
        <w:rPr>
          <w:color w:val="auto"/>
        </w:rPr>
        <w:t>上述文件应认为是互为补充和解释的，若有不明确及不一致之处，以上面所列顺序先后为准。</w:t>
      </w:r>
    </w:p>
    <w:p>
      <w:pPr>
        <w:widowControl w:val="0"/>
        <w:adjustRightInd w:val="0"/>
        <w:snapToGrid w:val="0"/>
        <w:spacing w:after="60" w:line="360" w:lineRule="auto"/>
        <w:ind w:firstLine="480" w:firstLineChars="200"/>
        <w:rPr>
          <w:color w:val="auto"/>
        </w:rPr>
      </w:pPr>
      <w:r>
        <w:rPr>
          <w:color w:val="auto"/>
        </w:rPr>
        <w:t>二十二、合同生效及其它</w:t>
      </w:r>
    </w:p>
    <w:p>
      <w:pPr>
        <w:widowControl w:val="0"/>
        <w:adjustRightInd w:val="0"/>
        <w:snapToGrid w:val="0"/>
        <w:spacing w:after="60" w:line="360" w:lineRule="auto"/>
        <w:ind w:firstLine="480" w:firstLineChars="200"/>
        <w:rPr>
          <w:color w:val="auto"/>
        </w:rPr>
      </w:pPr>
      <w:r>
        <w:rPr>
          <w:color w:val="auto"/>
        </w:rPr>
        <w:t>1. 本合同自双方当事人盖章或者签字时生效。</w:t>
      </w:r>
    </w:p>
    <w:p>
      <w:pPr>
        <w:widowControl w:val="0"/>
        <w:adjustRightInd w:val="0"/>
        <w:snapToGrid w:val="0"/>
        <w:spacing w:after="60" w:line="360" w:lineRule="auto"/>
        <w:ind w:firstLine="480" w:firstLineChars="200"/>
        <w:rPr>
          <w:color w:val="auto"/>
        </w:rPr>
      </w:pPr>
      <w:r>
        <w:rPr>
          <w:color w:val="auto"/>
        </w:rPr>
        <w:t>2.合同执行中涉及采购资金和采购内容修改或补充的，须经财政部门审批，并签书面补充协议报政府采购监督管理部门备案，方可作为主合同不可分割的一部分。</w:t>
      </w:r>
    </w:p>
    <w:p>
      <w:pPr>
        <w:widowControl w:val="0"/>
        <w:adjustRightInd w:val="0"/>
        <w:snapToGrid w:val="0"/>
        <w:spacing w:after="60" w:line="360" w:lineRule="auto"/>
        <w:ind w:firstLine="480" w:firstLineChars="200"/>
        <w:rPr>
          <w:color w:val="auto"/>
        </w:rPr>
      </w:pPr>
      <w:r>
        <w:rPr>
          <w:color w:val="auto"/>
        </w:rPr>
        <w:t>3.本合同未尽事宜，遵照《中华人民共和国民法典》有关条文执行。</w:t>
      </w:r>
    </w:p>
    <w:p>
      <w:pPr>
        <w:pStyle w:val="43"/>
        <w:spacing w:line="360" w:lineRule="auto"/>
        <w:ind w:firstLine="480" w:firstLineChars="200"/>
        <w:rPr>
          <w:color w:val="auto"/>
        </w:rPr>
      </w:pPr>
      <w:r>
        <w:rPr>
          <w:color w:val="auto"/>
        </w:rPr>
        <w:t>4.本合同壹式陆份，甲乙双方各执</w:t>
      </w:r>
      <w:r>
        <w:rPr>
          <w:rFonts w:hint="eastAsia"/>
          <w:color w:val="auto"/>
        </w:rPr>
        <w:t>贰</w:t>
      </w:r>
      <w:r>
        <w:rPr>
          <w:color w:val="auto"/>
        </w:rPr>
        <w:t>份，招标代理机构</w:t>
      </w:r>
      <w:r>
        <w:rPr>
          <w:rFonts w:hint="eastAsia"/>
          <w:color w:val="auto"/>
        </w:rPr>
        <w:t>贰</w:t>
      </w:r>
      <w:r>
        <w:rPr>
          <w:color w:val="auto"/>
        </w:rPr>
        <w:t>份（备案及资料归集）。</w:t>
      </w:r>
    </w:p>
    <w:p>
      <w:pPr>
        <w:widowControl w:val="0"/>
        <w:adjustRightInd w:val="0"/>
        <w:snapToGrid w:val="0"/>
        <w:spacing w:after="60" w:line="360" w:lineRule="auto"/>
        <w:ind w:firstLine="480" w:firstLineChars="200"/>
        <w:rPr>
          <w:color w:val="auto"/>
          <w:u w:val="single"/>
        </w:rPr>
      </w:pPr>
      <w:r>
        <w:rPr>
          <w:color w:val="auto"/>
        </w:rPr>
        <w:t>二十三、其他补充条款：</w:t>
      </w:r>
      <w:r>
        <w:rPr>
          <w:color w:val="auto"/>
          <w:u w:val="single"/>
        </w:rPr>
        <w:t xml:space="preserve"> （如有）                                           。</w:t>
      </w:r>
    </w:p>
    <w:p>
      <w:pPr>
        <w:pStyle w:val="44"/>
        <w:ind w:left="480" w:firstLine="480"/>
        <w:rPr>
          <w:rFonts w:hint="eastAsia"/>
          <w:color w:val="auto"/>
        </w:rPr>
      </w:pPr>
    </w:p>
    <w:p>
      <w:pPr>
        <w:spacing w:line="360" w:lineRule="auto"/>
        <w:ind w:firstLine="480" w:firstLineChars="200"/>
        <w:rPr>
          <w:color w:val="auto"/>
        </w:rPr>
      </w:pPr>
      <w:r>
        <w:rPr>
          <w:color w:val="auto"/>
        </w:rPr>
        <w:t xml:space="preserve">甲方（盖章）：                                          乙方（盖章）：                            </w:t>
      </w:r>
    </w:p>
    <w:p>
      <w:pPr>
        <w:spacing w:line="360" w:lineRule="auto"/>
        <w:ind w:firstLine="480" w:firstLineChars="200"/>
        <w:rPr>
          <w:color w:val="auto"/>
        </w:rPr>
      </w:pPr>
      <w:r>
        <w:rPr>
          <w:color w:val="auto"/>
        </w:rPr>
        <w:t>法定代表人</w:t>
      </w:r>
      <w:r>
        <w:rPr>
          <w:rFonts w:hint="eastAsia"/>
          <w:color w:val="auto"/>
        </w:rPr>
        <w:t>或</w:t>
      </w:r>
      <w:r>
        <w:rPr>
          <w:color w:val="auto"/>
        </w:rPr>
        <w:t>委托代理人                          法定代表人</w:t>
      </w:r>
      <w:r>
        <w:rPr>
          <w:rFonts w:hint="eastAsia"/>
          <w:color w:val="auto"/>
        </w:rPr>
        <w:t>或</w:t>
      </w:r>
      <w:r>
        <w:rPr>
          <w:color w:val="auto"/>
        </w:rPr>
        <w:t xml:space="preserve">委托代理人   </w:t>
      </w:r>
    </w:p>
    <w:p>
      <w:pPr>
        <w:spacing w:line="360" w:lineRule="auto"/>
        <w:ind w:firstLine="480" w:firstLineChars="200"/>
        <w:rPr>
          <w:color w:val="auto"/>
        </w:rPr>
      </w:pPr>
      <w:r>
        <w:rPr>
          <w:rFonts w:hint="eastAsia"/>
          <w:color w:val="auto"/>
        </w:rPr>
        <w:t>（签字或盖章）</w:t>
      </w:r>
      <w:r>
        <w:rPr>
          <w:color w:val="auto"/>
        </w:rPr>
        <w:t xml:space="preserve">：                                     </w:t>
      </w:r>
      <w:r>
        <w:rPr>
          <w:rFonts w:hint="eastAsia"/>
          <w:color w:val="auto"/>
        </w:rPr>
        <w:t>（签字或盖章）</w:t>
      </w:r>
      <w:r>
        <w:rPr>
          <w:color w:val="auto"/>
        </w:rPr>
        <w:t xml:space="preserve">： </w:t>
      </w:r>
    </w:p>
    <w:p>
      <w:pPr>
        <w:spacing w:line="360" w:lineRule="auto"/>
        <w:ind w:firstLine="480" w:firstLineChars="200"/>
        <w:rPr>
          <w:color w:val="auto"/>
        </w:rPr>
      </w:pPr>
      <w:r>
        <w:rPr>
          <w:rFonts w:hint="eastAsia"/>
          <w:color w:val="auto"/>
        </w:rPr>
        <w:t>联系</w:t>
      </w:r>
      <w:r>
        <w:rPr>
          <w:color w:val="auto"/>
        </w:rPr>
        <w:t xml:space="preserve">电话：                                                   </w:t>
      </w:r>
      <w:r>
        <w:rPr>
          <w:rFonts w:hint="eastAsia"/>
          <w:color w:val="auto"/>
        </w:rPr>
        <w:t>联系</w:t>
      </w:r>
      <w:r>
        <w:rPr>
          <w:color w:val="auto"/>
        </w:rPr>
        <w:t>电话：</w:t>
      </w:r>
    </w:p>
    <w:p>
      <w:pPr>
        <w:spacing w:line="360" w:lineRule="auto"/>
        <w:ind w:firstLine="480" w:firstLineChars="200"/>
        <w:rPr>
          <w:color w:val="auto"/>
        </w:rPr>
      </w:pPr>
      <w:r>
        <w:rPr>
          <w:color w:val="auto"/>
        </w:rPr>
        <w:t>开户银行：                                                   开户银行：</w:t>
      </w:r>
    </w:p>
    <w:p>
      <w:pPr>
        <w:spacing w:line="360" w:lineRule="auto"/>
        <w:ind w:firstLine="480" w:firstLineChars="200"/>
        <w:rPr>
          <w:color w:val="auto"/>
        </w:rPr>
      </w:pPr>
      <w:r>
        <w:rPr>
          <w:color w:val="auto"/>
        </w:rPr>
        <w:t>银行账号：                                                   银行账号：</w:t>
      </w:r>
    </w:p>
    <w:p>
      <w:pPr>
        <w:widowControl w:val="0"/>
        <w:adjustRightInd w:val="0"/>
        <w:snapToGrid w:val="0"/>
        <w:spacing w:after="60" w:line="360" w:lineRule="auto"/>
        <w:ind w:firstLine="480" w:firstLineChars="200"/>
        <w:rPr>
          <w:bCs/>
          <w:color w:val="auto"/>
        </w:rPr>
      </w:pPr>
      <w:r>
        <w:rPr>
          <w:bCs/>
          <w:color w:val="auto"/>
        </w:rPr>
        <w:t>签订日期：   年   月   日                                 签订日期：</w:t>
      </w:r>
      <w:r>
        <w:rPr>
          <w:rFonts w:hint="eastAsia"/>
          <w:bCs/>
          <w:color w:val="auto"/>
        </w:rPr>
        <w:t xml:space="preserve"> </w:t>
      </w:r>
      <w:r>
        <w:rPr>
          <w:bCs/>
          <w:color w:val="auto"/>
        </w:rPr>
        <w:t xml:space="preserve">  年   月   日 </w:t>
      </w:r>
    </w:p>
    <w:p>
      <w:pPr>
        <w:widowControl w:val="0"/>
        <w:spacing w:line="360" w:lineRule="auto"/>
        <w:ind w:right="-120" w:rightChars="-50" w:firstLine="360" w:firstLineChars="150"/>
        <w:rPr>
          <w:bCs/>
          <w:color w:val="auto"/>
        </w:rPr>
      </w:pPr>
    </w:p>
    <w:p>
      <w:pPr>
        <w:widowControl w:val="0"/>
        <w:spacing w:line="360" w:lineRule="auto"/>
        <w:ind w:right="-120" w:rightChars="-50" w:firstLine="360" w:firstLineChars="150"/>
        <w:rPr>
          <w:bCs/>
          <w:color w:val="auto"/>
        </w:rPr>
      </w:pPr>
      <w:r>
        <w:rPr>
          <w:bCs/>
          <w:color w:val="auto"/>
        </w:rPr>
        <w:t>采购代理机构意见：</w:t>
      </w:r>
    </w:p>
    <w:p>
      <w:pPr>
        <w:widowControl w:val="0"/>
        <w:adjustRightInd w:val="0"/>
        <w:snapToGrid w:val="0"/>
        <w:spacing w:after="60" w:line="360" w:lineRule="auto"/>
        <w:ind w:firstLine="480" w:firstLineChars="200"/>
        <w:rPr>
          <w:color w:val="auto"/>
        </w:rPr>
      </w:pPr>
      <w:r>
        <w:rPr>
          <w:bCs/>
          <w:color w:val="auto"/>
        </w:rPr>
        <w:t>年  月  日</w:t>
      </w:r>
    </w:p>
    <w:p>
      <w:pPr>
        <w:spacing w:line="360" w:lineRule="auto"/>
        <w:jc w:val="center"/>
        <w:rPr>
          <w:rFonts w:ascii="宋体" w:hAnsi="宋体"/>
          <w:b/>
          <w:color w:val="auto"/>
          <w:sz w:val="48"/>
          <w:szCs w:val="48"/>
        </w:rPr>
        <w:sectPr>
          <w:pgSz w:w="11906" w:h="16838"/>
          <w:pgMar w:top="1259" w:right="1287" w:bottom="1361" w:left="1622" w:header="709" w:footer="971" w:gutter="0"/>
          <w:cols w:space="720" w:num="1"/>
          <w:docGrid w:linePitch="360" w:charSpace="0"/>
        </w:sectPr>
      </w:pPr>
    </w:p>
    <w:p>
      <w:pPr>
        <w:pStyle w:val="2"/>
        <w:spacing w:before="120" w:after="240" w:line="240" w:lineRule="auto"/>
        <w:jc w:val="center"/>
        <w:rPr>
          <w:rFonts w:hint="eastAsia" w:ascii="宋体" w:hAnsi="宋体"/>
          <w:color w:val="auto"/>
        </w:rPr>
      </w:pPr>
      <w:bookmarkStart w:id="140" w:name="_Toc93668165"/>
      <w:r>
        <w:rPr>
          <w:rFonts w:ascii="宋体" w:hAnsi="宋体"/>
          <w:color w:val="auto"/>
        </w:rPr>
        <w:t>第七章  投标文件格式</w:t>
      </w:r>
      <w:bookmarkEnd w:id="127"/>
      <w:bookmarkEnd w:id="140"/>
    </w:p>
    <w:p>
      <w:pPr>
        <w:pStyle w:val="41"/>
        <w:widowControl w:val="0"/>
        <w:adjustRightInd w:val="0"/>
        <w:snapToGrid w:val="0"/>
        <w:spacing w:line="390" w:lineRule="atLeast"/>
        <w:rPr>
          <w:b/>
          <w:color w:val="auto"/>
          <w:sz w:val="32"/>
          <w:szCs w:val="32"/>
        </w:rPr>
      </w:pPr>
      <w:bookmarkStart w:id="141" w:name="_Hlk94088670"/>
      <w:r>
        <w:rPr>
          <w:b/>
          <w:color w:val="auto"/>
          <w:sz w:val="32"/>
          <w:szCs w:val="32"/>
        </w:rPr>
        <w:t>资格文件：</w:t>
      </w:r>
      <w:r>
        <w:rPr>
          <w:color w:val="auto"/>
        </w:rPr>
        <w:t>（</w:t>
      </w:r>
      <w:r>
        <w:rPr>
          <w:b/>
          <w:color w:val="auto"/>
          <w:u w:val="single"/>
        </w:rPr>
        <w:t>未提供齐全将导致资格审查不通过，投标文件无效</w:t>
      </w:r>
      <w:r>
        <w:rPr>
          <w:color w:val="auto"/>
        </w:rPr>
        <w:t>）</w:t>
      </w:r>
    </w:p>
    <w:p>
      <w:pPr>
        <w:widowControl w:val="0"/>
        <w:adjustRightInd w:val="0"/>
        <w:snapToGrid w:val="0"/>
        <w:spacing w:line="360" w:lineRule="auto"/>
        <w:ind w:firstLine="537" w:firstLineChars="224"/>
        <w:rPr>
          <w:color w:val="auto"/>
        </w:rPr>
      </w:pPr>
      <w:r>
        <w:rPr>
          <w:color w:val="auto"/>
        </w:rPr>
        <w:t>1.</w:t>
      </w:r>
      <w:r>
        <w:rPr>
          <w:rFonts w:hint="eastAsia"/>
          <w:color w:val="auto"/>
        </w:rPr>
        <w:t>投标人</w:t>
      </w:r>
      <w:r>
        <w:rPr>
          <w:color w:val="auto"/>
        </w:rPr>
        <w:t>法人营业执照（副本）或事业单位法人证书（副本）或个体工商户营业执照或有效的自然人身份证明或社会团体法人登记证书（提供复印件</w:t>
      </w:r>
      <w:r>
        <w:rPr>
          <w:rFonts w:hint="eastAsia"/>
          <w:color w:val="auto"/>
        </w:rPr>
        <w:t>上传</w:t>
      </w:r>
      <w:r>
        <w:rPr>
          <w:color w:val="auto"/>
        </w:rPr>
        <w:t>）</w:t>
      </w:r>
    </w:p>
    <w:p>
      <w:pPr>
        <w:widowControl w:val="0"/>
        <w:adjustRightInd w:val="0"/>
        <w:snapToGrid w:val="0"/>
        <w:spacing w:line="360" w:lineRule="auto"/>
        <w:ind w:firstLine="537" w:firstLineChars="224"/>
        <w:rPr>
          <w:rFonts w:hint="eastAsia"/>
          <w:color w:val="auto"/>
        </w:rPr>
      </w:pPr>
      <w:r>
        <w:rPr>
          <w:color w:val="auto"/>
        </w:rPr>
        <w:t>2.符合参加政府采购活动应当具备的一般条件的承诺函</w:t>
      </w:r>
      <w:r>
        <w:rPr>
          <w:rFonts w:hint="eastAsia"/>
          <w:color w:val="auto"/>
        </w:rPr>
        <w:t>（格式详见第七章）；</w:t>
      </w:r>
    </w:p>
    <w:p>
      <w:pPr>
        <w:spacing w:line="360" w:lineRule="auto"/>
        <w:ind w:firstLine="540" w:firstLineChars="225"/>
        <w:rPr>
          <w:rFonts w:hint="eastAsia"/>
          <w:color w:val="auto"/>
        </w:rPr>
      </w:pPr>
      <w:r>
        <w:rPr>
          <w:color w:val="auto"/>
        </w:rPr>
        <w:t>3.落实政府采购政策需满足的资格要求：</w:t>
      </w:r>
      <w:r>
        <w:rPr>
          <w:rFonts w:hint="eastAsia" w:ascii="Segoe UI Symbol" w:hAnsi="Segoe UI Symbol" w:cs="Segoe UI Symbol"/>
          <w:color w:val="auto"/>
        </w:rPr>
        <w:t>详见公告</w:t>
      </w:r>
    </w:p>
    <w:p>
      <w:pPr>
        <w:widowControl w:val="0"/>
        <w:adjustRightInd w:val="0"/>
        <w:snapToGrid w:val="0"/>
        <w:spacing w:line="360" w:lineRule="auto"/>
        <w:ind w:firstLine="537" w:firstLineChars="224"/>
        <w:rPr>
          <w:rFonts w:ascii="Segoe UI Symbol" w:hAnsi="Segoe UI Symbol" w:cs="Segoe UI Symbol"/>
          <w:color w:val="auto"/>
        </w:rPr>
      </w:pPr>
      <w:r>
        <w:rPr>
          <w:color w:val="auto"/>
        </w:rPr>
        <w:t>4.“本项目的特定资格要求”中规定的相关证书复印件</w:t>
      </w:r>
      <w:r>
        <w:rPr>
          <w:rFonts w:hint="eastAsia"/>
          <w:color w:val="auto"/>
        </w:rPr>
        <w:t>：</w:t>
      </w:r>
      <w:r>
        <w:rPr>
          <w:rFonts w:hint="eastAsia" w:ascii="Segoe UI Symbol" w:hAnsi="Segoe UI Symbol" w:cs="Segoe UI Symbol"/>
          <w:color w:val="auto"/>
        </w:rPr>
        <w:t>详见公告</w:t>
      </w:r>
    </w:p>
    <w:p>
      <w:pPr>
        <w:pStyle w:val="41"/>
        <w:widowControl w:val="0"/>
        <w:adjustRightInd w:val="0"/>
        <w:snapToGrid w:val="0"/>
        <w:spacing w:line="390" w:lineRule="atLeast"/>
        <w:rPr>
          <w:rFonts w:hint="default"/>
          <w:b/>
          <w:color w:val="auto"/>
          <w:sz w:val="32"/>
          <w:szCs w:val="32"/>
        </w:rPr>
        <w:sectPr>
          <w:pgSz w:w="11906" w:h="16838"/>
          <w:pgMar w:top="1259" w:right="1287" w:bottom="1361" w:left="1622" w:header="709" w:footer="975" w:gutter="0"/>
          <w:cols w:space="720" w:num="1"/>
          <w:docGrid w:linePitch="360" w:charSpace="0"/>
        </w:sectPr>
      </w:pPr>
    </w:p>
    <w:p>
      <w:pPr>
        <w:snapToGrid w:val="0"/>
        <w:spacing w:line="360" w:lineRule="auto"/>
        <w:ind w:right="480"/>
        <w:rPr>
          <w:b/>
          <w:color w:val="auto"/>
          <w:sz w:val="32"/>
          <w:szCs w:val="32"/>
        </w:rPr>
        <w:sectPr>
          <w:pgSz w:w="11906" w:h="16838"/>
          <w:pgMar w:top="1259" w:right="1287" w:bottom="1361" w:left="1622" w:header="709" w:footer="975" w:gutter="0"/>
          <w:cols w:space="720" w:num="1"/>
          <w:docGrid w:linePitch="360" w:charSpace="0"/>
        </w:sectPr>
      </w:pPr>
      <w:r>
        <w:rPr>
          <w:b/>
          <w:color w:val="auto"/>
          <w:sz w:val="32"/>
          <w:szCs w:val="32"/>
        </w:rPr>
        <w:t>一、</w:t>
      </w:r>
      <w:r>
        <w:rPr>
          <w:rFonts w:hint="eastAsia"/>
          <w:b/>
          <w:color w:val="auto"/>
          <w:sz w:val="32"/>
          <w:szCs w:val="32"/>
        </w:rPr>
        <w:t>投标人</w:t>
      </w:r>
      <w:r>
        <w:rPr>
          <w:b/>
          <w:color w:val="auto"/>
          <w:sz w:val="32"/>
          <w:szCs w:val="32"/>
        </w:rPr>
        <w:t>法人营业执照（副本）或事业单位法人证书（副本）或个体工商户营业执照或有效的自然人身份证明或社会团体法人登记证书（提供复印件</w:t>
      </w:r>
      <w:r>
        <w:rPr>
          <w:rFonts w:hint="eastAsia"/>
          <w:b/>
          <w:color w:val="auto"/>
          <w:sz w:val="32"/>
          <w:szCs w:val="32"/>
        </w:rPr>
        <w:t>上传</w:t>
      </w:r>
      <w:r>
        <w:rPr>
          <w:b/>
          <w:color w:val="auto"/>
          <w:sz w:val="32"/>
          <w:szCs w:val="32"/>
        </w:rPr>
        <w:t>）</w:t>
      </w:r>
    </w:p>
    <w:p>
      <w:pPr>
        <w:snapToGrid w:val="0"/>
        <w:spacing w:line="360" w:lineRule="auto"/>
        <w:ind w:right="480"/>
        <w:rPr>
          <w:b/>
          <w:color w:val="auto"/>
          <w:sz w:val="32"/>
          <w:szCs w:val="32"/>
        </w:rPr>
      </w:pPr>
      <w:r>
        <w:rPr>
          <w:rFonts w:hint="eastAsia"/>
          <w:b/>
          <w:color w:val="auto"/>
          <w:sz w:val="32"/>
          <w:szCs w:val="32"/>
        </w:rPr>
        <w:t>二</w:t>
      </w:r>
      <w:r>
        <w:rPr>
          <w:b/>
          <w:color w:val="auto"/>
          <w:sz w:val="32"/>
          <w:szCs w:val="32"/>
        </w:rPr>
        <w:t>、 符合参加政府采购活动应当具备的一般条件的承诺函</w:t>
      </w:r>
    </w:p>
    <w:p>
      <w:pPr>
        <w:snapToGrid w:val="0"/>
        <w:spacing w:line="360" w:lineRule="auto"/>
        <w:rPr>
          <w:color w:val="auto"/>
        </w:rPr>
      </w:pPr>
      <w:r>
        <w:rPr>
          <w:color w:val="auto"/>
        </w:rPr>
        <w:t>（采购人）、（采购代理机构）：</w:t>
      </w:r>
    </w:p>
    <w:p>
      <w:pPr>
        <w:snapToGrid w:val="0"/>
        <w:spacing w:line="360" w:lineRule="auto"/>
        <w:ind w:firstLine="480" w:firstLineChars="200"/>
        <w:rPr>
          <w:color w:val="auto"/>
        </w:rPr>
      </w:pPr>
      <w:r>
        <w:rPr>
          <w:color w:val="auto"/>
        </w:rPr>
        <w:t>我方参与</w:t>
      </w:r>
      <w:r>
        <w:rPr>
          <w:color w:val="auto"/>
          <w:u w:val="single"/>
        </w:rPr>
        <w:t>（项目名称）             【项目编号：    】</w:t>
      </w:r>
      <w:r>
        <w:rPr>
          <w:color w:val="auto"/>
        </w:rPr>
        <w:t>政府采购活动，郑重承诺：</w:t>
      </w:r>
    </w:p>
    <w:p>
      <w:pPr>
        <w:snapToGrid w:val="0"/>
        <w:spacing w:line="360" w:lineRule="auto"/>
        <w:ind w:firstLine="360" w:firstLineChars="150"/>
        <w:rPr>
          <w:color w:val="auto"/>
        </w:rPr>
      </w:pPr>
      <w:r>
        <w:rPr>
          <w:color w:val="auto"/>
        </w:rPr>
        <w:t>（一）具备《中华人民共和国政府采购法》第二十二条第一款规定的条件：</w:t>
      </w:r>
    </w:p>
    <w:p>
      <w:pPr>
        <w:snapToGrid w:val="0"/>
        <w:spacing w:line="360" w:lineRule="auto"/>
        <w:ind w:firstLine="480" w:firstLineChars="200"/>
        <w:rPr>
          <w:color w:val="auto"/>
        </w:rPr>
      </w:pPr>
      <w:r>
        <w:rPr>
          <w:color w:val="auto"/>
        </w:rPr>
        <w:t>1.具有独立承担民事责任的能力；</w:t>
      </w:r>
    </w:p>
    <w:p>
      <w:pPr>
        <w:snapToGrid w:val="0"/>
        <w:spacing w:line="360" w:lineRule="auto"/>
        <w:ind w:firstLine="480" w:firstLineChars="200"/>
        <w:rPr>
          <w:color w:val="auto"/>
        </w:rPr>
      </w:pPr>
      <w:r>
        <w:rPr>
          <w:color w:val="auto"/>
        </w:rPr>
        <w:t xml:space="preserve">2.具有良好的商业信誉和健全的财务会计制度； </w:t>
      </w:r>
    </w:p>
    <w:p>
      <w:pPr>
        <w:snapToGrid w:val="0"/>
        <w:spacing w:line="360" w:lineRule="auto"/>
        <w:ind w:firstLine="480" w:firstLineChars="200"/>
        <w:rPr>
          <w:color w:val="auto"/>
        </w:rPr>
      </w:pPr>
      <w:r>
        <w:rPr>
          <w:color w:val="auto"/>
        </w:rPr>
        <w:t>3.具有履行合同所必需的设备和专业技术能力；</w:t>
      </w:r>
    </w:p>
    <w:p>
      <w:pPr>
        <w:snapToGrid w:val="0"/>
        <w:spacing w:line="360" w:lineRule="auto"/>
        <w:ind w:firstLine="480" w:firstLineChars="200"/>
        <w:rPr>
          <w:color w:val="auto"/>
        </w:rPr>
      </w:pPr>
      <w:r>
        <w:rPr>
          <w:color w:val="auto"/>
        </w:rPr>
        <w:t>4.有依法缴纳税收和社会保障资金的良好记录；</w:t>
      </w:r>
    </w:p>
    <w:p>
      <w:pPr>
        <w:snapToGrid w:val="0"/>
        <w:spacing w:line="360" w:lineRule="auto"/>
        <w:ind w:firstLine="480" w:firstLineChars="200"/>
        <w:rPr>
          <w:color w:val="auto"/>
        </w:rPr>
      </w:pPr>
      <w:r>
        <w:rPr>
          <w:color w:val="auto"/>
        </w:rPr>
        <w:t>5.参加政府采购活动前三年内，在经营活动中没有重大违法记录；</w:t>
      </w:r>
    </w:p>
    <w:p>
      <w:pPr>
        <w:snapToGrid w:val="0"/>
        <w:spacing w:line="360" w:lineRule="auto"/>
        <w:ind w:firstLine="480" w:firstLineChars="200"/>
        <w:rPr>
          <w:color w:val="auto"/>
        </w:rPr>
      </w:pPr>
      <w:r>
        <w:rPr>
          <w:color w:val="auto"/>
        </w:rPr>
        <w:t>6.具有法律、行政法规规定的其他条件。</w:t>
      </w:r>
    </w:p>
    <w:p>
      <w:pPr>
        <w:snapToGrid w:val="0"/>
        <w:spacing w:line="360" w:lineRule="auto"/>
        <w:ind w:firstLine="480" w:firstLineChars="200"/>
        <w:rPr>
          <w:color w:val="auto"/>
        </w:rPr>
      </w:pPr>
      <w:r>
        <w:rPr>
          <w:color w:val="auto"/>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color w:val="auto"/>
        </w:rPr>
      </w:pPr>
      <w:r>
        <w:rPr>
          <w:color w:val="auto"/>
        </w:rPr>
        <w:t>（三）不存在以下情况：</w:t>
      </w:r>
    </w:p>
    <w:p>
      <w:pPr>
        <w:snapToGrid w:val="0"/>
        <w:spacing w:line="360" w:lineRule="auto"/>
        <w:ind w:firstLine="480" w:firstLineChars="200"/>
        <w:rPr>
          <w:color w:val="auto"/>
        </w:rPr>
      </w:pPr>
      <w:r>
        <w:rPr>
          <w:color w:val="auto"/>
        </w:rPr>
        <w:t>1.单位负责人为同一人或者存在直接控股、管理关系的不同供应商参加同一合同项下的政府采购活动的；</w:t>
      </w:r>
    </w:p>
    <w:p>
      <w:pPr>
        <w:snapToGrid w:val="0"/>
        <w:spacing w:line="360" w:lineRule="auto"/>
        <w:ind w:firstLine="480" w:firstLineChars="200"/>
        <w:rPr>
          <w:color w:val="auto"/>
        </w:rPr>
      </w:pPr>
      <w:r>
        <w:rPr>
          <w:color w:val="auto"/>
        </w:rPr>
        <w:t>2.为采购项目提供整体设计、规范编制或者项目管理、监理、检测等服务后再参加该采购项目的其他采购活动的。</w:t>
      </w:r>
    </w:p>
    <w:p>
      <w:pPr>
        <w:pStyle w:val="44"/>
        <w:ind w:left="480" w:firstLine="480"/>
        <w:rPr>
          <w:color w:val="auto"/>
        </w:rPr>
      </w:pPr>
    </w:p>
    <w:p>
      <w:pPr>
        <w:pStyle w:val="44"/>
        <w:ind w:left="480" w:firstLine="480"/>
        <w:rPr>
          <w:color w:val="auto"/>
        </w:rPr>
      </w:pPr>
    </w:p>
    <w:p>
      <w:pPr>
        <w:pStyle w:val="25"/>
        <w:widowControl w:val="0"/>
        <w:adjustRightInd w:val="0"/>
        <w:snapToGrid w:val="0"/>
        <w:spacing w:before="0" w:beforeAutospacing="0" w:after="0" w:afterAutospacing="0" w:line="360" w:lineRule="auto"/>
        <w:ind w:firstLine="900" w:firstLineChars="375"/>
        <w:jc w:val="right"/>
        <w:rPr>
          <w:rFonts w:ascii="Times New Roman" w:hAnsi="Times New Roman"/>
          <w:color w:val="auto"/>
        </w:rPr>
      </w:pPr>
      <w:r>
        <w:rPr>
          <w:rFonts w:ascii="Times New Roman" w:hAnsi="Times New Roman"/>
          <w:color w:val="auto"/>
        </w:rPr>
        <w:t>投标人（电子签章）：__________________________</w:t>
      </w:r>
    </w:p>
    <w:p>
      <w:pPr>
        <w:pStyle w:val="25"/>
        <w:widowControl w:val="0"/>
        <w:adjustRightInd w:val="0"/>
        <w:snapToGrid w:val="0"/>
        <w:spacing w:before="0" w:beforeAutospacing="0" w:after="0" w:afterAutospacing="0"/>
        <w:ind w:firstLine="900" w:firstLineChars="375"/>
        <w:jc w:val="right"/>
        <w:rPr>
          <w:rFonts w:ascii="Times New Roman" w:hAnsi="Times New Roman"/>
          <w:color w:val="auto"/>
        </w:rPr>
      </w:pPr>
      <w:r>
        <w:rPr>
          <w:rFonts w:ascii="Times New Roman" w:hAnsi="Times New Roman"/>
          <w:color w:val="auto"/>
        </w:rPr>
        <w:t>日期：____年____月____日</w:t>
      </w:r>
    </w:p>
    <w:p>
      <w:pPr>
        <w:snapToGrid w:val="0"/>
        <w:spacing w:line="360" w:lineRule="auto"/>
        <w:ind w:right="480"/>
        <w:jc w:val="center"/>
        <w:rPr>
          <w:rFonts w:eastAsia="仿宋_GB2312"/>
          <w:b/>
          <w:color w:val="auto"/>
          <w:sz w:val="32"/>
          <w:szCs w:val="32"/>
        </w:rPr>
      </w:pPr>
    </w:p>
    <w:p>
      <w:pPr>
        <w:snapToGrid w:val="0"/>
        <w:spacing w:line="360" w:lineRule="auto"/>
        <w:ind w:right="480"/>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w:t>
      </w:r>
    </w:p>
    <w:p>
      <w:pPr>
        <w:pStyle w:val="44"/>
        <w:ind w:left="0" w:leftChars="0" w:firstLine="0" w:firstLineChars="0"/>
        <w:rPr>
          <w:rFonts w:hint="eastAsia"/>
          <w:color w:val="auto"/>
        </w:rPr>
        <w:sectPr>
          <w:pgSz w:w="11906" w:h="16838"/>
          <w:pgMar w:top="1259" w:right="1287" w:bottom="1361" w:left="1622" w:header="709" w:footer="975" w:gutter="0"/>
          <w:cols w:space="720" w:num="1"/>
          <w:docGrid w:linePitch="360" w:charSpace="0"/>
        </w:sectPr>
      </w:pPr>
      <w:r>
        <w:rPr>
          <w:rFonts w:hint="eastAsia"/>
          <w:color w:val="auto"/>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360" w:lineRule="auto"/>
        <w:ind w:right="480"/>
        <w:jc w:val="center"/>
        <w:rPr>
          <w:rFonts w:ascii="宋体" w:hAnsi="宋体" w:cs="仿宋_GB2312"/>
          <w:b/>
          <w:color w:val="auto"/>
          <w:sz w:val="32"/>
          <w:szCs w:val="32"/>
        </w:rPr>
      </w:pPr>
      <w:r>
        <w:rPr>
          <w:rFonts w:hint="eastAsia" w:ascii="宋体" w:hAnsi="宋体" w:cs="仿宋_GB2312"/>
          <w:b/>
          <w:color w:val="auto"/>
          <w:sz w:val="32"/>
          <w:szCs w:val="32"/>
        </w:rPr>
        <w:t>三</w:t>
      </w:r>
      <w:r>
        <w:rPr>
          <w:rFonts w:ascii="宋体" w:hAnsi="宋体" w:cs="仿宋_GB2312"/>
          <w:b/>
          <w:color w:val="auto"/>
          <w:sz w:val="32"/>
          <w:szCs w:val="32"/>
        </w:rPr>
        <w:t>、落实政府采购政策需满足的资格要求</w:t>
      </w:r>
    </w:p>
    <w:p>
      <w:pPr>
        <w:spacing w:line="360" w:lineRule="auto"/>
        <w:jc w:val="center"/>
        <w:rPr>
          <w:rFonts w:ascii="宋体" w:hAnsi="宋体"/>
          <w:bCs/>
          <w:color w:val="auto"/>
        </w:rPr>
      </w:pPr>
      <w:r>
        <w:rPr>
          <w:rFonts w:ascii="宋体" w:hAnsi="宋体"/>
          <w:bCs/>
          <w:color w:val="auto"/>
        </w:rPr>
        <w:t>（根据公告</w:t>
      </w:r>
      <w:r>
        <w:rPr>
          <w:rFonts w:hint="eastAsia" w:ascii="宋体" w:hAnsi="宋体"/>
          <w:bCs/>
          <w:color w:val="auto"/>
        </w:rPr>
        <w:t>中</w:t>
      </w:r>
      <w:r>
        <w:rPr>
          <w:rFonts w:ascii="宋体" w:hAnsi="宋体"/>
          <w:bCs/>
          <w:color w:val="auto"/>
        </w:rPr>
        <w:t>落实政府采购政策需满足的资格要求选择提供相应的材料；未要求的，无需提供）</w:t>
      </w:r>
    </w:p>
    <w:p>
      <w:pPr>
        <w:pStyle w:val="44"/>
        <w:ind w:left="480" w:firstLine="482"/>
        <w:rPr>
          <w:rFonts w:ascii="宋体" w:hAnsi="宋体"/>
          <w:b/>
          <w:color w:val="auto"/>
        </w:rPr>
      </w:pPr>
    </w:p>
    <w:p>
      <w:pPr>
        <w:pStyle w:val="44"/>
        <w:ind w:left="480" w:firstLine="482"/>
        <w:rPr>
          <w:rFonts w:ascii="宋体" w:hAnsi="宋体"/>
          <w:b/>
          <w:color w:val="auto"/>
        </w:rPr>
      </w:pPr>
    </w:p>
    <w:p>
      <w:pPr>
        <w:pStyle w:val="44"/>
        <w:ind w:left="480" w:firstLine="482"/>
        <w:rPr>
          <w:rFonts w:ascii="宋体" w:hAnsi="宋体"/>
          <w:b/>
          <w:color w:val="auto"/>
        </w:rPr>
      </w:pPr>
    </w:p>
    <w:p>
      <w:pPr>
        <w:spacing w:line="360" w:lineRule="auto"/>
        <w:jc w:val="center"/>
        <w:rPr>
          <w:rFonts w:ascii="宋体" w:hAnsi="宋体" w:cs="仿宋_GB2312"/>
          <w:b/>
          <w:color w:val="auto"/>
          <w:sz w:val="32"/>
          <w:szCs w:val="32"/>
        </w:rPr>
      </w:pPr>
      <w:r>
        <w:rPr>
          <w:rFonts w:hint="eastAsia" w:ascii="宋体" w:hAnsi="宋体" w:cs="仿宋_GB2312"/>
          <w:b/>
          <w:color w:val="auto"/>
          <w:sz w:val="32"/>
          <w:szCs w:val="32"/>
        </w:rPr>
        <w:t>四、本项目的特定资格要求</w:t>
      </w:r>
    </w:p>
    <w:p>
      <w:pPr>
        <w:spacing w:line="360" w:lineRule="auto"/>
        <w:jc w:val="center"/>
        <w:rPr>
          <w:rFonts w:ascii="宋体" w:hAnsi="宋体" w:cs="仿宋_GB2312"/>
          <w:color w:val="auto"/>
        </w:rPr>
        <w:sectPr>
          <w:pgSz w:w="11906" w:h="16838"/>
          <w:pgMar w:top="1259" w:right="1287" w:bottom="1361" w:left="1622" w:header="709" w:footer="975" w:gutter="0"/>
          <w:cols w:space="720" w:num="1"/>
          <w:docGrid w:linePitch="360" w:charSpace="0"/>
        </w:sectPr>
      </w:pPr>
      <w:r>
        <w:rPr>
          <w:rFonts w:hint="eastAsia" w:ascii="宋体" w:hAnsi="宋体" w:cs="仿宋_GB2312"/>
          <w:color w:val="auto"/>
        </w:rPr>
        <w:t>（根据公告中本项目的特定资格要求</w:t>
      </w:r>
      <w:r>
        <w:rPr>
          <w:rFonts w:hint="eastAsia" w:ascii="宋体" w:hAnsi="宋体"/>
          <w:color w:val="auto"/>
        </w:rPr>
        <w:t>提供相应的材料；未要求的，无需提供</w:t>
      </w:r>
      <w:r>
        <w:rPr>
          <w:rFonts w:hint="eastAsia" w:ascii="宋体" w:hAnsi="宋体" w:cs="仿宋_GB2312"/>
          <w:color w:val="auto"/>
        </w:rPr>
        <w:t>）</w:t>
      </w:r>
    </w:p>
    <w:p>
      <w:pPr>
        <w:pStyle w:val="41"/>
        <w:widowControl w:val="0"/>
        <w:adjustRightInd w:val="0"/>
        <w:snapToGrid w:val="0"/>
        <w:spacing w:line="276" w:lineRule="auto"/>
        <w:rPr>
          <w:rFonts w:hint="default" w:ascii="Times New Roman" w:hAnsi="Times New Roman"/>
          <w:b/>
          <w:color w:val="auto"/>
          <w:sz w:val="32"/>
          <w:szCs w:val="32"/>
        </w:rPr>
      </w:pPr>
      <w:r>
        <w:rPr>
          <w:rFonts w:hint="default" w:ascii="Times New Roman" w:hAnsi="Times New Roman"/>
          <w:b/>
          <w:color w:val="auto"/>
          <w:sz w:val="32"/>
          <w:szCs w:val="32"/>
        </w:rPr>
        <w:t>商务技术文件：</w:t>
      </w:r>
    </w:p>
    <w:p>
      <w:pPr>
        <w:pStyle w:val="41"/>
        <w:widowControl w:val="0"/>
        <w:adjustRightInd w:val="0"/>
        <w:snapToGrid w:val="0"/>
        <w:spacing w:line="276" w:lineRule="auto"/>
        <w:jc w:val="center"/>
        <w:rPr>
          <w:rFonts w:hint="default" w:ascii="Times New Roman" w:hAnsi="Times New Roman"/>
          <w:b/>
          <w:color w:val="auto"/>
          <w:sz w:val="32"/>
          <w:szCs w:val="32"/>
        </w:rPr>
      </w:pPr>
      <w:r>
        <w:rPr>
          <w:rFonts w:hint="default" w:ascii="Times New Roman" w:hAnsi="Times New Roman"/>
          <w:b/>
          <w:color w:val="auto"/>
          <w:sz w:val="32"/>
          <w:szCs w:val="32"/>
        </w:rPr>
        <w:t>目录</w:t>
      </w:r>
    </w:p>
    <w:p>
      <w:pPr>
        <w:widowControl w:val="0"/>
        <w:adjustRightInd w:val="0"/>
        <w:snapToGrid w:val="0"/>
        <w:spacing w:line="360" w:lineRule="auto"/>
        <w:ind w:firstLine="537" w:firstLineChars="224"/>
        <w:rPr>
          <w:color w:val="auto"/>
        </w:rPr>
      </w:pPr>
      <w:r>
        <w:rPr>
          <w:color w:val="auto"/>
        </w:rPr>
        <w:t>1.投标函。</w:t>
      </w:r>
    </w:p>
    <w:p>
      <w:pPr>
        <w:widowControl w:val="0"/>
        <w:adjustRightInd w:val="0"/>
        <w:snapToGrid w:val="0"/>
        <w:spacing w:line="360" w:lineRule="auto"/>
        <w:ind w:firstLine="537" w:firstLineChars="224"/>
        <w:rPr>
          <w:rFonts w:hint="eastAsia"/>
          <w:color w:val="auto"/>
        </w:rPr>
      </w:pPr>
      <w:r>
        <w:rPr>
          <w:color w:val="auto"/>
        </w:rPr>
        <w:t>2.法定代表人（负责人）授权委托书（法定代表人或负责人亲自参加的仅须提供身份证复印件）</w:t>
      </w:r>
      <w:r>
        <w:rPr>
          <w:rFonts w:hint="eastAsia"/>
          <w:color w:val="auto"/>
        </w:rPr>
        <w:t>。</w:t>
      </w:r>
    </w:p>
    <w:p>
      <w:pPr>
        <w:widowControl w:val="0"/>
        <w:adjustRightInd w:val="0"/>
        <w:snapToGrid w:val="0"/>
        <w:spacing w:line="360" w:lineRule="auto"/>
        <w:ind w:firstLine="537" w:firstLineChars="224"/>
        <w:rPr>
          <w:color w:val="auto"/>
        </w:rPr>
      </w:pPr>
      <w:r>
        <w:rPr>
          <w:color w:val="auto"/>
        </w:rPr>
        <w:t>3.投标货物技术参数明细表。</w:t>
      </w:r>
    </w:p>
    <w:p>
      <w:pPr>
        <w:widowControl w:val="0"/>
        <w:adjustRightInd w:val="0"/>
        <w:snapToGrid w:val="0"/>
        <w:spacing w:line="360" w:lineRule="auto"/>
        <w:ind w:firstLine="537" w:firstLineChars="224"/>
        <w:rPr>
          <w:color w:val="auto"/>
        </w:rPr>
      </w:pPr>
      <w:r>
        <w:rPr>
          <w:color w:val="auto"/>
        </w:rPr>
        <w:t>4.技术要求偏离表（投标人拟提供的技术要求与招标文件中的要求不一致时，则必须在《技术要求偏离表》中予以明确，否则将视为投标人完全响应招标文件的要求，并以招标文件作为合同条件。）。</w:t>
      </w:r>
    </w:p>
    <w:p>
      <w:pPr>
        <w:widowControl w:val="0"/>
        <w:adjustRightInd w:val="0"/>
        <w:snapToGrid w:val="0"/>
        <w:spacing w:line="360" w:lineRule="auto"/>
        <w:ind w:firstLine="537" w:firstLineChars="224"/>
        <w:rPr>
          <w:color w:val="auto"/>
        </w:rPr>
      </w:pPr>
      <w:r>
        <w:rPr>
          <w:color w:val="auto"/>
        </w:rPr>
        <w:t>5.服务要求偏离表（投标人拟提供的服务要求与招标文件中的要求不一致时，则必须在《服务要求偏离表》中予以明确，否则将视为投标人完全响应招标文件的要求，并以招标文件作为合同条件。）。</w:t>
      </w:r>
    </w:p>
    <w:p>
      <w:pPr>
        <w:widowControl w:val="0"/>
        <w:adjustRightInd w:val="0"/>
        <w:snapToGrid w:val="0"/>
        <w:spacing w:line="360" w:lineRule="auto"/>
        <w:ind w:firstLine="537" w:firstLineChars="224"/>
        <w:rPr>
          <w:color w:val="auto"/>
        </w:rPr>
      </w:pPr>
      <w:r>
        <w:rPr>
          <w:color w:val="auto"/>
        </w:rPr>
        <w:t>6.项目实施人员一览表。</w:t>
      </w:r>
    </w:p>
    <w:p>
      <w:pPr>
        <w:widowControl w:val="0"/>
        <w:adjustRightInd w:val="0"/>
        <w:snapToGrid w:val="0"/>
        <w:spacing w:line="360" w:lineRule="auto"/>
        <w:ind w:firstLine="537" w:firstLineChars="224"/>
        <w:rPr>
          <w:color w:val="auto"/>
        </w:rPr>
      </w:pPr>
      <w:r>
        <w:rPr>
          <w:color w:val="auto"/>
        </w:rPr>
        <w:t>7.服务计划书（例：质量保证措施及承诺，服务措施及承诺，售后服务措施及承诺，其他服务措施及承诺）。</w:t>
      </w:r>
    </w:p>
    <w:p>
      <w:pPr>
        <w:widowControl w:val="0"/>
        <w:adjustRightInd w:val="0"/>
        <w:snapToGrid w:val="0"/>
        <w:spacing w:line="360" w:lineRule="auto"/>
        <w:ind w:firstLine="537" w:firstLineChars="224"/>
        <w:rPr>
          <w:color w:val="auto"/>
        </w:rPr>
      </w:pPr>
      <w:r>
        <w:rPr>
          <w:color w:val="auto"/>
        </w:rPr>
        <w:t>8.投标人情况：</w:t>
      </w:r>
    </w:p>
    <w:p>
      <w:pPr>
        <w:widowControl w:val="0"/>
        <w:adjustRightInd w:val="0"/>
        <w:snapToGrid w:val="0"/>
        <w:spacing w:line="360" w:lineRule="auto"/>
        <w:ind w:firstLine="537" w:firstLineChars="224"/>
        <w:rPr>
          <w:color w:val="auto"/>
        </w:rPr>
      </w:pPr>
      <w:r>
        <w:rPr>
          <w:color w:val="auto"/>
        </w:rPr>
        <w:t>（1）单位简介；</w:t>
      </w:r>
    </w:p>
    <w:p>
      <w:pPr>
        <w:widowControl w:val="0"/>
        <w:adjustRightInd w:val="0"/>
        <w:snapToGrid w:val="0"/>
        <w:spacing w:line="360" w:lineRule="auto"/>
        <w:ind w:firstLine="537" w:firstLineChars="224"/>
        <w:rPr>
          <w:color w:val="auto"/>
        </w:rPr>
      </w:pPr>
      <w:r>
        <w:rPr>
          <w:color w:val="auto"/>
        </w:rPr>
        <w:t>（2）投标人的信誉、荣誉证书；（如有）</w:t>
      </w:r>
    </w:p>
    <w:p>
      <w:pPr>
        <w:widowControl w:val="0"/>
        <w:adjustRightInd w:val="0"/>
        <w:snapToGrid w:val="0"/>
        <w:spacing w:line="360" w:lineRule="auto"/>
        <w:ind w:firstLine="537" w:firstLineChars="224"/>
        <w:rPr>
          <w:rFonts w:hint="eastAsia"/>
          <w:color w:val="auto"/>
        </w:rPr>
      </w:pPr>
      <w:r>
        <w:rPr>
          <w:color w:val="auto"/>
        </w:rPr>
        <w:t>（</w:t>
      </w:r>
      <w:r>
        <w:rPr>
          <w:rFonts w:hint="eastAsia"/>
          <w:color w:val="auto"/>
        </w:rPr>
        <w:t>3</w:t>
      </w:r>
      <w:r>
        <w:rPr>
          <w:color w:val="auto"/>
        </w:rPr>
        <w:t>）投标人质量管理和质量保证体系等方面的认证证书（如有）</w:t>
      </w:r>
      <w:r>
        <w:rPr>
          <w:rFonts w:hint="eastAsia"/>
          <w:color w:val="auto"/>
        </w:rPr>
        <w:t>；</w:t>
      </w:r>
    </w:p>
    <w:p>
      <w:pPr>
        <w:widowControl w:val="0"/>
        <w:adjustRightInd w:val="0"/>
        <w:snapToGrid w:val="0"/>
        <w:spacing w:line="360" w:lineRule="auto"/>
        <w:ind w:firstLine="537" w:firstLineChars="224"/>
        <w:rPr>
          <w:rFonts w:hint="eastAsia"/>
          <w:color w:val="auto"/>
        </w:rPr>
      </w:pPr>
      <w:r>
        <w:rPr>
          <w:color w:val="auto"/>
        </w:rPr>
        <w:t>（</w:t>
      </w:r>
      <w:r>
        <w:rPr>
          <w:rFonts w:hint="eastAsia"/>
          <w:color w:val="auto"/>
        </w:rPr>
        <w:t>4</w:t>
      </w:r>
      <w:r>
        <w:rPr>
          <w:color w:val="auto"/>
        </w:rPr>
        <w:t>）同类业绩证明（如有，需提供合同复印件）</w:t>
      </w:r>
      <w:r>
        <w:rPr>
          <w:rFonts w:hint="eastAsia"/>
          <w:color w:val="auto"/>
        </w:rPr>
        <w:t>。</w:t>
      </w:r>
    </w:p>
    <w:p>
      <w:pPr>
        <w:widowControl w:val="0"/>
        <w:adjustRightInd w:val="0"/>
        <w:snapToGrid w:val="0"/>
        <w:spacing w:line="360" w:lineRule="auto"/>
        <w:ind w:firstLine="537" w:firstLineChars="224"/>
        <w:rPr>
          <w:color w:val="auto"/>
        </w:rPr>
      </w:pPr>
      <w:r>
        <w:rPr>
          <w:color w:val="auto"/>
        </w:rPr>
        <w:t>9.评标标准相应的商务技术资料。</w:t>
      </w:r>
    </w:p>
    <w:p>
      <w:pPr>
        <w:shd w:val="clear" w:color="auto" w:fill="FFFFFF"/>
        <w:snapToGrid w:val="0"/>
        <w:spacing w:after="50"/>
        <w:jc w:val="center"/>
        <w:rPr>
          <w:rFonts w:ascii="宋体" w:hAnsi="宋体"/>
          <w:b/>
          <w:color w:val="auto"/>
        </w:rPr>
      </w:pPr>
      <w:r>
        <w:rPr>
          <w:rFonts w:ascii="宋体" w:hAnsi="宋体"/>
          <w:b/>
          <w:color w:val="auto"/>
          <w:sz w:val="32"/>
        </w:rPr>
        <w:t>评分索引表</w:t>
      </w:r>
    </w:p>
    <w:tbl>
      <w:tblPr>
        <w:tblStyle w:val="45"/>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45"/>
        <w:gridCol w:w="4821"/>
        <w:gridCol w:w="1270"/>
        <w:gridCol w:w="185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pPr>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序号</w:t>
            </w:r>
          </w:p>
        </w:tc>
        <w:tc>
          <w:tcPr>
            <w:tcW w:w="645" w:type="dxa"/>
            <w:noWrap w:val="0"/>
            <w:vAlign w:val="center"/>
          </w:tcPr>
          <w:p>
            <w:pPr>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项目</w:t>
            </w:r>
          </w:p>
        </w:tc>
        <w:tc>
          <w:tcPr>
            <w:tcW w:w="4821" w:type="dxa"/>
            <w:noWrap w:val="0"/>
            <w:vAlign w:val="center"/>
          </w:tcPr>
          <w:p>
            <w:pPr>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评分标准</w:t>
            </w:r>
          </w:p>
        </w:tc>
        <w:tc>
          <w:tcPr>
            <w:tcW w:w="1270" w:type="dxa"/>
            <w:noWrap w:val="0"/>
            <w:vAlign w:val="center"/>
          </w:tcPr>
          <w:p>
            <w:pPr>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分值</w:t>
            </w:r>
          </w:p>
        </w:tc>
        <w:tc>
          <w:tcPr>
            <w:tcW w:w="1858" w:type="dxa"/>
            <w:noWrap w:val="0"/>
            <w:vAlign w:val="center"/>
          </w:tcPr>
          <w:p>
            <w:pPr>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自评分</w:t>
            </w:r>
          </w:p>
        </w:tc>
        <w:tc>
          <w:tcPr>
            <w:tcW w:w="721" w:type="dxa"/>
            <w:noWrap w:val="0"/>
            <w:vAlign w:val="center"/>
          </w:tcPr>
          <w:p>
            <w:pPr>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pPr>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1</w:t>
            </w:r>
          </w:p>
        </w:tc>
        <w:tc>
          <w:tcPr>
            <w:tcW w:w="645" w:type="dxa"/>
            <w:noWrap w:val="0"/>
            <w:vAlign w:val="center"/>
          </w:tcPr>
          <w:p>
            <w:pPr>
              <w:keepNext/>
              <w:tabs>
                <w:tab w:val="left" w:pos="3808"/>
              </w:tabs>
              <w:adjustRightInd w:val="0"/>
              <w:snapToGrid w:val="0"/>
              <w:spacing w:before="60" w:after="60"/>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w:t>
            </w:r>
          </w:p>
        </w:tc>
        <w:tc>
          <w:tcPr>
            <w:tcW w:w="4821" w:type="dxa"/>
            <w:noWrap w:val="0"/>
            <w:vAlign w:val="center"/>
          </w:tcPr>
          <w:p>
            <w:pPr>
              <w:keepNext/>
              <w:tabs>
                <w:tab w:val="left" w:pos="3808"/>
              </w:tabs>
              <w:adjustRightInd w:val="0"/>
              <w:snapToGrid w:val="0"/>
              <w:spacing w:before="60" w:after="60"/>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…（请按</w:t>
            </w:r>
            <w:r>
              <w:rPr>
                <w:rFonts w:hint="eastAsia" w:ascii="宋体" w:hAnsi="宋体" w:eastAsia="宋体" w:cs="Times New Roman"/>
                <w:bCs/>
                <w:color w:val="auto"/>
                <w:kern w:val="2"/>
                <w:sz w:val="21"/>
                <w:szCs w:val="21"/>
              </w:rPr>
              <w:t>商务</w:t>
            </w:r>
            <w:r>
              <w:rPr>
                <w:rFonts w:ascii="宋体" w:hAnsi="宋体" w:eastAsia="宋体" w:cs="Times New Roman"/>
                <w:bCs/>
                <w:color w:val="auto"/>
                <w:kern w:val="2"/>
                <w:sz w:val="21"/>
                <w:szCs w:val="21"/>
              </w:rPr>
              <w:t>技术评分标准填写）</w:t>
            </w:r>
          </w:p>
        </w:tc>
        <w:tc>
          <w:tcPr>
            <w:tcW w:w="1270" w:type="dxa"/>
            <w:noWrap w:val="0"/>
            <w:vAlign w:val="center"/>
          </w:tcPr>
          <w:p>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rPr>
            </w:pPr>
          </w:p>
        </w:tc>
        <w:tc>
          <w:tcPr>
            <w:tcW w:w="1858" w:type="dxa"/>
            <w:noWrap w:val="0"/>
            <w:vAlign w:val="center"/>
          </w:tcPr>
          <w:p>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rPr>
            </w:pPr>
          </w:p>
        </w:tc>
        <w:tc>
          <w:tcPr>
            <w:tcW w:w="721" w:type="dxa"/>
            <w:noWrap w:val="0"/>
            <w:vAlign w:val="center"/>
          </w:tcPr>
          <w:p>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pPr>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2</w:t>
            </w:r>
          </w:p>
        </w:tc>
        <w:tc>
          <w:tcPr>
            <w:tcW w:w="645" w:type="dxa"/>
            <w:noWrap w:val="0"/>
            <w:vAlign w:val="center"/>
          </w:tcPr>
          <w:p>
            <w:pPr>
              <w:keepNext/>
              <w:tabs>
                <w:tab w:val="left" w:pos="3808"/>
              </w:tabs>
              <w:adjustRightInd w:val="0"/>
              <w:snapToGrid w:val="0"/>
              <w:spacing w:before="60" w:after="60"/>
              <w:jc w:val="center"/>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w:t>
            </w:r>
          </w:p>
        </w:tc>
        <w:tc>
          <w:tcPr>
            <w:tcW w:w="4821" w:type="dxa"/>
            <w:noWrap w:val="0"/>
            <w:vAlign w:val="center"/>
          </w:tcPr>
          <w:p>
            <w:pPr>
              <w:keepNext/>
              <w:tabs>
                <w:tab w:val="left" w:pos="3808"/>
              </w:tabs>
              <w:adjustRightInd w:val="0"/>
              <w:snapToGrid w:val="0"/>
              <w:spacing w:before="60" w:after="60"/>
              <w:rPr>
                <w:rFonts w:ascii="宋体" w:hAnsi="宋体" w:eastAsia="宋体" w:cs="Times New Roman"/>
                <w:bCs/>
                <w:color w:val="auto"/>
                <w:kern w:val="2"/>
                <w:sz w:val="21"/>
                <w:szCs w:val="21"/>
              </w:rPr>
            </w:pPr>
            <w:r>
              <w:rPr>
                <w:rFonts w:ascii="宋体" w:hAnsi="宋体" w:eastAsia="宋体" w:cs="Times New Roman"/>
                <w:bCs/>
                <w:color w:val="auto"/>
                <w:kern w:val="2"/>
                <w:sz w:val="21"/>
                <w:szCs w:val="21"/>
              </w:rPr>
              <w:t>…</w:t>
            </w:r>
          </w:p>
        </w:tc>
        <w:tc>
          <w:tcPr>
            <w:tcW w:w="1270" w:type="dxa"/>
            <w:noWrap w:val="0"/>
            <w:vAlign w:val="center"/>
          </w:tcPr>
          <w:p>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rPr>
            </w:pPr>
          </w:p>
        </w:tc>
        <w:tc>
          <w:tcPr>
            <w:tcW w:w="1858" w:type="dxa"/>
            <w:noWrap w:val="0"/>
            <w:vAlign w:val="center"/>
          </w:tcPr>
          <w:p>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rPr>
            </w:pPr>
          </w:p>
        </w:tc>
        <w:tc>
          <w:tcPr>
            <w:tcW w:w="721" w:type="dxa"/>
            <w:noWrap w:val="0"/>
            <w:vAlign w:val="center"/>
          </w:tcPr>
          <w:p>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rPr>
            </w:pPr>
          </w:p>
        </w:tc>
      </w:tr>
    </w:tbl>
    <w:p>
      <w:pPr>
        <w:shd w:val="clear" w:color="auto" w:fill="FFFFFF"/>
        <w:snapToGrid w:val="0"/>
        <w:spacing w:after="50"/>
        <w:rPr>
          <w:rFonts w:ascii="宋体" w:hAnsi="宋体"/>
          <w:color w:val="auto"/>
          <w:szCs w:val="20"/>
        </w:rPr>
      </w:pPr>
      <w:r>
        <w:rPr>
          <w:rFonts w:ascii="宋体" w:hAnsi="宋体"/>
          <w:b/>
          <w:color w:val="auto"/>
          <w:spacing w:val="-4"/>
          <w:sz w:val="21"/>
          <w:szCs w:val="21"/>
        </w:rPr>
        <w:t>备注：该表格仅为方便评标之用，表格放置在</w:t>
      </w:r>
      <w:r>
        <w:rPr>
          <w:rFonts w:hint="eastAsia" w:ascii="宋体" w:hAnsi="宋体"/>
          <w:b/>
          <w:color w:val="auto"/>
          <w:spacing w:val="-4"/>
          <w:sz w:val="21"/>
          <w:szCs w:val="21"/>
        </w:rPr>
        <w:t>商务</w:t>
      </w:r>
      <w:r>
        <w:rPr>
          <w:rFonts w:ascii="宋体" w:hAnsi="宋体"/>
          <w:b/>
          <w:color w:val="auto"/>
          <w:spacing w:val="-4"/>
          <w:sz w:val="21"/>
          <w:szCs w:val="21"/>
        </w:rPr>
        <w:t>技术文件目录的前页，以方便评标委员会进行评审。</w:t>
      </w:r>
    </w:p>
    <w:p>
      <w:pPr>
        <w:shd w:val="clear" w:color="auto" w:fill="FFFFFF"/>
        <w:spacing w:before="100" w:beforeAutospacing="1" w:after="100" w:afterAutospacing="1" w:line="500" w:lineRule="atLeast"/>
        <w:jc w:val="center"/>
        <w:rPr>
          <w:b/>
          <w:color w:val="auto"/>
          <w:sz w:val="32"/>
          <w:szCs w:val="32"/>
        </w:rPr>
        <w:sectPr>
          <w:pgSz w:w="11906" w:h="16838"/>
          <w:pgMar w:top="1259" w:right="1287" w:bottom="1361" w:left="1622" w:header="709" w:footer="975" w:gutter="0"/>
          <w:cols w:space="720" w:num="1"/>
          <w:docGrid w:linePitch="360" w:charSpace="0"/>
        </w:sectPr>
      </w:pPr>
    </w:p>
    <w:p>
      <w:pPr>
        <w:shd w:val="clear" w:color="auto" w:fill="FFFFFF"/>
        <w:spacing w:before="100" w:beforeAutospacing="1" w:after="100" w:afterAutospacing="1" w:line="500" w:lineRule="atLeast"/>
        <w:jc w:val="center"/>
        <w:rPr>
          <w:b/>
          <w:color w:val="auto"/>
          <w:sz w:val="32"/>
          <w:szCs w:val="32"/>
        </w:rPr>
      </w:pPr>
      <w:r>
        <w:rPr>
          <w:b/>
          <w:color w:val="auto"/>
          <w:sz w:val="32"/>
          <w:szCs w:val="32"/>
        </w:rPr>
        <w:t>一、投标函</w:t>
      </w:r>
    </w:p>
    <w:p>
      <w:pPr>
        <w:snapToGrid w:val="0"/>
        <w:spacing w:line="360" w:lineRule="auto"/>
        <w:rPr>
          <w:color w:val="auto"/>
        </w:rPr>
      </w:pPr>
      <w:r>
        <w:rPr>
          <w:color w:val="auto"/>
        </w:rPr>
        <w:t>（采购人）、（采购代理机构）：</w:t>
      </w:r>
    </w:p>
    <w:p>
      <w:pPr>
        <w:snapToGrid w:val="0"/>
        <w:spacing w:line="360" w:lineRule="auto"/>
        <w:ind w:firstLine="480" w:firstLineChars="200"/>
        <w:rPr>
          <w:color w:val="auto"/>
        </w:rPr>
      </w:pPr>
      <w:r>
        <w:rPr>
          <w:color w:val="auto"/>
        </w:rPr>
        <w:t>我方参加你方组织的</w:t>
      </w:r>
      <w:r>
        <w:rPr>
          <w:color w:val="auto"/>
          <w:u w:val="single"/>
        </w:rPr>
        <w:t>（项目名称）        （项目编号：      ）</w:t>
      </w:r>
      <w:r>
        <w:rPr>
          <w:color w:val="auto"/>
        </w:rPr>
        <w:t>招标的有关活动，并对此项目进行投标。为此：</w:t>
      </w:r>
    </w:p>
    <w:p>
      <w:pPr>
        <w:snapToGrid w:val="0"/>
        <w:spacing w:line="360" w:lineRule="auto"/>
        <w:ind w:firstLine="480" w:firstLineChars="200"/>
        <w:rPr>
          <w:color w:val="auto"/>
        </w:rPr>
      </w:pPr>
      <w:r>
        <w:rPr>
          <w:color w:val="auto"/>
        </w:rPr>
        <w:t>1.我方承诺投标有效期从提交投标文件的截止之日起</w:t>
      </w:r>
      <w:r>
        <w:rPr>
          <w:color w:val="auto"/>
          <w:u w:val="single"/>
        </w:rPr>
        <w:t xml:space="preserve">     </w:t>
      </w:r>
      <w:r>
        <w:rPr>
          <w:color w:val="auto"/>
        </w:rPr>
        <w:t>天（不少于90天），本投标文件在投标有效期满之前均具有约束力。</w:t>
      </w:r>
    </w:p>
    <w:p>
      <w:pPr>
        <w:snapToGrid w:val="0"/>
        <w:spacing w:line="360" w:lineRule="auto"/>
        <w:ind w:firstLine="480" w:firstLineChars="200"/>
        <w:rPr>
          <w:color w:val="auto"/>
        </w:rPr>
      </w:pPr>
      <w:r>
        <w:rPr>
          <w:color w:val="auto"/>
        </w:rPr>
        <w:t>2.我方的投标文件包括以下内容：</w:t>
      </w:r>
    </w:p>
    <w:p>
      <w:pPr>
        <w:snapToGrid w:val="0"/>
        <w:spacing w:line="360" w:lineRule="auto"/>
        <w:ind w:firstLine="480" w:firstLineChars="200"/>
        <w:rPr>
          <w:color w:val="auto"/>
        </w:rPr>
      </w:pPr>
      <w:r>
        <w:rPr>
          <w:color w:val="auto"/>
        </w:rPr>
        <w:t>2.1资格文件</w:t>
      </w:r>
    </w:p>
    <w:p>
      <w:pPr>
        <w:snapToGrid w:val="0"/>
        <w:spacing w:line="360" w:lineRule="auto"/>
        <w:ind w:firstLine="480" w:firstLineChars="200"/>
        <w:rPr>
          <w:color w:val="auto"/>
        </w:rPr>
      </w:pPr>
      <w:r>
        <w:rPr>
          <w:color w:val="auto"/>
        </w:rPr>
        <w:t>2</w:t>
      </w:r>
      <w:r>
        <w:rPr>
          <w:color w:val="auto"/>
          <w:lang w:val="zh-CN"/>
        </w:rPr>
        <w:t>.</w:t>
      </w:r>
      <w:r>
        <w:rPr>
          <w:color w:val="auto"/>
        </w:rPr>
        <w:t>2</w:t>
      </w:r>
      <w:r>
        <w:rPr>
          <w:color w:val="auto"/>
          <w:lang w:val="zh-CN"/>
        </w:rPr>
        <w:t xml:space="preserve"> </w:t>
      </w:r>
      <w:r>
        <w:rPr>
          <w:color w:val="auto"/>
        </w:rPr>
        <w:t>商务技术</w:t>
      </w:r>
      <w:r>
        <w:rPr>
          <w:color w:val="auto"/>
          <w:lang w:val="zh-CN"/>
        </w:rPr>
        <w:t>文件</w:t>
      </w:r>
    </w:p>
    <w:p>
      <w:pPr>
        <w:snapToGrid w:val="0"/>
        <w:spacing w:line="360" w:lineRule="auto"/>
        <w:ind w:firstLine="480" w:firstLineChars="200"/>
        <w:rPr>
          <w:color w:val="auto"/>
        </w:rPr>
      </w:pPr>
      <w:r>
        <w:rPr>
          <w:color w:val="auto"/>
        </w:rPr>
        <w:t>2</w:t>
      </w:r>
      <w:r>
        <w:rPr>
          <w:color w:val="auto"/>
          <w:lang w:val="zh-CN"/>
        </w:rPr>
        <w:t>.</w:t>
      </w:r>
      <w:r>
        <w:rPr>
          <w:color w:val="auto"/>
        </w:rPr>
        <w:t>3报价文件</w:t>
      </w:r>
    </w:p>
    <w:p>
      <w:pPr>
        <w:snapToGrid w:val="0"/>
        <w:spacing w:line="360" w:lineRule="auto"/>
        <w:ind w:firstLine="480" w:firstLineChars="200"/>
        <w:rPr>
          <w:color w:val="auto"/>
        </w:rPr>
      </w:pPr>
      <w:r>
        <w:rPr>
          <w:color w:val="auto"/>
        </w:rPr>
        <w:t>3.我方承诺除偏离表列出的负偏离外，我方响应招标文件的全部要求。</w:t>
      </w:r>
    </w:p>
    <w:p>
      <w:pPr>
        <w:snapToGrid w:val="0"/>
        <w:spacing w:line="360" w:lineRule="auto"/>
        <w:ind w:firstLine="480" w:firstLineChars="200"/>
        <w:rPr>
          <w:color w:val="auto"/>
        </w:rPr>
      </w:pPr>
      <w:r>
        <w:rPr>
          <w:color w:val="auto"/>
        </w:rPr>
        <w:t>4.如我方中标，我方承诺：</w:t>
      </w:r>
    </w:p>
    <w:p>
      <w:pPr>
        <w:snapToGrid w:val="0"/>
        <w:spacing w:line="360" w:lineRule="auto"/>
        <w:ind w:firstLine="480" w:firstLineChars="200"/>
        <w:rPr>
          <w:color w:val="auto"/>
        </w:rPr>
      </w:pPr>
      <w:r>
        <w:rPr>
          <w:color w:val="auto"/>
        </w:rPr>
        <w:t xml:space="preserve">4.1在收到中标通知书后，在中标通知书规定的期限内与你方签订合同； </w:t>
      </w:r>
    </w:p>
    <w:p>
      <w:pPr>
        <w:snapToGrid w:val="0"/>
        <w:spacing w:line="360" w:lineRule="auto"/>
        <w:ind w:firstLine="480" w:firstLineChars="200"/>
        <w:rPr>
          <w:color w:val="auto"/>
        </w:rPr>
      </w:pPr>
      <w:r>
        <w:rPr>
          <w:color w:val="auto"/>
        </w:rPr>
        <w:t xml:space="preserve">4.2在签订合同时不向你方提出附加条件； </w:t>
      </w:r>
    </w:p>
    <w:p>
      <w:pPr>
        <w:snapToGrid w:val="0"/>
        <w:spacing w:line="360" w:lineRule="auto"/>
        <w:ind w:firstLine="480" w:firstLineChars="200"/>
        <w:rPr>
          <w:color w:val="auto"/>
        </w:rPr>
      </w:pPr>
      <w:r>
        <w:rPr>
          <w:color w:val="auto"/>
        </w:rPr>
        <w:t xml:space="preserve">4.3按照招标文件要求提交履约保证金； </w:t>
      </w:r>
    </w:p>
    <w:p>
      <w:pPr>
        <w:snapToGrid w:val="0"/>
        <w:spacing w:line="360" w:lineRule="auto"/>
        <w:ind w:firstLine="480" w:firstLineChars="200"/>
        <w:rPr>
          <w:color w:val="auto"/>
        </w:rPr>
      </w:pPr>
      <w:r>
        <w:rPr>
          <w:color w:val="auto"/>
        </w:rPr>
        <w:t xml:space="preserve">4.4在合同约定的期限内完成合同规定的全部义务。 </w:t>
      </w:r>
    </w:p>
    <w:p>
      <w:pPr>
        <w:snapToGrid w:val="0"/>
        <w:spacing w:line="360" w:lineRule="auto"/>
        <w:ind w:firstLine="480" w:firstLineChars="200"/>
        <w:rPr>
          <w:color w:val="auto"/>
        </w:rPr>
      </w:pPr>
      <w:r>
        <w:rPr>
          <w:color w:val="auto"/>
        </w:rPr>
        <w:t>5.其他补充说明</w:t>
      </w:r>
      <w:r>
        <w:rPr>
          <w:rFonts w:hint="eastAsia"/>
          <w:color w:val="auto"/>
        </w:rPr>
        <w:t>：</w:t>
      </w:r>
      <w:r>
        <w:rPr>
          <w:color w:val="auto"/>
          <w:u w:val="single"/>
        </w:rPr>
        <w:t xml:space="preserve">                                        </w:t>
      </w:r>
      <w:r>
        <w:rPr>
          <w:color w:val="auto"/>
        </w:rPr>
        <w:t>。</w:t>
      </w:r>
    </w:p>
    <w:p>
      <w:pPr>
        <w:snapToGrid w:val="0"/>
        <w:spacing w:line="360" w:lineRule="auto"/>
        <w:ind w:firstLine="480" w:firstLineChars="200"/>
        <w:rPr>
          <w:color w:val="auto"/>
        </w:rPr>
      </w:pPr>
    </w:p>
    <w:p>
      <w:pPr>
        <w:pStyle w:val="25"/>
        <w:widowControl w:val="0"/>
        <w:adjustRightInd w:val="0"/>
        <w:snapToGrid w:val="0"/>
        <w:spacing w:before="0" w:beforeAutospacing="0" w:after="0" w:afterAutospacing="0"/>
        <w:ind w:firstLine="900" w:firstLineChars="375"/>
        <w:jc w:val="right"/>
        <w:rPr>
          <w:rFonts w:ascii="Times New Roman" w:hAnsi="Times New Roman"/>
          <w:color w:val="auto"/>
        </w:rPr>
      </w:pPr>
    </w:p>
    <w:p>
      <w:pPr>
        <w:pStyle w:val="25"/>
        <w:widowControl w:val="0"/>
        <w:adjustRightInd w:val="0"/>
        <w:snapToGrid w:val="0"/>
        <w:spacing w:before="0" w:beforeAutospacing="0" w:after="0" w:afterAutospacing="0"/>
        <w:ind w:firstLine="900" w:firstLineChars="375"/>
        <w:jc w:val="right"/>
        <w:rPr>
          <w:rFonts w:ascii="Times New Roman" w:hAnsi="Times New Roman"/>
          <w:color w:val="auto"/>
        </w:rPr>
      </w:pPr>
    </w:p>
    <w:p>
      <w:pPr>
        <w:pStyle w:val="25"/>
        <w:widowControl w:val="0"/>
        <w:adjustRightInd w:val="0"/>
        <w:snapToGrid w:val="0"/>
        <w:spacing w:before="0" w:beforeAutospacing="0" w:after="0" w:afterAutospacing="0"/>
        <w:ind w:firstLine="900" w:firstLineChars="375"/>
        <w:jc w:val="right"/>
        <w:rPr>
          <w:rFonts w:ascii="Times New Roman" w:hAnsi="Times New Roman"/>
          <w:color w:val="auto"/>
        </w:rPr>
      </w:pPr>
    </w:p>
    <w:p>
      <w:pPr>
        <w:pStyle w:val="25"/>
        <w:widowControl w:val="0"/>
        <w:adjustRightInd w:val="0"/>
        <w:snapToGrid w:val="0"/>
        <w:spacing w:before="0" w:beforeAutospacing="0" w:after="0" w:afterAutospacing="0" w:line="360" w:lineRule="auto"/>
        <w:ind w:firstLine="900" w:firstLineChars="375"/>
        <w:jc w:val="right"/>
        <w:rPr>
          <w:rFonts w:ascii="Times New Roman" w:hAnsi="Times New Roman"/>
          <w:color w:val="auto"/>
        </w:rPr>
      </w:pPr>
      <w:r>
        <w:rPr>
          <w:rFonts w:ascii="Times New Roman" w:hAnsi="Times New Roman"/>
          <w:color w:val="auto"/>
        </w:rPr>
        <w:t>投标人</w:t>
      </w:r>
      <w:r>
        <w:rPr>
          <w:color w:val="auto"/>
        </w:rPr>
        <w:t>（</w:t>
      </w:r>
      <w:r>
        <w:rPr>
          <w:rFonts w:hint="eastAsia"/>
          <w:color w:val="auto"/>
        </w:rPr>
        <w:t>电子签章</w:t>
      </w:r>
      <w:r>
        <w:rPr>
          <w:color w:val="auto"/>
        </w:rPr>
        <w:t>）</w:t>
      </w:r>
      <w:r>
        <w:rPr>
          <w:rFonts w:ascii="Times New Roman" w:hAnsi="Times New Roman"/>
          <w:color w:val="auto"/>
        </w:rPr>
        <w:t>：__________________________</w:t>
      </w:r>
    </w:p>
    <w:p>
      <w:pPr>
        <w:spacing w:line="360" w:lineRule="auto"/>
        <w:jc w:val="center"/>
        <w:rPr>
          <w:color w:val="auto"/>
        </w:rPr>
        <w:sectPr>
          <w:pgSz w:w="11906" w:h="16838"/>
          <w:pgMar w:top="1259" w:right="1287" w:bottom="1361" w:left="1622" w:header="709" w:footer="975" w:gutter="0"/>
          <w:cols w:space="720" w:num="1"/>
          <w:docGrid w:linePitch="360" w:charSpace="0"/>
        </w:sectPr>
      </w:pPr>
      <w:r>
        <w:rPr>
          <w:rFonts w:hint="eastAsia"/>
          <w:color w:val="auto"/>
        </w:rPr>
        <w:t xml:space="preserve"> </w:t>
      </w:r>
      <w:r>
        <w:rPr>
          <w:color w:val="auto"/>
        </w:rPr>
        <w:t xml:space="preserve">            日期：____年____月____日</w:t>
      </w:r>
    </w:p>
    <w:p>
      <w:pPr>
        <w:pStyle w:val="41"/>
        <w:widowControl w:val="0"/>
        <w:adjustRightInd w:val="0"/>
        <w:snapToGrid w:val="0"/>
        <w:spacing w:line="390" w:lineRule="atLeast"/>
        <w:jc w:val="center"/>
        <w:rPr>
          <w:b/>
          <w:color w:val="auto"/>
          <w:sz w:val="32"/>
          <w:szCs w:val="32"/>
        </w:rPr>
      </w:pPr>
      <w:r>
        <w:rPr>
          <w:b/>
          <w:color w:val="auto"/>
          <w:sz w:val="32"/>
          <w:szCs w:val="32"/>
        </w:rPr>
        <w:t>二、</w:t>
      </w:r>
      <w:r>
        <w:rPr>
          <w:rFonts w:hint="default"/>
          <w:b/>
          <w:color w:val="auto"/>
          <w:sz w:val="32"/>
          <w:szCs w:val="32"/>
        </w:rPr>
        <w:t>授权委托书或法定代表人（单位负责人、自然人本人）身份证明</w:t>
      </w:r>
    </w:p>
    <w:p>
      <w:pPr>
        <w:pStyle w:val="41"/>
        <w:widowControl w:val="0"/>
        <w:adjustRightInd w:val="0"/>
        <w:snapToGrid w:val="0"/>
        <w:spacing w:line="390" w:lineRule="atLeast"/>
        <w:jc w:val="center"/>
        <w:rPr>
          <w:rFonts w:hint="default"/>
          <w:b/>
          <w:color w:val="auto"/>
          <w:sz w:val="32"/>
          <w:szCs w:val="32"/>
        </w:rPr>
      </w:pPr>
      <w:r>
        <w:rPr>
          <w:b/>
          <w:color w:val="auto"/>
          <w:sz w:val="32"/>
          <w:szCs w:val="32"/>
        </w:rPr>
        <w:t>授权委托书</w:t>
      </w:r>
    </w:p>
    <w:p>
      <w:pPr>
        <w:snapToGrid w:val="0"/>
        <w:spacing w:line="360" w:lineRule="auto"/>
        <w:rPr>
          <w:color w:val="auto"/>
        </w:rPr>
      </w:pPr>
      <w:r>
        <w:rPr>
          <w:color w:val="auto"/>
        </w:rPr>
        <w:t>（采购人）、（采购代理机构）</w:t>
      </w:r>
      <w:r>
        <w:rPr>
          <w:color w:val="auto"/>
          <w:lang w:val="zh-CN"/>
        </w:rPr>
        <w:t>：</w:t>
      </w:r>
    </w:p>
    <w:p>
      <w:pPr>
        <w:snapToGrid w:val="0"/>
        <w:spacing w:line="360" w:lineRule="auto"/>
        <w:ind w:firstLine="480" w:firstLineChars="200"/>
        <w:rPr>
          <w:color w:val="auto"/>
        </w:rPr>
      </w:pPr>
      <w:r>
        <w:rPr>
          <w:color w:val="auto"/>
        </w:rPr>
        <w:t>现</w:t>
      </w:r>
      <w:r>
        <w:rPr>
          <w:color w:val="auto"/>
          <w:lang w:val="zh-CN"/>
        </w:rPr>
        <w:t>委托</w:t>
      </w:r>
      <w:r>
        <w:rPr>
          <w:color w:val="auto"/>
          <w:u w:val="single"/>
          <w:lang w:val="zh-CN"/>
        </w:rPr>
        <w:t xml:space="preserve">          </w:t>
      </w:r>
      <w:r>
        <w:rPr>
          <w:color w:val="auto"/>
          <w:lang w:val="zh-CN"/>
        </w:rPr>
        <w:t>（姓名）为我方代理人（身份证号码：</w:t>
      </w:r>
      <w:r>
        <w:rPr>
          <w:color w:val="auto"/>
          <w:u w:val="single"/>
          <w:lang w:val="zh-CN"/>
        </w:rPr>
        <w:t xml:space="preserve">          </w:t>
      </w:r>
      <w:r>
        <w:rPr>
          <w:color w:val="auto"/>
          <w:lang w:val="zh-CN"/>
        </w:rPr>
        <w:t>，手机：</w:t>
      </w:r>
      <w:r>
        <w:rPr>
          <w:color w:val="auto"/>
          <w:u w:val="single"/>
          <w:lang w:val="zh-CN"/>
        </w:rPr>
        <w:t xml:space="preserve">          </w:t>
      </w:r>
      <w:r>
        <w:rPr>
          <w:color w:val="auto"/>
          <w:lang w:val="zh-CN"/>
        </w:rPr>
        <w:t>），以我方名义处理</w:t>
      </w:r>
      <w:r>
        <w:rPr>
          <w:color w:val="auto"/>
          <w:u w:val="single"/>
        </w:rPr>
        <w:t>（项目名称）</w:t>
      </w:r>
      <w:r>
        <w:rPr>
          <w:rFonts w:hint="eastAsia"/>
          <w:color w:val="auto"/>
          <w:u w:val="single"/>
        </w:rPr>
        <w:t xml:space="preserve"> </w:t>
      </w:r>
      <w:r>
        <w:rPr>
          <w:color w:val="auto"/>
          <w:u w:val="single"/>
        </w:rPr>
        <w:t xml:space="preserve">    （</w:t>
      </w:r>
      <w:r>
        <w:rPr>
          <w:rFonts w:hint="eastAsia"/>
          <w:color w:val="auto"/>
          <w:u w:val="single"/>
        </w:rPr>
        <w:t>项目</w:t>
      </w:r>
      <w:r>
        <w:rPr>
          <w:color w:val="auto"/>
          <w:u w:val="single"/>
        </w:rPr>
        <w:t>编号：</w:t>
      </w:r>
      <w:r>
        <w:rPr>
          <w:color w:val="auto"/>
          <w:lang w:val="zh-CN"/>
        </w:rPr>
        <w:t>）政府采购投标的一切事项，其法律后果由我方承担。</w:t>
      </w:r>
    </w:p>
    <w:p>
      <w:pPr>
        <w:snapToGrid w:val="0"/>
        <w:spacing w:line="360" w:lineRule="auto"/>
        <w:ind w:firstLine="480" w:firstLineChars="200"/>
        <w:rPr>
          <w:color w:val="auto"/>
        </w:rPr>
      </w:pPr>
      <w:r>
        <w:rPr>
          <w:color w:val="auto"/>
        </w:rPr>
        <w:t>委托期限：自   年 月  日起至  年  月  日止。</w:t>
      </w:r>
    </w:p>
    <w:p>
      <w:pPr>
        <w:snapToGrid w:val="0"/>
        <w:spacing w:line="360" w:lineRule="auto"/>
        <w:rPr>
          <w:color w:val="auto"/>
        </w:rPr>
      </w:pPr>
      <w:r>
        <w:rPr>
          <w:color w:val="auto"/>
        </w:rPr>
        <w:t xml:space="preserve">        特此告知。</w:t>
      </w:r>
    </w:p>
    <w:p>
      <w:pPr>
        <w:pStyle w:val="44"/>
        <w:ind w:left="480" w:firstLine="480"/>
        <w:rPr>
          <w:color w:val="auto"/>
        </w:rPr>
      </w:pPr>
    </w:p>
    <w:p>
      <w:pPr>
        <w:pStyle w:val="44"/>
        <w:ind w:left="480" w:firstLine="480"/>
        <w:rPr>
          <w:rFonts w:hint="eastAsia"/>
          <w:color w:val="auto"/>
        </w:rPr>
      </w:pPr>
    </w:p>
    <w:p>
      <w:pPr>
        <w:snapToGrid w:val="0"/>
        <w:spacing w:line="360" w:lineRule="auto"/>
        <w:rPr>
          <w:color w:val="auto"/>
        </w:rPr>
      </w:pPr>
      <w:r>
        <w:rPr>
          <w:color w:val="auto"/>
        </w:rPr>
        <w:t>附：授权代表身份证复印件（正反面）</w:t>
      </w:r>
    </w:p>
    <w:p>
      <w:pPr>
        <w:pStyle w:val="44"/>
        <w:ind w:left="480" w:firstLine="480"/>
        <w:rPr>
          <w:rFonts w:hint="eastAsia"/>
          <w:color w:val="auto"/>
        </w:rPr>
      </w:pPr>
    </w:p>
    <w:p>
      <w:pPr>
        <w:snapToGrid w:val="0"/>
        <w:spacing w:line="360" w:lineRule="auto"/>
        <w:ind w:firstLine="480" w:firstLineChars="200"/>
        <w:rPr>
          <w:color w:val="auto"/>
        </w:rPr>
      </w:pPr>
      <w:r>
        <w:rPr>
          <w:color w:val="auto"/>
        </w:rPr>
        <w:t>法定代表人身份证复印件（正反面）</w:t>
      </w:r>
    </w:p>
    <w:p>
      <w:pPr>
        <w:pStyle w:val="41"/>
        <w:widowControl w:val="0"/>
        <w:adjustRightInd w:val="0"/>
        <w:snapToGrid w:val="0"/>
        <w:spacing w:line="480" w:lineRule="auto"/>
        <w:rPr>
          <w:rFonts w:hint="default"/>
          <w:color w:val="auto"/>
        </w:rPr>
      </w:pPr>
    </w:p>
    <w:p>
      <w:pPr>
        <w:pStyle w:val="41"/>
        <w:widowControl w:val="0"/>
        <w:tabs>
          <w:tab w:val="left" w:pos="2144"/>
        </w:tabs>
        <w:adjustRightInd w:val="0"/>
        <w:snapToGrid w:val="0"/>
        <w:spacing w:line="480" w:lineRule="auto"/>
        <w:rPr>
          <w:color w:val="auto"/>
        </w:rPr>
      </w:pPr>
      <w:r>
        <w:rPr>
          <w:rFonts w:hint="default"/>
          <w:color w:val="auto"/>
        </w:rPr>
        <w:tab/>
      </w:r>
    </w:p>
    <w:p>
      <w:pPr>
        <w:snapToGrid w:val="0"/>
        <w:spacing w:line="360" w:lineRule="auto"/>
        <w:ind w:left="4819" w:leftChars="2008"/>
        <w:rPr>
          <w:color w:val="auto"/>
        </w:rPr>
      </w:pPr>
      <w:r>
        <w:rPr>
          <w:color w:val="auto"/>
        </w:rPr>
        <w:t>单位名称</w:t>
      </w:r>
      <w:r>
        <w:rPr>
          <w:rFonts w:ascii="宋体" w:hAnsi="宋体"/>
          <w:color w:val="auto"/>
        </w:rPr>
        <w:t>（</w:t>
      </w:r>
      <w:r>
        <w:rPr>
          <w:rFonts w:hint="eastAsia" w:ascii="宋体" w:hAnsi="宋体"/>
          <w:color w:val="auto"/>
        </w:rPr>
        <w:t>电子签章</w:t>
      </w:r>
      <w:r>
        <w:rPr>
          <w:rFonts w:ascii="宋体" w:hAnsi="宋体"/>
          <w:color w:val="auto"/>
        </w:rPr>
        <w:t>）</w:t>
      </w:r>
      <w:r>
        <w:rPr>
          <w:color w:val="auto"/>
        </w:rPr>
        <w:t>：         </w:t>
      </w:r>
    </w:p>
    <w:p>
      <w:pPr>
        <w:snapToGrid w:val="0"/>
        <w:spacing w:line="360" w:lineRule="auto"/>
        <w:ind w:left="4819" w:leftChars="2008"/>
        <w:rPr>
          <w:color w:val="auto"/>
        </w:rPr>
      </w:pPr>
      <w:r>
        <w:rPr>
          <w:color w:val="auto"/>
        </w:rPr>
        <w:t>法定代表人签字（或</w:t>
      </w:r>
      <w:r>
        <w:rPr>
          <w:rFonts w:hint="eastAsia"/>
          <w:color w:val="auto"/>
        </w:rPr>
        <w:t>盖章或电子签章</w:t>
      </w:r>
      <w:r>
        <w:rPr>
          <w:color w:val="auto"/>
        </w:rPr>
        <w:t>）：</w:t>
      </w:r>
    </w:p>
    <w:p>
      <w:pPr>
        <w:pStyle w:val="44"/>
        <w:ind w:left="4819" w:leftChars="2008" w:firstLine="0" w:firstLineChars="0"/>
        <w:rPr>
          <w:rFonts w:hint="eastAsia"/>
          <w:color w:val="auto"/>
        </w:rPr>
      </w:pPr>
      <w:r>
        <w:rPr>
          <w:rFonts w:hint="eastAsia"/>
          <w:color w:val="auto"/>
        </w:rPr>
        <w:t>授权代表</w:t>
      </w:r>
      <w:r>
        <w:rPr>
          <w:color w:val="auto"/>
        </w:rPr>
        <w:t>签字（或</w:t>
      </w:r>
      <w:r>
        <w:rPr>
          <w:rFonts w:hint="eastAsia"/>
          <w:color w:val="auto"/>
        </w:rPr>
        <w:t>盖章或电子签章</w:t>
      </w:r>
      <w:r>
        <w:rPr>
          <w:color w:val="auto"/>
        </w:rPr>
        <w:t>）</w:t>
      </w:r>
      <w:r>
        <w:rPr>
          <w:rFonts w:hint="eastAsia"/>
          <w:color w:val="auto"/>
        </w:rPr>
        <w:t>：</w:t>
      </w:r>
    </w:p>
    <w:p>
      <w:pPr>
        <w:snapToGrid w:val="0"/>
        <w:spacing w:line="360" w:lineRule="auto"/>
        <w:ind w:left="4819" w:leftChars="2008"/>
        <w:rPr>
          <w:color w:val="auto"/>
        </w:rPr>
      </w:pPr>
      <w:r>
        <w:rPr>
          <w:color w:val="auto"/>
        </w:rPr>
        <w:t> 年         月        日</w:t>
      </w:r>
    </w:p>
    <w:p>
      <w:pPr>
        <w:snapToGrid w:val="0"/>
        <w:spacing w:line="360" w:lineRule="auto"/>
        <w:rPr>
          <w:color w:val="auto"/>
        </w:rPr>
      </w:pPr>
    </w:p>
    <w:p>
      <w:pPr>
        <w:snapToGrid w:val="0"/>
        <w:spacing w:line="360" w:lineRule="auto"/>
        <w:rPr>
          <w:rFonts w:ascii="仿宋_GB2312" w:hAnsi="仿宋" w:eastAsia="仿宋_GB2312" w:cs="仿宋_GB2312"/>
          <w:color w:val="auto"/>
        </w:rPr>
      </w:pPr>
    </w:p>
    <w:p>
      <w:pPr>
        <w:snapToGrid w:val="0"/>
        <w:spacing w:line="360" w:lineRule="auto"/>
        <w:rPr>
          <w:rFonts w:ascii="仿宋_GB2312" w:hAnsi="仿宋" w:eastAsia="仿宋_GB2312" w:cs="仿宋_GB2312"/>
          <w:color w:val="auto"/>
        </w:rPr>
      </w:pPr>
    </w:p>
    <w:p>
      <w:pPr>
        <w:pStyle w:val="44"/>
        <w:ind w:left="480" w:firstLine="480"/>
        <w:rPr>
          <w:color w:val="auto"/>
        </w:rPr>
      </w:pPr>
    </w:p>
    <w:p>
      <w:pPr>
        <w:pStyle w:val="44"/>
        <w:ind w:left="480" w:firstLine="480"/>
        <w:rPr>
          <w:color w:val="auto"/>
        </w:rPr>
      </w:pPr>
    </w:p>
    <w:p>
      <w:pPr>
        <w:pStyle w:val="44"/>
        <w:ind w:left="480" w:firstLine="480"/>
        <w:rPr>
          <w:color w:val="auto"/>
        </w:rPr>
      </w:pPr>
    </w:p>
    <w:p>
      <w:pPr>
        <w:snapToGrid w:val="0"/>
        <w:spacing w:line="360" w:lineRule="auto"/>
        <w:rPr>
          <w:color w:val="auto"/>
          <w:lang w:val="zh-CN"/>
        </w:rPr>
      </w:pPr>
    </w:p>
    <w:p>
      <w:pPr>
        <w:shd w:val="clear" w:color="auto" w:fill="FFFFFF"/>
        <w:spacing w:before="100" w:beforeAutospacing="1" w:after="100" w:afterAutospacing="1"/>
        <w:jc w:val="center"/>
        <w:rPr>
          <w:rFonts w:ascii="宋体" w:hAnsi="宋体"/>
          <w:b/>
          <w:color w:val="auto"/>
          <w:sz w:val="32"/>
          <w:szCs w:val="32"/>
        </w:rPr>
      </w:pPr>
      <w:r>
        <w:rPr>
          <w:rFonts w:hint="eastAsia" w:ascii="宋体" w:hAnsi="宋体"/>
          <w:b/>
          <w:color w:val="auto"/>
          <w:sz w:val="32"/>
          <w:szCs w:val="32"/>
        </w:rPr>
        <w:t>法定代表人、单位负责人或自然人本人的身份证明（适用于法定代表人、单位负责人或者自然人本人代表投标人参加投标）</w:t>
      </w:r>
    </w:p>
    <w:p>
      <w:pPr>
        <w:shd w:val="clear" w:color="auto" w:fill="FFFFFF"/>
        <w:spacing w:before="100" w:beforeAutospacing="1" w:after="100" w:afterAutospacing="1" w:line="500" w:lineRule="atLeast"/>
        <w:ind w:firstLine="358"/>
        <w:jc w:val="center"/>
        <w:rPr>
          <w:rFonts w:ascii="宋体" w:hAnsi="宋体"/>
          <w:color w:val="auto"/>
          <w:szCs w:val="28"/>
        </w:rPr>
        <w:sectPr>
          <w:pgSz w:w="11906" w:h="16838"/>
          <w:pgMar w:top="1259" w:right="1287" w:bottom="1361" w:left="1622" w:header="709" w:footer="975" w:gutter="0"/>
          <w:cols w:space="720" w:num="1"/>
          <w:docGrid w:linePitch="360" w:charSpace="0"/>
        </w:sectPr>
      </w:pPr>
      <w:r>
        <w:rPr>
          <w:rFonts w:hint="eastAsia" w:ascii="宋体" w:hAnsi="宋体"/>
          <w:color w:val="auto"/>
          <w:szCs w:val="28"/>
        </w:rPr>
        <w:t>仅提供身份证正反面即可</w:t>
      </w:r>
    </w:p>
    <w:p>
      <w:pPr>
        <w:pStyle w:val="41"/>
        <w:widowControl w:val="0"/>
        <w:adjustRightInd w:val="0"/>
        <w:snapToGrid w:val="0"/>
        <w:jc w:val="center"/>
        <w:rPr>
          <w:b/>
          <w:color w:val="auto"/>
          <w:sz w:val="32"/>
          <w:szCs w:val="32"/>
        </w:rPr>
      </w:pPr>
      <w:r>
        <w:rPr>
          <w:b/>
          <w:color w:val="auto"/>
          <w:sz w:val="32"/>
          <w:szCs w:val="32"/>
        </w:rPr>
        <w:t>三</w:t>
      </w:r>
      <w:r>
        <w:rPr>
          <w:rFonts w:hint="default"/>
          <w:b/>
          <w:color w:val="auto"/>
          <w:sz w:val="32"/>
          <w:szCs w:val="32"/>
        </w:rPr>
        <w:t>、投标货物技术参数明细表</w:t>
      </w:r>
    </w:p>
    <w:tbl>
      <w:tblPr>
        <w:tblStyle w:val="45"/>
        <w:tblW w:w="15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1196"/>
        <w:gridCol w:w="1879"/>
        <w:gridCol w:w="1879"/>
        <w:gridCol w:w="1560"/>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pPr>
              <w:pStyle w:val="41"/>
              <w:widowControl w:val="0"/>
              <w:adjustRightInd w:val="0"/>
              <w:snapToGrid w:val="0"/>
              <w:jc w:val="center"/>
              <w:rPr>
                <w:rFonts w:hint="default"/>
                <w:b/>
                <w:color w:val="auto"/>
                <w:sz w:val="21"/>
                <w:szCs w:val="44"/>
              </w:rPr>
            </w:pPr>
            <w:r>
              <w:rPr>
                <w:rFonts w:hint="default"/>
                <w:b/>
                <w:color w:val="auto"/>
                <w:sz w:val="21"/>
                <w:szCs w:val="44"/>
              </w:rPr>
              <w:t>序号</w:t>
            </w:r>
          </w:p>
        </w:tc>
        <w:tc>
          <w:tcPr>
            <w:tcW w:w="3135" w:type="dxa"/>
            <w:noWrap w:val="0"/>
            <w:vAlign w:val="center"/>
          </w:tcPr>
          <w:p>
            <w:pPr>
              <w:pStyle w:val="41"/>
              <w:widowControl w:val="0"/>
              <w:adjustRightInd w:val="0"/>
              <w:snapToGrid w:val="0"/>
              <w:jc w:val="center"/>
              <w:rPr>
                <w:rFonts w:hint="default"/>
                <w:b/>
                <w:color w:val="auto"/>
                <w:sz w:val="21"/>
                <w:szCs w:val="44"/>
              </w:rPr>
            </w:pPr>
            <w:r>
              <w:rPr>
                <w:b/>
                <w:color w:val="auto"/>
                <w:sz w:val="21"/>
                <w:szCs w:val="44"/>
              </w:rPr>
              <w:t>标的</w:t>
            </w:r>
            <w:r>
              <w:rPr>
                <w:rFonts w:hint="default"/>
                <w:b/>
                <w:color w:val="auto"/>
                <w:sz w:val="21"/>
                <w:szCs w:val="44"/>
              </w:rPr>
              <w:t>名称</w:t>
            </w:r>
          </w:p>
        </w:tc>
        <w:tc>
          <w:tcPr>
            <w:tcW w:w="1196" w:type="dxa"/>
            <w:noWrap w:val="0"/>
            <w:vAlign w:val="center"/>
          </w:tcPr>
          <w:p>
            <w:pPr>
              <w:pStyle w:val="41"/>
              <w:widowControl w:val="0"/>
              <w:adjustRightInd w:val="0"/>
              <w:snapToGrid w:val="0"/>
              <w:jc w:val="center"/>
              <w:rPr>
                <w:rFonts w:hint="default"/>
                <w:b/>
                <w:color w:val="auto"/>
                <w:sz w:val="21"/>
                <w:szCs w:val="44"/>
              </w:rPr>
            </w:pPr>
            <w:r>
              <w:rPr>
                <w:rFonts w:hint="default"/>
                <w:b/>
                <w:color w:val="auto"/>
                <w:sz w:val="21"/>
                <w:szCs w:val="44"/>
              </w:rPr>
              <w:t>品牌</w:t>
            </w:r>
          </w:p>
        </w:tc>
        <w:tc>
          <w:tcPr>
            <w:tcW w:w="1879" w:type="dxa"/>
            <w:noWrap w:val="0"/>
            <w:vAlign w:val="center"/>
          </w:tcPr>
          <w:p>
            <w:pPr>
              <w:pStyle w:val="41"/>
              <w:widowControl w:val="0"/>
              <w:adjustRightInd w:val="0"/>
              <w:snapToGrid w:val="0"/>
              <w:jc w:val="center"/>
              <w:rPr>
                <w:rFonts w:hint="default"/>
                <w:b/>
                <w:color w:val="auto"/>
                <w:sz w:val="21"/>
                <w:szCs w:val="44"/>
              </w:rPr>
            </w:pPr>
            <w:r>
              <w:rPr>
                <w:b/>
                <w:color w:val="auto"/>
                <w:sz w:val="21"/>
                <w:szCs w:val="44"/>
              </w:rPr>
              <w:t>制造商全称</w:t>
            </w:r>
          </w:p>
        </w:tc>
        <w:tc>
          <w:tcPr>
            <w:tcW w:w="1879" w:type="dxa"/>
            <w:noWrap w:val="0"/>
            <w:vAlign w:val="center"/>
          </w:tcPr>
          <w:p>
            <w:pPr>
              <w:pStyle w:val="41"/>
              <w:widowControl w:val="0"/>
              <w:adjustRightInd w:val="0"/>
              <w:snapToGrid w:val="0"/>
              <w:jc w:val="center"/>
              <w:rPr>
                <w:rFonts w:hint="default"/>
                <w:b/>
                <w:color w:val="auto"/>
                <w:sz w:val="21"/>
                <w:szCs w:val="44"/>
              </w:rPr>
            </w:pPr>
            <w:r>
              <w:rPr>
                <w:rFonts w:hint="default"/>
                <w:b/>
                <w:color w:val="auto"/>
                <w:sz w:val="21"/>
                <w:szCs w:val="44"/>
              </w:rPr>
              <w:t>型号规格</w:t>
            </w:r>
          </w:p>
        </w:tc>
        <w:tc>
          <w:tcPr>
            <w:tcW w:w="1560" w:type="dxa"/>
            <w:noWrap w:val="0"/>
            <w:vAlign w:val="center"/>
          </w:tcPr>
          <w:p>
            <w:pPr>
              <w:pStyle w:val="41"/>
              <w:widowControl w:val="0"/>
              <w:adjustRightInd w:val="0"/>
              <w:snapToGrid w:val="0"/>
              <w:jc w:val="center"/>
              <w:rPr>
                <w:rFonts w:hint="default"/>
                <w:b/>
                <w:color w:val="auto"/>
                <w:sz w:val="21"/>
                <w:szCs w:val="44"/>
              </w:rPr>
            </w:pPr>
            <w:r>
              <w:rPr>
                <w:rFonts w:hint="default"/>
                <w:b/>
                <w:color w:val="auto"/>
                <w:sz w:val="21"/>
                <w:szCs w:val="44"/>
              </w:rPr>
              <w:t>数量（单位）</w:t>
            </w:r>
          </w:p>
        </w:tc>
        <w:tc>
          <w:tcPr>
            <w:tcW w:w="4988" w:type="dxa"/>
            <w:noWrap w:val="0"/>
            <w:vAlign w:val="center"/>
          </w:tcPr>
          <w:p>
            <w:pPr>
              <w:pStyle w:val="41"/>
              <w:widowControl w:val="0"/>
              <w:adjustRightInd w:val="0"/>
              <w:snapToGrid w:val="0"/>
              <w:jc w:val="center"/>
              <w:rPr>
                <w:rFonts w:hint="default"/>
                <w:b/>
                <w:color w:val="auto"/>
                <w:sz w:val="21"/>
                <w:szCs w:val="44"/>
              </w:rPr>
            </w:pPr>
            <w:r>
              <w:rPr>
                <w:b/>
                <w:color w:val="auto"/>
                <w:sz w:val="21"/>
                <w:szCs w:val="44"/>
              </w:rPr>
              <w:t>详细</w:t>
            </w:r>
            <w:r>
              <w:rPr>
                <w:rFonts w:hint="default"/>
                <w:b/>
                <w:color w:val="auto"/>
                <w:sz w:val="21"/>
                <w:szCs w:val="4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pPr>
              <w:pStyle w:val="41"/>
              <w:widowControl w:val="0"/>
              <w:adjustRightInd w:val="0"/>
              <w:snapToGrid w:val="0"/>
              <w:jc w:val="center"/>
              <w:rPr>
                <w:rFonts w:hint="default"/>
                <w:b/>
                <w:color w:val="auto"/>
                <w:sz w:val="21"/>
                <w:szCs w:val="44"/>
              </w:rPr>
            </w:pPr>
            <w:r>
              <w:rPr>
                <w:rFonts w:hint="default"/>
                <w:b/>
                <w:color w:val="auto"/>
                <w:sz w:val="21"/>
                <w:szCs w:val="44"/>
              </w:rPr>
              <w:t>1</w:t>
            </w:r>
          </w:p>
        </w:tc>
        <w:tc>
          <w:tcPr>
            <w:tcW w:w="3135" w:type="dxa"/>
            <w:noWrap w:val="0"/>
            <w:vAlign w:val="center"/>
          </w:tcPr>
          <w:p>
            <w:pPr>
              <w:pStyle w:val="41"/>
              <w:widowControl w:val="0"/>
              <w:adjustRightInd w:val="0"/>
              <w:snapToGrid w:val="0"/>
              <w:rPr>
                <w:rFonts w:hint="default"/>
                <w:color w:val="auto"/>
                <w:sz w:val="21"/>
                <w:szCs w:val="44"/>
              </w:rPr>
            </w:pPr>
            <w:r>
              <w:rPr>
                <w:color w:val="auto"/>
                <w:sz w:val="21"/>
                <w:szCs w:val="44"/>
              </w:rPr>
              <w:t xml:space="preserve"> </w:t>
            </w:r>
          </w:p>
        </w:tc>
        <w:tc>
          <w:tcPr>
            <w:tcW w:w="1196" w:type="dxa"/>
            <w:noWrap w:val="0"/>
            <w:vAlign w:val="center"/>
          </w:tcPr>
          <w:p>
            <w:pPr>
              <w:pStyle w:val="41"/>
              <w:widowControl w:val="0"/>
              <w:adjustRightInd w:val="0"/>
              <w:snapToGrid w:val="0"/>
              <w:jc w:val="center"/>
              <w:rPr>
                <w:rFonts w:hint="default"/>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560" w:type="dxa"/>
            <w:noWrap w:val="0"/>
            <w:vAlign w:val="center"/>
          </w:tcPr>
          <w:p>
            <w:pPr>
              <w:pStyle w:val="41"/>
              <w:widowControl w:val="0"/>
              <w:adjustRightInd w:val="0"/>
              <w:snapToGrid w:val="0"/>
              <w:jc w:val="center"/>
              <w:rPr>
                <w:rFonts w:hint="default"/>
                <w:b/>
                <w:color w:val="auto"/>
                <w:sz w:val="21"/>
                <w:szCs w:val="44"/>
              </w:rPr>
            </w:pPr>
          </w:p>
        </w:tc>
        <w:tc>
          <w:tcPr>
            <w:tcW w:w="4988" w:type="dxa"/>
            <w:noWrap w:val="0"/>
            <w:vAlign w:val="center"/>
          </w:tcPr>
          <w:p>
            <w:pPr>
              <w:pStyle w:val="41"/>
              <w:widowControl w:val="0"/>
              <w:adjustRightInd w:val="0"/>
              <w:snapToGrid w:val="0"/>
              <w:jc w:val="center"/>
              <w:rPr>
                <w:rFonts w:hint="default"/>
                <w:b/>
                <w:color w:val="auto"/>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pPr>
              <w:pStyle w:val="41"/>
              <w:widowControl w:val="0"/>
              <w:adjustRightInd w:val="0"/>
              <w:snapToGrid w:val="0"/>
              <w:jc w:val="center"/>
              <w:rPr>
                <w:rFonts w:hint="default"/>
                <w:b/>
                <w:color w:val="auto"/>
                <w:sz w:val="21"/>
                <w:szCs w:val="44"/>
              </w:rPr>
            </w:pPr>
            <w:r>
              <w:rPr>
                <w:rFonts w:hint="default"/>
                <w:b/>
                <w:color w:val="auto"/>
                <w:sz w:val="21"/>
                <w:szCs w:val="44"/>
              </w:rPr>
              <w:t>2</w:t>
            </w:r>
          </w:p>
        </w:tc>
        <w:tc>
          <w:tcPr>
            <w:tcW w:w="3135" w:type="dxa"/>
            <w:noWrap w:val="0"/>
            <w:vAlign w:val="center"/>
          </w:tcPr>
          <w:p>
            <w:pPr>
              <w:pStyle w:val="41"/>
              <w:widowControl w:val="0"/>
              <w:adjustRightInd w:val="0"/>
              <w:snapToGrid w:val="0"/>
              <w:jc w:val="both"/>
              <w:rPr>
                <w:rFonts w:hint="default"/>
                <w:color w:val="auto"/>
                <w:sz w:val="21"/>
                <w:szCs w:val="44"/>
              </w:rPr>
            </w:pPr>
            <w:r>
              <w:rPr>
                <w:rFonts w:hint="default"/>
                <w:color w:val="auto"/>
                <w:sz w:val="21"/>
                <w:szCs w:val="44"/>
              </w:rPr>
              <w:t xml:space="preserve"> </w:t>
            </w:r>
          </w:p>
        </w:tc>
        <w:tc>
          <w:tcPr>
            <w:tcW w:w="1196" w:type="dxa"/>
            <w:noWrap w:val="0"/>
            <w:vAlign w:val="center"/>
          </w:tcPr>
          <w:p>
            <w:pPr>
              <w:pStyle w:val="41"/>
              <w:widowControl w:val="0"/>
              <w:adjustRightInd w:val="0"/>
              <w:snapToGrid w:val="0"/>
              <w:jc w:val="center"/>
              <w:rPr>
                <w:rFonts w:hint="default"/>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560" w:type="dxa"/>
            <w:noWrap w:val="0"/>
            <w:vAlign w:val="center"/>
          </w:tcPr>
          <w:p>
            <w:pPr>
              <w:pStyle w:val="41"/>
              <w:widowControl w:val="0"/>
              <w:adjustRightInd w:val="0"/>
              <w:snapToGrid w:val="0"/>
              <w:jc w:val="center"/>
              <w:rPr>
                <w:rFonts w:hint="default"/>
                <w:b/>
                <w:color w:val="auto"/>
                <w:sz w:val="21"/>
                <w:szCs w:val="44"/>
              </w:rPr>
            </w:pPr>
          </w:p>
        </w:tc>
        <w:tc>
          <w:tcPr>
            <w:tcW w:w="4988" w:type="dxa"/>
            <w:noWrap w:val="0"/>
            <w:vAlign w:val="center"/>
          </w:tcPr>
          <w:p>
            <w:pPr>
              <w:widowControl w:val="0"/>
              <w:adjustRightInd w:val="0"/>
              <w:snapToGrid w:val="0"/>
              <w:jc w:val="center"/>
              <w:rPr>
                <w:rFonts w:ascii="宋体" w:hAnsi="宋体" w:eastAsia="宋体" w:cs="Times New Roman"/>
                <w:b/>
                <w:color w:val="auto"/>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pPr>
              <w:pStyle w:val="41"/>
              <w:widowControl w:val="0"/>
              <w:adjustRightInd w:val="0"/>
              <w:snapToGrid w:val="0"/>
              <w:jc w:val="center"/>
              <w:rPr>
                <w:rFonts w:hint="default"/>
                <w:b/>
                <w:color w:val="auto"/>
                <w:sz w:val="21"/>
                <w:szCs w:val="44"/>
              </w:rPr>
            </w:pPr>
            <w:r>
              <w:rPr>
                <w:b/>
                <w:color w:val="auto"/>
                <w:sz w:val="21"/>
                <w:szCs w:val="44"/>
              </w:rPr>
              <w:t>3</w:t>
            </w:r>
          </w:p>
        </w:tc>
        <w:tc>
          <w:tcPr>
            <w:tcW w:w="3135" w:type="dxa"/>
            <w:noWrap w:val="0"/>
            <w:vAlign w:val="center"/>
          </w:tcPr>
          <w:p>
            <w:pPr>
              <w:pStyle w:val="41"/>
              <w:widowControl w:val="0"/>
              <w:adjustRightInd w:val="0"/>
              <w:snapToGrid w:val="0"/>
              <w:jc w:val="both"/>
              <w:rPr>
                <w:rFonts w:hint="default"/>
                <w:color w:val="auto"/>
                <w:sz w:val="21"/>
                <w:szCs w:val="44"/>
              </w:rPr>
            </w:pPr>
          </w:p>
        </w:tc>
        <w:tc>
          <w:tcPr>
            <w:tcW w:w="1196" w:type="dxa"/>
            <w:noWrap w:val="0"/>
            <w:vAlign w:val="center"/>
          </w:tcPr>
          <w:p>
            <w:pPr>
              <w:pStyle w:val="41"/>
              <w:widowControl w:val="0"/>
              <w:adjustRightInd w:val="0"/>
              <w:snapToGrid w:val="0"/>
              <w:jc w:val="center"/>
              <w:rPr>
                <w:rFonts w:hint="default"/>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560" w:type="dxa"/>
            <w:noWrap w:val="0"/>
            <w:vAlign w:val="center"/>
          </w:tcPr>
          <w:p>
            <w:pPr>
              <w:pStyle w:val="41"/>
              <w:widowControl w:val="0"/>
              <w:adjustRightInd w:val="0"/>
              <w:snapToGrid w:val="0"/>
              <w:jc w:val="center"/>
              <w:rPr>
                <w:rFonts w:hint="default"/>
                <w:b/>
                <w:color w:val="auto"/>
                <w:sz w:val="21"/>
                <w:szCs w:val="44"/>
              </w:rPr>
            </w:pPr>
          </w:p>
        </w:tc>
        <w:tc>
          <w:tcPr>
            <w:tcW w:w="4988" w:type="dxa"/>
            <w:noWrap w:val="0"/>
            <w:vAlign w:val="center"/>
          </w:tcPr>
          <w:p>
            <w:pPr>
              <w:widowControl w:val="0"/>
              <w:adjustRightInd w:val="0"/>
              <w:snapToGrid w:val="0"/>
              <w:jc w:val="center"/>
              <w:rPr>
                <w:rFonts w:ascii="宋体" w:hAnsi="宋体" w:eastAsia="宋体" w:cs="Times New Roman"/>
                <w:b/>
                <w:color w:val="auto"/>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pPr>
              <w:pStyle w:val="41"/>
              <w:widowControl w:val="0"/>
              <w:adjustRightInd w:val="0"/>
              <w:snapToGrid w:val="0"/>
              <w:jc w:val="center"/>
              <w:rPr>
                <w:b/>
                <w:color w:val="auto"/>
                <w:sz w:val="21"/>
                <w:szCs w:val="44"/>
              </w:rPr>
            </w:pPr>
            <w:r>
              <w:rPr>
                <w:b/>
                <w:color w:val="auto"/>
                <w:sz w:val="21"/>
                <w:szCs w:val="44"/>
              </w:rPr>
              <w:t>4</w:t>
            </w:r>
          </w:p>
        </w:tc>
        <w:tc>
          <w:tcPr>
            <w:tcW w:w="3135" w:type="dxa"/>
            <w:noWrap w:val="0"/>
            <w:vAlign w:val="center"/>
          </w:tcPr>
          <w:p>
            <w:pPr>
              <w:pStyle w:val="41"/>
              <w:widowControl w:val="0"/>
              <w:adjustRightInd w:val="0"/>
              <w:snapToGrid w:val="0"/>
              <w:jc w:val="both"/>
              <w:rPr>
                <w:rFonts w:hint="default"/>
                <w:color w:val="auto"/>
                <w:sz w:val="21"/>
                <w:szCs w:val="44"/>
              </w:rPr>
            </w:pPr>
          </w:p>
        </w:tc>
        <w:tc>
          <w:tcPr>
            <w:tcW w:w="1196" w:type="dxa"/>
            <w:noWrap w:val="0"/>
            <w:vAlign w:val="center"/>
          </w:tcPr>
          <w:p>
            <w:pPr>
              <w:pStyle w:val="41"/>
              <w:widowControl w:val="0"/>
              <w:adjustRightInd w:val="0"/>
              <w:snapToGrid w:val="0"/>
              <w:jc w:val="center"/>
              <w:rPr>
                <w:rFonts w:hint="default"/>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560" w:type="dxa"/>
            <w:noWrap w:val="0"/>
            <w:vAlign w:val="center"/>
          </w:tcPr>
          <w:p>
            <w:pPr>
              <w:pStyle w:val="41"/>
              <w:widowControl w:val="0"/>
              <w:adjustRightInd w:val="0"/>
              <w:snapToGrid w:val="0"/>
              <w:jc w:val="center"/>
              <w:rPr>
                <w:rFonts w:hint="default"/>
                <w:b/>
                <w:color w:val="auto"/>
                <w:sz w:val="21"/>
                <w:szCs w:val="44"/>
              </w:rPr>
            </w:pPr>
          </w:p>
        </w:tc>
        <w:tc>
          <w:tcPr>
            <w:tcW w:w="4988" w:type="dxa"/>
            <w:noWrap w:val="0"/>
            <w:vAlign w:val="center"/>
          </w:tcPr>
          <w:p>
            <w:pPr>
              <w:widowControl w:val="0"/>
              <w:adjustRightInd w:val="0"/>
              <w:snapToGrid w:val="0"/>
              <w:jc w:val="center"/>
              <w:rPr>
                <w:rFonts w:ascii="宋体" w:hAnsi="宋体" w:eastAsia="宋体" w:cs="Times New Roman"/>
                <w:b/>
                <w:color w:val="auto"/>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pPr>
              <w:pStyle w:val="41"/>
              <w:widowControl w:val="0"/>
              <w:adjustRightInd w:val="0"/>
              <w:snapToGrid w:val="0"/>
              <w:jc w:val="center"/>
              <w:rPr>
                <w:b/>
                <w:color w:val="auto"/>
                <w:sz w:val="21"/>
                <w:szCs w:val="44"/>
              </w:rPr>
            </w:pPr>
            <w:r>
              <w:rPr>
                <w:b/>
                <w:color w:val="auto"/>
                <w:sz w:val="21"/>
                <w:szCs w:val="44"/>
              </w:rPr>
              <w:t>5</w:t>
            </w:r>
          </w:p>
        </w:tc>
        <w:tc>
          <w:tcPr>
            <w:tcW w:w="3135" w:type="dxa"/>
            <w:noWrap w:val="0"/>
            <w:vAlign w:val="center"/>
          </w:tcPr>
          <w:p>
            <w:pPr>
              <w:pStyle w:val="41"/>
              <w:widowControl w:val="0"/>
              <w:adjustRightInd w:val="0"/>
              <w:snapToGrid w:val="0"/>
              <w:jc w:val="both"/>
              <w:rPr>
                <w:rFonts w:hint="default"/>
                <w:color w:val="auto"/>
                <w:sz w:val="21"/>
                <w:szCs w:val="44"/>
              </w:rPr>
            </w:pPr>
            <w:r>
              <w:rPr>
                <w:color w:val="auto"/>
                <w:sz w:val="21"/>
                <w:szCs w:val="44"/>
              </w:rPr>
              <w:t>……</w:t>
            </w:r>
          </w:p>
        </w:tc>
        <w:tc>
          <w:tcPr>
            <w:tcW w:w="1196" w:type="dxa"/>
            <w:noWrap w:val="0"/>
            <w:vAlign w:val="center"/>
          </w:tcPr>
          <w:p>
            <w:pPr>
              <w:pStyle w:val="41"/>
              <w:widowControl w:val="0"/>
              <w:adjustRightInd w:val="0"/>
              <w:snapToGrid w:val="0"/>
              <w:jc w:val="center"/>
              <w:rPr>
                <w:rFonts w:hint="default"/>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560" w:type="dxa"/>
            <w:noWrap w:val="0"/>
            <w:vAlign w:val="center"/>
          </w:tcPr>
          <w:p>
            <w:pPr>
              <w:pStyle w:val="41"/>
              <w:widowControl w:val="0"/>
              <w:adjustRightInd w:val="0"/>
              <w:snapToGrid w:val="0"/>
              <w:jc w:val="center"/>
              <w:rPr>
                <w:rFonts w:hint="default"/>
                <w:b/>
                <w:color w:val="auto"/>
                <w:sz w:val="21"/>
                <w:szCs w:val="44"/>
              </w:rPr>
            </w:pPr>
          </w:p>
        </w:tc>
        <w:tc>
          <w:tcPr>
            <w:tcW w:w="4988" w:type="dxa"/>
            <w:noWrap w:val="0"/>
            <w:vAlign w:val="center"/>
          </w:tcPr>
          <w:p>
            <w:pPr>
              <w:widowControl w:val="0"/>
              <w:adjustRightInd w:val="0"/>
              <w:snapToGrid w:val="0"/>
              <w:jc w:val="center"/>
              <w:rPr>
                <w:rFonts w:ascii="宋体" w:hAnsi="宋体" w:eastAsia="宋体" w:cs="Times New Roman"/>
                <w:b/>
                <w:color w:val="auto"/>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pPr>
              <w:pStyle w:val="41"/>
              <w:widowControl w:val="0"/>
              <w:adjustRightInd w:val="0"/>
              <w:snapToGrid w:val="0"/>
              <w:jc w:val="center"/>
              <w:rPr>
                <w:b/>
                <w:color w:val="auto"/>
                <w:sz w:val="21"/>
                <w:szCs w:val="44"/>
              </w:rPr>
            </w:pPr>
          </w:p>
        </w:tc>
        <w:tc>
          <w:tcPr>
            <w:tcW w:w="3135" w:type="dxa"/>
            <w:noWrap w:val="0"/>
            <w:vAlign w:val="center"/>
          </w:tcPr>
          <w:p>
            <w:pPr>
              <w:pStyle w:val="41"/>
              <w:widowControl w:val="0"/>
              <w:adjustRightInd w:val="0"/>
              <w:snapToGrid w:val="0"/>
              <w:jc w:val="both"/>
              <w:rPr>
                <w:rFonts w:hint="default"/>
                <w:color w:val="auto"/>
                <w:sz w:val="21"/>
                <w:szCs w:val="44"/>
              </w:rPr>
            </w:pPr>
            <w:r>
              <w:rPr>
                <w:rFonts w:hint="default"/>
                <w:color w:val="auto"/>
                <w:sz w:val="21"/>
                <w:szCs w:val="44"/>
              </w:rPr>
              <w:t>（按照</w:t>
            </w:r>
            <w:r>
              <w:rPr>
                <w:color w:val="auto"/>
                <w:sz w:val="21"/>
                <w:szCs w:val="44"/>
              </w:rPr>
              <w:t>采购</w:t>
            </w:r>
            <w:r>
              <w:rPr>
                <w:rFonts w:hint="default"/>
                <w:color w:val="auto"/>
                <w:sz w:val="21"/>
                <w:szCs w:val="44"/>
              </w:rPr>
              <w:t>清单填写）</w:t>
            </w:r>
          </w:p>
        </w:tc>
        <w:tc>
          <w:tcPr>
            <w:tcW w:w="1196" w:type="dxa"/>
            <w:noWrap w:val="0"/>
            <w:vAlign w:val="center"/>
          </w:tcPr>
          <w:p>
            <w:pPr>
              <w:pStyle w:val="41"/>
              <w:widowControl w:val="0"/>
              <w:adjustRightInd w:val="0"/>
              <w:snapToGrid w:val="0"/>
              <w:jc w:val="center"/>
              <w:rPr>
                <w:rFonts w:hint="default"/>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879" w:type="dxa"/>
            <w:noWrap w:val="0"/>
            <w:vAlign w:val="center"/>
          </w:tcPr>
          <w:p>
            <w:pPr>
              <w:pStyle w:val="41"/>
              <w:widowControl w:val="0"/>
              <w:adjustRightInd w:val="0"/>
              <w:snapToGrid w:val="0"/>
              <w:jc w:val="center"/>
              <w:rPr>
                <w:rFonts w:hint="default"/>
                <w:b/>
                <w:color w:val="auto"/>
                <w:sz w:val="21"/>
                <w:szCs w:val="44"/>
              </w:rPr>
            </w:pPr>
          </w:p>
        </w:tc>
        <w:tc>
          <w:tcPr>
            <w:tcW w:w="1560" w:type="dxa"/>
            <w:noWrap w:val="0"/>
            <w:vAlign w:val="center"/>
          </w:tcPr>
          <w:p>
            <w:pPr>
              <w:pStyle w:val="41"/>
              <w:widowControl w:val="0"/>
              <w:adjustRightInd w:val="0"/>
              <w:snapToGrid w:val="0"/>
              <w:jc w:val="center"/>
              <w:rPr>
                <w:rFonts w:hint="default"/>
                <w:b/>
                <w:color w:val="auto"/>
                <w:sz w:val="21"/>
                <w:szCs w:val="44"/>
              </w:rPr>
            </w:pPr>
          </w:p>
        </w:tc>
        <w:tc>
          <w:tcPr>
            <w:tcW w:w="4988" w:type="dxa"/>
            <w:noWrap w:val="0"/>
            <w:vAlign w:val="center"/>
          </w:tcPr>
          <w:p>
            <w:pPr>
              <w:widowControl w:val="0"/>
              <w:adjustRightInd w:val="0"/>
              <w:snapToGrid w:val="0"/>
              <w:jc w:val="center"/>
              <w:rPr>
                <w:rFonts w:ascii="宋体" w:hAnsi="宋体" w:eastAsia="宋体" w:cs="Times New Roman"/>
                <w:b/>
                <w:color w:val="auto"/>
                <w:sz w:val="21"/>
                <w:szCs w:val="44"/>
              </w:rPr>
            </w:pPr>
          </w:p>
        </w:tc>
      </w:tr>
    </w:tbl>
    <w:p>
      <w:pPr>
        <w:pStyle w:val="25"/>
        <w:widowControl w:val="0"/>
        <w:adjustRightInd w:val="0"/>
        <w:snapToGrid w:val="0"/>
        <w:spacing w:before="0" w:beforeAutospacing="0" w:after="0" w:afterAutospacing="0"/>
        <w:ind w:firstLine="978" w:firstLineChars="466"/>
        <w:rPr>
          <w:color w:val="auto"/>
          <w:sz w:val="21"/>
          <w:szCs w:val="21"/>
        </w:rPr>
      </w:pPr>
    </w:p>
    <w:p>
      <w:pPr>
        <w:widowControl w:val="0"/>
        <w:tabs>
          <w:tab w:val="left" w:pos="3435"/>
        </w:tabs>
        <w:adjustRightInd w:val="0"/>
        <w:snapToGrid w:val="0"/>
        <w:ind w:firstLine="435"/>
        <w:rPr>
          <w:rFonts w:ascii="宋体" w:hAnsi="宋体"/>
          <w:b/>
          <w:color w:val="auto"/>
          <w:sz w:val="21"/>
          <w:szCs w:val="21"/>
        </w:rPr>
      </w:pPr>
      <w:r>
        <w:rPr>
          <w:rFonts w:ascii="宋体" w:hAnsi="宋体"/>
          <w:b/>
          <w:color w:val="auto"/>
          <w:sz w:val="21"/>
          <w:szCs w:val="21"/>
        </w:rPr>
        <w:t>注：1.投标人须根据拟提供的货物参数详细填写此表，凡与《招标文件》要求不一致的内容，均详细在《技术要求偏离表》中填写。</w:t>
      </w:r>
    </w:p>
    <w:p>
      <w:pPr>
        <w:widowControl w:val="0"/>
        <w:tabs>
          <w:tab w:val="left" w:pos="3435"/>
        </w:tabs>
        <w:adjustRightInd w:val="0"/>
        <w:snapToGrid w:val="0"/>
        <w:ind w:firstLine="435"/>
        <w:rPr>
          <w:rFonts w:ascii="宋体" w:hAnsi="宋体"/>
          <w:b/>
          <w:color w:val="auto"/>
          <w:sz w:val="21"/>
          <w:szCs w:val="21"/>
        </w:rPr>
      </w:pPr>
      <w:r>
        <w:rPr>
          <w:rFonts w:ascii="宋体" w:hAnsi="宋体"/>
          <w:b/>
          <w:color w:val="auto"/>
          <w:sz w:val="21"/>
          <w:szCs w:val="21"/>
        </w:rPr>
        <w:t xml:space="preserve">    2.此表中的货物必须与《</w:t>
      </w:r>
      <w:r>
        <w:rPr>
          <w:rFonts w:hint="eastAsia" w:ascii="宋体" w:hAnsi="宋体"/>
          <w:b/>
          <w:color w:val="auto"/>
          <w:sz w:val="21"/>
          <w:szCs w:val="21"/>
        </w:rPr>
        <w:t>报价</w:t>
      </w:r>
      <w:r>
        <w:rPr>
          <w:rFonts w:ascii="宋体" w:hAnsi="宋体"/>
          <w:b/>
          <w:color w:val="auto"/>
          <w:sz w:val="21"/>
          <w:szCs w:val="21"/>
        </w:rPr>
        <w:t>表》中填报的内容相一致。</w:t>
      </w:r>
    </w:p>
    <w:p>
      <w:pPr>
        <w:widowControl w:val="0"/>
        <w:tabs>
          <w:tab w:val="left" w:pos="3435"/>
        </w:tabs>
        <w:adjustRightInd w:val="0"/>
        <w:snapToGrid w:val="0"/>
        <w:spacing w:line="420" w:lineRule="exact"/>
        <w:ind w:firstLine="435"/>
        <w:rPr>
          <w:rFonts w:ascii="宋体" w:hAnsi="宋体"/>
          <w:b/>
          <w:color w:val="auto"/>
          <w:sz w:val="21"/>
          <w:szCs w:val="21"/>
        </w:rPr>
      </w:pPr>
    </w:p>
    <w:p>
      <w:pPr>
        <w:pStyle w:val="25"/>
        <w:widowControl w:val="0"/>
        <w:adjustRightInd w:val="0"/>
        <w:snapToGrid w:val="0"/>
        <w:spacing w:before="0" w:beforeAutospacing="0" w:after="0" w:afterAutospacing="0" w:line="360" w:lineRule="auto"/>
        <w:ind w:firstLine="7200" w:firstLineChars="3000"/>
        <w:rPr>
          <w:color w:val="auto"/>
        </w:rPr>
      </w:pPr>
      <w:r>
        <w:rPr>
          <w:color w:val="auto"/>
        </w:rPr>
        <w:t>投标人（电子签章）：__________________________</w:t>
      </w:r>
    </w:p>
    <w:p>
      <w:pPr>
        <w:spacing w:line="360" w:lineRule="auto"/>
        <w:jc w:val="center"/>
        <w:rPr>
          <w:color w:val="auto"/>
        </w:rPr>
        <w:sectPr>
          <w:pgSz w:w="16838" w:h="11906" w:orient="landscape"/>
          <w:pgMar w:top="1622" w:right="1259" w:bottom="1287" w:left="1361" w:header="709" w:footer="975" w:gutter="0"/>
          <w:cols w:space="720" w:num="1"/>
          <w:docGrid w:linePitch="360" w:charSpace="0"/>
        </w:sectPr>
      </w:pPr>
      <w:r>
        <w:rPr>
          <w:rFonts w:hint="eastAsia"/>
          <w:color w:val="auto"/>
        </w:rPr>
        <w:t xml:space="preserve"> </w:t>
      </w:r>
      <w:r>
        <w:rPr>
          <w:color w:val="auto"/>
        </w:rPr>
        <w:t xml:space="preserve">                                                    日期：____年____月____日</w:t>
      </w:r>
    </w:p>
    <w:p>
      <w:pPr>
        <w:pStyle w:val="41"/>
        <w:widowControl w:val="0"/>
        <w:adjustRightInd w:val="0"/>
        <w:snapToGrid w:val="0"/>
        <w:spacing w:line="390" w:lineRule="atLeast"/>
        <w:jc w:val="center"/>
        <w:rPr>
          <w:rFonts w:hint="default"/>
          <w:color w:val="auto"/>
        </w:rPr>
      </w:pPr>
      <w:r>
        <w:rPr>
          <w:b/>
          <w:color w:val="auto"/>
          <w:sz w:val="32"/>
          <w:szCs w:val="32"/>
        </w:rPr>
        <w:t>四</w:t>
      </w:r>
      <w:r>
        <w:rPr>
          <w:rFonts w:hint="default"/>
          <w:b/>
          <w:color w:val="auto"/>
          <w:sz w:val="32"/>
          <w:szCs w:val="32"/>
        </w:rPr>
        <w:t>、</w:t>
      </w:r>
      <w:bookmarkStart w:id="142" w:name="_Hlk93401427"/>
      <w:r>
        <w:rPr>
          <w:rFonts w:hint="default"/>
          <w:b/>
          <w:color w:val="auto"/>
          <w:sz w:val="32"/>
          <w:szCs w:val="32"/>
        </w:rPr>
        <w:t>技术要求偏离表</w:t>
      </w:r>
    </w:p>
    <w:tbl>
      <w:tblPr>
        <w:tblStyle w:val="45"/>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54"/>
        <w:gridCol w:w="2812"/>
        <w:gridCol w:w="1522"/>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序号</w:t>
            </w:r>
          </w:p>
        </w:tc>
        <w:tc>
          <w:tcPr>
            <w:tcW w:w="2754"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招标文件要求</w:t>
            </w:r>
          </w:p>
        </w:tc>
        <w:tc>
          <w:tcPr>
            <w:tcW w:w="2812"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投标响应参数</w:t>
            </w:r>
          </w:p>
        </w:tc>
        <w:tc>
          <w:tcPr>
            <w:tcW w:w="1522"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偏离情况</w:t>
            </w:r>
          </w:p>
        </w:tc>
        <w:tc>
          <w:tcPr>
            <w:tcW w:w="1572"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1</w:t>
            </w:r>
          </w:p>
        </w:tc>
        <w:tc>
          <w:tcPr>
            <w:tcW w:w="2754" w:type="dxa"/>
            <w:noWrap w:val="0"/>
            <w:vAlign w:val="center"/>
          </w:tcPr>
          <w:p>
            <w:pPr>
              <w:pStyle w:val="41"/>
              <w:widowControl w:val="0"/>
              <w:adjustRightInd w:val="0"/>
              <w:snapToGrid w:val="0"/>
              <w:jc w:val="both"/>
              <w:rPr>
                <w:rFonts w:hint="default" w:ascii="Times New Roman" w:hAnsi="Times New Roman"/>
                <w:color w:val="auto"/>
              </w:rPr>
            </w:pPr>
            <w:r>
              <w:rPr>
                <w:rFonts w:hint="default" w:ascii="Times New Roman" w:hAnsi="Times New Roman"/>
                <w:color w:val="auto"/>
              </w:rPr>
              <w:t>……</w:t>
            </w:r>
          </w:p>
        </w:tc>
        <w:tc>
          <w:tcPr>
            <w:tcW w:w="2812" w:type="dxa"/>
            <w:noWrap w:val="0"/>
            <w:vAlign w:val="center"/>
          </w:tcPr>
          <w:p>
            <w:pPr>
              <w:pStyle w:val="41"/>
              <w:widowControl w:val="0"/>
              <w:adjustRightInd w:val="0"/>
              <w:snapToGrid w:val="0"/>
              <w:jc w:val="both"/>
              <w:rPr>
                <w:rFonts w:hint="default" w:ascii="Times New Roman" w:hAnsi="Times New Roman"/>
                <w:color w:val="auto"/>
              </w:rPr>
            </w:pPr>
            <w:r>
              <w:rPr>
                <w:rFonts w:hint="default" w:ascii="Times New Roman" w:hAnsi="Times New Roman"/>
                <w:color w:val="auto"/>
              </w:rPr>
              <w:t>……</w:t>
            </w:r>
          </w:p>
        </w:tc>
        <w:tc>
          <w:tcPr>
            <w:tcW w:w="1522" w:type="dxa"/>
            <w:noWrap w:val="0"/>
            <w:vAlign w:val="center"/>
          </w:tcPr>
          <w:p>
            <w:pPr>
              <w:pStyle w:val="41"/>
              <w:widowControl w:val="0"/>
              <w:adjustRightInd w:val="0"/>
              <w:snapToGrid w:val="0"/>
              <w:jc w:val="center"/>
              <w:rPr>
                <w:rFonts w:hint="default" w:ascii="Times New Roman" w:hAnsi="Times New Roman"/>
                <w:color w:val="auto"/>
              </w:rPr>
            </w:pPr>
          </w:p>
        </w:tc>
        <w:tc>
          <w:tcPr>
            <w:tcW w:w="1572"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2</w:t>
            </w:r>
          </w:p>
        </w:tc>
        <w:tc>
          <w:tcPr>
            <w:tcW w:w="2754" w:type="dxa"/>
            <w:noWrap w:val="0"/>
            <w:vAlign w:val="center"/>
          </w:tcPr>
          <w:p>
            <w:pPr>
              <w:widowControl w:val="0"/>
              <w:adjustRightInd w:val="0"/>
              <w:snapToGrid w:val="0"/>
              <w:jc w:val="both"/>
              <w:rPr>
                <w:rFonts w:ascii="Times New Roman" w:hAnsi="Times New Roman" w:eastAsia="宋体" w:cs="Times New Roman"/>
                <w:color w:val="auto"/>
                <w:sz w:val="21"/>
                <w:szCs w:val="21"/>
              </w:rPr>
            </w:pPr>
          </w:p>
        </w:tc>
        <w:tc>
          <w:tcPr>
            <w:tcW w:w="2812" w:type="dxa"/>
            <w:noWrap w:val="0"/>
            <w:vAlign w:val="center"/>
          </w:tcPr>
          <w:p>
            <w:pPr>
              <w:widowControl w:val="0"/>
              <w:adjustRightInd w:val="0"/>
              <w:snapToGrid w:val="0"/>
              <w:ind w:left="360" w:hanging="360" w:hangingChars="150"/>
              <w:jc w:val="both"/>
              <w:rPr>
                <w:rFonts w:ascii="Times New Roman" w:hAnsi="Times New Roman" w:eastAsia="宋体" w:cs="Times New Roman"/>
                <w:color w:val="auto"/>
              </w:rPr>
            </w:pPr>
          </w:p>
        </w:tc>
        <w:tc>
          <w:tcPr>
            <w:tcW w:w="1522" w:type="dxa"/>
            <w:noWrap w:val="0"/>
            <w:vAlign w:val="center"/>
          </w:tcPr>
          <w:p>
            <w:pPr>
              <w:pStyle w:val="41"/>
              <w:widowControl w:val="0"/>
              <w:adjustRightInd w:val="0"/>
              <w:snapToGrid w:val="0"/>
              <w:jc w:val="center"/>
              <w:rPr>
                <w:rFonts w:hint="default" w:ascii="Times New Roman" w:hAnsi="Times New Roman"/>
                <w:color w:val="auto"/>
              </w:rPr>
            </w:pPr>
          </w:p>
        </w:tc>
        <w:tc>
          <w:tcPr>
            <w:tcW w:w="1572"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3</w:t>
            </w:r>
          </w:p>
        </w:tc>
        <w:tc>
          <w:tcPr>
            <w:tcW w:w="2754" w:type="dxa"/>
            <w:noWrap w:val="0"/>
            <w:vAlign w:val="center"/>
          </w:tcPr>
          <w:p>
            <w:pPr>
              <w:pStyle w:val="41"/>
              <w:widowControl w:val="0"/>
              <w:adjustRightInd w:val="0"/>
              <w:snapToGrid w:val="0"/>
              <w:ind w:firstLine="840" w:firstLineChars="350"/>
              <w:jc w:val="both"/>
              <w:rPr>
                <w:rFonts w:hint="default" w:ascii="Times New Roman" w:hAnsi="Times New Roman"/>
                <w:color w:val="auto"/>
              </w:rPr>
            </w:pPr>
          </w:p>
        </w:tc>
        <w:tc>
          <w:tcPr>
            <w:tcW w:w="2812" w:type="dxa"/>
            <w:noWrap w:val="0"/>
            <w:vAlign w:val="center"/>
          </w:tcPr>
          <w:p>
            <w:pPr>
              <w:widowControl w:val="0"/>
              <w:adjustRightInd w:val="0"/>
              <w:snapToGrid w:val="0"/>
              <w:jc w:val="both"/>
              <w:rPr>
                <w:rFonts w:ascii="Times New Roman" w:hAnsi="Times New Roman" w:eastAsia="宋体" w:cs="Times New Roman"/>
                <w:color w:val="auto"/>
              </w:rPr>
            </w:pPr>
          </w:p>
        </w:tc>
        <w:tc>
          <w:tcPr>
            <w:tcW w:w="1522" w:type="dxa"/>
            <w:noWrap w:val="0"/>
            <w:vAlign w:val="center"/>
          </w:tcPr>
          <w:p>
            <w:pPr>
              <w:pStyle w:val="41"/>
              <w:widowControl w:val="0"/>
              <w:adjustRightInd w:val="0"/>
              <w:snapToGrid w:val="0"/>
              <w:jc w:val="center"/>
              <w:rPr>
                <w:rFonts w:hint="default" w:ascii="Times New Roman" w:hAnsi="Times New Roman"/>
                <w:color w:val="auto"/>
              </w:rPr>
            </w:pPr>
          </w:p>
        </w:tc>
        <w:tc>
          <w:tcPr>
            <w:tcW w:w="1572"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4</w:t>
            </w:r>
          </w:p>
        </w:tc>
        <w:tc>
          <w:tcPr>
            <w:tcW w:w="2754" w:type="dxa"/>
            <w:noWrap w:val="0"/>
            <w:vAlign w:val="center"/>
          </w:tcPr>
          <w:p>
            <w:pPr>
              <w:pStyle w:val="41"/>
              <w:widowControl w:val="0"/>
              <w:adjustRightInd w:val="0"/>
              <w:snapToGrid w:val="0"/>
              <w:jc w:val="both"/>
              <w:rPr>
                <w:rFonts w:hint="default" w:ascii="Times New Roman" w:hAnsi="Times New Roman"/>
                <w:color w:val="auto"/>
              </w:rPr>
            </w:pPr>
          </w:p>
        </w:tc>
        <w:tc>
          <w:tcPr>
            <w:tcW w:w="2812" w:type="dxa"/>
            <w:noWrap w:val="0"/>
            <w:vAlign w:val="center"/>
          </w:tcPr>
          <w:p>
            <w:pPr>
              <w:pStyle w:val="41"/>
              <w:widowControl w:val="0"/>
              <w:adjustRightInd w:val="0"/>
              <w:snapToGrid w:val="0"/>
              <w:jc w:val="both"/>
              <w:rPr>
                <w:rFonts w:hint="default" w:ascii="Times New Roman" w:hAnsi="Times New Roman"/>
                <w:color w:val="auto"/>
              </w:rPr>
            </w:pPr>
          </w:p>
        </w:tc>
        <w:tc>
          <w:tcPr>
            <w:tcW w:w="1522" w:type="dxa"/>
            <w:noWrap w:val="0"/>
            <w:vAlign w:val="center"/>
          </w:tcPr>
          <w:p>
            <w:pPr>
              <w:pStyle w:val="41"/>
              <w:widowControl w:val="0"/>
              <w:adjustRightInd w:val="0"/>
              <w:snapToGrid w:val="0"/>
              <w:jc w:val="center"/>
              <w:rPr>
                <w:rFonts w:hint="default" w:ascii="Times New Roman" w:hAnsi="Times New Roman"/>
                <w:color w:val="auto"/>
              </w:rPr>
            </w:pPr>
          </w:p>
        </w:tc>
        <w:tc>
          <w:tcPr>
            <w:tcW w:w="1572"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5</w:t>
            </w:r>
          </w:p>
        </w:tc>
        <w:tc>
          <w:tcPr>
            <w:tcW w:w="2754" w:type="dxa"/>
            <w:noWrap w:val="0"/>
            <w:vAlign w:val="center"/>
          </w:tcPr>
          <w:p>
            <w:pPr>
              <w:pStyle w:val="41"/>
              <w:widowControl w:val="0"/>
              <w:adjustRightInd w:val="0"/>
              <w:snapToGrid w:val="0"/>
              <w:jc w:val="both"/>
              <w:rPr>
                <w:rFonts w:hint="default" w:ascii="Times New Roman" w:hAnsi="Times New Roman"/>
                <w:color w:val="auto"/>
              </w:rPr>
            </w:pPr>
          </w:p>
        </w:tc>
        <w:tc>
          <w:tcPr>
            <w:tcW w:w="2812" w:type="dxa"/>
            <w:noWrap w:val="0"/>
            <w:vAlign w:val="center"/>
          </w:tcPr>
          <w:p>
            <w:pPr>
              <w:pStyle w:val="41"/>
              <w:widowControl w:val="0"/>
              <w:adjustRightInd w:val="0"/>
              <w:snapToGrid w:val="0"/>
              <w:jc w:val="both"/>
              <w:rPr>
                <w:rFonts w:hint="default" w:ascii="Times New Roman" w:hAnsi="Times New Roman"/>
                <w:color w:val="auto"/>
              </w:rPr>
            </w:pPr>
          </w:p>
        </w:tc>
        <w:tc>
          <w:tcPr>
            <w:tcW w:w="1522" w:type="dxa"/>
            <w:noWrap w:val="0"/>
            <w:vAlign w:val="center"/>
          </w:tcPr>
          <w:p>
            <w:pPr>
              <w:pStyle w:val="41"/>
              <w:widowControl w:val="0"/>
              <w:adjustRightInd w:val="0"/>
              <w:snapToGrid w:val="0"/>
              <w:jc w:val="both"/>
              <w:rPr>
                <w:rFonts w:hint="default" w:ascii="Times New Roman" w:hAnsi="Times New Roman"/>
                <w:color w:val="auto"/>
              </w:rPr>
            </w:pPr>
          </w:p>
        </w:tc>
        <w:tc>
          <w:tcPr>
            <w:tcW w:w="1572"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p>
        </w:tc>
        <w:tc>
          <w:tcPr>
            <w:tcW w:w="2754" w:type="dxa"/>
            <w:noWrap w:val="0"/>
            <w:vAlign w:val="center"/>
          </w:tcPr>
          <w:p>
            <w:pPr>
              <w:pStyle w:val="41"/>
              <w:widowControl w:val="0"/>
              <w:adjustRightInd w:val="0"/>
              <w:snapToGrid w:val="0"/>
              <w:jc w:val="both"/>
              <w:rPr>
                <w:rFonts w:hint="default" w:ascii="Times New Roman" w:hAnsi="Times New Roman"/>
                <w:color w:val="auto"/>
              </w:rPr>
            </w:pPr>
          </w:p>
        </w:tc>
        <w:tc>
          <w:tcPr>
            <w:tcW w:w="2812" w:type="dxa"/>
            <w:noWrap w:val="0"/>
            <w:vAlign w:val="center"/>
          </w:tcPr>
          <w:p>
            <w:pPr>
              <w:pStyle w:val="41"/>
              <w:widowControl w:val="0"/>
              <w:adjustRightInd w:val="0"/>
              <w:snapToGrid w:val="0"/>
              <w:jc w:val="both"/>
              <w:rPr>
                <w:rFonts w:hint="default" w:ascii="Times New Roman" w:hAnsi="Times New Roman"/>
                <w:color w:val="auto"/>
              </w:rPr>
            </w:pPr>
          </w:p>
        </w:tc>
        <w:tc>
          <w:tcPr>
            <w:tcW w:w="1522" w:type="dxa"/>
            <w:noWrap w:val="0"/>
            <w:vAlign w:val="center"/>
          </w:tcPr>
          <w:p>
            <w:pPr>
              <w:pStyle w:val="41"/>
              <w:widowControl w:val="0"/>
              <w:adjustRightInd w:val="0"/>
              <w:snapToGrid w:val="0"/>
              <w:jc w:val="both"/>
              <w:rPr>
                <w:rFonts w:hint="default" w:ascii="Times New Roman" w:hAnsi="Times New Roman"/>
                <w:color w:val="auto"/>
              </w:rPr>
            </w:pPr>
          </w:p>
        </w:tc>
        <w:tc>
          <w:tcPr>
            <w:tcW w:w="1572"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p>
        </w:tc>
        <w:tc>
          <w:tcPr>
            <w:tcW w:w="2754" w:type="dxa"/>
            <w:noWrap w:val="0"/>
            <w:vAlign w:val="center"/>
          </w:tcPr>
          <w:p>
            <w:pPr>
              <w:pStyle w:val="41"/>
              <w:widowControl w:val="0"/>
              <w:adjustRightInd w:val="0"/>
              <w:snapToGrid w:val="0"/>
              <w:jc w:val="both"/>
              <w:rPr>
                <w:rFonts w:hint="default" w:ascii="Times New Roman" w:hAnsi="Times New Roman"/>
                <w:color w:val="auto"/>
              </w:rPr>
            </w:pPr>
          </w:p>
        </w:tc>
        <w:tc>
          <w:tcPr>
            <w:tcW w:w="2812" w:type="dxa"/>
            <w:noWrap w:val="0"/>
            <w:vAlign w:val="center"/>
          </w:tcPr>
          <w:p>
            <w:pPr>
              <w:pStyle w:val="41"/>
              <w:widowControl w:val="0"/>
              <w:adjustRightInd w:val="0"/>
              <w:snapToGrid w:val="0"/>
              <w:jc w:val="both"/>
              <w:rPr>
                <w:rFonts w:hint="default" w:ascii="Times New Roman" w:hAnsi="Times New Roman"/>
                <w:color w:val="auto"/>
              </w:rPr>
            </w:pPr>
          </w:p>
        </w:tc>
        <w:tc>
          <w:tcPr>
            <w:tcW w:w="1522" w:type="dxa"/>
            <w:noWrap w:val="0"/>
            <w:vAlign w:val="center"/>
          </w:tcPr>
          <w:p>
            <w:pPr>
              <w:pStyle w:val="41"/>
              <w:widowControl w:val="0"/>
              <w:adjustRightInd w:val="0"/>
              <w:snapToGrid w:val="0"/>
              <w:jc w:val="both"/>
              <w:rPr>
                <w:rFonts w:hint="default" w:ascii="Times New Roman" w:hAnsi="Times New Roman"/>
                <w:color w:val="auto"/>
              </w:rPr>
            </w:pPr>
          </w:p>
        </w:tc>
        <w:tc>
          <w:tcPr>
            <w:tcW w:w="1572"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p>
        </w:tc>
        <w:tc>
          <w:tcPr>
            <w:tcW w:w="2754" w:type="dxa"/>
            <w:noWrap w:val="0"/>
            <w:vAlign w:val="center"/>
          </w:tcPr>
          <w:p>
            <w:pPr>
              <w:pStyle w:val="41"/>
              <w:widowControl w:val="0"/>
              <w:adjustRightInd w:val="0"/>
              <w:snapToGrid w:val="0"/>
              <w:jc w:val="both"/>
              <w:rPr>
                <w:rFonts w:hint="default" w:ascii="Times New Roman" w:hAnsi="Times New Roman"/>
                <w:color w:val="auto"/>
              </w:rPr>
            </w:pPr>
          </w:p>
        </w:tc>
        <w:tc>
          <w:tcPr>
            <w:tcW w:w="2812" w:type="dxa"/>
            <w:noWrap w:val="0"/>
            <w:vAlign w:val="center"/>
          </w:tcPr>
          <w:p>
            <w:pPr>
              <w:pStyle w:val="41"/>
              <w:widowControl w:val="0"/>
              <w:adjustRightInd w:val="0"/>
              <w:snapToGrid w:val="0"/>
              <w:jc w:val="both"/>
              <w:rPr>
                <w:rFonts w:hint="default" w:ascii="Times New Roman" w:hAnsi="Times New Roman"/>
                <w:color w:val="auto"/>
              </w:rPr>
            </w:pPr>
          </w:p>
        </w:tc>
        <w:tc>
          <w:tcPr>
            <w:tcW w:w="1522" w:type="dxa"/>
            <w:noWrap w:val="0"/>
            <w:vAlign w:val="center"/>
          </w:tcPr>
          <w:p>
            <w:pPr>
              <w:pStyle w:val="41"/>
              <w:widowControl w:val="0"/>
              <w:adjustRightInd w:val="0"/>
              <w:snapToGrid w:val="0"/>
              <w:jc w:val="both"/>
              <w:rPr>
                <w:rFonts w:hint="default" w:ascii="Times New Roman" w:hAnsi="Times New Roman"/>
                <w:color w:val="auto"/>
              </w:rPr>
            </w:pPr>
          </w:p>
        </w:tc>
        <w:tc>
          <w:tcPr>
            <w:tcW w:w="1572"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41"/>
              <w:widowControl w:val="0"/>
              <w:adjustRightInd w:val="0"/>
              <w:snapToGrid w:val="0"/>
              <w:jc w:val="center"/>
              <w:rPr>
                <w:rFonts w:hint="default" w:ascii="Times New Roman" w:hAnsi="Times New Roman"/>
                <w:color w:val="auto"/>
              </w:rPr>
            </w:pPr>
          </w:p>
        </w:tc>
        <w:tc>
          <w:tcPr>
            <w:tcW w:w="2754" w:type="dxa"/>
            <w:noWrap w:val="0"/>
            <w:vAlign w:val="center"/>
          </w:tcPr>
          <w:p>
            <w:pPr>
              <w:pStyle w:val="41"/>
              <w:widowControl w:val="0"/>
              <w:adjustRightInd w:val="0"/>
              <w:snapToGrid w:val="0"/>
              <w:jc w:val="both"/>
              <w:rPr>
                <w:rFonts w:hint="default" w:ascii="Times New Roman" w:hAnsi="Times New Roman"/>
                <w:color w:val="auto"/>
              </w:rPr>
            </w:pPr>
          </w:p>
        </w:tc>
        <w:tc>
          <w:tcPr>
            <w:tcW w:w="2812" w:type="dxa"/>
            <w:noWrap w:val="0"/>
            <w:vAlign w:val="center"/>
          </w:tcPr>
          <w:p>
            <w:pPr>
              <w:pStyle w:val="41"/>
              <w:widowControl w:val="0"/>
              <w:adjustRightInd w:val="0"/>
              <w:snapToGrid w:val="0"/>
              <w:jc w:val="both"/>
              <w:rPr>
                <w:rFonts w:hint="default" w:ascii="Times New Roman" w:hAnsi="Times New Roman"/>
                <w:color w:val="auto"/>
              </w:rPr>
            </w:pPr>
          </w:p>
        </w:tc>
        <w:tc>
          <w:tcPr>
            <w:tcW w:w="1522" w:type="dxa"/>
            <w:noWrap w:val="0"/>
            <w:vAlign w:val="center"/>
          </w:tcPr>
          <w:p>
            <w:pPr>
              <w:pStyle w:val="41"/>
              <w:widowControl w:val="0"/>
              <w:adjustRightInd w:val="0"/>
              <w:snapToGrid w:val="0"/>
              <w:jc w:val="both"/>
              <w:rPr>
                <w:rFonts w:hint="default" w:ascii="Times New Roman" w:hAnsi="Times New Roman"/>
                <w:color w:val="auto"/>
              </w:rPr>
            </w:pPr>
          </w:p>
        </w:tc>
        <w:tc>
          <w:tcPr>
            <w:tcW w:w="1572" w:type="dxa"/>
            <w:noWrap w:val="0"/>
            <w:vAlign w:val="center"/>
          </w:tcPr>
          <w:p>
            <w:pPr>
              <w:pStyle w:val="41"/>
              <w:widowControl w:val="0"/>
              <w:adjustRightInd w:val="0"/>
              <w:snapToGrid w:val="0"/>
              <w:jc w:val="both"/>
              <w:rPr>
                <w:rFonts w:hint="default" w:ascii="Times New Roman" w:hAnsi="Times New Roman"/>
                <w:color w:val="auto"/>
              </w:rPr>
            </w:pPr>
          </w:p>
        </w:tc>
      </w:tr>
      <w:bookmarkEnd w:id="142"/>
    </w:tbl>
    <w:p>
      <w:pPr>
        <w:widowControl w:val="0"/>
        <w:tabs>
          <w:tab w:val="left" w:pos="3435"/>
        </w:tabs>
        <w:adjustRightInd w:val="0"/>
        <w:snapToGrid w:val="0"/>
        <w:rPr>
          <w:rFonts w:ascii="宋体" w:hAnsi="宋体"/>
          <w:b/>
          <w:color w:val="auto"/>
          <w:sz w:val="21"/>
          <w:szCs w:val="21"/>
        </w:rPr>
      </w:pPr>
    </w:p>
    <w:p>
      <w:pPr>
        <w:widowControl w:val="0"/>
        <w:tabs>
          <w:tab w:val="left" w:pos="3435"/>
        </w:tabs>
        <w:adjustRightInd w:val="0"/>
        <w:snapToGrid w:val="0"/>
        <w:rPr>
          <w:rFonts w:ascii="宋体" w:hAnsi="宋体"/>
          <w:b/>
          <w:color w:val="auto"/>
          <w:sz w:val="21"/>
          <w:szCs w:val="21"/>
        </w:rPr>
      </w:pPr>
      <w:r>
        <w:rPr>
          <w:rFonts w:ascii="宋体" w:hAnsi="宋体"/>
          <w:b/>
          <w:color w:val="auto"/>
          <w:sz w:val="21"/>
          <w:szCs w:val="21"/>
        </w:rPr>
        <w:t>说明：1.投标人拟投的货物与招标文件中设置的技术参数不一致时，则必须在</w:t>
      </w:r>
      <w:r>
        <w:rPr>
          <w:rFonts w:hint="eastAsia" w:ascii="宋体" w:hAnsi="宋体"/>
          <w:b/>
          <w:color w:val="auto"/>
          <w:sz w:val="21"/>
          <w:szCs w:val="21"/>
        </w:rPr>
        <w:t>此表</w:t>
      </w:r>
      <w:r>
        <w:rPr>
          <w:rFonts w:ascii="宋体" w:hAnsi="宋体"/>
          <w:b/>
          <w:color w:val="auto"/>
          <w:sz w:val="21"/>
          <w:szCs w:val="21"/>
        </w:rPr>
        <w:t>中予以明确。否则将视为投标人完全响应招标文件的要求，并以招标文件作为验收条件。</w:t>
      </w:r>
    </w:p>
    <w:p>
      <w:pPr>
        <w:widowControl w:val="0"/>
        <w:tabs>
          <w:tab w:val="left" w:pos="3435"/>
        </w:tabs>
        <w:adjustRightInd w:val="0"/>
        <w:snapToGrid w:val="0"/>
        <w:ind w:firstLine="620" w:firstLineChars="294"/>
        <w:rPr>
          <w:rFonts w:ascii="宋体" w:hAnsi="宋体"/>
          <w:b/>
          <w:color w:val="auto"/>
          <w:sz w:val="21"/>
          <w:szCs w:val="21"/>
        </w:rPr>
      </w:pPr>
      <w:r>
        <w:rPr>
          <w:rFonts w:ascii="宋体" w:hAnsi="宋体"/>
          <w:b/>
          <w:color w:val="auto"/>
          <w:sz w:val="21"/>
          <w:szCs w:val="21"/>
        </w:rPr>
        <w:t>2.</w:t>
      </w:r>
      <w:r>
        <w:rPr>
          <w:rFonts w:hint="eastAsia" w:ascii="宋体" w:hAnsi="宋体"/>
          <w:b/>
          <w:color w:val="auto"/>
          <w:sz w:val="21"/>
          <w:szCs w:val="21"/>
        </w:rPr>
        <w:t>偏离</w:t>
      </w:r>
      <w:r>
        <w:rPr>
          <w:rFonts w:ascii="宋体" w:hAnsi="宋体"/>
          <w:b/>
          <w:color w:val="auto"/>
          <w:sz w:val="21"/>
          <w:szCs w:val="21"/>
        </w:rPr>
        <w:t>情况分别为：正偏离、</w:t>
      </w:r>
      <w:r>
        <w:rPr>
          <w:rFonts w:hint="eastAsia" w:ascii="宋体" w:hAnsi="宋体"/>
          <w:b/>
          <w:color w:val="auto"/>
          <w:sz w:val="21"/>
          <w:szCs w:val="21"/>
        </w:rPr>
        <w:t>无偏离</w:t>
      </w:r>
      <w:r>
        <w:rPr>
          <w:rFonts w:ascii="宋体" w:hAnsi="宋体"/>
          <w:b/>
          <w:color w:val="auto"/>
          <w:sz w:val="21"/>
          <w:szCs w:val="21"/>
        </w:rPr>
        <w:t>或负偏离。投标人可在备注栏内就偏离原因进行简要说明。</w:t>
      </w:r>
    </w:p>
    <w:p>
      <w:pPr>
        <w:pStyle w:val="25"/>
        <w:widowControl w:val="0"/>
        <w:adjustRightInd w:val="0"/>
        <w:snapToGrid w:val="0"/>
        <w:spacing w:before="0" w:beforeAutospacing="0" w:after="0" w:afterAutospacing="0" w:line="360" w:lineRule="auto"/>
        <w:ind w:firstLine="720" w:firstLineChars="300"/>
        <w:rPr>
          <w:color w:val="auto"/>
        </w:rPr>
      </w:pPr>
    </w:p>
    <w:p>
      <w:pPr>
        <w:pStyle w:val="25"/>
        <w:widowControl w:val="0"/>
        <w:adjustRightInd w:val="0"/>
        <w:snapToGrid w:val="0"/>
        <w:spacing w:before="0" w:beforeAutospacing="0" w:after="0" w:afterAutospacing="0" w:line="360" w:lineRule="auto"/>
        <w:ind w:firstLine="720" w:firstLineChars="300"/>
        <w:rPr>
          <w:color w:val="auto"/>
        </w:rPr>
      </w:pPr>
    </w:p>
    <w:p>
      <w:pPr>
        <w:pStyle w:val="25"/>
        <w:widowControl w:val="0"/>
        <w:adjustRightInd w:val="0"/>
        <w:snapToGrid w:val="0"/>
        <w:spacing w:before="0" w:beforeAutospacing="0" w:after="0" w:afterAutospacing="0" w:line="360" w:lineRule="auto"/>
        <w:ind w:firstLine="720" w:firstLineChars="300"/>
        <w:rPr>
          <w:color w:val="auto"/>
        </w:rPr>
      </w:pPr>
      <w:r>
        <w:rPr>
          <w:color w:val="auto"/>
        </w:rPr>
        <w:t xml:space="preserve">投标人（电子签章）：__________________________ </w:t>
      </w:r>
    </w:p>
    <w:p>
      <w:pPr>
        <w:spacing w:line="360" w:lineRule="auto"/>
        <w:ind w:firstLine="720" w:firstLineChars="300"/>
        <w:jc w:val="both"/>
        <w:rPr>
          <w:color w:val="auto"/>
        </w:rPr>
        <w:sectPr>
          <w:pgSz w:w="11906" w:h="16838"/>
          <w:pgMar w:top="1259" w:right="1287" w:bottom="1361" w:left="1622" w:header="709" w:footer="975" w:gutter="0"/>
          <w:cols w:space="720" w:num="1"/>
          <w:docGrid w:linePitch="360" w:charSpace="0"/>
        </w:sectPr>
      </w:pPr>
      <w:r>
        <w:rPr>
          <w:color w:val="auto"/>
        </w:rPr>
        <w:t>日期：</w:t>
      </w:r>
      <w:r>
        <w:rPr>
          <w:color w:val="auto"/>
          <w:u w:val="single"/>
        </w:rPr>
        <w:t xml:space="preserve">      </w:t>
      </w:r>
      <w:r>
        <w:rPr>
          <w:color w:val="auto"/>
        </w:rPr>
        <w:t>年____月____日</w:t>
      </w:r>
    </w:p>
    <w:p>
      <w:pPr>
        <w:pStyle w:val="41"/>
        <w:widowControl w:val="0"/>
        <w:adjustRightInd w:val="0"/>
        <w:snapToGrid w:val="0"/>
        <w:spacing w:line="390" w:lineRule="atLeast"/>
        <w:jc w:val="center"/>
        <w:rPr>
          <w:rFonts w:hint="default"/>
          <w:b/>
          <w:color w:val="auto"/>
          <w:sz w:val="32"/>
          <w:szCs w:val="32"/>
        </w:rPr>
      </w:pPr>
      <w:r>
        <w:rPr>
          <w:b/>
          <w:color w:val="auto"/>
          <w:sz w:val="32"/>
          <w:szCs w:val="32"/>
        </w:rPr>
        <w:t>五</w:t>
      </w:r>
      <w:r>
        <w:rPr>
          <w:rFonts w:hint="default"/>
          <w:b/>
          <w:color w:val="auto"/>
          <w:sz w:val="32"/>
          <w:szCs w:val="32"/>
        </w:rPr>
        <w:t>、服务条款</w:t>
      </w:r>
      <w:r>
        <w:rPr>
          <w:b/>
          <w:color w:val="auto"/>
          <w:sz w:val="32"/>
          <w:szCs w:val="32"/>
        </w:rPr>
        <w:t>偏离</w:t>
      </w:r>
      <w:r>
        <w:rPr>
          <w:rFonts w:hint="default"/>
          <w:b/>
          <w:color w:val="auto"/>
          <w:sz w:val="32"/>
          <w:szCs w:val="32"/>
        </w:rPr>
        <w:t>表</w:t>
      </w:r>
    </w:p>
    <w:p>
      <w:pPr>
        <w:pStyle w:val="41"/>
        <w:widowControl w:val="0"/>
        <w:adjustRightInd w:val="0"/>
        <w:snapToGrid w:val="0"/>
        <w:rPr>
          <w:rFonts w:hint="default"/>
          <w:color w:val="auto"/>
        </w:rPr>
      </w:pPr>
      <w:r>
        <w:rPr>
          <w:rFonts w:hint="default"/>
          <w:color w:val="auto"/>
        </w:rPr>
        <w:t xml:space="preserve"> </w:t>
      </w:r>
    </w:p>
    <w:tbl>
      <w:tblPr>
        <w:tblStyle w:val="4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0"/>
        <w:gridCol w:w="2773"/>
        <w:gridCol w:w="14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序号</w:t>
            </w:r>
          </w:p>
        </w:tc>
        <w:tc>
          <w:tcPr>
            <w:tcW w:w="3180"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招标文件要求</w:t>
            </w:r>
          </w:p>
        </w:tc>
        <w:tc>
          <w:tcPr>
            <w:tcW w:w="2773"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投标响应内容</w:t>
            </w:r>
          </w:p>
        </w:tc>
        <w:tc>
          <w:tcPr>
            <w:tcW w:w="1452"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偏离情况</w:t>
            </w:r>
          </w:p>
        </w:tc>
        <w:tc>
          <w:tcPr>
            <w:tcW w:w="1134"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1</w:t>
            </w:r>
          </w:p>
        </w:tc>
        <w:tc>
          <w:tcPr>
            <w:tcW w:w="3180"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（工期/交货时间）</w:t>
            </w:r>
          </w:p>
        </w:tc>
        <w:tc>
          <w:tcPr>
            <w:tcW w:w="2773" w:type="dxa"/>
            <w:noWrap w:val="0"/>
            <w:vAlign w:val="center"/>
          </w:tcPr>
          <w:p>
            <w:pPr>
              <w:pStyle w:val="41"/>
              <w:widowControl w:val="0"/>
              <w:adjustRightInd w:val="0"/>
              <w:snapToGrid w:val="0"/>
              <w:jc w:val="both"/>
              <w:rPr>
                <w:rFonts w:hint="default" w:ascii="Times New Roman" w:hAnsi="Times New Roman"/>
                <w:color w:val="auto"/>
              </w:rPr>
            </w:pPr>
          </w:p>
        </w:tc>
        <w:tc>
          <w:tcPr>
            <w:tcW w:w="1452" w:type="dxa"/>
            <w:noWrap w:val="0"/>
            <w:vAlign w:val="center"/>
          </w:tcPr>
          <w:p>
            <w:pPr>
              <w:pStyle w:val="41"/>
              <w:widowControl w:val="0"/>
              <w:adjustRightInd w:val="0"/>
              <w:snapToGrid w:val="0"/>
              <w:jc w:val="center"/>
              <w:rPr>
                <w:rFonts w:hint="default" w:ascii="Times New Roman" w:hAnsi="Times New Roman"/>
                <w:color w:val="auto"/>
              </w:rPr>
            </w:pPr>
          </w:p>
        </w:tc>
        <w:tc>
          <w:tcPr>
            <w:tcW w:w="1134"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2</w:t>
            </w:r>
          </w:p>
        </w:tc>
        <w:tc>
          <w:tcPr>
            <w:tcW w:w="3180"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（质保期）</w:t>
            </w:r>
          </w:p>
        </w:tc>
        <w:tc>
          <w:tcPr>
            <w:tcW w:w="2773" w:type="dxa"/>
            <w:noWrap w:val="0"/>
            <w:vAlign w:val="center"/>
          </w:tcPr>
          <w:p>
            <w:pPr>
              <w:pStyle w:val="41"/>
              <w:widowControl w:val="0"/>
              <w:adjustRightInd w:val="0"/>
              <w:snapToGrid w:val="0"/>
              <w:jc w:val="both"/>
              <w:rPr>
                <w:rFonts w:hint="default" w:ascii="Times New Roman" w:hAnsi="Times New Roman"/>
                <w:color w:val="auto"/>
              </w:rPr>
            </w:pPr>
          </w:p>
        </w:tc>
        <w:tc>
          <w:tcPr>
            <w:tcW w:w="1452" w:type="dxa"/>
            <w:noWrap w:val="0"/>
            <w:vAlign w:val="center"/>
          </w:tcPr>
          <w:p>
            <w:pPr>
              <w:pStyle w:val="41"/>
              <w:widowControl w:val="0"/>
              <w:adjustRightInd w:val="0"/>
              <w:snapToGrid w:val="0"/>
              <w:jc w:val="center"/>
              <w:rPr>
                <w:rFonts w:hint="default" w:ascii="Times New Roman" w:hAnsi="Times New Roman"/>
                <w:color w:val="auto"/>
              </w:rPr>
            </w:pPr>
          </w:p>
        </w:tc>
        <w:tc>
          <w:tcPr>
            <w:tcW w:w="1134"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3</w:t>
            </w:r>
          </w:p>
        </w:tc>
        <w:tc>
          <w:tcPr>
            <w:tcW w:w="3180"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（付款方式）</w:t>
            </w:r>
          </w:p>
        </w:tc>
        <w:tc>
          <w:tcPr>
            <w:tcW w:w="2773" w:type="dxa"/>
            <w:noWrap w:val="0"/>
            <w:vAlign w:val="center"/>
          </w:tcPr>
          <w:p>
            <w:pPr>
              <w:pStyle w:val="41"/>
              <w:widowControl w:val="0"/>
              <w:adjustRightInd w:val="0"/>
              <w:snapToGrid w:val="0"/>
              <w:jc w:val="both"/>
              <w:rPr>
                <w:rFonts w:hint="default" w:ascii="Times New Roman" w:hAnsi="Times New Roman"/>
                <w:color w:val="auto"/>
              </w:rPr>
            </w:pPr>
          </w:p>
        </w:tc>
        <w:tc>
          <w:tcPr>
            <w:tcW w:w="1452" w:type="dxa"/>
            <w:noWrap w:val="0"/>
            <w:vAlign w:val="center"/>
          </w:tcPr>
          <w:p>
            <w:pPr>
              <w:pStyle w:val="41"/>
              <w:widowControl w:val="0"/>
              <w:adjustRightInd w:val="0"/>
              <w:snapToGrid w:val="0"/>
              <w:jc w:val="both"/>
              <w:rPr>
                <w:rFonts w:hint="default" w:ascii="Times New Roman" w:hAnsi="Times New Roman"/>
                <w:color w:val="auto"/>
              </w:rPr>
            </w:pPr>
          </w:p>
        </w:tc>
        <w:tc>
          <w:tcPr>
            <w:tcW w:w="1134"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41"/>
              <w:widowControl w:val="0"/>
              <w:adjustRightInd w:val="0"/>
              <w:snapToGrid w:val="0"/>
              <w:jc w:val="center"/>
              <w:rPr>
                <w:rFonts w:hint="default" w:ascii="Times New Roman" w:hAnsi="Times New Roman"/>
                <w:color w:val="auto"/>
              </w:rPr>
            </w:pPr>
            <w:r>
              <w:rPr>
                <w:rFonts w:hint="default" w:ascii="Times New Roman" w:hAnsi="Times New Roman"/>
                <w:color w:val="auto"/>
              </w:rPr>
              <w:t>4</w:t>
            </w:r>
          </w:p>
        </w:tc>
        <w:tc>
          <w:tcPr>
            <w:tcW w:w="3180" w:type="dxa"/>
            <w:noWrap w:val="0"/>
            <w:vAlign w:val="center"/>
          </w:tcPr>
          <w:p>
            <w:pPr>
              <w:pStyle w:val="41"/>
              <w:widowControl w:val="0"/>
              <w:adjustRightInd w:val="0"/>
              <w:snapToGrid w:val="0"/>
              <w:jc w:val="center"/>
              <w:rPr>
                <w:rFonts w:hint="default" w:ascii="Times New Roman" w:hAnsi="Times New Roman"/>
                <w:color w:val="auto"/>
              </w:rPr>
            </w:pPr>
          </w:p>
        </w:tc>
        <w:tc>
          <w:tcPr>
            <w:tcW w:w="2773" w:type="dxa"/>
            <w:noWrap w:val="0"/>
            <w:vAlign w:val="center"/>
          </w:tcPr>
          <w:p>
            <w:pPr>
              <w:pStyle w:val="41"/>
              <w:widowControl w:val="0"/>
              <w:adjustRightInd w:val="0"/>
              <w:snapToGrid w:val="0"/>
              <w:jc w:val="both"/>
              <w:rPr>
                <w:rFonts w:hint="default" w:ascii="Times New Roman" w:hAnsi="Times New Roman"/>
                <w:color w:val="auto"/>
              </w:rPr>
            </w:pPr>
          </w:p>
        </w:tc>
        <w:tc>
          <w:tcPr>
            <w:tcW w:w="1452" w:type="dxa"/>
            <w:noWrap w:val="0"/>
            <w:vAlign w:val="center"/>
          </w:tcPr>
          <w:p>
            <w:pPr>
              <w:pStyle w:val="41"/>
              <w:widowControl w:val="0"/>
              <w:adjustRightInd w:val="0"/>
              <w:snapToGrid w:val="0"/>
              <w:jc w:val="both"/>
              <w:rPr>
                <w:rFonts w:hint="default" w:ascii="Times New Roman" w:hAnsi="Times New Roman"/>
                <w:color w:val="auto"/>
              </w:rPr>
            </w:pPr>
          </w:p>
        </w:tc>
        <w:tc>
          <w:tcPr>
            <w:tcW w:w="1134" w:type="dxa"/>
            <w:noWrap w:val="0"/>
            <w:vAlign w:val="center"/>
          </w:tcPr>
          <w:p>
            <w:pPr>
              <w:pStyle w:val="41"/>
              <w:widowControl w:val="0"/>
              <w:adjustRightInd w:val="0"/>
              <w:snapToGrid w:val="0"/>
              <w:jc w:val="both"/>
              <w:rPr>
                <w:rFonts w:hint="default"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41"/>
              <w:widowControl w:val="0"/>
              <w:adjustRightInd w:val="0"/>
              <w:snapToGrid w:val="0"/>
              <w:jc w:val="center"/>
              <w:rPr>
                <w:rFonts w:hint="default" w:ascii="Times New Roman" w:hAnsi="Times New Roman"/>
                <w:color w:val="auto"/>
              </w:rPr>
            </w:pPr>
          </w:p>
        </w:tc>
        <w:tc>
          <w:tcPr>
            <w:tcW w:w="3180" w:type="dxa"/>
            <w:noWrap w:val="0"/>
            <w:vAlign w:val="center"/>
          </w:tcPr>
          <w:p>
            <w:pPr>
              <w:pStyle w:val="41"/>
              <w:widowControl w:val="0"/>
              <w:adjustRightInd w:val="0"/>
              <w:snapToGrid w:val="0"/>
              <w:jc w:val="both"/>
              <w:rPr>
                <w:rFonts w:hint="default" w:ascii="Times New Roman" w:hAnsi="Times New Roman"/>
                <w:color w:val="auto"/>
              </w:rPr>
            </w:pPr>
            <w:r>
              <w:rPr>
                <w:rFonts w:hint="default" w:ascii="Times New Roman" w:hAnsi="Times New Roman"/>
                <w:color w:val="auto"/>
              </w:rPr>
              <w:t>……</w:t>
            </w:r>
          </w:p>
        </w:tc>
        <w:tc>
          <w:tcPr>
            <w:tcW w:w="2773" w:type="dxa"/>
            <w:noWrap w:val="0"/>
            <w:vAlign w:val="center"/>
          </w:tcPr>
          <w:p>
            <w:pPr>
              <w:pStyle w:val="41"/>
              <w:widowControl w:val="0"/>
              <w:adjustRightInd w:val="0"/>
              <w:snapToGrid w:val="0"/>
              <w:jc w:val="both"/>
              <w:rPr>
                <w:rFonts w:hint="default" w:ascii="Times New Roman" w:hAnsi="Times New Roman"/>
                <w:color w:val="auto"/>
              </w:rPr>
            </w:pPr>
          </w:p>
        </w:tc>
        <w:tc>
          <w:tcPr>
            <w:tcW w:w="1452" w:type="dxa"/>
            <w:noWrap w:val="0"/>
            <w:vAlign w:val="center"/>
          </w:tcPr>
          <w:p>
            <w:pPr>
              <w:pStyle w:val="41"/>
              <w:widowControl w:val="0"/>
              <w:adjustRightInd w:val="0"/>
              <w:snapToGrid w:val="0"/>
              <w:jc w:val="both"/>
              <w:rPr>
                <w:rFonts w:hint="default" w:ascii="Times New Roman" w:hAnsi="Times New Roman"/>
                <w:color w:val="auto"/>
              </w:rPr>
            </w:pPr>
          </w:p>
        </w:tc>
        <w:tc>
          <w:tcPr>
            <w:tcW w:w="1134" w:type="dxa"/>
            <w:noWrap w:val="0"/>
            <w:vAlign w:val="center"/>
          </w:tcPr>
          <w:p>
            <w:pPr>
              <w:pStyle w:val="41"/>
              <w:widowControl w:val="0"/>
              <w:adjustRightInd w:val="0"/>
              <w:snapToGrid w:val="0"/>
              <w:jc w:val="both"/>
              <w:rPr>
                <w:rFonts w:hint="default" w:ascii="Times New Roman" w:hAnsi="Times New Roman"/>
                <w:color w:val="auto"/>
              </w:rPr>
            </w:pPr>
          </w:p>
        </w:tc>
      </w:tr>
    </w:tbl>
    <w:p>
      <w:pPr>
        <w:pStyle w:val="25"/>
        <w:widowControl w:val="0"/>
        <w:adjustRightInd w:val="0"/>
        <w:snapToGrid w:val="0"/>
        <w:spacing w:before="0" w:beforeAutospacing="0" w:after="0" w:afterAutospacing="0" w:line="360" w:lineRule="auto"/>
        <w:rPr>
          <w:color w:val="auto"/>
        </w:rPr>
      </w:pPr>
    </w:p>
    <w:p>
      <w:pPr>
        <w:pStyle w:val="25"/>
        <w:widowControl w:val="0"/>
        <w:adjustRightInd w:val="0"/>
        <w:snapToGrid w:val="0"/>
        <w:spacing w:before="0" w:beforeAutospacing="0" w:after="0" w:afterAutospacing="0"/>
        <w:rPr>
          <w:rFonts w:hint="eastAsia"/>
          <w:b/>
          <w:color w:val="auto"/>
          <w:sz w:val="21"/>
          <w:szCs w:val="21"/>
        </w:rPr>
      </w:pPr>
      <w:r>
        <w:rPr>
          <w:b/>
          <w:color w:val="auto"/>
          <w:sz w:val="21"/>
          <w:szCs w:val="21"/>
        </w:rPr>
        <w:t>说明：1.投标人拟提供的服务承诺与招标文件中的要求不一致时，则必须在</w:t>
      </w:r>
      <w:r>
        <w:rPr>
          <w:rFonts w:hint="eastAsia"/>
          <w:b/>
          <w:color w:val="auto"/>
          <w:sz w:val="21"/>
          <w:szCs w:val="21"/>
        </w:rPr>
        <w:t>此表</w:t>
      </w:r>
      <w:r>
        <w:rPr>
          <w:b/>
          <w:color w:val="auto"/>
          <w:sz w:val="21"/>
          <w:szCs w:val="21"/>
        </w:rPr>
        <w:t>中予以明确。否则将视为投标人完全响应招标文件的要求，并以招标文件作为合同条件。</w:t>
      </w:r>
    </w:p>
    <w:p>
      <w:pPr>
        <w:pStyle w:val="25"/>
        <w:widowControl w:val="0"/>
        <w:adjustRightInd w:val="0"/>
        <w:snapToGrid w:val="0"/>
        <w:spacing w:before="0" w:beforeAutospacing="0" w:after="0" w:afterAutospacing="0"/>
        <w:rPr>
          <w:b/>
          <w:color w:val="auto"/>
          <w:sz w:val="21"/>
          <w:szCs w:val="21"/>
        </w:rPr>
      </w:pPr>
      <w:r>
        <w:rPr>
          <w:b/>
          <w:color w:val="auto"/>
          <w:sz w:val="21"/>
          <w:szCs w:val="21"/>
        </w:rPr>
        <w:t>    2.</w:t>
      </w:r>
      <w:r>
        <w:rPr>
          <w:rFonts w:hint="eastAsia"/>
          <w:b/>
          <w:color w:val="auto"/>
          <w:sz w:val="21"/>
          <w:szCs w:val="21"/>
        </w:rPr>
        <w:t>偏离</w:t>
      </w:r>
      <w:r>
        <w:rPr>
          <w:b/>
          <w:color w:val="auto"/>
          <w:sz w:val="21"/>
          <w:szCs w:val="21"/>
        </w:rPr>
        <w:t>情况分别为：正偏离、</w:t>
      </w:r>
      <w:r>
        <w:rPr>
          <w:rFonts w:hint="eastAsia"/>
          <w:b/>
          <w:color w:val="auto"/>
          <w:sz w:val="21"/>
          <w:szCs w:val="21"/>
        </w:rPr>
        <w:t>无偏离</w:t>
      </w:r>
      <w:r>
        <w:rPr>
          <w:b/>
          <w:color w:val="auto"/>
          <w:sz w:val="21"/>
          <w:szCs w:val="21"/>
        </w:rPr>
        <w:t>或负偏离。投标人可在备注栏内就偏离原因进行简要说明。</w:t>
      </w:r>
    </w:p>
    <w:p>
      <w:pPr>
        <w:pStyle w:val="25"/>
        <w:widowControl w:val="0"/>
        <w:adjustRightInd w:val="0"/>
        <w:snapToGrid w:val="0"/>
        <w:spacing w:before="0" w:beforeAutospacing="0" w:after="0" w:afterAutospacing="0"/>
        <w:rPr>
          <w:color w:val="auto"/>
        </w:rPr>
      </w:pPr>
    </w:p>
    <w:p>
      <w:pPr>
        <w:pStyle w:val="25"/>
        <w:widowControl w:val="0"/>
        <w:adjustRightInd w:val="0"/>
        <w:snapToGrid w:val="0"/>
        <w:spacing w:before="0" w:beforeAutospacing="0" w:after="0" w:afterAutospacing="0"/>
        <w:rPr>
          <w:color w:val="auto"/>
        </w:rPr>
      </w:pPr>
    </w:p>
    <w:p>
      <w:pPr>
        <w:pStyle w:val="25"/>
        <w:widowControl w:val="0"/>
        <w:adjustRightInd w:val="0"/>
        <w:snapToGrid w:val="0"/>
        <w:spacing w:before="0" w:beforeAutospacing="0" w:after="0" w:afterAutospacing="0"/>
        <w:rPr>
          <w:color w:val="auto"/>
        </w:rPr>
      </w:pPr>
    </w:p>
    <w:p>
      <w:pPr>
        <w:pStyle w:val="25"/>
        <w:widowControl w:val="0"/>
        <w:adjustRightInd w:val="0"/>
        <w:snapToGrid w:val="0"/>
        <w:spacing w:before="0" w:beforeAutospacing="0" w:after="0" w:afterAutospacing="0" w:line="360" w:lineRule="auto"/>
        <w:ind w:firstLine="720" w:firstLineChars="300"/>
        <w:rPr>
          <w:color w:val="auto"/>
        </w:rPr>
      </w:pPr>
      <w:r>
        <w:rPr>
          <w:color w:val="auto"/>
        </w:rPr>
        <w:t>投标人（电子签章）：__________________________</w:t>
      </w:r>
    </w:p>
    <w:p>
      <w:pPr>
        <w:pStyle w:val="25"/>
        <w:widowControl w:val="0"/>
        <w:adjustRightInd w:val="0"/>
        <w:snapToGrid w:val="0"/>
        <w:spacing w:before="0" w:beforeAutospacing="0" w:after="0" w:afterAutospacing="0"/>
        <w:ind w:firstLine="720" w:firstLineChars="300"/>
        <w:rPr>
          <w:color w:val="auto"/>
          <w:u w:val="single"/>
        </w:rPr>
      </w:pPr>
      <w:r>
        <w:rPr>
          <w:color w:val="auto"/>
        </w:rPr>
        <w:t>日期：____年____月____日</w:t>
      </w:r>
    </w:p>
    <w:p>
      <w:pPr>
        <w:spacing w:line="360" w:lineRule="auto"/>
        <w:jc w:val="center"/>
        <w:rPr>
          <w:color w:val="auto"/>
          <w:lang w:val="zh-CN"/>
        </w:rPr>
        <w:sectPr>
          <w:pgSz w:w="11906" w:h="16838"/>
          <w:pgMar w:top="1259" w:right="1287" w:bottom="1361" w:left="1622" w:header="709" w:footer="975" w:gutter="0"/>
          <w:cols w:space="720" w:num="1"/>
          <w:docGrid w:linePitch="360" w:charSpace="0"/>
        </w:sectPr>
      </w:pPr>
    </w:p>
    <w:p>
      <w:pPr>
        <w:pStyle w:val="25"/>
        <w:widowControl w:val="0"/>
        <w:adjustRightInd w:val="0"/>
        <w:snapToGrid w:val="0"/>
        <w:jc w:val="center"/>
        <w:rPr>
          <w:rFonts w:hint="eastAsia"/>
          <w:color w:val="auto"/>
          <w:spacing w:val="60"/>
          <w:sz w:val="32"/>
          <w:szCs w:val="32"/>
        </w:rPr>
      </w:pPr>
      <w:r>
        <w:rPr>
          <w:rFonts w:hint="eastAsia"/>
          <w:b/>
          <w:color w:val="auto"/>
          <w:sz w:val="32"/>
          <w:szCs w:val="32"/>
        </w:rPr>
        <w:t>六</w:t>
      </w:r>
      <w:r>
        <w:rPr>
          <w:b/>
          <w:color w:val="auto"/>
          <w:sz w:val="32"/>
          <w:szCs w:val="32"/>
        </w:rPr>
        <w:t>、项目实施人员一览表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5"/>
              <w:widowControl w:val="0"/>
              <w:snapToGrid w:val="0"/>
              <w:jc w:val="center"/>
              <w:rPr>
                <w:rFonts w:eastAsia="宋体" w:cs="Times New Roman"/>
                <w:color w:val="auto"/>
              </w:rPr>
            </w:pPr>
            <w:r>
              <w:rPr>
                <w:rFonts w:eastAsia="宋体" w:cs="Times New Roman"/>
                <w:color w:val="auto"/>
              </w:rPr>
              <w:t>序号</w:t>
            </w:r>
          </w:p>
        </w:tc>
        <w:tc>
          <w:tcPr>
            <w:tcW w:w="1740" w:type="dxa"/>
            <w:noWrap w:val="0"/>
            <w:vAlign w:val="center"/>
          </w:tcPr>
          <w:p>
            <w:pPr>
              <w:pStyle w:val="25"/>
              <w:widowControl w:val="0"/>
              <w:snapToGrid w:val="0"/>
              <w:jc w:val="center"/>
              <w:rPr>
                <w:rFonts w:eastAsia="宋体" w:cs="Times New Roman"/>
                <w:color w:val="auto"/>
              </w:rPr>
            </w:pPr>
            <w:r>
              <w:rPr>
                <w:rFonts w:eastAsia="宋体" w:cs="Times New Roman"/>
                <w:color w:val="auto"/>
              </w:rPr>
              <w:t>姓名</w:t>
            </w:r>
          </w:p>
        </w:tc>
        <w:tc>
          <w:tcPr>
            <w:tcW w:w="2118" w:type="dxa"/>
            <w:noWrap w:val="0"/>
            <w:vAlign w:val="center"/>
          </w:tcPr>
          <w:p>
            <w:pPr>
              <w:pStyle w:val="25"/>
              <w:widowControl w:val="0"/>
              <w:snapToGrid w:val="0"/>
              <w:jc w:val="center"/>
              <w:rPr>
                <w:rFonts w:eastAsia="宋体" w:cs="Times New Roman"/>
                <w:color w:val="auto"/>
              </w:rPr>
            </w:pPr>
            <w:r>
              <w:rPr>
                <w:rFonts w:eastAsia="宋体" w:cs="Times New Roman"/>
                <w:color w:val="auto"/>
              </w:rPr>
              <w:t>职务/职称</w:t>
            </w:r>
          </w:p>
        </w:tc>
        <w:tc>
          <w:tcPr>
            <w:tcW w:w="2880" w:type="dxa"/>
            <w:noWrap w:val="0"/>
            <w:vAlign w:val="center"/>
          </w:tcPr>
          <w:p>
            <w:pPr>
              <w:pStyle w:val="25"/>
              <w:widowControl w:val="0"/>
              <w:snapToGrid w:val="0"/>
              <w:jc w:val="center"/>
              <w:rPr>
                <w:rFonts w:eastAsia="宋体" w:cs="Times New Roman"/>
                <w:color w:val="auto"/>
              </w:rPr>
            </w:pPr>
            <w:r>
              <w:rPr>
                <w:rFonts w:eastAsia="宋体" w:cs="Times New Roman"/>
                <w:color w:val="auto"/>
              </w:rPr>
              <w:t>拟负责岗位</w:t>
            </w:r>
          </w:p>
        </w:tc>
        <w:tc>
          <w:tcPr>
            <w:tcW w:w="1482" w:type="dxa"/>
            <w:noWrap w:val="0"/>
            <w:vAlign w:val="center"/>
          </w:tcPr>
          <w:p>
            <w:pPr>
              <w:pStyle w:val="25"/>
              <w:widowControl w:val="0"/>
              <w:snapToGrid w:val="0"/>
              <w:jc w:val="center"/>
              <w:rPr>
                <w:rFonts w:eastAsia="宋体" w:cs="Times New Roman"/>
                <w:color w:val="auto"/>
              </w:rPr>
            </w:pPr>
            <w:r>
              <w:rPr>
                <w:rFonts w:eastAsia="宋体" w:cs="Times New Roman"/>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5"/>
              <w:widowControl w:val="0"/>
              <w:snapToGrid w:val="0"/>
              <w:ind w:left="480" w:firstLine="480"/>
              <w:jc w:val="center"/>
              <w:rPr>
                <w:rFonts w:eastAsia="宋体" w:cs="Times New Roman"/>
                <w:color w:val="auto"/>
              </w:rPr>
            </w:pPr>
          </w:p>
        </w:tc>
        <w:tc>
          <w:tcPr>
            <w:tcW w:w="1740" w:type="dxa"/>
            <w:noWrap w:val="0"/>
            <w:vAlign w:val="center"/>
          </w:tcPr>
          <w:p>
            <w:pPr>
              <w:pStyle w:val="25"/>
              <w:widowControl w:val="0"/>
              <w:snapToGrid w:val="0"/>
              <w:rPr>
                <w:rFonts w:eastAsia="宋体" w:cs="Times New Roman"/>
                <w:color w:val="auto"/>
              </w:rPr>
            </w:pPr>
            <w:r>
              <w:rPr>
                <w:rFonts w:eastAsia="宋体" w:cs="Times New Roman"/>
                <w:color w:val="auto"/>
              </w:rPr>
              <w:t>……</w:t>
            </w:r>
          </w:p>
        </w:tc>
        <w:tc>
          <w:tcPr>
            <w:tcW w:w="2118" w:type="dxa"/>
            <w:noWrap w:val="0"/>
            <w:vAlign w:val="center"/>
          </w:tcPr>
          <w:p>
            <w:pPr>
              <w:pStyle w:val="25"/>
              <w:widowControl w:val="0"/>
              <w:snapToGrid w:val="0"/>
              <w:ind w:left="480" w:firstLine="480"/>
              <w:jc w:val="center"/>
              <w:rPr>
                <w:rFonts w:eastAsia="宋体" w:cs="Times New Roman"/>
                <w:color w:val="auto"/>
              </w:rPr>
            </w:pPr>
          </w:p>
        </w:tc>
        <w:tc>
          <w:tcPr>
            <w:tcW w:w="2880" w:type="dxa"/>
            <w:noWrap w:val="0"/>
            <w:vAlign w:val="center"/>
          </w:tcPr>
          <w:p>
            <w:pPr>
              <w:pStyle w:val="25"/>
              <w:widowControl w:val="0"/>
              <w:snapToGrid w:val="0"/>
              <w:ind w:left="480" w:firstLine="480"/>
              <w:jc w:val="center"/>
              <w:rPr>
                <w:rFonts w:eastAsia="宋体" w:cs="Times New Roman"/>
                <w:color w:val="auto"/>
              </w:rPr>
            </w:pPr>
          </w:p>
        </w:tc>
        <w:tc>
          <w:tcPr>
            <w:tcW w:w="1482" w:type="dxa"/>
            <w:noWrap w:val="0"/>
            <w:vAlign w:val="center"/>
          </w:tcPr>
          <w:p>
            <w:pPr>
              <w:pStyle w:val="25"/>
              <w:widowControl w:val="0"/>
              <w:snapToGrid w:val="0"/>
              <w:ind w:left="480" w:firstLine="480"/>
              <w:jc w:val="center"/>
              <w:rPr>
                <w:rFonts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5"/>
              <w:widowControl w:val="0"/>
              <w:snapToGrid w:val="0"/>
              <w:ind w:left="480" w:firstLine="480"/>
              <w:jc w:val="center"/>
              <w:rPr>
                <w:rFonts w:eastAsia="宋体" w:cs="Times New Roman"/>
                <w:color w:val="auto"/>
              </w:rPr>
            </w:pPr>
          </w:p>
        </w:tc>
        <w:tc>
          <w:tcPr>
            <w:tcW w:w="1740" w:type="dxa"/>
            <w:noWrap w:val="0"/>
            <w:vAlign w:val="center"/>
          </w:tcPr>
          <w:p>
            <w:pPr>
              <w:pStyle w:val="25"/>
              <w:widowControl w:val="0"/>
              <w:snapToGrid w:val="0"/>
              <w:ind w:left="480" w:firstLine="480"/>
              <w:jc w:val="center"/>
              <w:rPr>
                <w:rFonts w:eastAsia="宋体" w:cs="Times New Roman"/>
                <w:color w:val="auto"/>
              </w:rPr>
            </w:pPr>
          </w:p>
        </w:tc>
        <w:tc>
          <w:tcPr>
            <w:tcW w:w="2118" w:type="dxa"/>
            <w:noWrap w:val="0"/>
            <w:vAlign w:val="center"/>
          </w:tcPr>
          <w:p>
            <w:pPr>
              <w:pStyle w:val="25"/>
              <w:widowControl w:val="0"/>
              <w:snapToGrid w:val="0"/>
              <w:ind w:left="480" w:firstLine="480"/>
              <w:jc w:val="center"/>
              <w:rPr>
                <w:rFonts w:eastAsia="宋体" w:cs="Times New Roman"/>
                <w:color w:val="auto"/>
              </w:rPr>
            </w:pPr>
          </w:p>
        </w:tc>
        <w:tc>
          <w:tcPr>
            <w:tcW w:w="2880" w:type="dxa"/>
            <w:noWrap w:val="0"/>
            <w:vAlign w:val="center"/>
          </w:tcPr>
          <w:p>
            <w:pPr>
              <w:pStyle w:val="25"/>
              <w:widowControl w:val="0"/>
              <w:snapToGrid w:val="0"/>
              <w:ind w:left="480" w:firstLine="480"/>
              <w:jc w:val="center"/>
              <w:rPr>
                <w:rFonts w:eastAsia="宋体" w:cs="Times New Roman"/>
                <w:color w:val="auto"/>
              </w:rPr>
            </w:pPr>
          </w:p>
        </w:tc>
        <w:tc>
          <w:tcPr>
            <w:tcW w:w="1482" w:type="dxa"/>
            <w:noWrap w:val="0"/>
            <w:vAlign w:val="center"/>
          </w:tcPr>
          <w:p>
            <w:pPr>
              <w:pStyle w:val="25"/>
              <w:widowControl w:val="0"/>
              <w:snapToGrid w:val="0"/>
              <w:ind w:left="480" w:firstLine="480"/>
              <w:jc w:val="center"/>
              <w:rPr>
                <w:rFonts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5"/>
              <w:widowControl w:val="0"/>
              <w:snapToGrid w:val="0"/>
              <w:ind w:left="480" w:firstLine="480"/>
              <w:jc w:val="center"/>
              <w:rPr>
                <w:rFonts w:eastAsia="宋体" w:cs="Times New Roman"/>
                <w:color w:val="auto"/>
              </w:rPr>
            </w:pPr>
          </w:p>
        </w:tc>
        <w:tc>
          <w:tcPr>
            <w:tcW w:w="1740" w:type="dxa"/>
            <w:noWrap w:val="0"/>
            <w:vAlign w:val="center"/>
          </w:tcPr>
          <w:p>
            <w:pPr>
              <w:pStyle w:val="25"/>
              <w:widowControl w:val="0"/>
              <w:snapToGrid w:val="0"/>
              <w:ind w:left="480" w:firstLine="480"/>
              <w:jc w:val="center"/>
              <w:rPr>
                <w:rFonts w:eastAsia="宋体" w:cs="Times New Roman"/>
                <w:color w:val="auto"/>
              </w:rPr>
            </w:pPr>
          </w:p>
        </w:tc>
        <w:tc>
          <w:tcPr>
            <w:tcW w:w="2118" w:type="dxa"/>
            <w:noWrap w:val="0"/>
            <w:vAlign w:val="center"/>
          </w:tcPr>
          <w:p>
            <w:pPr>
              <w:pStyle w:val="25"/>
              <w:widowControl w:val="0"/>
              <w:snapToGrid w:val="0"/>
              <w:ind w:left="480" w:firstLine="480"/>
              <w:jc w:val="center"/>
              <w:rPr>
                <w:rFonts w:eastAsia="宋体" w:cs="Times New Roman"/>
                <w:color w:val="auto"/>
              </w:rPr>
            </w:pPr>
          </w:p>
        </w:tc>
        <w:tc>
          <w:tcPr>
            <w:tcW w:w="2880" w:type="dxa"/>
            <w:noWrap w:val="0"/>
            <w:vAlign w:val="center"/>
          </w:tcPr>
          <w:p>
            <w:pPr>
              <w:pStyle w:val="25"/>
              <w:widowControl w:val="0"/>
              <w:snapToGrid w:val="0"/>
              <w:ind w:left="480" w:firstLine="480"/>
              <w:jc w:val="center"/>
              <w:rPr>
                <w:rFonts w:eastAsia="宋体" w:cs="Times New Roman"/>
                <w:color w:val="auto"/>
              </w:rPr>
            </w:pPr>
          </w:p>
        </w:tc>
        <w:tc>
          <w:tcPr>
            <w:tcW w:w="1482" w:type="dxa"/>
            <w:noWrap w:val="0"/>
            <w:vAlign w:val="center"/>
          </w:tcPr>
          <w:p>
            <w:pPr>
              <w:pStyle w:val="25"/>
              <w:widowControl w:val="0"/>
              <w:snapToGrid w:val="0"/>
              <w:ind w:left="480" w:firstLine="480"/>
              <w:jc w:val="center"/>
              <w:rPr>
                <w:rFonts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5"/>
              <w:widowControl w:val="0"/>
              <w:snapToGrid w:val="0"/>
              <w:ind w:left="480" w:firstLine="480"/>
              <w:jc w:val="center"/>
              <w:rPr>
                <w:rFonts w:eastAsia="宋体" w:cs="Times New Roman"/>
                <w:color w:val="auto"/>
              </w:rPr>
            </w:pPr>
          </w:p>
        </w:tc>
        <w:tc>
          <w:tcPr>
            <w:tcW w:w="1740" w:type="dxa"/>
            <w:noWrap w:val="0"/>
            <w:vAlign w:val="center"/>
          </w:tcPr>
          <w:p>
            <w:pPr>
              <w:pStyle w:val="25"/>
              <w:widowControl w:val="0"/>
              <w:snapToGrid w:val="0"/>
              <w:ind w:left="480" w:firstLine="480"/>
              <w:jc w:val="center"/>
              <w:rPr>
                <w:rFonts w:eastAsia="宋体" w:cs="Times New Roman"/>
                <w:color w:val="auto"/>
              </w:rPr>
            </w:pPr>
          </w:p>
        </w:tc>
        <w:tc>
          <w:tcPr>
            <w:tcW w:w="2118" w:type="dxa"/>
            <w:noWrap w:val="0"/>
            <w:vAlign w:val="center"/>
          </w:tcPr>
          <w:p>
            <w:pPr>
              <w:pStyle w:val="25"/>
              <w:widowControl w:val="0"/>
              <w:snapToGrid w:val="0"/>
              <w:ind w:left="480" w:firstLine="480"/>
              <w:jc w:val="center"/>
              <w:rPr>
                <w:rFonts w:eastAsia="宋体" w:cs="Times New Roman"/>
                <w:color w:val="auto"/>
              </w:rPr>
            </w:pPr>
          </w:p>
        </w:tc>
        <w:tc>
          <w:tcPr>
            <w:tcW w:w="2880" w:type="dxa"/>
            <w:noWrap w:val="0"/>
            <w:vAlign w:val="center"/>
          </w:tcPr>
          <w:p>
            <w:pPr>
              <w:pStyle w:val="25"/>
              <w:widowControl w:val="0"/>
              <w:snapToGrid w:val="0"/>
              <w:ind w:left="480" w:firstLine="480"/>
              <w:jc w:val="center"/>
              <w:rPr>
                <w:rFonts w:eastAsia="宋体" w:cs="Times New Roman"/>
                <w:color w:val="auto"/>
              </w:rPr>
            </w:pPr>
          </w:p>
        </w:tc>
        <w:tc>
          <w:tcPr>
            <w:tcW w:w="1482" w:type="dxa"/>
            <w:noWrap w:val="0"/>
            <w:vAlign w:val="center"/>
          </w:tcPr>
          <w:p>
            <w:pPr>
              <w:pStyle w:val="25"/>
              <w:widowControl w:val="0"/>
              <w:snapToGrid w:val="0"/>
              <w:ind w:left="480" w:firstLine="480"/>
              <w:jc w:val="center"/>
              <w:rPr>
                <w:rFonts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5"/>
              <w:widowControl w:val="0"/>
              <w:snapToGrid w:val="0"/>
              <w:ind w:left="480" w:firstLine="480"/>
              <w:jc w:val="center"/>
              <w:rPr>
                <w:rFonts w:eastAsia="宋体" w:cs="Times New Roman"/>
                <w:color w:val="auto"/>
              </w:rPr>
            </w:pPr>
          </w:p>
        </w:tc>
        <w:tc>
          <w:tcPr>
            <w:tcW w:w="1740" w:type="dxa"/>
            <w:noWrap w:val="0"/>
            <w:vAlign w:val="center"/>
          </w:tcPr>
          <w:p>
            <w:pPr>
              <w:pStyle w:val="25"/>
              <w:widowControl w:val="0"/>
              <w:snapToGrid w:val="0"/>
              <w:ind w:left="480" w:firstLine="480"/>
              <w:jc w:val="center"/>
              <w:rPr>
                <w:rFonts w:eastAsia="宋体" w:cs="Times New Roman"/>
                <w:color w:val="auto"/>
              </w:rPr>
            </w:pPr>
          </w:p>
        </w:tc>
        <w:tc>
          <w:tcPr>
            <w:tcW w:w="2118" w:type="dxa"/>
            <w:noWrap w:val="0"/>
            <w:vAlign w:val="center"/>
          </w:tcPr>
          <w:p>
            <w:pPr>
              <w:pStyle w:val="25"/>
              <w:widowControl w:val="0"/>
              <w:snapToGrid w:val="0"/>
              <w:ind w:left="480" w:firstLine="480"/>
              <w:jc w:val="center"/>
              <w:rPr>
                <w:rFonts w:eastAsia="宋体" w:cs="Times New Roman"/>
                <w:color w:val="auto"/>
              </w:rPr>
            </w:pPr>
          </w:p>
        </w:tc>
        <w:tc>
          <w:tcPr>
            <w:tcW w:w="2880" w:type="dxa"/>
            <w:noWrap w:val="0"/>
            <w:vAlign w:val="center"/>
          </w:tcPr>
          <w:p>
            <w:pPr>
              <w:pStyle w:val="25"/>
              <w:widowControl w:val="0"/>
              <w:snapToGrid w:val="0"/>
              <w:ind w:left="480" w:firstLine="480"/>
              <w:jc w:val="center"/>
              <w:rPr>
                <w:rFonts w:eastAsia="宋体" w:cs="Times New Roman"/>
                <w:color w:val="auto"/>
              </w:rPr>
            </w:pPr>
          </w:p>
        </w:tc>
        <w:tc>
          <w:tcPr>
            <w:tcW w:w="1482" w:type="dxa"/>
            <w:noWrap w:val="0"/>
            <w:vAlign w:val="center"/>
          </w:tcPr>
          <w:p>
            <w:pPr>
              <w:pStyle w:val="25"/>
              <w:widowControl w:val="0"/>
              <w:snapToGrid w:val="0"/>
              <w:ind w:left="480" w:firstLine="480"/>
              <w:jc w:val="center"/>
              <w:rPr>
                <w:rFonts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5"/>
              <w:widowControl w:val="0"/>
              <w:snapToGrid w:val="0"/>
              <w:ind w:left="480" w:firstLine="480"/>
              <w:jc w:val="center"/>
              <w:rPr>
                <w:rFonts w:eastAsia="宋体" w:cs="Times New Roman"/>
                <w:color w:val="auto"/>
              </w:rPr>
            </w:pPr>
          </w:p>
        </w:tc>
        <w:tc>
          <w:tcPr>
            <w:tcW w:w="1740" w:type="dxa"/>
            <w:noWrap w:val="0"/>
            <w:vAlign w:val="center"/>
          </w:tcPr>
          <w:p>
            <w:pPr>
              <w:pStyle w:val="25"/>
              <w:widowControl w:val="0"/>
              <w:snapToGrid w:val="0"/>
              <w:ind w:left="480" w:firstLine="480"/>
              <w:jc w:val="center"/>
              <w:rPr>
                <w:rFonts w:eastAsia="宋体" w:cs="Times New Roman"/>
                <w:color w:val="auto"/>
              </w:rPr>
            </w:pPr>
          </w:p>
        </w:tc>
        <w:tc>
          <w:tcPr>
            <w:tcW w:w="2118" w:type="dxa"/>
            <w:noWrap w:val="0"/>
            <w:vAlign w:val="center"/>
          </w:tcPr>
          <w:p>
            <w:pPr>
              <w:pStyle w:val="25"/>
              <w:widowControl w:val="0"/>
              <w:snapToGrid w:val="0"/>
              <w:ind w:left="480" w:firstLine="480"/>
              <w:jc w:val="center"/>
              <w:rPr>
                <w:rFonts w:eastAsia="宋体" w:cs="Times New Roman"/>
                <w:color w:val="auto"/>
              </w:rPr>
            </w:pPr>
          </w:p>
        </w:tc>
        <w:tc>
          <w:tcPr>
            <w:tcW w:w="2880" w:type="dxa"/>
            <w:noWrap w:val="0"/>
            <w:vAlign w:val="center"/>
          </w:tcPr>
          <w:p>
            <w:pPr>
              <w:pStyle w:val="25"/>
              <w:widowControl w:val="0"/>
              <w:snapToGrid w:val="0"/>
              <w:ind w:left="480" w:firstLine="480"/>
              <w:jc w:val="center"/>
              <w:rPr>
                <w:rFonts w:eastAsia="宋体" w:cs="Times New Roman"/>
                <w:color w:val="auto"/>
              </w:rPr>
            </w:pPr>
          </w:p>
        </w:tc>
        <w:tc>
          <w:tcPr>
            <w:tcW w:w="1482" w:type="dxa"/>
            <w:noWrap w:val="0"/>
            <w:vAlign w:val="center"/>
          </w:tcPr>
          <w:p>
            <w:pPr>
              <w:pStyle w:val="25"/>
              <w:widowControl w:val="0"/>
              <w:snapToGrid w:val="0"/>
              <w:ind w:left="480" w:firstLine="480"/>
              <w:jc w:val="center"/>
              <w:rPr>
                <w:rFonts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5"/>
              <w:widowControl w:val="0"/>
              <w:snapToGrid w:val="0"/>
              <w:ind w:left="480" w:firstLine="480"/>
              <w:jc w:val="center"/>
              <w:rPr>
                <w:rFonts w:eastAsia="宋体" w:cs="Times New Roman"/>
                <w:color w:val="auto"/>
              </w:rPr>
            </w:pPr>
          </w:p>
        </w:tc>
        <w:tc>
          <w:tcPr>
            <w:tcW w:w="1740" w:type="dxa"/>
            <w:noWrap w:val="0"/>
            <w:vAlign w:val="center"/>
          </w:tcPr>
          <w:p>
            <w:pPr>
              <w:pStyle w:val="25"/>
              <w:widowControl w:val="0"/>
              <w:snapToGrid w:val="0"/>
              <w:ind w:left="480" w:firstLine="480"/>
              <w:jc w:val="center"/>
              <w:rPr>
                <w:rFonts w:eastAsia="宋体" w:cs="Times New Roman"/>
                <w:color w:val="auto"/>
              </w:rPr>
            </w:pPr>
          </w:p>
        </w:tc>
        <w:tc>
          <w:tcPr>
            <w:tcW w:w="2118" w:type="dxa"/>
            <w:noWrap w:val="0"/>
            <w:vAlign w:val="center"/>
          </w:tcPr>
          <w:p>
            <w:pPr>
              <w:pStyle w:val="25"/>
              <w:widowControl w:val="0"/>
              <w:snapToGrid w:val="0"/>
              <w:ind w:left="480" w:firstLine="480"/>
              <w:jc w:val="center"/>
              <w:rPr>
                <w:rFonts w:eastAsia="宋体" w:cs="Times New Roman"/>
                <w:color w:val="auto"/>
              </w:rPr>
            </w:pPr>
          </w:p>
        </w:tc>
        <w:tc>
          <w:tcPr>
            <w:tcW w:w="2880" w:type="dxa"/>
            <w:noWrap w:val="0"/>
            <w:vAlign w:val="center"/>
          </w:tcPr>
          <w:p>
            <w:pPr>
              <w:pStyle w:val="25"/>
              <w:widowControl w:val="0"/>
              <w:snapToGrid w:val="0"/>
              <w:ind w:left="480" w:firstLine="480"/>
              <w:jc w:val="center"/>
              <w:rPr>
                <w:rFonts w:eastAsia="宋体" w:cs="Times New Roman"/>
                <w:color w:val="auto"/>
              </w:rPr>
            </w:pPr>
          </w:p>
        </w:tc>
        <w:tc>
          <w:tcPr>
            <w:tcW w:w="1482" w:type="dxa"/>
            <w:noWrap w:val="0"/>
            <w:vAlign w:val="center"/>
          </w:tcPr>
          <w:p>
            <w:pPr>
              <w:pStyle w:val="25"/>
              <w:widowControl w:val="0"/>
              <w:snapToGrid w:val="0"/>
              <w:ind w:left="480" w:firstLine="480"/>
              <w:jc w:val="center"/>
              <w:rPr>
                <w:rFonts w:eastAsia="宋体" w:cs="Times New Roman"/>
                <w:color w:val="auto"/>
              </w:rPr>
            </w:pPr>
          </w:p>
        </w:tc>
      </w:tr>
    </w:tbl>
    <w:p>
      <w:pPr>
        <w:pStyle w:val="25"/>
        <w:widowControl w:val="0"/>
        <w:snapToGrid w:val="0"/>
        <w:rPr>
          <w:color w:val="auto"/>
        </w:rPr>
      </w:pPr>
    </w:p>
    <w:p>
      <w:pPr>
        <w:pStyle w:val="25"/>
        <w:widowControl w:val="0"/>
        <w:snapToGrid w:val="0"/>
        <w:rPr>
          <w:color w:val="auto"/>
        </w:rPr>
      </w:pPr>
    </w:p>
    <w:p>
      <w:pPr>
        <w:pStyle w:val="25"/>
        <w:widowControl w:val="0"/>
        <w:adjustRightInd w:val="0"/>
        <w:snapToGrid w:val="0"/>
        <w:spacing w:before="0" w:beforeAutospacing="0" w:after="0" w:afterAutospacing="0" w:line="360" w:lineRule="auto"/>
        <w:rPr>
          <w:color w:val="auto"/>
        </w:rPr>
      </w:pPr>
      <w:r>
        <w:rPr>
          <w:color w:val="auto"/>
        </w:rPr>
        <w:t>投标人（电子签章）：__________________________</w:t>
      </w:r>
    </w:p>
    <w:p>
      <w:pPr>
        <w:pStyle w:val="25"/>
        <w:widowControl w:val="0"/>
        <w:adjustRightInd w:val="0"/>
        <w:snapToGrid w:val="0"/>
        <w:spacing w:before="0" w:beforeAutospacing="0" w:after="0" w:afterAutospacing="0" w:line="360" w:lineRule="auto"/>
        <w:rPr>
          <w:color w:val="auto"/>
        </w:rPr>
      </w:pPr>
      <w:r>
        <w:rPr>
          <w:color w:val="auto"/>
        </w:rPr>
        <w:t>日期：____年____月____日</w:t>
      </w:r>
    </w:p>
    <w:p>
      <w:pPr>
        <w:pStyle w:val="25"/>
        <w:widowControl w:val="0"/>
        <w:adjustRightInd w:val="0"/>
        <w:snapToGrid w:val="0"/>
        <w:jc w:val="center"/>
        <w:rPr>
          <w:b/>
          <w:color w:val="auto"/>
          <w:sz w:val="32"/>
          <w:szCs w:val="32"/>
        </w:rPr>
      </w:pPr>
    </w:p>
    <w:p>
      <w:pPr>
        <w:pStyle w:val="25"/>
        <w:widowControl w:val="0"/>
        <w:adjustRightInd w:val="0"/>
        <w:snapToGrid w:val="0"/>
        <w:jc w:val="center"/>
        <w:rPr>
          <w:b/>
          <w:color w:val="auto"/>
          <w:sz w:val="32"/>
          <w:szCs w:val="32"/>
        </w:rPr>
      </w:pPr>
      <w:r>
        <w:rPr>
          <w:rFonts w:hint="eastAsia"/>
          <w:b/>
          <w:color w:val="auto"/>
          <w:sz w:val="32"/>
          <w:szCs w:val="32"/>
        </w:rPr>
        <w:t>七</w:t>
      </w:r>
      <w:r>
        <w:rPr>
          <w:b/>
          <w:color w:val="auto"/>
          <w:sz w:val="32"/>
          <w:szCs w:val="32"/>
        </w:rPr>
        <w:t>、同类业绩</w:t>
      </w: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65"/>
        <w:gridCol w:w="1456"/>
        <w:gridCol w:w="1757"/>
        <w:gridCol w:w="1531"/>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8"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sz w:val="27"/>
                <w:szCs w:val="27"/>
              </w:rPr>
              <w:t> </w:t>
            </w:r>
            <w:r>
              <w:rPr>
                <w:rFonts w:ascii="宋体" w:hAnsi="宋体" w:eastAsia="宋体" w:cs="Times New Roman"/>
                <w:color w:val="auto"/>
              </w:rPr>
              <w:t>项目名称</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合同金额</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签订时间</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业主名称及联系方式</w:t>
            </w: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color w:val="auto"/>
              </w:rPr>
            </w:pPr>
            <w:r>
              <w:rPr>
                <w:rFonts w:ascii="宋体" w:hAnsi="宋体" w:eastAsia="宋体" w:cs="Times New Roman"/>
                <w:color w:val="auto"/>
              </w:rPr>
              <w:t> </w:t>
            </w:r>
          </w:p>
        </w:tc>
      </w:tr>
    </w:tbl>
    <w:p>
      <w:pPr>
        <w:spacing w:line="360" w:lineRule="auto"/>
        <w:rPr>
          <w:rFonts w:ascii="宋体" w:hAnsi="宋体"/>
          <w:color w:val="auto"/>
        </w:rPr>
        <w:sectPr>
          <w:pgSz w:w="11906" w:h="16838"/>
          <w:pgMar w:top="1259" w:right="1287" w:bottom="1361" w:left="1622" w:header="709" w:footer="975" w:gutter="0"/>
          <w:cols w:space="720" w:num="1"/>
          <w:docGrid w:linePitch="360" w:charSpace="0"/>
        </w:sectPr>
      </w:pPr>
      <w:r>
        <w:rPr>
          <w:rFonts w:ascii="宋体" w:hAnsi="宋体"/>
          <w:color w:val="auto"/>
        </w:rPr>
        <w:t>注：</w:t>
      </w:r>
      <w:r>
        <w:rPr>
          <w:rFonts w:hint="eastAsia" w:ascii="宋体" w:hAnsi="宋体"/>
          <w:color w:val="auto"/>
        </w:rPr>
        <w:t>须附</w:t>
      </w:r>
      <w:r>
        <w:rPr>
          <w:rFonts w:ascii="宋体" w:hAnsi="宋体"/>
          <w:color w:val="auto"/>
        </w:rPr>
        <w:t>合同复印件</w:t>
      </w:r>
      <w:r>
        <w:rPr>
          <w:rFonts w:hint="eastAsia" w:ascii="宋体" w:hAnsi="宋体"/>
          <w:color w:val="auto"/>
        </w:rPr>
        <w:t>。</w:t>
      </w:r>
    </w:p>
    <w:p>
      <w:pPr>
        <w:pStyle w:val="41"/>
        <w:widowControl w:val="0"/>
        <w:tabs>
          <w:tab w:val="left" w:pos="3277"/>
          <w:tab w:val="center" w:pos="4411"/>
        </w:tabs>
        <w:adjustRightInd w:val="0"/>
        <w:snapToGrid w:val="0"/>
        <w:spacing w:line="276" w:lineRule="auto"/>
        <w:rPr>
          <w:rFonts w:hint="default"/>
          <w:b/>
          <w:color w:val="auto"/>
          <w:sz w:val="32"/>
          <w:szCs w:val="32"/>
        </w:rPr>
      </w:pPr>
      <w:bookmarkStart w:id="143" w:name="_Hlk94088800"/>
      <w:r>
        <w:rPr>
          <w:b/>
          <w:color w:val="auto"/>
          <w:sz w:val="32"/>
          <w:szCs w:val="32"/>
        </w:rPr>
        <w:t>报价文件</w:t>
      </w:r>
      <w:r>
        <w:rPr>
          <w:rFonts w:hint="default"/>
          <w:b/>
          <w:color w:val="auto"/>
          <w:sz w:val="32"/>
          <w:szCs w:val="32"/>
        </w:rPr>
        <w:t>：</w:t>
      </w:r>
      <w:r>
        <w:rPr>
          <w:rFonts w:hint="default"/>
          <w:color w:val="auto"/>
        </w:rPr>
        <w:tab/>
      </w:r>
      <w:r>
        <w:rPr>
          <w:rFonts w:hint="default"/>
          <w:b/>
          <w:color w:val="auto"/>
          <w:sz w:val="32"/>
          <w:szCs w:val="32"/>
        </w:rPr>
        <w:t xml:space="preserve">    </w:t>
      </w:r>
    </w:p>
    <w:p>
      <w:pPr>
        <w:pStyle w:val="25"/>
        <w:widowControl w:val="0"/>
        <w:adjustRightInd w:val="0"/>
        <w:snapToGrid w:val="0"/>
        <w:spacing w:before="0" w:beforeAutospacing="0" w:after="0" w:afterAutospacing="0" w:line="276" w:lineRule="auto"/>
        <w:jc w:val="center"/>
        <w:rPr>
          <w:b/>
          <w:color w:val="auto"/>
          <w:sz w:val="32"/>
          <w:szCs w:val="32"/>
        </w:rPr>
      </w:pPr>
      <w:r>
        <w:rPr>
          <w:rFonts w:hint="eastAsia"/>
          <w:b/>
          <w:color w:val="auto"/>
          <w:sz w:val="32"/>
          <w:szCs w:val="32"/>
        </w:rPr>
        <w:t>一</w:t>
      </w:r>
      <w:r>
        <w:rPr>
          <w:b/>
          <w:color w:val="auto"/>
          <w:sz w:val="32"/>
          <w:szCs w:val="32"/>
        </w:rPr>
        <w:t>、开标一览表</w:t>
      </w:r>
      <w:r>
        <w:rPr>
          <w:rFonts w:hint="eastAsia"/>
          <w:b/>
          <w:color w:val="auto"/>
          <w:sz w:val="32"/>
          <w:szCs w:val="32"/>
        </w:rPr>
        <w:t>（报价表）</w:t>
      </w:r>
    </w:p>
    <w:p>
      <w:pPr>
        <w:snapToGrid w:val="0"/>
        <w:spacing w:line="276" w:lineRule="auto"/>
        <w:rPr>
          <w:color w:val="auto"/>
        </w:rPr>
      </w:pPr>
      <w:r>
        <w:rPr>
          <w:color w:val="auto"/>
        </w:rPr>
        <w:t>（采购人）、（采购代理机构）</w:t>
      </w:r>
      <w:r>
        <w:rPr>
          <w:color w:val="auto"/>
          <w:lang w:val="zh-CN"/>
        </w:rPr>
        <w:t>：</w:t>
      </w:r>
    </w:p>
    <w:p>
      <w:pPr>
        <w:snapToGrid w:val="0"/>
        <w:spacing w:line="276" w:lineRule="auto"/>
        <w:ind w:firstLine="482"/>
        <w:rPr>
          <w:rFonts w:hint="eastAsia"/>
          <w:color w:val="auto"/>
          <w:lang w:val="zh-CN"/>
        </w:rPr>
      </w:pPr>
      <w:r>
        <w:rPr>
          <w:color w:val="auto"/>
          <w:lang w:val="zh-CN"/>
        </w:rPr>
        <w:t>按你方招标文件要求，</w:t>
      </w:r>
      <w:r>
        <w:rPr>
          <w:rFonts w:hint="eastAsia"/>
          <w:color w:val="auto"/>
          <w:lang w:val="zh-CN"/>
        </w:rPr>
        <w:t>我方承诺按照如下开标一览表（报价表）的价格完成</w:t>
      </w:r>
      <w:r>
        <w:rPr>
          <w:rFonts w:hint="eastAsia"/>
          <w:color w:val="auto"/>
          <w:u w:val="single"/>
          <w:lang w:val="zh-CN"/>
        </w:rPr>
        <w:t xml:space="preserve">（项目名称） </w:t>
      </w:r>
      <w:r>
        <w:rPr>
          <w:color w:val="auto"/>
          <w:u w:val="single"/>
          <w:lang w:val="zh-CN"/>
        </w:rPr>
        <w:t xml:space="preserve">         </w:t>
      </w:r>
      <w:r>
        <w:rPr>
          <w:rFonts w:hint="eastAsia"/>
          <w:color w:val="auto"/>
          <w:u w:val="single"/>
          <w:lang w:val="zh-CN"/>
        </w:rPr>
        <w:t xml:space="preserve">（项目编号： </w:t>
      </w:r>
      <w:r>
        <w:rPr>
          <w:color w:val="auto"/>
          <w:u w:val="single"/>
          <w:lang w:val="zh-CN"/>
        </w:rPr>
        <w:t xml:space="preserve">   </w:t>
      </w:r>
      <w:r>
        <w:rPr>
          <w:rFonts w:hint="eastAsia"/>
          <w:color w:val="auto"/>
          <w:u w:val="single"/>
          <w:lang w:val="zh-CN"/>
        </w:rPr>
        <w:t>）</w:t>
      </w:r>
      <w:r>
        <w:rPr>
          <w:rFonts w:hint="eastAsia"/>
          <w:color w:val="auto"/>
          <w:lang w:val="zh-CN"/>
        </w:rPr>
        <w:t>的实施。</w:t>
      </w:r>
    </w:p>
    <w:bookmarkEnd w:id="143"/>
    <w:tbl>
      <w:tblPr>
        <w:tblStyle w:val="45"/>
        <w:tblW w:w="14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843"/>
        <w:gridCol w:w="2551"/>
        <w:gridCol w:w="3118"/>
        <w:gridCol w:w="6"/>
        <w:gridCol w:w="987"/>
        <w:gridCol w:w="1559"/>
        <w:gridCol w:w="198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序号</w:t>
            </w:r>
          </w:p>
        </w:tc>
        <w:tc>
          <w:tcPr>
            <w:tcW w:w="1701" w:type="dxa"/>
            <w:noWrap w:val="0"/>
            <w:vAlign w:val="center"/>
          </w:tcPr>
          <w:p>
            <w:pPr>
              <w:spacing w:line="360" w:lineRule="auto"/>
              <w:jc w:val="center"/>
              <w:rPr>
                <w:rFonts w:ascii="Times New Roman" w:hAnsi="Times New Roman" w:eastAsia="宋体" w:cs="Times New Roman"/>
                <w:b/>
                <w:color w:val="auto"/>
                <w:sz w:val="22"/>
                <w:szCs w:val="22"/>
              </w:rPr>
            </w:pPr>
            <w:r>
              <w:rPr>
                <w:rFonts w:hint="eastAsia" w:ascii="Times New Roman" w:hAnsi="Times New Roman" w:eastAsia="宋体" w:cs="Times New Roman"/>
                <w:b/>
                <w:color w:val="auto"/>
                <w:sz w:val="22"/>
                <w:szCs w:val="22"/>
              </w:rPr>
              <w:t>标的</w:t>
            </w:r>
            <w:r>
              <w:rPr>
                <w:rFonts w:ascii="Times New Roman" w:hAnsi="Times New Roman" w:eastAsia="宋体" w:cs="Times New Roman"/>
                <w:b/>
                <w:color w:val="auto"/>
                <w:sz w:val="22"/>
                <w:szCs w:val="22"/>
              </w:rPr>
              <w:t>名称</w:t>
            </w:r>
          </w:p>
        </w:tc>
        <w:tc>
          <w:tcPr>
            <w:tcW w:w="1843" w:type="dxa"/>
            <w:noWrap w:val="0"/>
            <w:vAlign w:val="center"/>
          </w:tcPr>
          <w:p>
            <w:pPr>
              <w:spacing w:line="360" w:lineRule="auto"/>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品牌</w:t>
            </w:r>
          </w:p>
        </w:tc>
        <w:tc>
          <w:tcPr>
            <w:tcW w:w="2551" w:type="dxa"/>
            <w:noWrap w:val="0"/>
            <w:vAlign w:val="center"/>
          </w:tcPr>
          <w:p>
            <w:pPr>
              <w:spacing w:line="360" w:lineRule="auto"/>
              <w:jc w:val="center"/>
              <w:rPr>
                <w:rFonts w:ascii="Times New Roman" w:hAnsi="Times New Roman" w:eastAsia="宋体" w:cs="Times New Roman"/>
                <w:b/>
                <w:color w:val="auto"/>
                <w:sz w:val="22"/>
                <w:szCs w:val="22"/>
              </w:rPr>
            </w:pPr>
            <w:r>
              <w:rPr>
                <w:rFonts w:hint="eastAsia" w:ascii="Times New Roman" w:hAnsi="Times New Roman" w:eastAsia="宋体" w:cs="Times New Roman"/>
                <w:b/>
                <w:color w:val="auto"/>
                <w:sz w:val="21"/>
                <w:szCs w:val="44"/>
              </w:rPr>
              <w:t>制造商</w:t>
            </w:r>
            <w:r>
              <w:rPr>
                <w:rFonts w:ascii="Times New Roman" w:hAnsi="Times New Roman" w:eastAsia="宋体" w:cs="Times New Roman"/>
                <w:b/>
                <w:color w:val="auto"/>
                <w:sz w:val="21"/>
                <w:szCs w:val="44"/>
              </w:rPr>
              <w:t>全称</w:t>
            </w:r>
          </w:p>
        </w:tc>
        <w:tc>
          <w:tcPr>
            <w:tcW w:w="3118" w:type="dxa"/>
            <w:noWrap w:val="0"/>
            <w:vAlign w:val="center"/>
          </w:tcPr>
          <w:p>
            <w:pPr>
              <w:spacing w:line="360" w:lineRule="auto"/>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规格型号</w:t>
            </w:r>
          </w:p>
        </w:tc>
        <w:tc>
          <w:tcPr>
            <w:tcW w:w="993" w:type="dxa"/>
            <w:gridSpan w:val="2"/>
            <w:noWrap w:val="0"/>
            <w:vAlign w:val="center"/>
          </w:tcPr>
          <w:p>
            <w:pPr>
              <w:spacing w:line="360" w:lineRule="auto"/>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数量</w:t>
            </w:r>
          </w:p>
        </w:tc>
        <w:tc>
          <w:tcPr>
            <w:tcW w:w="1559" w:type="dxa"/>
            <w:noWrap w:val="0"/>
            <w:vAlign w:val="center"/>
          </w:tcPr>
          <w:p>
            <w:pPr>
              <w:spacing w:line="360" w:lineRule="auto"/>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单价</w:t>
            </w:r>
          </w:p>
        </w:tc>
        <w:tc>
          <w:tcPr>
            <w:tcW w:w="1984" w:type="dxa"/>
            <w:noWrap w:val="0"/>
            <w:vAlign w:val="center"/>
          </w:tcPr>
          <w:p>
            <w:pPr>
              <w:spacing w:line="360" w:lineRule="auto"/>
              <w:jc w:val="center"/>
              <w:rPr>
                <w:rFonts w:ascii="Times New Roman" w:hAnsi="Times New Roman" w:eastAsia="宋体" w:cs="Times New Roman"/>
                <w:b/>
                <w:color w:val="auto"/>
                <w:sz w:val="22"/>
                <w:szCs w:val="22"/>
              </w:rPr>
            </w:pPr>
            <w:r>
              <w:rPr>
                <w:rFonts w:ascii="Times New Roman" w:hAnsi="Times New Roman" w:eastAsia="宋体" w:cs="Times New Roman"/>
                <w:b/>
                <w:color w:val="auto"/>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rFonts w:ascii="Times New Roman" w:hAnsi="Times New Roman" w:eastAsia="宋体" w:cs="Times New Roman"/>
                <w:color w:val="auto"/>
                <w:sz w:val="22"/>
                <w:szCs w:val="22"/>
              </w:rPr>
            </w:pPr>
            <w:r>
              <w:rPr>
                <w:rFonts w:ascii="Times New Roman" w:hAnsi="Times New Roman" w:eastAsia="宋体" w:cs="Times New Roman"/>
                <w:color w:val="auto"/>
                <w:sz w:val="22"/>
                <w:szCs w:val="22"/>
              </w:rPr>
              <w:t>1</w:t>
            </w:r>
          </w:p>
        </w:tc>
        <w:tc>
          <w:tcPr>
            <w:tcW w:w="1701" w:type="dxa"/>
            <w:noWrap w:val="0"/>
            <w:vAlign w:val="center"/>
          </w:tcPr>
          <w:p>
            <w:pPr>
              <w:snapToGrid w:val="0"/>
              <w:jc w:val="center"/>
              <w:rPr>
                <w:rFonts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rPr>
              <w:t>（根据采购清单填写）</w:t>
            </w:r>
          </w:p>
        </w:tc>
        <w:tc>
          <w:tcPr>
            <w:tcW w:w="1843"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2551"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3118"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993" w:type="dxa"/>
            <w:gridSpan w:val="2"/>
            <w:noWrap w:val="0"/>
            <w:vAlign w:val="center"/>
          </w:tcPr>
          <w:p>
            <w:pPr>
              <w:snapToGrid w:val="0"/>
              <w:spacing w:line="360" w:lineRule="auto"/>
              <w:jc w:val="center"/>
              <w:rPr>
                <w:rFonts w:ascii="Times New Roman" w:hAnsi="Times New Roman" w:eastAsia="宋体" w:cs="Times New Roman"/>
                <w:color w:val="auto"/>
                <w:sz w:val="22"/>
                <w:szCs w:val="22"/>
              </w:rPr>
            </w:pPr>
          </w:p>
        </w:tc>
        <w:tc>
          <w:tcPr>
            <w:tcW w:w="1559" w:type="dxa"/>
            <w:noWrap w:val="0"/>
            <w:vAlign w:val="center"/>
          </w:tcPr>
          <w:p>
            <w:pPr>
              <w:spacing w:line="360" w:lineRule="auto"/>
              <w:jc w:val="center"/>
              <w:rPr>
                <w:rFonts w:ascii="Times New Roman" w:hAnsi="Times New Roman" w:eastAsia="宋体" w:cs="Times New Roman"/>
                <w:color w:val="auto"/>
                <w:sz w:val="22"/>
                <w:szCs w:val="22"/>
              </w:rPr>
            </w:pPr>
          </w:p>
        </w:tc>
        <w:tc>
          <w:tcPr>
            <w:tcW w:w="1984" w:type="dxa"/>
            <w:noWrap w:val="0"/>
            <w:vAlign w:val="center"/>
          </w:tcPr>
          <w:p>
            <w:pPr>
              <w:spacing w:line="360" w:lineRule="auto"/>
              <w:jc w:val="center"/>
              <w:rPr>
                <w:rFonts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rFonts w:ascii="Times New Roman" w:hAnsi="Times New Roman" w:eastAsia="宋体" w:cs="Times New Roman"/>
                <w:color w:val="auto"/>
                <w:sz w:val="22"/>
                <w:szCs w:val="22"/>
              </w:rPr>
            </w:pPr>
            <w:r>
              <w:rPr>
                <w:rFonts w:ascii="Times New Roman" w:hAnsi="Times New Roman" w:eastAsia="宋体" w:cs="Times New Roman"/>
                <w:color w:val="auto"/>
                <w:sz w:val="22"/>
                <w:szCs w:val="22"/>
              </w:rPr>
              <w:t>2</w:t>
            </w:r>
          </w:p>
        </w:tc>
        <w:tc>
          <w:tcPr>
            <w:tcW w:w="1701"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1843"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2551"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3118"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993" w:type="dxa"/>
            <w:gridSpan w:val="2"/>
            <w:noWrap w:val="0"/>
            <w:vAlign w:val="center"/>
          </w:tcPr>
          <w:p>
            <w:pPr>
              <w:snapToGrid w:val="0"/>
              <w:spacing w:line="360" w:lineRule="auto"/>
              <w:jc w:val="center"/>
              <w:rPr>
                <w:rFonts w:ascii="Times New Roman" w:hAnsi="Times New Roman" w:eastAsia="宋体" w:cs="Times New Roman"/>
                <w:color w:val="auto"/>
                <w:sz w:val="22"/>
                <w:szCs w:val="22"/>
              </w:rPr>
            </w:pPr>
          </w:p>
        </w:tc>
        <w:tc>
          <w:tcPr>
            <w:tcW w:w="1559" w:type="dxa"/>
            <w:noWrap w:val="0"/>
            <w:vAlign w:val="center"/>
          </w:tcPr>
          <w:p>
            <w:pPr>
              <w:spacing w:line="360" w:lineRule="auto"/>
              <w:jc w:val="center"/>
              <w:rPr>
                <w:rFonts w:ascii="Times New Roman" w:hAnsi="Times New Roman" w:eastAsia="宋体" w:cs="Times New Roman"/>
                <w:color w:val="auto"/>
                <w:sz w:val="22"/>
                <w:szCs w:val="22"/>
              </w:rPr>
            </w:pPr>
          </w:p>
        </w:tc>
        <w:tc>
          <w:tcPr>
            <w:tcW w:w="1984" w:type="dxa"/>
            <w:noWrap w:val="0"/>
            <w:vAlign w:val="center"/>
          </w:tcPr>
          <w:p>
            <w:pPr>
              <w:spacing w:line="360" w:lineRule="auto"/>
              <w:jc w:val="center"/>
              <w:rPr>
                <w:rFonts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rFonts w:ascii="Times New Roman" w:hAnsi="Times New Roman" w:eastAsia="宋体" w:cs="Times New Roman"/>
                <w:color w:val="auto"/>
                <w:sz w:val="22"/>
                <w:szCs w:val="22"/>
              </w:rPr>
            </w:pPr>
            <w:r>
              <w:rPr>
                <w:rFonts w:ascii="Times New Roman" w:hAnsi="Times New Roman" w:eastAsia="宋体" w:cs="Times New Roman"/>
                <w:color w:val="auto"/>
                <w:sz w:val="22"/>
                <w:szCs w:val="22"/>
              </w:rPr>
              <w:t>…</w:t>
            </w:r>
          </w:p>
        </w:tc>
        <w:tc>
          <w:tcPr>
            <w:tcW w:w="1701"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1843"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2551"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3118"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993" w:type="dxa"/>
            <w:gridSpan w:val="2"/>
            <w:noWrap w:val="0"/>
            <w:vAlign w:val="center"/>
          </w:tcPr>
          <w:p>
            <w:pPr>
              <w:snapToGrid w:val="0"/>
              <w:spacing w:line="360" w:lineRule="auto"/>
              <w:jc w:val="center"/>
              <w:rPr>
                <w:rFonts w:ascii="Times New Roman" w:hAnsi="Times New Roman" w:eastAsia="宋体" w:cs="Times New Roman"/>
                <w:color w:val="auto"/>
                <w:sz w:val="22"/>
                <w:szCs w:val="22"/>
              </w:rPr>
            </w:pPr>
          </w:p>
        </w:tc>
        <w:tc>
          <w:tcPr>
            <w:tcW w:w="1559" w:type="dxa"/>
            <w:noWrap w:val="0"/>
            <w:vAlign w:val="center"/>
          </w:tcPr>
          <w:p>
            <w:pPr>
              <w:spacing w:line="360" w:lineRule="auto"/>
              <w:jc w:val="center"/>
              <w:rPr>
                <w:rFonts w:ascii="Times New Roman" w:hAnsi="Times New Roman" w:eastAsia="宋体" w:cs="Times New Roman"/>
                <w:color w:val="auto"/>
                <w:sz w:val="22"/>
                <w:szCs w:val="22"/>
              </w:rPr>
            </w:pPr>
          </w:p>
        </w:tc>
        <w:tc>
          <w:tcPr>
            <w:tcW w:w="1984" w:type="dxa"/>
            <w:noWrap w:val="0"/>
            <w:vAlign w:val="center"/>
          </w:tcPr>
          <w:p>
            <w:pPr>
              <w:spacing w:line="360" w:lineRule="auto"/>
              <w:jc w:val="center"/>
              <w:rPr>
                <w:rFonts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rFonts w:ascii="Times New Roman" w:hAnsi="Times New Roman" w:eastAsia="宋体" w:cs="Times New Roman"/>
                <w:color w:val="auto"/>
                <w:sz w:val="22"/>
                <w:szCs w:val="22"/>
              </w:rPr>
            </w:pPr>
          </w:p>
        </w:tc>
        <w:tc>
          <w:tcPr>
            <w:tcW w:w="1701"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1843"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2551"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3118"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993" w:type="dxa"/>
            <w:gridSpan w:val="2"/>
            <w:noWrap w:val="0"/>
            <w:vAlign w:val="center"/>
          </w:tcPr>
          <w:p>
            <w:pPr>
              <w:snapToGrid w:val="0"/>
              <w:spacing w:line="360" w:lineRule="auto"/>
              <w:jc w:val="center"/>
              <w:rPr>
                <w:rFonts w:ascii="Times New Roman" w:hAnsi="Times New Roman" w:eastAsia="宋体" w:cs="Times New Roman"/>
                <w:color w:val="auto"/>
                <w:sz w:val="22"/>
                <w:szCs w:val="22"/>
              </w:rPr>
            </w:pPr>
          </w:p>
        </w:tc>
        <w:tc>
          <w:tcPr>
            <w:tcW w:w="1559" w:type="dxa"/>
            <w:noWrap w:val="0"/>
            <w:vAlign w:val="center"/>
          </w:tcPr>
          <w:p>
            <w:pPr>
              <w:spacing w:line="360" w:lineRule="auto"/>
              <w:jc w:val="center"/>
              <w:rPr>
                <w:rFonts w:ascii="Times New Roman" w:hAnsi="Times New Roman" w:eastAsia="宋体" w:cs="Times New Roman"/>
                <w:color w:val="auto"/>
                <w:sz w:val="22"/>
                <w:szCs w:val="22"/>
              </w:rPr>
            </w:pPr>
          </w:p>
        </w:tc>
        <w:tc>
          <w:tcPr>
            <w:tcW w:w="1984" w:type="dxa"/>
            <w:noWrap w:val="0"/>
            <w:vAlign w:val="center"/>
          </w:tcPr>
          <w:p>
            <w:pPr>
              <w:spacing w:line="360" w:lineRule="auto"/>
              <w:jc w:val="center"/>
              <w:rPr>
                <w:rFonts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rFonts w:ascii="Times New Roman" w:hAnsi="Times New Roman" w:eastAsia="宋体" w:cs="Times New Roman"/>
                <w:color w:val="auto"/>
                <w:sz w:val="22"/>
                <w:szCs w:val="22"/>
              </w:rPr>
            </w:pPr>
          </w:p>
        </w:tc>
        <w:tc>
          <w:tcPr>
            <w:tcW w:w="1701"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1843"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2551"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3118" w:type="dxa"/>
            <w:noWrap w:val="0"/>
            <w:vAlign w:val="center"/>
          </w:tcPr>
          <w:p>
            <w:pPr>
              <w:snapToGrid w:val="0"/>
              <w:spacing w:line="360" w:lineRule="auto"/>
              <w:jc w:val="center"/>
              <w:rPr>
                <w:rFonts w:ascii="Times New Roman" w:hAnsi="Times New Roman" w:eastAsia="宋体" w:cs="Times New Roman"/>
                <w:color w:val="auto"/>
                <w:sz w:val="22"/>
                <w:szCs w:val="22"/>
              </w:rPr>
            </w:pPr>
          </w:p>
        </w:tc>
        <w:tc>
          <w:tcPr>
            <w:tcW w:w="993" w:type="dxa"/>
            <w:gridSpan w:val="2"/>
            <w:noWrap w:val="0"/>
            <w:vAlign w:val="center"/>
          </w:tcPr>
          <w:p>
            <w:pPr>
              <w:snapToGrid w:val="0"/>
              <w:spacing w:line="360" w:lineRule="auto"/>
              <w:jc w:val="center"/>
              <w:rPr>
                <w:rFonts w:ascii="Times New Roman" w:hAnsi="Times New Roman" w:eastAsia="宋体" w:cs="Times New Roman"/>
                <w:color w:val="auto"/>
                <w:sz w:val="22"/>
                <w:szCs w:val="22"/>
              </w:rPr>
            </w:pPr>
          </w:p>
        </w:tc>
        <w:tc>
          <w:tcPr>
            <w:tcW w:w="1559" w:type="dxa"/>
            <w:noWrap w:val="0"/>
            <w:vAlign w:val="center"/>
          </w:tcPr>
          <w:p>
            <w:pPr>
              <w:spacing w:line="360" w:lineRule="auto"/>
              <w:jc w:val="center"/>
              <w:rPr>
                <w:rFonts w:ascii="Times New Roman" w:hAnsi="Times New Roman" w:eastAsia="宋体" w:cs="Times New Roman"/>
                <w:color w:val="auto"/>
                <w:sz w:val="22"/>
                <w:szCs w:val="22"/>
              </w:rPr>
            </w:pPr>
          </w:p>
        </w:tc>
        <w:tc>
          <w:tcPr>
            <w:tcW w:w="1984" w:type="dxa"/>
            <w:noWrap w:val="0"/>
            <w:vAlign w:val="center"/>
          </w:tcPr>
          <w:p>
            <w:pPr>
              <w:spacing w:line="360" w:lineRule="auto"/>
              <w:jc w:val="center"/>
              <w:rPr>
                <w:rFonts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36" w:type="dxa"/>
            <w:gridSpan w:val="6"/>
            <w:noWrap w:val="0"/>
            <w:vAlign w:val="center"/>
          </w:tcPr>
          <w:p>
            <w:pPr>
              <w:snapToGrid w:val="0"/>
              <w:spacing w:line="360" w:lineRule="auto"/>
              <w:jc w:val="center"/>
              <w:rPr>
                <w:rFonts w:ascii="Times New Roman" w:hAnsi="Times New Roman" w:eastAsia="宋体" w:cs="Times New Roman"/>
                <w:color w:val="auto"/>
                <w:sz w:val="22"/>
                <w:szCs w:val="22"/>
              </w:rPr>
            </w:pPr>
            <w:r>
              <w:rPr>
                <w:rFonts w:ascii="Times New Roman" w:hAnsi="Times New Roman" w:eastAsia="宋体" w:cs="Times New Roman"/>
                <w:b/>
                <w:color w:val="auto"/>
                <w:sz w:val="22"/>
                <w:szCs w:val="22"/>
              </w:rPr>
              <w:t>投标报价（小写）</w:t>
            </w:r>
          </w:p>
        </w:tc>
        <w:tc>
          <w:tcPr>
            <w:tcW w:w="4536" w:type="dxa"/>
            <w:gridSpan w:val="4"/>
            <w:noWrap w:val="0"/>
            <w:vAlign w:val="center"/>
          </w:tcPr>
          <w:p>
            <w:pPr>
              <w:spacing w:line="360" w:lineRule="auto"/>
              <w:jc w:val="center"/>
              <w:rPr>
                <w:rFonts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36" w:type="dxa"/>
            <w:gridSpan w:val="6"/>
            <w:noWrap w:val="0"/>
            <w:vAlign w:val="center"/>
          </w:tcPr>
          <w:p>
            <w:pPr>
              <w:snapToGrid w:val="0"/>
              <w:spacing w:line="360" w:lineRule="auto"/>
              <w:jc w:val="center"/>
              <w:rPr>
                <w:rFonts w:ascii="Times New Roman" w:hAnsi="Times New Roman" w:eastAsia="宋体" w:cs="Times New Roman"/>
                <w:color w:val="auto"/>
                <w:sz w:val="22"/>
                <w:szCs w:val="22"/>
              </w:rPr>
            </w:pPr>
            <w:r>
              <w:rPr>
                <w:rFonts w:ascii="Times New Roman" w:hAnsi="Times New Roman" w:eastAsia="宋体" w:cs="Times New Roman"/>
                <w:b/>
                <w:color w:val="auto"/>
                <w:sz w:val="22"/>
                <w:szCs w:val="22"/>
              </w:rPr>
              <w:t>投标报价（大写）</w:t>
            </w:r>
          </w:p>
        </w:tc>
        <w:tc>
          <w:tcPr>
            <w:tcW w:w="4536" w:type="dxa"/>
            <w:gridSpan w:val="4"/>
            <w:noWrap w:val="0"/>
            <w:vAlign w:val="center"/>
          </w:tcPr>
          <w:p>
            <w:pPr>
              <w:spacing w:line="360" w:lineRule="auto"/>
              <w:jc w:val="center"/>
              <w:rPr>
                <w:rFonts w:ascii="Times New Roman" w:hAnsi="Times New Roman" w:eastAsia="宋体" w:cs="Times New Roman"/>
                <w:color w:val="auto"/>
                <w:sz w:val="22"/>
                <w:szCs w:val="22"/>
              </w:rPr>
            </w:pPr>
          </w:p>
        </w:tc>
      </w:tr>
    </w:tbl>
    <w:p>
      <w:pPr>
        <w:snapToGrid w:val="0"/>
        <w:spacing w:line="276" w:lineRule="auto"/>
        <w:ind w:left="480"/>
        <w:rPr>
          <w:b/>
          <w:color w:val="auto"/>
          <w:lang w:val="zh-CN"/>
        </w:rPr>
      </w:pPr>
      <w:r>
        <w:rPr>
          <w:b/>
          <w:color w:val="auto"/>
          <w:lang w:val="zh-CN"/>
        </w:rPr>
        <w:t>注：</w:t>
      </w:r>
    </w:p>
    <w:p>
      <w:pPr>
        <w:spacing w:line="276" w:lineRule="auto"/>
        <w:ind w:left="-2" w:leftChars="-1" w:firstLine="480" w:firstLineChars="200"/>
        <w:rPr>
          <w:color w:val="auto"/>
          <w:lang w:val="zh-CN"/>
        </w:rPr>
      </w:pPr>
      <w:r>
        <w:rPr>
          <w:color w:val="auto"/>
          <w:lang w:val="zh-CN"/>
        </w:rPr>
        <w:t>1.投标人需按本表格式填写，不得自行更改。</w:t>
      </w:r>
    </w:p>
    <w:p>
      <w:pPr>
        <w:spacing w:line="276" w:lineRule="auto"/>
        <w:ind w:firstLine="480" w:firstLineChars="200"/>
        <w:rPr>
          <w:color w:val="auto"/>
          <w:lang w:val="zh-CN"/>
        </w:rPr>
      </w:pPr>
      <w:r>
        <w:rPr>
          <w:color w:val="auto"/>
          <w:lang w:val="zh-CN"/>
        </w:rPr>
        <w:t>2.</w:t>
      </w:r>
      <w:r>
        <w:rPr>
          <w:rFonts w:hint="eastAsia"/>
          <w:color w:val="auto"/>
          <w:lang w:val="zh-CN"/>
        </w:rPr>
        <w:t>有关本项目实施所涉及的一切费用均计入报价。</w:t>
      </w:r>
      <w:r>
        <w:rPr>
          <w:rFonts w:hint="eastAsia"/>
          <w:b/>
          <w:color w:val="auto"/>
          <w:lang w:val="zh-CN"/>
        </w:rPr>
        <w:t>采购人将以合同形式有偿取得采购清单中货物或服务，报价表中不得出现</w:t>
      </w:r>
      <w:r>
        <w:rPr>
          <w:b/>
          <w:color w:val="auto"/>
          <w:lang w:val="zh-CN"/>
        </w:rPr>
        <w:t>“0</w:t>
      </w:r>
      <w:r>
        <w:rPr>
          <w:rFonts w:hint="eastAsia"/>
          <w:b/>
          <w:color w:val="auto"/>
          <w:lang w:val="zh-CN"/>
        </w:rPr>
        <w:t>元</w:t>
      </w:r>
      <w:r>
        <w:rPr>
          <w:b/>
          <w:color w:val="auto"/>
          <w:lang w:val="zh-CN"/>
        </w:rPr>
        <w:t>”“</w:t>
      </w:r>
      <w:r>
        <w:rPr>
          <w:rFonts w:hint="eastAsia"/>
          <w:b/>
          <w:color w:val="auto"/>
          <w:lang w:val="zh-CN"/>
        </w:rPr>
        <w:t>免费赠送</w:t>
      </w:r>
      <w:r>
        <w:rPr>
          <w:b/>
          <w:color w:val="auto"/>
          <w:lang w:val="zh-CN"/>
        </w:rPr>
        <w:t>”</w:t>
      </w:r>
      <w:r>
        <w:rPr>
          <w:rFonts w:hint="eastAsia"/>
          <w:b/>
          <w:color w:val="auto"/>
          <w:lang w:val="zh-CN"/>
        </w:rPr>
        <w:t>等形式的无偿报价，</w:t>
      </w:r>
      <w:r>
        <w:rPr>
          <w:rFonts w:hint="eastAsia"/>
          <w:b/>
          <w:color w:val="auto"/>
        </w:rPr>
        <w:t>否则视为响应文件含有采购人不能接受的附加条件的，响应无效</w:t>
      </w:r>
      <w:r>
        <w:rPr>
          <w:rFonts w:hint="eastAsia"/>
          <w:b/>
          <w:color w:val="auto"/>
          <w:lang w:val="zh-CN"/>
        </w:rPr>
        <w:t>。</w:t>
      </w:r>
    </w:p>
    <w:p>
      <w:pPr>
        <w:snapToGrid w:val="0"/>
        <w:spacing w:line="276" w:lineRule="auto"/>
        <w:ind w:firstLine="480" w:firstLineChars="200"/>
        <w:rPr>
          <w:color w:val="auto"/>
          <w:lang w:val="zh-CN"/>
        </w:rPr>
      </w:pPr>
      <w:r>
        <w:rPr>
          <w:color w:val="auto"/>
          <w:lang w:val="zh-CN"/>
        </w:rPr>
        <w:t>3.特别提示：采购代理机构将对项目名称和项目编号，中标供应商名称、地址和中标金额，主要中标标的的名称、规格型号、数量、单价、服务要求等予以公示。</w:t>
      </w:r>
    </w:p>
    <w:p>
      <w:pPr>
        <w:snapToGrid w:val="0"/>
        <w:spacing w:line="276" w:lineRule="auto"/>
        <w:ind w:firstLine="480" w:firstLineChars="200"/>
        <w:rPr>
          <w:color w:val="auto"/>
          <w:lang w:val="zh-CN"/>
        </w:rPr>
      </w:pPr>
      <w:r>
        <w:rPr>
          <w:color w:val="auto"/>
          <w:szCs w:val="22"/>
          <w:lang w:val="zh-CN"/>
        </w:rPr>
        <w:t>4.</w:t>
      </w:r>
      <w:r>
        <w:rPr>
          <w:color w:va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5"/>
        <w:widowControl w:val="0"/>
        <w:adjustRightInd w:val="0"/>
        <w:snapToGrid w:val="0"/>
        <w:spacing w:before="0" w:beforeAutospacing="0" w:after="0" w:afterAutospacing="0" w:line="360" w:lineRule="auto"/>
        <w:rPr>
          <w:rFonts w:ascii="Times New Roman" w:hAnsi="Times New Roman"/>
          <w:color w:val="auto"/>
        </w:rPr>
      </w:pPr>
    </w:p>
    <w:p>
      <w:pPr>
        <w:pStyle w:val="25"/>
        <w:widowControl w:val="0"/>
        <w:adjustRightInd w:val="0"/>
        <w:snapToGrid w:val="0"/>
        <w:spacing w:before="0" w:beforeAutospacing="0" w:after="0" w:afterAutospacing="0" w:line="360" w:lineRule="auto"/>
        <w:rPr>
          <w:rFonts w:ascii="Times New Roman" w:hAnsi="Times New Roman"/>
          <w:color w:val="auto"/>
        </w:rPr>
      </w:pPr>
    </w:p>
    <w:p>
      <w:pPr>
        <w:pStyle w:val="25"/>
        <w:widowControl w:val="0"/>
        <w:adjustRightInd w:val="0"/>
        <w:snapToGrid w:val="0"/>
        <w:spacing w:before="0" w:beforeAutospacing="0" w:after="0" w:afterAutospacing="0" w:line="360" w:lineRule="auto"/>
        <w:rPr>
          <w:rFonts w:ascii="Times New Roman" w:hAnsi="Times New Roman"/>
          <w:color w:val="auto"/>
        </w:rPr>
      </w:pPr>
    </w:p>
    <w:p>
      <w:pPr>
        <w:pStyle w:val="25"/>
        <w:widowControl w:val="0"/>
        <w:adjustRightInd w:val="0"/>
        <w:snapToGrid w:val="0"/>
        <w:spacing w:before="0" w:beforeAutospacing="0" w:after="0" w:afterAutospacing="0" w:line="360" w:lineRule="auto"/>
        <w:rPr>
          <w:rFonts w:ascii="Times New Roman" w:hAnsi="Times New Roman"/>
          <w:color w:val="auto"/>
        </w:rPr>
      </w:pPr>
    </w:p>
    <w:p>
      <w:pPr>
        <w:pStyle w:val="25"/>
        <w:widowControl w:val="0"/>
        <w:adjustRightInd w:val="0"/>
        <w:snapToGrid w:val="0"/>
        <w:spacing w:before="0" w:beforeAutospacing="0" w:after="0" w:afterAutospacing="0" w:line="360" w:lineRule="auto"/>
        <w:ind w:firstLine="900" w:firstLineChars="375"/>
        <w:jc w:val="right"/>
        <w:rPr>
          <w:rFonts w:ascii="Times New Roman" w:hAnsi="Times New Roman"/>
          <w:color w:val="auto"/>
        </w:rPr>
      </w:pPr>
      <w:bookmarkStart w:id="144" w:name="_Hlk94088846"/>
      <w:r>
        <w:rPr>
          <w:rFonts w:ascii="Times New Roman" w:hAnsi="Times New Roman"/>
          <w:color w:val="auto"/>
        </w:rPr>
        <w:t>投标人</w:t>
      </w:r>
      <w:r>
        <w:rPr>
          <w:color w:val="auto"/>
        </w:rPr>
        <w:t>（电子签章）</w:t>
      </w:r>
      <w:r>
        <w:rPr>
          <w:rFonts w:ascii="Times New Roman" w:hAnsi="Times New Roman"/>
          <w:color w:val="auto"/>
        </w:rPr>
        <w:t>：__________________________</w:t>
      </w:r>
    </w:p>
    <w:p>
      <w:pPr>
        <w:pStyle w:val="25"/>
        <w:widowControl w:val="0"/>
        <w:adjustRightInd w:val="0"/>
        <w:snapToGrid w:val="0"/>
        <w:spacing w:before="0" w:beforeAutospacing="0" w:after="0" w:afterAutospacing="0"/>
        <w:ind w:firstLine="900" w:firstLineChars="375"/>
        <w:jc w:val="right"/>
        <w:rPr>
          <w:rFonts w:ascii="Times New Roman" w:hAnsi="Times New Roman"/>
          <w:color w:val="auto"/>
        </w:rPr>
      </w:pPr>
      <w:r>
        <w:rPr>
          <w:rFonts w:ascii="Times New Roman" w:hAnsi="Times New Roman"/>
          <w:color w:val="auto"/>
        </w:rPr>
        <w:t>日期：____年____月____日</w:t>
      </w:r>
    </w:p>
    <w:bookmarkEnd w:id="144"/>
    <w:p>
      <w:pPr>
        <w:spacing w:line="360" w:lineRule="auto"/>
        <w:rPr>
          <w:color w:val="auto"/>
          <w:lang w:val="zh-CN"/>
        </w:rPr>
        <w:sectPr>
          <w:pgSz w:w="16838" w:h="11906" w:orient="landscape"/>
          <w:pgMar w:top="1622" w:right="1259" w:bottom="1287" w:left="1361" w:header="709" w:footer="975" w:gutter="0"/>
          <w:cols w:space="720" w:num="1"/>
          <w:docGrid w:linePitch="360" w:charSpace="0"/>
        </w:sectPr>
      </w:pPr>
    </w:p>
    <w:p>
      <w:pPr>
        <w:pStyle w:val="25"/>
        <w:widowControl w:val="0"/>
        <w:adjustRightInd w:val="0"/>
        <w:snapToGrid w:val="0"/>
        <w:spacing w:line="276" w:lineRule="auto"/>
        <w:jc w:val="center"/>
        <w:rPr>
          <w:b/>
          <w:color w:val="auto"/>
          <w:sz w:val="32"/>
          <w:szCs w:val="32"/>
        </w:rPr>
      </w:pPr>
      <w:r>
        <w:rPr>
          <w:rFonts w:ascii="Times New Roman" w:hAnsi="Times New Roman"/>
          <w:b/>
          <w:color w:val="auto"/>
          <w:sz w:val="32"/>
          <w:szCs w:val="32"/>
        </w:rPr>
        <w:t>二、</w:t>
      </w:r>
      <w:bookmarkStart w:id="145" w:name="_Hlk95828324"/>
      <w:r>
        <w:rPr>
          <w:b/>
          <w:color w:val="auto"/>
          <w:sz w:val="32"/>
          <w:szCs w:val="32"/>
        </w:rPr>
        <w:t>中小企业声明函（货物）</w:t>
      </w:r>
    </w:p>
    <w:p>
      <w:pPr>
        <w:shd w:val="clear" w:color="auto" w:fill="FFFFFF"/>
        <w:spacing w:line="276" w:lineRule="auto"/>
        <w:ind w:firstLine="480" w:firstLineChars="200"/>
        <w:rPr>
          <w:rFonts w:ascii="宋体" w:hAnsi="宋体"/>
          <w:color w:val="auto"/>
        </w:rPr>
      </w:pPr>
      <w:r>
        <w:rPr>
          <w:rFonts w:ascii="宋体" w:hAnsi="宋体"/>
          <w:color w:val="auto"/>
        </w:rPr>
        <w:t>本公司郑重声明，根据《政府采购促进中小企业发展管理办法》（财库[2020]46号）的规定，本公司参加______（单位名称）的______（项目名称）采购活动，提供的货物全部由符合政策要求的中小企业制造。相关企业的具体情况如下：</w:t>
      </w:r>
    </w:p>
    <w:p>
      <w:pPr>
        <w:shd w:val="clear" w:color="auto" w:fill="FFFFFF"/>
        <w:spacing w:line="276" w:lineRule="auto"/>
        <w:ind w:firstLine="480" w:firstLineChars="200"/>
        <w:rPr>
          <w:rFonts w:ascii="宋体" w:hAnsi="宋体"/>
          <w:color w:val="auto"/>
        </w:rPr>
      </w:pPr>
      <w:r>
        <w:rPr>
          <w:rFonts w:ascii="宋体" w:hAnsi="宋体"/>
          <w:color w:val="auto"/>
        </w:rPr>
        <w:t>1._____（标的名称），属于</w:t>
      </w:r>
      <w:r>
        <w:rPr>
          <w:rFonts w:ascii="宋体" w:hAnsi="宋体"/>
          <w:color w:val="auto"/>
          <w:u w:val="single"/>
        </w:rPr>
        <w:t>（采购文件中明确的所属行业</w:t>
      </w:r>
      <w:r>
        <w:rPr>
          <w:rFonts w:hint="eastAsia" w:ascii="宋体" w:hAnsi="宋体"/>
          <w:color w:val="auto"/>
          <w:u w:val="single"/>
        </w:rPr>
        <w:t>，详见前附表</w:t>
      </w:r>
      <w:r>
        <w:rPr>
          <w:rFonts w:ascii="宋体" w:hAnsi="宋体"/>
          <w:color w:val="auto"/>
          <w:u w:val="single"/>
        </w:rPr>
        <w:t>）</w:t>
      </w:r>
      <w:r>
        <w:rPr>
          <w:rFonts w:hint="eastAsia" w:ascii="宋体" w:hAnsi="宋体"/>
          <w:color w:val="auto"/>
          <w:u w:val="single"/>
        </w:rPr>
        <w:t xml:space="preserve">   </w:t>
      </w:r>
      <w:r>
        <w:rPr>
          <w:rFonts w:ascii="宋体" w:hAnsi="宋体"/>
          <w:color w:val="auto"/>
        </w:rPr>
        <w:t>行业；制造商为</w:t>
      </w:r>
      <w:r>
        <w:rPr>
          <w:rFonts w:ascii="宋体" w:hAnsi="宋体"/>
          <w:color w:val="auto"/>
          <w:u w:val="single"/>
        </w:rPr>
        <w:t>（企业名称）</w:t>
      </w:r>
      <w:r>
        <w:rPr>
          <w:rFonts w:ascii="宋体" w:hAnsi="宋体"/>
          <w:color w:val="auto"/>
        </w:rPr>
        <w:t>，从业人员_____人，营业收入为_____万元，资产总额为_____万元¹，属于（</w:t>
      </w:r>
      <w:r>
        <w:rPr>
          <w:rFonts w:ascii="宋体" w:hAnsi="宋体"/>
          <w:color w:val="auto"/>
          <w:u w:val="single"/>
        </w:rPr>
        <w:t>中型企业、小型企业、微型企业</w:t>
      </w:r>
      <w:r>
        <w:rPr>
          <w:rFonts w:ascii="宋体" w:hAnsi="宋体"/>
          <w:color w:val="auto"/>
        </w:rPr>
        <w:t>）；</w:t>
      </w:r>
    </w:p>
    <w:p>
      <w:pPr>
        <w:shd w:val="clear" w:color="auto" w:fill="FFFFFF"/>
        <w:spacing w:line="276" w:lineRule="auto"/>
        <w:ind w:firstLine="480" w:firstLineChars="200"/>
        <w:rPr>
          <w:rFonts w:ascii="宋体" w:hAnsi="宋体"/>
          <w:color w:val="auto"/>
        </w:rPr>
      </w:pPr>
      <w:r>
        <w:rPr>
          <w:rFonts w:ascii="宋体" w:hAnsi="宋体"/>
          <w:color w:val="auto"/>
        </w:rPr>
        <w:t>2._____（标的名称），属于</w:t>
      </w:r>
      <w:r>
        <w:rPr>
          <w:rFonts w:ascii="宋体" w:hAnsi="宋体"/>
          <w:color w:val="auto"/>
          <w:u w:val="single"/>
        </w:rPr>
        <w:t>（采购文件中明确的所属行业</w:t>
      </w:r>
      <w:r>
        <w:rPr>
          <w:rFonts w:hint="eastAsia" w:ascii="宋体" w:hAnsi="宋体"/>
          <w:color w:val="auto"/>
          <w:u w:val="single"/>
        </w:rPr>
        <w:t>，详见前附表</w:t>
      </w:r>
      <w:r>
        <w:rPr>
          <w:rFonts w:ascii="宋体" w:hAnsi="宋体"/>
          <w:color w:val="auto"/>
          <w:u w:val="single"/>
        </w:rPr>
        <w:t>）</w:t>
      </w:r>
      <w:r>
        <w:rPr>
          <w:rFonts w:hint="eastAsia" w:ascii="宋体" w:hAnsi="宋体"/>
          <w:color w:val="auto"/>
          <w:u w:val="single"/>
        </w:rPr>
        <w:t xml:space="preserve">   </w:t>
      </w:r>
      <w:r>
        <w:rPr>
          <w:rFonts w:ascii="宋体" w:hAnsi="宋体"/>
          <w:color w:val="auto"/>
        </w:rPr>
        <w:t>行业；制造商为</w:t>
      </w:r>
      <w:r>
        <w:rPr>
          <w:rFonts w:ascii="宋体" w:hAnsi="宋体"/>
          <w:color w:val="auto"/>
          <w:u w:val="single"/>
        </w:rPr>
        <w:t>（企业名称）</w:t>
      </w:r>
      <w:r>
        <w:rPr>
          <w:rFonts w:ascii="宋体" w:hAnsi="宋体"/>
          <w:color w:val="auto"/>
        </w:rPr>
        <w:t>，从业人员_____人，营业收入为_____万元，资产总额为_____万元¹，属于（</w:t>
      </w:r>
      <w:r>
        <w:rPr>
          <w:rFonts w:ascii="宋体" w:hAnsi="宋体"/>
          <w:color w:val="auto"/>
          <w:u w:val="single"/>
        </w:rPr>
        <w:t>中型企业、小型企业、微型企业</w:t>
      </w:r>
      <w:r>
        <w:rPr>
          <w:rFonts w:ascii="宋体" w:hAnsi="宋体"/>
          <w:color w:val="auto"/>
        </w:rPr>
        <w:t>）；</w:t>
      </w:r>
    </w:p>
    <w:p>
      <w:pPr>
        <w:spacing w:line="276" w:lineRule="auto"/>
        <w:ind w:firstLine="480" w:firstLineChars="200"/>
        <w:rPr>
          <w:rFonts w:ascii="宋体" w:hAnsi="宋体"/>
          <w:color w:val="auto"/>
        </w:rPr>
      </w:pPr>
      <w:r>
        <w:rPr>
          <w:rFonts w:ascii="宋体" w:hAnsi="宋体"/>
          <w:color w:val="auto"/>
        </w:rPr>
        <w:t>……</w:t>
      </w:r>
    </w:p>
    <w:p>
      <w:pPr>
        <w:spacing w:line="276" w:lineRule="auto"/>
        <w:ind w:firstLine="482" w:firstLineChars="200"/>
        <w:rPr>
          <w:rFonts w:ascii="宋体" w:hAnsi="宋体"/>
          <w:b/>
          <w:color w:val="auto"/>
        </w:rPr>
      </w:pPr>
      <w:r>
        <w:rPr>
          <w:rFonts w:ascii="宋体" w:hAnsi="宋体"/>
          <w:b/>
          <w:color w:val="auto"/>
        </w:rPr>
        <w:t>以上企业，不属于大型企业的分支机构，不存在控股股东为大型企业的情形，也不存在与大企业的负责人为同一人的情形。</w:t>
      </w:r>
    </w:p>
    <w:p>
      <w:pPr>
        <w:spacing w:line="276" w:lineRule="auto"/>
        <w:rPr>
          <w:rFonts w:ascii="宋体" w:hAnsi="宋体"/>
          <w:color w:val="auto"/>
        </w:rPr>
      </w:pPr>
      <w:r>
        <w:rPr>
          <w:rFonts w:ascii="宋体" w:hAnsi="宋体"/>
          <w:color w:val="auto"/>
        </w:rPr>
        <w:t>本企业对上述声明内容的真实性负责。如有虚假，将依法承担相应责任。</w:t>
      </w:r>
    </w:p>
    <w:p>
      <w:pPr>
        <w:shd w:val="clear" w:color="auto" w:fill="FFFFFF"/>
        <w:spacing w:before="100" w:beforeAutospacing="1" w:after="100" w:afterAutospacing="1" w:line="276" w:lineRule="auto"/>
        <w:rPr>
          <w:rFonts w:ascii="宋体" w:hAnsi="宋体"/>
          <w:color w:val="auto"/>
        </w:rPr>
      </w:pPr>
      <w:r>
        <w:rPr>
          <w:rFonts w:ascii="宋体" w:hAnsi="宋体"/>
          <w:color w:val="auto"/>
        </w:rPr>
        <w:t>　　　　　　  　　　　　　　　　　　　　　　　　企业名称（电子签章）：</w:t>
      </w:r>
    </w:p>
    <w:p>
      <w:pPr>
        <w:shd w:val="clear" w:color="auto" w:fill="FFFFFF"/>
        <w:spacing w:before="100" w:beforeAutospacing="1" w:after="100" w:afterAutospacing="1" w:line="276" w:lineRule="auto"/>
        <w:rPr>
          <w:rFonts w:hint="eastAsia" w:ascii="宋体" w:hAnsi="宋体"/>
          <w:color w:val="auto"/>
        </w:rPr>
      </w:pPr>
      <w:r>
        <w:rPr>
          <w:rFonts w:ascii="宋体" w:hAnsi="宋体"/>
          <w:color w:val="auto"/>
        </w:rPr>
        <w:t>　　　　　　　　　　　　　　　　　　　　　　　　　　　日  期：</w:t>
      </w:r>
    </w:p>
    <w:p>
      <w:pPr>
        <w:spacing w:after="120"/>
        <w:ind w:left="200" w:firstLine="200"/>
        <w:rPr>
          <w:rFonts w:ascii="宋体" w:hAnsi="宋体"/>
          <w:color w:val="auto"/>
        </w:rPr>
      </w:pPr>
      <w:r>
        <w:rPr>
          <w:rFonts w:ascii="宋体" w:hAnsi="宋体"/>
          <w:color w:val="auto"/>
        </w:rPr>
        <w:t>-----------------------------------------------------------------------</w:t>
      </w:r>
    </w:p>
    <w:p>
      <w:pPr>
        <w:pStyle w:val="25"/>
        <w:widowControl w:val="0"/>
        <w:adjustRightInd w:val="0"/>
        <w:snapToGrid w:val="0"/>
        <w:rPr>
          <w:color w:val="auto"/>
        </w:rPr>
      </w:pPr>
      <w:r>
        <w:rPr>
          <w:color w:val="auto"/>
        </w:rPr>
        <w:t>¹从业人员、营业收入、资产总额填报上一年度的数据，无上一年度数据的新成立企业可不填报。</w:t>
      </w:r>
    </w:p>
    <w:p>
      <w:pPr>
        <w:pStyle w:val="25"/>
        <w:widowControl w:val="0"/>
        <w:adjustRightInd w:val="0"/>
        <w:snapToGrid w:val="0"/>
        <w:spacing w:line="300" w:lineRule="exact"/>
        <w:rPr>
          <w:color w:val="auto"/>
        </w:rPr>
        <w:sectPr>
          <w:pgSz w:w="11906" w:h="16838"/>
          <w:pgMar w:top="1259" w:right="1287" w:bottom="1361" w:left="1622" w:header="709" w:footer="975" w:gutter="0"/>
          <w:cols w:space="720" w:num="1"/>
          <w:docGrid w:linePitch="360" w:charSpace="0"/>
        </w:sectPr>
      </w:pPr>
      <w:r>
        <w:rPr>
          <w:color w:val="auto"/>
        </w:rPr>
        <w:t xml:space="preserve">代理公司特别提醒： 投标人填写此表须将所有产品列明，若多样产品均由一家制造商提供，为方便核算，在填写完所有标的名称时，请标注标的数量。例： 1. </w:t>
      </w:r>
      <w:r>
        <w:rPr>
          <w:color w:val="auto"/>
          <w:u w:val="single"/>
        </w:rPr>
        <w:t>A、B、C、D、E</w:t>
      </w:r>
      <w:r>
        <w:rPr>
          <w:b/>
          <w:bCs/>
          <w:color w:val="auto"/>
          <w:u w:val="single"/>
        </w:rPr>
        <w:t>共五样</w:t>
      </w:r>
      <w:r>
        <w:rPr>
          <w:color w:val="auto"/>
          <w:u w:val="single"/>
        </w:rPr>
        <w:t xml:space="preserve">  </w:t>
      </w:r>
      <w:r>
        <w:rPr>
          <w:color w:val="auto"/>
        </w:rPr>
        <w:t>（标的名称），属于</w:t>
      </w:r>
      <w:r>
        <w:rPr>
          <w:color w:val="auto"/>
          <w:u w:val="single"/>
        </w:rPr>
        <w:t>（采购文件中明确的所属行业）</w:t>
      </w:r>
      <w:r>
        <w:rPr>
          <w:color w:val="auto"/>
        </w:rPr>
        <w:t>行业；制造商为</w:t>
      </w:r>
      <w:r>
        <w:rPr>
          <w:color w:val="auto"/>
          <w:u w:val="single"/>
        </w:rPr>
        <w:t>（企业名称）</w:t>
      </w:r>
      <w:r>
        <w:rPr>
          <w:color w:val="auto"/>
        </w:rPr>
        <w:t>，……</w:t>
      </w:r>
    </w:p>
    <w:p>
      <w:pPr>
        <w:tabs>
          <w:tab w:val="left" w:pos="6300"/>
        </w:tabs>
        <w:snapToGrid w:val="0"/>
        <w:spacing w:line="500" w:lineRule="exact"/>
        <w:rPr>
          <w:rFonts w:hint="eastAsia" w:ascii="宋体" w:hAnsi="宋体"/>
          <w:color w:val="auto"/>
          <w:sz w:val="22"/>
          <w:szCs w:val="22"/>
        </w:rPr>
      </w:pPr>
      <w:r>
        <w:rPr>
          <w:rFonts w:hint="eastAsia" w:ascii="宋体" w:hAnsi="宋体"/>
          <w:color w:val="auto"/>
          <w:sz w:val="22"/>
          <w:szCs w:val="22"/>
        </w:rPr>
        <w:t>注：各行业划型标准：</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40" w:firstLineChars="200"/>
        <w:rPr>
          <w:rFonts w:hint="eastAsia" w:ascii="宋体" w:hAnsi="宋体"/>
          <w:color w:val="auto"/>
          <w:sz w:val="22"/>
          <w:szCs w:val="22"/>
        </w:rPr>
      </w:pPr>
      <w:r>
        <w:rPr>
          <w:rFonts w:hint="eastAsia" w:ascii="宋体" w:hAnsi="宋体"/>
          <w:color w:val="auto"/>
          <w:sz w:val="22"/>
          <w:szCs w:val="22"/>
        </w:rPr>
        <w:t>（十六）其他未列明行业。从业人员300人以下的为中小微型企业。其中，从业人员100人及以上的为中型企业；从业人员10人及以上的为小型企业；从业人员10人以下的为微型企业。</w:t>
      </w:r>
    </w:p>
    <w:p>
      <w:pPr>
        <w:pStyle w:val="25"/>
        <w:widowControl w:val="0"/>
        <w:adjustRightInd w:val="0"/>
        <w:snapToGrid w:val="0"/>
        <w:spacing w:line="300" w:lineRule="exact"/>
        <w:rPr>
          <w:rFonts w:ascii="Times New Roman" w:hAnsi="Times New Roman"/>
          <w:color w:val="auto"/>
          <w:sz w:val="28"/>
          <w:szCs w:val="28"/>
        </w:rPr>
        <w:sectPr>
          <w:pgSz w:w="11906" w:h="16838"/>
          <w:pgMar w:top="1259" w:right="1287" w:bottom="1361" w:left="1622" w:header="709" w:footer="975" w:gutter="0"/>
          <w:cols w:space="720" w:num="1"/>
          <w:docGrid w:linePitch="360" w:charSpace="0"/>
        </w:sectPr>
      </w:pPr>
    </w:p>
    <w:p>
      <w:pPr>
        <w:widowControl w:val="0"/>
        <w:autoSpaceDE w:val="0"/>
        <w:autoSpaceDN w:val="0"/>
        <w:adjustRightInd w:val="0"/>
        <w:jc w:val="center"/>
        <w:rPr>
          <w:rFonts w:hint="eastAsia"/>
          <w:b/>
          <w:color w:val="auto"/>
          <w:sz w:val="32"/>
          <w:szCs w:val="32"/>
        </w:rPr>
      </w:pPr>
      <w:r>
        <w:rPr>
          <w:b/>
          <w:color w:val="auto"/>
          <w:sz w:val="32"/>
          <w:szCs w:val="32"/>
        </w:rPr>
        <w:t>残疾人福利性单位声明函</w:t>
      </w:r>
      <w:r>
        <w:rPr>
          <w:rFonts w:hint="eastAsia"/>
          <w:b/>
          <w:color w:val="auto"/>
          <w:sz w:val="32"/>
          <w:szCs w:val="32"/>
        </w:rPr>
        <w:t>（如有）</w:t>
      </w:r>
    </w:p>
    <w:p>
      <w:pPr>
        <w:shd w:val="clear" w:color="auto" w:fill="FFFFFF"/>
        <w:spacing w:before="100" w:beforeAutospacing="1" w:after="100" w:afterAutospacing="1" w:line="360" w:lineRule="auto"/>
        <w:ind w:firstLine="480" w:firstLineChars="200"/>
        <w:rPr>
          <w:color w:val="auto"/>
        </w:rPr>
      </w:pPr>
      <w:r>
        <w:rPr>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spacing w:before="100" w:beforeAutospacing="1" w:after="100" w:afterAutospacing="1" w:line="360" w:lineRule="auto"/>
        <w:rPr>
          <w:color w:val="auto"/>
        </w:rPr>
      </w:pPr>
      <w:r>
        <w:rPr>
          <w:color w:val="auto"/>
        </w:rPr>
        <w:t>本单位对上述声明的真实性负责。如有虚假，将依法承担相应责任。</w:t>
      </w:r>
    </w:p>
    <w:p>
      <w:pPr>
        <w:shd w:val="clear" w:color="auto" w:fill="FFFFFF"/>
        <w:spacing w:before="100" w:beforeAutospacing="1" w:after="100" w:afterAutospacing="1" w:line="360" w:lineRule="auto"/>
        <w:rPr>
          <w:color w:val="auto"/>
        </w:rPr>
      </w:pPr>
    </w:p>
    <w:p>
      <w:pPr>
        <w:shd w:val="clear" w:color="auto" w:fill="FFFFFF"/>
        <w:spacing w:before="100" w:beforeAutospacing="1" w:after="100" w:afterAutospacing="1" w:line="360" w:lineRule="auto"/>
        <w:ind w:firstLine="6360" w:firstLineChars="2650"/>
        <w:rPr>
          <w:color w:val="auto"/>
        </w:rPr>
      </w:pPr>
      <w:r>
        <w:rPr>
          <w:color w:val="auto"/>
        </w:rPr>
        <w:t>投标人</w:t>
      </w:r>
      <w:r>
        <w:rPr>
          <w:rFonts w:ascii="宋体" w:hAnsi="宋体"/>
          <w:color w:val="auto"/>
        </w:rPr>
        <w:t>（电子签章）</w:t>
      </w:r>
      <w:r>
        <w:rPr>
          <w:color w:val="auto"/>
        </w:rPr>
        <w:t>：</w:t>
      </w:r>
    </w:p>
    <w:p>
      <w:pPr>
        <w:shd w:val="clear" w:color="auto" w:fill="FFFFFF"/>
        <w:spacing w:before="100" w:beforeAutospacing="1" w:after="100" w:afterAutospacing="1" w:line="360" w:lineRule="auto"/>
        <w:rPr>
          <w:color w:val="auto"/>
        </w:rPr>
      </w:pPr>
      <w:r>
        <w:rPr>
          <w:color w:val="auto"/>
        </w:rPr>
        <w:t>　　　　　　　　　　　　　　　　　　　　　　　　　　　日  期：</w:t>
      </w:r>
    </w:p>
    <w:p>
      <w:pPr>
        <w:shd w:val="clear" w:color="auto" w:fill="FFFFFF"/>
        <w:spacing w:before="100" w:beforeAutospacing="1" w:after="100" w:afterAutospacing="1" w:line="360" w:lineRule="auto"/>
        <w:rPr>
          <w:color w:val="auto"/>
        </w:rPr>
      </w:pPr>
    </w:p>
    <w:p>
      <w:pPr>
        <w:widowControl w:val="0"/>
        <w:autoSpaceDE w:val="0"/>
        <w:autoSpaceDN w:val="0"/>
        <w:adjustRightInd w:val="0"/>
        <w:jc w:val="center"/>
        <w:rPr>
          <w:rFonts w:hint="eastAsia"/>
          <w:b/>
          <w:color w:val="auto"/>
          <w:sz w:val="32"/>
          <w:szCs w:val="32"/>
        </w:rPr>
      </w:pPr>
      <w:r>
        <w:rPr>
          <w:b/>
          <w:color w:val="auto"/>
          <w:sz w:val="32"/>
          <w:szCs w:val="32"/>
        </w:rPr>
        <w:t>监狱企业证明文件</w:t>
      </w:r>
      <w:r>
        <w:rPr>
          <w:rFonts w:hint="eastAsia"/>
          <w:b/>
          <w:color w:val="auto"/>
          <w:sz w:val="32"/>
          <w:szCs w:val="32"/>
        </w:rPr>
        <w:t>（如有）</w:t>
      </w:r>
    </w:p>
    <w:p>
      <w:pPr>
        <w:pStyle w:val="25"/>
        <w:widowControl w:val="0"/>
        <w:adjustRightInd w:val="0"/>
        <w:snapToGrid w:val="0"/>
        <w:spacing w:before="0" w:beforeAutospacing="0" w:after="0" w:afterAutospacing="0"/>
        <w:rPr>
          <w:rFonts w:hint="eastAsia"/>
          <w:color w:val="auto"/>
          <w:u w:val="single"/>
        </w:rPr>
      </w:pPr>
      <w:r>
        <w:rPr>
          <w:rFonts w:ascii="Times New Roman" w:hAnsi="Times New Roman"/>
          <w:color w:val="auto"/>
        </w:rPr>
        <w:t>注：监狱企业参加政府采购活动时，应当提供由省级以上监狱管理局、戒毒管理局（含新疆生产建设兵团）出具的属于监狱企业的证明文件</w:t>
      </w:r>
      <w:r>
        <w:rPr>
          <w:rFonts w:hint="eastAsia" w:ascii="Times New Roman" w:hAnsi="Times New Roman"/>
          <w:color w:val="auto"/>
        </w:rPr>
        <w:t>。</w:t>
      </w:r>
      <w:bookmarkEnd w:id="141"/>
      <w:bookmarkEnd w:id="145"/>
      <w:bookmarkStart w:id="146" w:name="_Hlk93401532"/>
      <w:bookmarkEnd w:id="146"/>
      <w:bookmarkStart w:id="147" w:name="_Hlk94088739"/>
      <w:bookmarkEnd w:id="147"/>
    </w:p>
    <w:sectPr>
      <w:headerReference r:id="rId8" w:type="first"/>
      <w:footerReference r:id="rId9" w:type="first"/>
      <w:pgSz w:w="11906" w:h="16838"/>
      <w:pgMar w:top="1259" w:right="1287" w:bottom="1361" w:left="1622" w:header="709" w:footer="97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Univers LT Std 45 Light">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hint="eastAsia" w:ascii="宋体" w:hAnsi="宋体" w:cs="宋体"/>
        <w:szCs w:val="21"/>
        <w:u w:val="single"/>
      </w:rPr>
    </w:pPr>
    <w:r>
      <w:rPr>
        <w:rFonts w:hint="eastAsia" w:ascii="宋体" w:hAnsi="宋体"/>
        <w:szCs w:val="21"/>
      </w:rPr>
      <w:t xml:space="preserve">浙江金华阳光招标代理有限公司                                       </w:t>
    </w:r>
    <w:r>
      <w:rPr>
        <w:rFonts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HYPERLINK "mailto:jhygzb@qq.com" </w:instrText>
    </w:r>
    <w:r>
      <w:rPr>
        <w:rFonts w:hint="eastAsia" w:ascii="宋体" w:hAnsi="宋体" w:cs="宋体"/>
        <w:szCs w:val="21"/>
      </w:rPr>
      <w:fldChar w:fldCharType="separate"/>
    </w:r>
    <w:r>
      <w:rPr>
        <w:rStyle w:val="52"/>
        <w:rFonts w:hint="eastAsia" w:ascii="宋体" w:hAnsi="宋体" w:cs="宋体"/>
        <w:color w:val="auto"/>
        <w:szCs w:val="21"/>
        <w:u w:val="none"/>
      </w:rPr>
      <w:t>jhygzb@qq.com</w:t>
    </w:r>
    <w:r>
      <w:rPr>
        <w:rFonts w:hint="eastAsia" w:ascii="宋体" w:hAnsi="宋体" w:cs="宋体"/>
        <w:szCs w:val="21"/>
      </w:rPr>
      <w:fldChar w:fldCharType="end"/>
    </w:r>
  </w:p>
  <w:p>
    <w:pPr>
      <w:pStyle w:val="30"/>
      <w:framePr w:wrap="around" w:vAnchor="text" w:hAnchor="page" w:x="5792" w:y="66"/>
      <w:jc w:val="center"/>
      <w:rPr>
        <w:rStyle w:val="49"/>
        <w:rFonts w:hint="eastAsia" w:ascii="宋体" w:hAnsi="宋体"/>
      </w:rPr>
    </w:pPr>
    <w:r>
      <w:rPr>
        <w:rStyle w:val="49"/>
        <w:rFonts w:hint="eastAsia" w:ascii="宋体" w:hAnsi="宋体"/>
        <w:szCs w:val="21"/>
      </w:rPr>
      <w:t xml:space="preserve">第 </w:t>
    </w:r>
    <w:r>
      <w:rPr>
        <w:rFonts w:ascii="宋体" w:hAnsi="宋体"/>
        <w:szCs w:val="21"/>
      </w:rPr>
      <w:fldChar w:fldCharType="begin"/>
    </w:r>
    <w:r>
      <w:rPr>
        <w:rStyle w:val="49"/>
        <w:rFonts w:ascii="宋体" w:hAnsi="宋体"/>
        <w:szCs w:val="21"/>
      </w:rPr>
      <w:instrText xml:space="preserve"> PAGE </w:instrText>
    </w:r>
    <w:r>
      <w:rPr>
        <w:rFonts w:ascii="宋体" w:hAnsi="宋体"/>
        <w:szCs w:val="21"/>
      </w:rPr>
      <w:fldChar w:fldCharType="separate"/>
    </w:r>
    <w:r>
      <w:rPr>
        <w:rStyle w:val="49"/>
        <w:rFonts w:ascii="宋体" w:hAnsi="宋体"/>
        <w:szCs w:val="21"/>
      </w:rPr>
      <w:t>28</w:t>
    </w:r>
    <w:r>
      <w:rPr>
        <w:rFonts w:ascii="宋体" w:hAnsi="宋体"/>
        <w:szCs w:val="21"/>
      </w:rPr>
      <w:fldChar w:fldCharType="end"/>
    </w:r>
    <w:r>
      <w:rPr>
        <w:rStyle w:val="49"/>
        <w:rFonts w:hint="eastAsia" w:ascii="宋体" w:hAnsi="宋体"/>
        <w:szCs w:val="21"/>
      </w:rPr>
      <w:t xml:space="preserve"> 页 共 </w:t>
    </w:r>
    <w:r>
      <w:rPr>
        <w:rFonts w:ascii="宋体" w:hAnsi="宋体"/>
        <w:szCs w:val="21"/>
      </w:rPr>
      <w:fldChar w:fldCharType="begin"/>
    </w:r>
    <w:r>
      <w:rPr>
        <w:rStyle w:val="49"/>
        <w:rFonts w:ascii="宋体" w:hAnsi="宋体"/>
        <w:szCs w:val="21"/>
      </w:rPr>
      <w:instrText xml:space="preserve"> NUMPAGES </w:instrText>
    </w:r>
    <w:r>
      <w:rPr>
        <w:rFonts w:ascii="宋体" w:hAnsi="宋体"/>
        <w:szCs w:val="21"/>
      </w:rPr>
      <w:fldChar w:fldCharType="separate"/>
    </w:r>
    <w:r>
      <w:rPr>
        <w:rStyle w:val="49"/>
        <w:rFonts w:ascii="宋体" w:hAnsi="宋体"/>
        <w:szCs w:val="21"/>
      </w:rPr>
      <w:t>104</w:t>
    </w:r>
    <w:r>
      <w:rPr>
        <w:rFonts w:ascii="宋体" w:hAnsi="宋体"/>
        <w:szCs w:val="21"/>
      </w:rPr>
      <w:fldChar w:fldCharType="end"/>
    </w:r>
    <w:r>
      <w:rPr>
        <w:rStyle w:val="49"/>
        <w:rFonts w:hint="eastAsia" w:ascii="宋体" w:hAnsi="宋体"/>
        <w:szCs w:val="21"/>
      </w:rPr>
      <w:t xml:space="preserve"> 页</w:t>
    </w:r>
  </w:p>
  <w:p>
    <w:pPr>
      <w:pStyle w:val="30"/>
      <w:ind w:right="360"/>
      <w:jc w:val="center"/>
      <w:rPr>
        <w:rFonts w:hint="eastAsia"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49"/>
      </w:rPr>
    </w:pPr>
    <w:r>
      <w:fldChar w:fldCharType="begin"/>
    </w:r>
    <w:r>
      <w:rPr>
        <w:rStyle w:val="49"/>
      </w:rPr>
      <w:instrText xml:space="preserve">PAGE  </w:instrTex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71</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6" w:space="0"/>
      </w:pBdr>
      <w:jc w:val="left"/>
      <w:rPr>
        <w:rFonts w:hint="eastAsia"/>
      </w:rPr>
    </w:pPr>
    <w:r>
      <w:rPr>
        <w:rFonts w:hint="eastAsia"/>
      </w:rPr>
      <w:t>金东区中医院新建工程净化工程（含医疗气体）设备采购项目招标文件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1025" o:spid="_x0000_s1025" o:spt="136" type="#_x0000_t136" style="position:absolute;left:0pt;height:39.75pt;width:324pt;mso-position-horizontal:center;mso-position-horizontal-relative:margin;mso-position-vertical:center;mso-position-vertical-relative:margin;rotation:-2949120f;z-index:-251656192;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rotate-letters:f;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1026" o:spid="_x0000_s1026" o:spt="136" type="#_x0000_t136" style="position:absolute;left:0pt;height:39.75pt;width:324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rotate-letters:f;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02A6"/>
    <w:multiLevelType w:val="singleLevel"/>
    <w:tmpl w:val="9B7F02A6"/>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pStyle w:val="14"/>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TE2NDE2YTQ4ZTIwODIzNDRmNjQ1NjE1MDg5ZjMifQ=="/>
  </w:docVars>
  <w:rsids>
    <w:rsidRoot w:val="00172A27"/>
    <w:rsid w:val="00000476"/>
    <w:rsid w:val="000008B3"/>
    <w:rsid w:val="000010BD"/>
    <w:rsid w:val="00001BD1"/>
    <w:rsid w:val="00002E41"/>
    <w:rsid w:val="00004F9E"/>
    <w:rsid w:val="00005A6A"/>
    <w:rsid w:val="0000637E"/>
    <w:rsid w:val="0000735E"/>
    <w:rsid w:val="00007458"/>
    <w:rsid w:val="0000762E"/>
    <w:rsid w:val="00010807"/>
    <w:rsid w:val="00010B5F"/>
    <w:rsid w:val="000115B6"/>
    <w:rsid w:val="00012BE0"/>
    <w:rsid w:val="00012CF0"/>
    <w:rsid w:val="000140C6"/>
    <w:rsid w:val="0001509E"/>
    <w:rsid w:val="00015115"/>
    <w:rsid w:val="0001514E"/>
    <w:rsid w:val="000154FF"/>
    <w:rsid w:val="00015D48"/>
    <w:rsid w:val="00015D83"/>
    <w:rsid w:val="0001721F"/>
    <w:rsid w:val="000173FC"/>
    <w:rsid w:val="00017926"/>
    <w:rsid w:val="00020298"/>
    <w:rsid w:val="00020AE9"/>
    <w:rsid w:val="0002187D"/>
    <w:rsid w:val="0002202D"/>
    <w:rsid w:val="000221EF"/>
    <w:rsid w:val="00022AB6"/>
    <w:rsid w:val="000230D4"/>
    <w:rsid w:val="00023D91"/>
    <w:rsid w:val="000242CA"/>
    <w:rsid w:val="000262C6"/>
    <w:rsid w:val="00026CC4"/>
    <w:rsid w:val="000302AC"/>
    <w:rsid w:val="0003056F"/>
    <w:rsid w:val="000330C9"/>
    <w:rsid w:val="000332F6"/>
    <w:rsid w:val="000335B0"/>
    <w:rsid w:val="0003457A"/>
    <w:rsid w:val="00034978"/>
    <w:rsid w:val="00034CDF"/>
    <w:rsid w:val="00035518"/>
    <w:rsid w:val="000356A7"/>
    <w:rsid w:val="00036698"/>
    <w:rsid w:val="000403F8"/>
    <w:rsid w:val="00042F2A"/>
    <w:rsid w:val="000446D0"/>
    <w:rsid w:val="00044D31"/>
    <w:rsid w:val="00046B09"/>
    <w:rsid w:val="000518BA"/>
    <w:rsid w:val="00052686"/>
    <w:rsid w:val="00052E3E"/>
    <w:rsid w:val="00054BA5"/>
    <w:rsid w:val="00055EA0"/>
    <w:rsid w:val="00055F7C"/>
    <w:rsid w:val="000567A4"/>
    <w:rsid w:val="00057367"/>
    <w:rsid w:val="0006016F"/>
    <w:rsid w:val="000603B1"/>
    <w:rsid w:val="000608C6"/>
    <w:rsid w:val="00061562"/>
    <w:rsid w:val="0006264B"/>
    <w:rsid w:val="000630DA"/>
    <w:rsid w:val="00063D87"/>
    <w:rsid w:val="000647B7"/>
    <w:rsid w:val="0006664E"/>
    <w:rsid w:val="00066D2C"/>
    <w:rsid w:val="00066DE7"/>
    <w:rsid w:val="00070293"/>
    <w:rsid w:val="00070E59"/>
    <w:rsid w:val="00071EFA"/>
    <w:rsid w:val="000731F4"/>
    <w:rsid w:val="000733B0"/>
    <w:rsid w:val="00074121"/>
    <w:rsid w:val="000756CE"/>
    <w:rsid w:val="00076C9E"/>
    <w:rsid w:val="00077297"/>
    <w:rsid w:val="0007739C"/>
    <w:rsid w:val="00077E19"/>
    <w:rsid w:val="00077E89"/>
    <w:rsid w:val="0008040A"/>
    <w:rsid w:val="0008062F"/>
    <w:rsid w:val="0008101D"/>
    <w:rsid w:val="00081379"/>
    <w:rsid w:val="00081F25"/>
    <w:rsid w:val="00082EBE"/>
    <w:rsid w:val="00083647"/>
    <w:rsid w:val="00083704"/>
    <w:rsid w:val="0008387B"/>
    <w:rsid w:val="0008392B"/>
    <w:rsid w:val="00083F36"/>
    <w:rsid w:val="00084AEB"/>
    <w:rsid w:val="00084ECA"/>
    <w:rsid w:val="00085A77"/>
    <w:rsid w:val="000864AB"/>
    <w:rsid w:val="0008694F"/>
    <w:rsid w:val="0009086B"/>
    <w:rsid w:val="00091035"/>
    <w:rsid w:val="00091BD4"/>
    <w:rsid w:val="00092275"/>
    <w:rsid w:val="00092D80"/>
    <w:rsid w:val="00093557"/>
    <w:rsid w:val="00095C59"/>
    <w:rsid w:val="00096570"/>
    <w:rsid w:val="00097B92"/>
    <w:rsid w:val="000A0277"/>
    <w:rsid w:val="000A0662"/>
    <w:rsid w:val="000A1693"/>
    <w:rsid w:val="000A1760"/>
    <w:rsid w:val="000A2BE1"/>
    <w:rsid w:val="000A3413"/>
    <w:rsid w:val="000A3D42"/>
    <w:rsid w:val="000A3F43"/>
    <w:rsid w:val="000A5BF5"/>
    <w:rsid w:val="000A70D5"/>
    <w:rsid w:val="000A76AE"/>
    <w:rsid w:val="000B0195"/>
    <w:rsid w:val="000B0BC4"/>
    <w:rsid w:val="000B121E"/>
    <w:rsid w:val="000B23DE"/>
    <w:rsid w:val="000B42AC"/>
    <w:rsid w:val="000B4370"/>
    <w:rsid w:val="000B4C35"/>
    <w:rsid w:val="000B4E0C"/>
    <w:rsid w:val="000B5323"/>
    <w:rsid w:val="000B6FC7"/>
    <w:rsid w:val="000C06F5"/>
    <w:rsid w:val="000C0BE0"/>
    <w:rsid w:val="000C0F6F"/>
    <w:rsid w:val="000C2987"/>
    <w:rsid w:val="000C2E29"/>
    <w:rsid w:val="000C3935"/>
    <w:rsid w:val="000C3961"/>
    <w:rsid w:val="000C4AB2"/>
    <w:rsid w:val="000C548D"/>
    <w:rsid w:val="000C604B"/>
    <w:rsid w:val="000C768A"/>
    <w:rsid w:val="000C7E5D"/>
    <w:rsid w:val="000C7F71"/>
    <w:rsid w:val="000D017D"/>
    <w:rsid w:val="000D062C"/>
    <w:rsid w:val="000D1FFB"/>
    <w:rsid w:val="000D218E"/>
    <w:rsid w:val="000D29B3"/>
    <w:rsid w:val="000D387A"/>
    <w:rsid w:val="000D3F3D"/>
    <w:rsid w:val="000D4970"/>
    <w:rsid w:val="000D4A1A"/>
    <w:rsid w:val="000D50D8"/>
    <w:rsid w:val="000D52F5"/>
    <w:rsid w:val="000D6BF2"/>
    <w:rsid w:val="000D6F0B"/>
    <w:rsid w:val="000D70D8"/>
    <w:rsid w:val="000E0B27"/>
    <w:rsid w:val="000E21A4"/>
    <w:rsid w:val="000E22E2"/>
    <w:rsid w:val="000E2610"/>
    <w:rsid w:val="000E2D92"/>
    <w:rsid w:val="000E2FCA"/>
    <w:rsid w:val="000E469F"/>
    <w:rsid w:val="000E4D1F"/>
    <w:rsid w:val="000E50B5"/>
    <w:rsid w:val="000E5592"/>
    <w:rsid w:val="000E5E0F"/>
    <w:rsid w:val="000E6B91"/>
    <w:rsid w:val="000E6BB7"/>
    <w:rsid w:val="000E6BDD"/>
    <w:rsid w:val="000E7218"/>
    <w:rsid w:val="000E7567"/>
    <w:rsid w:val="000E79E0"/>
    <w:rsid w:val="000E7B76"/>
    <w:rsid w:val="000E7CB9"/>
    <w:rsid w:val="000F0758"/>
    <w:rsid w:val="000F0B8A"/>
    <w:rsid w:val="000F126A"/>
    <w:rsid w:val="000F16FA"/>
    <w:rsid w:val="000F27B8"/>
    <w:rsid w:val="000F2E93"/>
    <w:rsid w:val="000F3A53"/>
    <w:rsid w:val="000F4023"/>
    <w:rsid w:val="000F424B"/>
    <w:rsid w:val="000F43DF"/>
    <w:rsid w:val="000F4597"/>
    <w:rsid w:val="000F47AA"/>
    <w:rsid w:val="000F5204"/>
    <w:rsid w:val="000F5327"/>
    <w:rsid w:val="000F53C4"/>
    <w:rsid w:val="000F59F1"/>
    <w:rsid w:val="000F5E96"/>
    <w:rsid w:val="000F5EB6"/>
    <w:rsid w:val="000F6B3D"/>
    <w:rsid w:val="000F7613"/>
    <w:rsid w:val="000F7F4C"/>
    <w:rsid w:val="00101E0C"/>
    <w:rsid w:val="00102476"/>
    <w:rsid w:val="001037A6"/>
    <w:rsid w:val="00103E37"/>
    <w:rsid w:val="00104086"/>
    <w:rsid w:val="00104093"/>
    <w:rsid w:val="001049BD"/>
    <w:rsid w:val="00104EDF"/>
    <w:rsid w:val="00105323"/>
    <w:rsid w:val="00105370"/>
    <w:rsid w:val="00106078"/>
    <w:rsid w:val="001074A9"/>
    <w:rsid w:val="00110A10"/>
    <w:rsid w:val="00110B3C"/>
    <w:rsid w:val="00113E4E"/>
    <w:rsid w:val="0011406E"/>
    <w:rsid w:val="00114281"/>
    <w:rsid w:val="001144F4"/>
    <w:rsid w:val="00116EC5"/>
    <w:rsid w:val="001200C1"/>
    <w:rsid w:val="001232B5"/>
    <w:rsid w:val="00123E2D"/>
    <w:rsid w:val="00124315"/>
    <w:rsid w:val="001245E9"/>
    <w:rsid w:val="001246FC"/>
    <w:rsid w:val="001270C2"/>
    <w:rsid w:val="001273C8"/>
    <w:rsid w:val="001309AB"/>
    <w:rsid w:val="00130AC8"/>
    <w:rsid w:val="00130EA5"/>
    <w:rsid w:val="0013142A"/>
    <w:rsid w:val="00131EBE"/>
    <w:rsid w:val="001323AC"/>
    <w:rsid w:val="001328CE"/>
    <w:rsid w:val="00132E8D"/>
    <w:rsid w:val="00133DC1"/>
    <w:rsid w:val="00133FB0"/>
    <w:rsid w:val="0013482F"/>
    <w:rsid w:val="00136C02"/>
    <w:rsid w:val="001378A5"/>
    <w:rsid w:val="00137A8F"/>
    <w:rsid w:val="001400D1"/>
    <w:rsid w:val="00140F5D"/>
    <w:rsid w:val="00141FB3"/>
    <w:rsid w:val="0014304A"/>
    <w:rsid w:val="0014403C"/>
    <w:rsid w:val="00144A44"/>
    <w:rsid w:val="0014513E"/>
    <w:rsid w:val="001455EA"/>
    <w:rsid w:val="00145CEC"/>
    <w:rsid w:val="00145D0C"/>
    <w:rsid w:val="001472D7"/>
    <w:rsid w:val="001474F8"/>
    <w:rsid w:val="0014754E"/>
    <w:rsid w:val="001477E2"/>
    <w:rsid w:val="00150470"/>
    <w:rsid w:val="00150A2B"/>
    <w:rsid w:val="0015121D"/>
    <w:rsid w:val="001513EC"/>
    <w:rsid w:val="0015165C"/>
    <w:rsid w:val="00151696"/>
    <w:rsid w:val="00151D6D"/>
    <w:rsid w:val="00151E47"/>
    <w:rsid w:val="00152713"/>
    <w:rsid w:val="00153914"/>
    <w:rsid w:val="00153C1D"/>
    <w:rsid w:val="00154453"/>
    <w:rsid w:val="00154D46"/>
    <w:rsid w:val="00155650"/>
    <w:rsid w:val="00156FD2"/>
    <w:rsid w:val="00157349"/>
    <w:rsid w:val="00157F9F"/>
    <w:rsid w:val="0016096D"/>
    <w:rsid w:val="00161371"/>
    <w:rsid w:val="00161FA7"/>
    <w:rsid w:val="001625A3"/>
    <w:rsid w:val="00162CA9"/>
    <w:rsid w:val="00165514"/>
    <w:rsid w:val="00166964"/>
    <w:rsid w:val="00166B53"/>
    <w:rsid w:val="00166DAB"/>
    <w:rsid w:val="00167ADF"/>
    <w:rsid w:val="00170BBA"/>
    <w:rsid w:val="00171A6E"/>
    <w:rsid w:val="001722C9"/>
    <w:rsid w:val="001725F5"/>
    <w:rsid w:val="00172789"/>
    <w:rsid w:val="00174C76"/>
    <w:rsid w:val="0017758B"/>
    <w:rsid w:val="001812B1"/>
    <w:rsid w:val="00182D83"/>
    <w:rsid w:val="001832DB"/>
    <w:rsid w:val="00183460"/>
    <w:rsid w:val="00183E97"/>
    <w:rsid w:val="001858E2"/>
    <w:rsid w:val="00185A16"/>
    <w:rsid w:val="00187019"/>
    <w:rsid w:val="0018752A"/>
    <w:rsid w:val="00190154"/>
    <w:rsid w:val="00190CB5"/>
    <w:rsid w:val="00190E0A"/>
    <w:rsid w:val="00191546"/>
    <w:rsid w:val="0019193B"/>
    <w:rsid w:val="00192F4D"/>
    <w:rsid w:val="001934A7"/>
    <w:rsid w:val="00193C0C"/>
    <w:rsid w:val="00194985"/>
    <w:rsid w:val="00194B56"/>
    <w:rsid w:val="0019556A"/>
    <w:rsid w:val="00195A7B"/>
    <w:rsid w:val="00195FFF"/>
    <w:rsid w:val="00196244"/>
    <w:rsid w:val="00196451"/>
    <w:rsid w:val="00196DFB"/>
    <w:rsid w:val="00197552"/>
    <w:rsid w:val="001979F0"/>
    <w:rsid w:val="00197D65"/>
    <w:rsid w:val="001A0487"/>
    <w:rsid w:val="001A1962"/>
    <w:rsid w:val="001A2967"/>
    <w:rsid w:val="001A3C44"/>
    <w:rsid w:val="001A4C59"/>
    <w:rsid w:val="001A6896"/>
    <w:rsid w:val="001A7EC6"/>
    <w:rsid w:val="001B115B"/>
    <w:rsid w:val="001B13BC"/>
    <w:rsid w:val="001B1415"/>
    <w:rsid w:val="001B1F0E"/>
    <w:rsid w:val="001B22FE"/>
    <w:rsid w:val="001B33CD"/>
    <w:rsid w:val="001B39A8"/>
    <w:rsid w:val="001B4514"/>
    <w:rsid w:val="001B4573"/>
    <w:rsid w:val="001B4D15"/>
    <w:rsid w:val="001B55A2"/>
    <w:rsid w:val="001B5852"/>
    <w:rsid w:val="001B653F"/>
    <w:rsid w:val="001B7D11"/>
    <w:rsid w:val="001C002D"/>
    <w:rsid w:val="001C0A4D"/>
    <w:rsid w:val="001C24AC"/>
    <w:rsid w:val="001C2CC4"/>
    <w:rsid w:val="001C3A80"/>
    <w:rsid w:val="001C3CA3"/>
    <w:rsid w:val="001C3E69"/>
    <w:rsid w:val="001C485D"/>
    <w:rsid w:val="001C49B0"/>
    <w:rsid w:val="001C4D69"/>
    <w:rsid w:val="001C5484"/>
    <w:rsid w:val="001C5EC5"/>
    <w:rsid w:val="001C7BF5"/>
    <w:rsid w:val="001C7FA3"/>
    <w:rsid w:val="001D2882"/>
    <w:rsid w:val="001D4FB2"/>
    <w:rsid w:val="001D506D"/>
    <w:rsid w:val="001D5A51"/>
    <w:rsid w:val="001D5C1E"/>
    <w:rsid w:val="001D6D34"/>
    <w:rsid w:val="001D6D39"/>
    <w:rsid w:val="001D775A"/>
    <w:rsid w:val="001D79A6"/>
    <w:rsid w:val="001E089E"/>
    <w:rsid w:val="001E14C5"/>
    <w:rsid w:val="001E1AFF"/>
    <w:rsid w:val="001E217C"/>
    <w:rsid w:val="001E28F1"/>
    <w:rsid w:val="001E2BE3"/>
    <w:rsid w:val="001E2EB2"/>
    <w:rsid w:val="001E2FAE"/>
    <w:rsid w:val="001E352C"/>
    <w:rsid w:val="001E3BC9"/>
    <w:rsid w:val="001E3EEC"/>
    <w:rsid w:val="001E519D"/>
    <w:rsid w:val="001E6414"/>
    <w:rsid w:val="001F0A82"/>
    <w:rsid w:val="001F0B26"/>
    <w:rsid w:val="001F369D"/>
    <w:rsid w:val="001F3ACE"/>
    <w:rsid w:val="001F4931"/>
    <w:rsid w:val="001F4B48"/>
    <w:rsid w:val="001F5F8B"/>
    <w:rsid w:val="001F7E58"/>
    <w:rsid w:val="002002FF"/>
    <w:rsid w:val="0020082E"/>
    <w:rsid w:val="002021A5"/>
    <w:rsid w:val="00202D9C"/>
    <w:rsid w:val="0020322C"/>
    <w:rsid w:val="00203BAC"/>
    <w:rsid w:val="00203D91"/>
    <w:rsid w:val="00204F4B"/>
    <w:rsid w:val="00205E3A"/>
    <w:rsid w:val="00206337"/>
    <w:rsid w:val="0020653C"/>
    <w:rsid w:val="002068C9"/>
    <w:rsid w:val="00207AD3"/>
    <w:rsid w:val="00211EF3"/>
    <w:rsid w:val="0021273A"/>
    <w:rsid w:val="00212B6E"/>
    <w:rsid w:val="00212F0D"/>
    <w:rsid w:val="0021301E"/>
    <w:rsid w:val="00214EDB"/>
    <w:rsid w:val="00214F9D"/>
    <w:rsid w:val="00215096"/>
    <w:rsid w:val="00215E1D"/>
    <w:rsid w:val="0022020F"/>
    <w:rsid w:val="00220F14"/>
    <w:rsid w:val="00221380"/>
    <w:rsid w:val="00221769"/>
    <w:rsid w:val="002218B2"/>
    <w:rsid w:val="00222069"/>
    <w:rsid w:val="002235A3"/>
    <w:rsid w:val="00224782"/>
    <w:rsid w:val="002252B5"/>
    <w:rsid w:val="002253D2"/>
    <w:rsid w:val="002311D5"/>
    <w:rsid w:val="00232DEE"/>
    <w:rsid w:val="00232E5C"/>
    <w:rsid w:val="00233E2D"/>
    <w:rsid w:val="002347E8"/>
    <w:rsid w:val="00234A0E"/>
    <w:rsid w:val="00235957"/>
    <w:rsid w:val="0023674F"/>
    <w:rsid w:val="0023689F"/>
    <w:rsid w:val="00236B9C"/>
    <w:rsid w:val="00236C6D"/>
    <w:rsid w:val="0023782F"/>
    <w:rsid w:val="002406ED"/>
    <w:rsid w:val="00242F80"/>
    <w:rsid w:val="00243C29"/>
    <w:rsid w:val="00243DA5"/>
    <w:rsid w:val="00246BFF"/>
    <w:rsid w:val="00251397"/>
    <w:rsid w:val="0025251B"/>
    <w:rsid w:val="00252B3B"/>
    <w:rsid w:val="002548A2"/>
    <w:rsid w:val="00254EED"/>
    <w:rsid w:val="00254F08"/>
    <w:rsid w:val="00255451"/>
    <w:rsid w:val="0025551C"/>
    <w:rsid w:val="00255C42"/>
    <w:rsid w:val="00256417"/>
    <w:rsid w:val="00256CB0"/>
    <w:rsid w:val="0026154A"/>
    <w:rsid w:val="00262220"/>
    <w:rsid w:val="002623FA"/>
    <w:rsid w:val="00262BC3"/>
    <w:rsid w:val="0026616C"/>
    <w:rsid w:val="002664A4"/>
    <w:rsid w:val="00266A18"/>
    <w:rsid w:val="00266A99"/>
    <w:rsid w:val="00266D87"/>
    <w:rsid w:val="00266F02"/>
    <w:rsid w:val="002673DC"/>
    <w:rsid w:val="00267CF1"/>
    <w:rsid w:val="00267D95"/>
    <w:rsid w:val="00267ECC"/>
    <w:rsid w:val="00270545"/>
    <w:rsid w:val="00270BD7"/>
    <w:rsid w:val="00271505"/>
    <w:rsid w:val="002718C7"/>
    <w:rsid w:val="00271987"/>
    <w:rsid w:val="00274221"/>
    <w:rsid w:val="00275383"/>
    <w:rsid w:val="002765F4"/>
    <w:rsid w:val="002774A2"/>
    <w:rsid w:val="002777DE"/>
    <w:rsid w:val="00277D30"/>
    <w:rsid w:val="002809F1"/>
    <w:rsid w:val="002810C0"/>
    <w:rsid w:val="00282B8C"/>
    <w:rsid w:val="00282DA3"/>
    <w:rsid w:val="00283A7F"/>
    <w:rsid w:val="0028401C"/>
    <w:rsid w:val="0028408C"/>
    <w:rsid w:val="002841A8"/>
    <w:rsid w:val="00286108"/>
    <w:rsid w:val="002877AB"/>
    <w:rsid w:val="00287952"/>
    <w:rsid w:val="00287A99"/>
    <w:rsid w:val="002900F6"/>
    <w:rsid w:val="00290E29"/>
    <w:rsid w:val="00290E4D"/>
    <w:rsid w:val="00291BDF"/>
    <w:rsid w:val="00292664"/>
    <w:rsid w:val="0029323A"/>
    <w:rsid w:val="00293A65"/>
    <w:rsid w:val="002949D5"/>
    <w:rsid w:val="00295CF2"/>
    <w:rsid w:val="002A0D53"/>
    <w:rsid w:val="002A0E35"/>
    <w:rsid w:val="002A0EEF"/>
    <w:rsid w:val="002A1274"/>
    <w:rsid w:val="002A158E"/>
    <w:rsid w:val="002A1E2C"/>
    <w:rsid w:val="002A23AA"/>
    <w:rsid w:val="002A2B29"/>
    <w:rsid w:val="002A2EA0"/>
    <w:rsid w:val="002A3E9E"/>
    <w:rsid w:val="002A48BC"/>
    <w:rsid w:val="002A59D0"/>
    <w:rsid w:val="002A5D5E"/>
    <w:rsid w:val="002A5DF1"/>
    <w:rsid w:val="002A79A2"/>
    <w:rsid w:val="002B0123"/>
    <w:rsid w:val="002B10EF"/>
    <w:rsid w:val="002B14B5"/>
    <w:rsid w:val="002B1E66"/>
    <w:rsid w:val="002B1EB1"/>
    <w:rsid w:val="002B2894"/>
    <w:rsid w:val="002B2B57"/>
    <w:rsid w:val="002B2E8D"/>
    <w:rsid w:val="002B3737"/>
    <w:rsid w:val="002B3E63"/>
    <w:rsid w:val="002B5AA9"/>
    <w:rsid w:val="002B622C"/>
    <w:rsid w:val="002B72CC"/>
    <w:rsid w:val="002B74FC"/>
    <w:rsid w:val="002C0C68"/>
    <w:rsid w:val="002C0C91"/>
    <w:rsid w:val="002C0FFE"/>
    <w:rsid w:val="002C24E3"/>
    <w:rsid w:val="002C2BEB"/>
    <w:rsid w:val="002C2EA4"/>
    <w:rsid w:val="002C3114"/>
    <w:rsid w:val="002C42EA"/>
    <w:rsid w:val="002C4961"/>
    <w:rsid w:val="002C5EE8"/>
    <w:rsid w:val="002C755D"/>
    <w:rsid w:val="002C7821"/>
    <w:rsid w:val="002D0F4F"/>
    <w:rsid w:val="002D18D3"/>
    <w:rsid w:val="002D1AE8"/>
    <w:rsid w:val="002D27DB"/>
    <w:rsid w:val="002D3072"/>
    <w:rsid w:val="002D3E31"/>
    <w:rsid w:val="002D4630"/>
    <w:rsid w:val="002D48BA"/>
    <w:rsid w:val="002D51CD"/>
    <w:rsid w:val="002D52C3"/>
    <w:rsid w:val="002D5302"/>
    <w:rsid w:val="002D6A2D"/>
    <w:rsid w:val="002D716D"/>
    <w:rsid w:val="002D7589"/>
    <w:rsid w:val="002D7926"/>
    <w:rsid w:val="002D792C"/>
    <w:rsid w:val="002E02D8"/>
    <w:rsid w:val="002E0B05"/>
    <w:rsid w:val="002E0B81"/>
    <w:rsid w:val="002E1114"/>
    <w:rsid w:val="002E157D"/>
    <w:rsid w:val="002E4154"/>
    <w:rsid w:val="002E4717"/>
    <w:rsid w:val="002E6A3E"/>
    <w:rsid w:val="002E794D"/>
    <w:rsid w:val="002F0A57"/>
    <w:rsid w:val="002F19C2"/>
    <w:rsid w:val="002F2D60"/>
    <w:rsid w:val="002F34E3"/>
    <w:rsid w:val="002F353C"/>
    <w:rsid w:val="002F4719"/>
    <w:rsid w:val="002F4C04"/>
    <w:rsid w:val="002F4DE4"/>
    <w:rsid w:val="002F579B"/>
    <w:rsid w:val="002F6AC1"/>
    <w:rsid w:val="002F708C"/>
    <w:rsid w:val="002F7462"/>
    <w:rsid w:val="002F74D0"/>
    <w:rsid w:val="002F75FD"/>
    <w:rsid w:val="003003B3"/>
    <w:rsid w:val="00300AB5"/>
    <w:rsid w:val="0030125C"/>
    <w:rsid w:val="00301FA9"/>
    <w:rsid w:val="003023B6"/>
    <w:rsid w:val="00302618"/>
    <w:rsid w:val="00302F52"/>
    <w:rsid w:val="00304B09"/>
    <w:rsid w:val="00304B66"/>
    <w:rsid w:val="00305883"/>
    <w:rsid w:val="00305A9F"/>
    <w:rsid w:val="003063B1"/>
    <w:rsid w:val="0030689C"/>
    <w:rsid w:val="00306EC1"/>
    <w:rsid w:val="00307B4D"/>
    <w:rsid w:val="0031104A"/>
    <w:rsid w:val="00311F72"/>
    <w:rsid w:val="0031271F"/>
    <w:rsid w:val="00312A6F"/>
    <w:rsid w:val="00312E4B"/>
    <w:rsid w:val="0031354E"/>
    <w:rsid w:val="00313F6E"/>
    <w:rsid w:val="00314AB6"/>
    <w:rsid w:val="003155BA"/>
    <w:rsid w:val="00315853"/>
    <w:rsid w:val="00316732"/>
    <w:rsid w:val="00316822"/>
    <w:rsid w:val="00324FED"/>
    <w:rsid w:val="00325979"/>
    <w:rsid w:val="00326DDC"/>
    <w:rsid w:val="0032793F"/>
    <w:rsid w:val="0032798E"/>
    <w:rsid w:val="00327EFF"/>
    <w:rsid w:val="00330E62"/>
    <w:rsid w:val="0033176A"/>
    <w:rsid w:val="00331EEA"/>
    <w:rsid w:val="0033276B"/>
    <w:rsid w:val="00333806"/>
    <w:rsid w:val="00333A2C"/>
    <w:rsid w:val="00333BC4"/>
    <w:rsid w:val="003348B7"/>
    <w:rsid w:val="00334997"/>
    <w:rsid w:val="00334E1F"/>
    <w:rsid w:val="003355C1"/>
    <w:rsid w:val="003357FC"/>
    <w:rsid w:val="00335822"/>
    <w:rsid w:val="00335F17"/>
    <w:rsid w:val="00336323"/>
    <w:rsid w:val="003363C0"/>
    <w:rsid w:val="00336554"/>
    <w:rsid w:val="00336A0E"/>
    <w:rsid w:val="00336D7F"/>
    <w:rsid w:val="00336F39"/>
    <w:rsid w:val="00337C12"/>
    <w:rsid w:val="00337E77"/>
    <w:rsid w:val="00340478"/>
    <w:rsid w:val="00340B3D"/>
    <w:rsid w:val="00340C86"/>
    <w:rsid w:val="003415F7"/>
    <w:rsid w:val="00341960"/>
    <w:rsid w:val="00341FEF"/>
    <w:rsid w:val="003422EC"/>
    <w:rsid w:val="003427B1"/>
    <w:rsid w:val="00343F9B"/>
    <w:rsid w:val="00344442"/>
    <w:rsid w:val="00345519"/>
    <w:rsid w:val="00346759"/>
    <w:rsid w:val="00346FAA"/>
    <w:rsid w:val="0034725B"/>
    <w:rsid w:val="00347A4C"/>
    <w:rsid w:val="00350F51"/>
    <w:rsid w:val="00351B45"/>
    <w:rsid w:val="003524A4"/>
    <w:rsid w:val="0035253D"/>
    <w:rsid w:val="00352F45"/>
    <w:rsid w:val="003535A7"/>
    <w:rsid w:val="003538DF"/>
    <w:rsid w:val="003539C6"/>
    <w:rsid w:val="0035471C"/>
    <w:rsid w:val="00355E67"/>
    <w:rsid w:val="00355EC9"/>
    <w:rsid w:val="0035714A"/>
    <w:rsid w:val="003579A4"/>
    <w:rsid w:val="00357C19"/>
    <w:rsid w:val="00357C71"/>
    <w:rsid w:val="00357C82"/>
    <w:rsid w:val="00357D06"/>
    <w:rsid w:val="00357F75"/>
    <w:rsid w:val="00357FBD"/>
    <w:rsid w:val="0036030C"/>
    <w:rsid w:val="0036261C"/>
    <w:rsid w:val="003628B8"/>
    <w:rsid w:val="00362B5A"/>
    <w:rsid w:val="00362F03"/>
    <w:rsid w:val="00362FF2"/>
    <w:rsid w:val="00363A23"/>
    <w:rsid w:val="00363C22"/>
    <w:rsid w:val="0036425D"/>
    <w:rsid w:val="0036453D"/>
    <w:rsid w:val="00364C5A"/>
    <w:rsid w:val="00367D12"/>
    <w:rsid w:val="00370F70"/>
    <w:rsid w:val="0037111A"/>
    <w:rsid w:val="0037294E"/>
    <w:rsid w:val="00372FD7"/>
    <w:rsid w:val="0037350D"/>
    <w:rsid w:val="003767E6"/>
    <w:rsid w:val="00376830"/>
    <w:rsid w:val="0037759F"/>
    <w:rsid w:val="00377D02"/>
    <w:rsid w:val="00381445"/>
    <w:rsid w:val="0038360F"/>
    <w:rsid w:val="00384F90"/>
    <w:rsid w:val="00386412"/>
    <w:rsid w:val="00386902"/>
    <w:rsid w:val="00386CDA"/>
    <w:rsid w:val="00387719"/>
    <w:rsid w:val="00390B3A"/>
    <w:rsid w:val="00391172"/>
    <w:rsid w:val="00391539"/>
    <w:rsid w:val="00391C08"/>
    <w:rsid w:val="003920F7"/>
    <w:rsid w:val="00393D40"/>
    <w:rsid w:val="0039695F"/>
    <w:rsid w:val="0039706A"/>
    <w:rsid w:val="003973CA"/>
    <w:rsid w:val="003A0C8A"/>
    <w:rsid w:val="003A12F9"/>
    <w:rsid w:val="003A1DF4"/>
    <w:rsid w:val="003A1FBF"/>
    <w:rsid w:val="003A20AB"/>
    <w:rsid w:val="003A3761"/>
    <w:rsid w:val="003A3F3E"/>
    <w:rsid w:val="003A44B8"/>
    <w:rsid w:val="003A45BA"/>
    <w:rsid w:val="003A47AF"/>
    <w:rsid w:val="003A5D07"/>
    <w:rsid w:val="003A5DF0"/>
    <w:rsid w:val="003A6547"/>
    <w:rsid w:val="003A7D9B"/>
    <w:rsid w:val="003A7FE9"/>
    <w:rsid w:val="003B0021"/>
    <w:rsid w:val="003B036A"/>
    <w:rsid w:val="003B1627"/>
    <w:rsid w:val="003B1F05"/>
    <w:rsid w:val="003B26AB"/>
    <w:rsid w:val="003B2884"/>
    <w:rsid w:val="003B2AA3"/>
    <w:rsid w:val="003B2EE6"/>
    <w:rsid w:val="003B3640"/>
    <w:rsid w:val="003B3D20"/>
    <w:rsid w:val="003B545A"/>
    <w:rsid w:val="003B5F94"/>
    <w:rsid w:val="003B658D"/>
    <w:rsid w:val="003B6670"/>
    <w:rsid w:val="003B7B82"/>
    <w:rsid w:val="003B7D0F"/>
    <w:rsid w:val="003C1C1E"/>
    <w:rsid w:val="003C1DD2"/>
    <w:rsid w:val="003C2BB6"/>
    <w:rsid w:val="003C2D06"/>
    <w:rsid w:val="003C3A18"/>
    <w:rsid w:val="003C44B4"/>
    <w:rsid w:val="003C6BB4"/>
    <w:rsid w:val="003C73C7"/>
    <w:rsid w:val="003C782D"/>
    <w:rsid w:val="003C78E4"/>
    <w:rsid w:val="003C7F2E"/>
    <w:rsid w:val="003D01A2"/>
    <w:rsid w:val="003D0297"/>
    <w:rsid w:val="003D03B4"/>
    <w:rsid w:val="003D1239"/>
    <w:rsid w:val="003D13A3"/>
    <w:rsid w:val="003D1A83"/>
    <w:rsid w:val="003D3FFE"/>
    <w:rsid w:val="003D4D30"/>
    <w:rsid w:val="003D4DF8"/>
    <w:rsid w:val="003D617D"/>
    <w:rsid w:val="003D65C3"/>
    <w:rsid w:val="003E0B9D"/>
    <w:rsid w:val="003E1079"/>
    <w:rsid w:val="003E1A7D"/>
    <w:rsid w:val="003E1E60"/>
    <w:rsid w:val="003E21EB"/>
    <w:rsid w:val="003E586C"/>
    <w:rsid w:val="003E5E16"/>
    <w:rsid w:val="003E6C67"/>
    <w:rsid w:val="003E76A2"/>
    <w:rsid w:val="003E7D0C"/>
    <w:rsid w:val="003F0E8F"/>
    <w:rsid w:val="003F0FF5"/>
    <w:rsid w:val="003F1068"/>
    <w:rsid w:val="003F1713"/>
    <w:rsid w:val="003F1FFB"/>
    <w:rsid w:val="003F20C9"/>
    <w:rsid w:val="003F2829"/>
    <w:rsid w:val="003F3BBB"/>
    <w:rsid w:val="003F6013"/>
    <w:rsid w:val="003F6347"/>
    <w:rsid w:val="003F6EF2"/>
    <w:rsid w:val="003F78C9"/>
    <w:rsid w:val="004003DC"/>
    <w:rsid w:val="00400856"/>
    <w:rsid w:val="0040106C"/>
    <w:rsid w:val="00401FB1"/>
    <w:rsid w:val="0040254D"/>
    <w:rsid w:val="004042BC"/>
    <w:rsid w:val="00404C53"/>
    <w:rsid w:val="0040501C"/>
    <w:rsid w:val="00405576"/>
    <w:rsid w:val="00405CD0"/>
    <w:rsid w:val="00405DCD"/>
    <w:rsid w:val="004070D9"/>
    <w:rsid w:val="00410B82"/>
    <w:rsid w:val="0041105F"/>
    <w:rsid w:val="00411463"/>
    <w:rsid w:val="004128EE"/>
    <w:rsid w:val="004139BE"/>
    <w:rsid w:val="00414614"/>
    <w:rsid w:val="004146D0"/>
    <w:rsid w:val="0041550D"/>
    <w:rsid w:val="00415A7D"/>
    <w:rsid w:val="004161ED"/>
    <w:rsid w:val="004200CE"/>
    <w:rsid w:val="0042013D"/>
    <w:rsid w:val="0042050A"/>
    <w:rsid w:val="004219BE"/>
    <w:rsid w:val="00423F8A"/>
    <w:rsid w:val="0042420E"/>
    <w:rsid w:val="004243FF"/>
    <w:rsid w:val="0042515B"/>
    <w:rsid w:val="004253AD"/>
    <w:rsid w:val="00426557"/>
    <w:rsid w:val="00426A40"/>
    <w:rsid w:val="0043060F"/>
    <w:rsid w:val="00430754"/>
    <w:rsid w:val="0043137A"/>
    <w:rsid w:val="00431D66"/>
    <w:rsid w:val="00431E13"/>
    <w:rsid w:val="004324E4"/>
    <w:rsid w:val="00432620"/>
    <w:rsid w:val="00433A45"/>
    <w:rsid w:val="00433E24"/>
    <w:rsid w:val="0043506C"/>
    <w:rsid w:val="00435692"/>
    <w:rsid w:val="00435B88"/>
    <w:rsid w:val="004374A5"/>
    <w:rsid w:val="00437D37"/>
    <w:rsid w:val="00437F00"/>
    <w:rsid w:val="0044018F"/>
    <w:rsid w:val="004403E6"/>
    <w:rsid w:val="00440956"/>
    <w:rsid w:val="0044200B"/>
    <w:rsid w:val="00442681"/>
    <w:rsid w:val="00443148"/>
    <w:rsid w:val="004434BA"/>
    <w:rsid w:val="00445EBB"/>
    <w:rsid w:val="004460E3"/>
    <w:rsid w:val="00446362"/>
    <w:rsid w:val="00446705"/>
    <w:rsid w:val="00446A8D"/>
    <w:rsid w:val="004478C6"/>
    <w:rsid w:val="004509E7"/>
    <w:rsid w:val="00450CE9"/>
    <w:rsid w:val="004513EE"/>
    <w:rsid w:val="00451BEE"/>
    <w:rsid w:val="00453E16"/>
    <w:rsid w:val="00454130"/>
    <w:rsid w:val="00454D62"/>
    <w:rsid w:val="004550C9"/>
    <w:rsid w:val="004552BD"/>
    <w:rsid w:val="00455354"/>
    <w:rsid w:val="004555DC"/>
    <w:rsid w:val="00455682"/>
    <w:rsid w:val="00455BC5"/>
    <w:rsid w:val="00456A72"/>
    <w:rsid w:val="0045735E"/>
    <w:rsid w:val="00460F45"/>
    <w:rsid w:val="00461368"/>
    <w:rsid w:val="00461BA7"/>
    <w:rsid w:val="004620FF"/>
    <w:rsid w:val="00462EF2"/>
    <w:rsid w:val="00463EB4"/>
    <w:rsid w:val="00465188"/>
    <w:rsid w:val="0046520E"/>
    <w:rsid w:val="00465E7D"/>
    <w:rsid w:val="004661EC"/>
    <w:rsid w:val="0046724D"/>
    <w:rsid w:val="004672DC"/>
    <w:rsid w:val="00467336"/>
    <w:rsid w:val="004677C5"/>
    <w:rsid w:val="00467E59"/>
    <w:rsid w:val="00470306"/>
    <w:rsid w:val="004703E3"/>
    <w:rsid w:val="00470605"/>
    <w:rsid w:val="004715BE"/>
    <w:rsid w:val="00471FDD"/>
    <w:rsid w:val="00472917"/>
    <w:rsid w:val="00472B73"/>
    <w:rsid w:val="00474296"/>
    <w:rsid w:val="0047597E"/>
    <w:rsid w:val="00475F30"/>
    <w:rsid w:val="00476AE7"/>
    <w:rsid w:val="00476C78"/>
    <w:rsid w:val="00477115"/>
    <w:rsid w:val="00480337"/>
    <w:rsid w:val="004809A3"/>
    <w:rsid w:val="0048192A"/>
    <w:rsid w:val="00481C09"/>
    <w:rsid w:val="00482660"/>
    <w:rsid w:val="00485BCF"/>
    <w:rsid w:val="004869AA"/>
    <w:rsid w:val="00486E45"/>
    <w:rsid w:val="00487687"/>
    <w:rsid w:val="00490010"/>
    <w:rsid w:val="004900F7"/>
    <w:rsid w:val="00490E53"/>
    <w:rsid w:val="0049108A"/>
    <w:rsid w:val="00492125"/>
    <w:rsid w:val="004921E7"/>
    <w:rsid w:val="00492D47"/>
    <w:rsid w:val="00493301"/>
    <w:rsid w:val="004937DF"/>
    <w:rsid w:val="00493D69"/>
    <w:rsid w:val="0049400E"/>
    <w:rsid w:val="00494598"/>
    <w:rsid w:val="00496584"/>
    <w:rsid w:val="00497790"/>
    <w:rsid w:val="004A06A5"/>
    <w:rsid w:val="004A1829"/>
    <w:rsid w:val="004A35D1"/>
    <w:rsid w:val="004A367A"/>
    <w:rsid w:val="004A37FA"/>
    <w:rsid w:val="004A3E52"/>
    <w:rsid w:val="004A462B"/>
    <w:rsid w:val="004A4DD5"/>
    <w:rsid w:val="004A4F44"/>
    <w:rsid w:val="004A5006"/>
    <w:rsid w:val="004A55FB"/>
    <w:rsid w:val="004A589C"/>
    <w:rsid w:val="004A6D0C"/>
    <w:rsid w:val="004A7A0E"/>
    <w:rsid w:val="004B0027"/>
    <w:rsid w:val="004B133B"/>
    <w:rsid w:val="004B1BA0"/>
    <w:rsid w:val="004B20B0"/>
    <w:rsid w:val="004B2DA8"/>
    <w:rsid w:val="004B3132"/>
    <w:rsid w:val="004B346B"/>
    <w:rsid w:val="004B3934"/>
    <w:rsid w:val="004B39CE"/>
    <w:rsid w:val="004B45B5"/>
    <w:rsid w:val="004B4721"/>
    <w:rsid w:val="004B4A19"/>
    <w:rsid w:val="004B4A3D"/>
    <w:rsid w:val="004B55A3"/>
    <w:rsid w:val="004B64F6"/>
    <w:rsid w:val="004B6EB2"/>
    <w:rsid w:val="004B7A23"/>
    <w:rsid w:val="004C0DAA"/>
    <w:rsid w:val="004C1591"/>
    <w:rsid w:val="004C3E23"/>
    <w:rsid w:val="004C4952"/>
    <w:rsid w:val="004C584F"/>
    <w:rsid w:val="004C602C"/>
    <w:rsid w:val="004C795F"/>
    <w:rsid w:val="004D0712"/>
    <w:rsid w:val="004D0EB9"/>
    <w:rsid w:val="004D17AE"/>
    <w:rsid w:val="004D2B0C"/>
    <w:rsid w:val="004D3DDD"/>
    <w:rsid w:val="004D6BF7"/>
    <w:rsid w:val="004D7AA6"/>
    <w:rsid w:val="004E1275"/>
    <w:rsid w:val="004E1A9B"/>
    <w:rsid w:val="004E2185"/>
    <w:rsid w:val="004E2FC2"/>
    <w:rsid w:val="004E3D61"/>
    <w:rsid w:val="004E4BB3"/>
    <w:rsid w:val="004E4D7A"/>
    <w:rsid w:val="004E6EFA"/>
    <w:rsid w:val="004E747A"/>
    <w:rsid w:val="004F04A4"/>
    <w:rsid w:val="004F0EAF"/>
    <w:rsid w:val="004F1019"/>
    <w:rsid w:val="004F10CB"/>
    <w:rsid w:val="004F2075"/>
    <w:rsid w:val="004F477D"/>
    <w:rsid w:val="004F5263"/>
    <w:rsid w:val="004F5CB5"/>
    <w:rsid w:val="004F6409"/>
    <w:rsid w:val="004F7882"/>
    <w:rsid w:val="005005EF"/>
    <w:rsid w:val="005009D6"/>
    <w:rsid w:val="005016AC"/>
    <w:rsid w:val="00501798"/>
    <w:rsid w:val="0050308D"/>
    <w:rsid w:val="00503D23"/>
    <w:rsid w:val="0050486F"/>
    <w:rsid w:val="00504C50"/>
    <w:rsid w:val="005060D9"/>
    <w:rsid w:val="0050627E"/>
    <w:rsid w:val="005064BD"/>
    <w:rsid w:val="005068C4"/>
    <w:rsid w:val="00510148"/>
    <w:rsid w:val="005119AB"/>
    <w:rsid w:val="005128A7"/>
    <w:rsid w:val="005132E5"/>
    <w:rsid w:val="005137CB"/>
    <w:rsid w:val="00514537"/>
    <w:rsid w:val="00514D56"/>
    <w:rsid w:val="00515ECD"/>
    <w:rsid w:val="00515F71"/>
    <w:rsid w:val="00515FA7"/>
    <w:rsid w:val="0051641B"/>
    <w:rsid w:val="0051646D"/>
    <w:rsid w:val="00517CFF"/>
    <w:rsid w:val="00520180"/>
    <w:rsid w:val="00520736"/>
    <w:rsid w:val="00521194"/>
    <w:rsid w:val="00521782"/>
    <w:rsid w:val="0052199A"/>
    <w:rsid w:val="00521F4D"/>
    <w:rsid w:val="005238FB"/>
    <w:rsid w:val="0052620D"/>
    <w:rsid w:val="0052768D"/>
    <w:rsid w:val="005300CC"/>
    <w:rsid w:val="005305F7"/>
    <w:rsid w:val="005308FE"/>
    <w:rsid w:val="00530AD9"/>
    <w:rsid w:val="00530C3A"/>
    <w:rsid w:val="00530F53"/>
    <w:rsid w:val="00530F86"/>
    <w:rsid w:val="005311C3"/>
    <w:rsid w:val="005315D7"/>
    <w:rsid w:val="00531D2A"/>
    <w:rsid w:val="00531E39"/>
    <w:rsid w:val="005330B9"/>
    <w:rsid w:val="005333D1"/>
    <w:rsid w:val="005340C7"/>
    <w:rsid w:val="0053455A"/>
    <w:rsid w:val="0053457F"/>
    <w:rsid w:val="00535157"/>
    <w:rsid w:val="0053656F"/>
    <w:rsid w:val="00536EEC"/>
    <w:rsid w:val="00537E62"/>
    <w:rsid w:val="005409E4"/>
    <w:rsid w:val="00541A79"/>
    <w:rsid w:val="00542F1B"/>
    <w:rsid w:val="00543150"/>
    <w:rsid w:val="005449D1"/>
    <w:rsid w:val="005450E8"/>
    <w:rsid w:val="0054671A"/>
    <w:rsid w:val="00546759"/>
    <w:rsid w:val="005509A7"/>
    <w:rsid w:val="00550D81"/>
    <w:rsid w:val="0055160A"/>
    <w:rsid w:val="00551B01"/>
    <w:rsid w:val="00552F16"/>
    <w:rsid w:val="005530A1"/>
    <w:rsid w:val="00554062"/>
    <w:rsid w:val="0055438F"/>
    <w:rsid w:val="00554F93"/>
    <w:rsid w:val="00555B09"/>
    <w:rsid w:val="005577C9"/>
    <w:rsid w:val="0056093A"/>
    <w:rsid w:val="00560A3D"/>
    <w:rsid w:val="00560A6C"/>
    <w:rsid w:val="00560E36"/>
    <w:rsid w:val="00563CCF"/>
    <w:rsid w:val="00566555"/>
    <w:rsid w:val="0056691F"/>
    <w:rsid w:val="00567701"/>
    <w:rsid w:val="00572C56"/>
    <w:rsid w:val="0057390B"/>
    <w:rsid w:val="00573DF9"/>
    <w:rsid w:val="00574219"/>
    <w:rsid w:val="005745C9"/>
    <w:rsid w:val="00574909"/>
    <w:rsid w:val="00575470"/>
    <w:rsid w:val="00575637"/>
    <w:rsid w:val="005757F2"/>
    <w:rsid w:val="005758B0"/>
    <w:rsid w:val="00575A0D"/>
    <w:rsid w:val="00575FBE"/>
    <w:rsid w:val="00576B41"/>
    <w:rsid w:val="005773AC"/>
    <w:rsid w:val="00577E29"/>
    <w:rsid w:val="005804CC"/>
    <w:rsid w:val="005805F9"/>
    <w:rsid w:val="00581D30"/>
    <w:rsid w:val="00583424"/>
    <w:rsid w:val="00583F69"/>
    <w:rsid w:val="0058406A"/>
    <w:rsid w:val="0058415D"/>
    <w:rsid w:val="0058467A"/>
    <w:rsid w:val="00584A77"/>
    <w:rsid w:val="00585369"/>
    <w:rsid w:val="00585C5F"/>
    <w:rsid w:val="00585E48"/>
    <w:rsid w:val="0058600B"/>
    <w:rsid w:val="005866AD"/>
    <w:rsid w:val="005874AE"/>
    <w:rsid w:val="00587A1D"/>
    <w:rsid w:val="005906B1"/>
    <w:rsid w:val="0059088B"/>
    <w:rsid w:val="005909B6"/>
    <w:rsid w:val="005909FE"/>
    <w:rsid w:val="00590C0F"/>
    <w:rsid w:val="00590DF8"/>
    <w:rsid w:val="00590F77"/>
    <w:rsid w:val="005911EB"/>
    <w:rsid w:val="00591808"/>
    <w:rsid w:val="0059202B"/>
    <w:rsid w:val="00592850"/>
    <w:rsid w:val="00592E14"/>
    <w:rsid w:val="00593CE0"/>
    <w:rsid w:val="00593D48"/>
    <w:rsid w:val="005941F4"/>
    <w:rsid w:val="00594463"/>
    <w:rsid w:val="00594EC3"/>
    <w:rsid w:val="00595E56"/>
    <w:rsid w:val="005960AF"/>
    <w:rsid w:val="005961EE"/>
    <w:rsid w:val="005972B7"/>
    <w:rsid w:val="0059771F"/>
    <w:rsid w:val="00597998"/>
    <w:rsid w:val="005979B3"/>
    <w:rsid w:val="005A028C"/>
    <w:rsid w:val="005A1037"/>
    <w:rsid w:val="005A12D2"/>
    <w:rsid w:val="005A201D"/>
    <w:rsid w:val="005A21F1"/>
    <w:rsid w:val="005A2258"/>
    <w:rsid w:val="005A246A"/>
    <w:rsid w:val="005A2B52"/>
    <w:rsid w:val="005A2C1E"/>
    <w:rsid w:val="005A38A2"/>
    <w:rsid w:val="005A3E78"/>
    <w:rsid w:val="005A468F"/>
    <w:rsid w:val="005A4887"/>
    <w:rsid w:val="005A5314"/>
    <w:rsid w:val="005A5DC5"/>
    <w:rsid w:val="005A73AE"/>
    <w:rsid w:val="005B13C2"/>
    <w:rsid w:val="005B1489"/>
    <w:rsid w:val="005B1B2C"/>
    <w:rsid w:val="005B3592"/>
    <w:rsid w:val="005B4AB2"/>
    <w:rsid w:val="005B4C3A"/>
    <w:rsid w:val="005B4CBC"/>
    <w:rsid w:val="005B5836"/>
    <w:rsid w:val="005B5EB3"/>
    <w:rsid w:val="005B6002"/>
    <w:rsid w:val="005B6779"/>
    <w:rsid w:val="005B7117"/>
    <w:rsid w:val="005B79C0"/>
    <w:rsid w:val="005B7B5C"/>
    <w:rsid w:val="005B7C30"/>
    <w:rsid w:val="005B7F7A"/>
    <w:rsid w:val="005C047B"/>
    <w:rsid w:val="005C0790"/>
    <w:rsid w:val="005C134B"/>
    <w:rsid w:val="005C1851"/>
    <w:rsid w:val="005C2807"/>
    <w:rsid w:val="005C2BCE"/>
    <w:rsid w:val="005C4B43"/>
    <w:rsid w:val="005C56E9"/>
    <w:rsid w:val="005C7FEA"/>
    <w:rsid w:val="005D04AD"/>
    <w:rsid w:val="005D067D"/>
    <w:rsid w:val="005D124D"/>
    <w:rsid w:val="005D23EB"/>
    <w:rsid w:val="005D31F2"/>
    <w:rsid w:val="005D326F"/>
    <w:rsid w:val="005D3420"/>
    <w:rsid w:val="005D49B9"/>
    <w:rsid w:val="005D55DA"/>
    <w:rsid w:val="005D60A7"/>
    <w:rsid w:val="005D66D0"/>
    <w:rsid w:val="005D6C3C"/>
    <w:rsid w:val="005D7520"/>
    <w:rsid w:val="005D7E6F"/>
    <w:rsid w:val="005E06CE"/>
    <w:rsid w:val="005E1029"/>
    <w:rsid w:val="005E198A"/>
    <w:rsid w:val="005E1BA7"/>
    <w:rsid w:val="005E1BE1"/>
    <w:rsid w:val="005E1EA2"/>
    <w:rsid w:val="005E1F4F"/>
    <w:rsid w:val="005E2C8E"/>
    <w:rsid w:val="005E4301"/>
    <w:rsid w:val="005E4525"/>
    <w:rsid w:val="005E68D2"/>
    <w:rsid w:val="005E7344"/>
    <w:rsid w:val="005E79CE"/>
    <w:rsid w:val="005E7A2A"/>
    <w:rsid w:val="005F1756"/>
    <w:rsid w:val="005F1843"/>
    <w:rsid w:val="005F1D8F"/>
    <w:rsid w:val="005F2A51"/>
    <w:rsid w:val="005F2ED9"/>
    <w:rsid w:val="005F4308"/>
    <w:rsid w:val="005F48E9"/>
    <w:rsid w:val="005F5183"/>
    <w:rsid w:val="005F55F7"/>
    <w:rsid w:val="005F6C05"/>
    <w:rsid w:val="005F6F59"/>
    <w:rsid w:val="005F7D95"/>
    <w:rsid w:val="00600114"/>
    <w:rsid w:val="0060166D"/>
    <w:rsid w:val="00604F70"/>
    <w:rsid w:val="00605026"/>
    <w:rsid w:val="0060545C"/>
    <w:rsid w:val="00605876"/>
    <w:rsid w:val="00606D42"/>
    <w:rsid w:val="0060799D"/>
    <w:rsid w:val="0061018C"/>
    <w:rsid w:val="0061038E"/>
    <w:rsid w:val="00610CD4"/>
    <w:rsid w:val="006119D5"/>
    <w:rsid w:val="00611F30"/>
    <w:rsid w:val="00612A34"/>
    <w:rsid w:val="006133EE"/>
    <w:rsid w:val="006135AC"/>
    <w:rsid w:val="0061380C"/>
    <w:rsid w:val="006145F6"/>
    <w:rsid w:val="006149FD"/>
    <w:rsid w:val="00614D74"/>
    <w:rsid w:val="0061595E"/>
    <w:rsid w:val="00615AD3"/>
    <w:rsid w:val="0061614C"/>
    <w:rsid w:val="006165ED"/>
    <w:rsid w:val="00616EAF"/>
    <w:rsid w:val="006171D1"/>
    <w:rsid w:val="00617B36"/>
    <w:rsid w:val="006213BC"/>
    <w:rsid w:val="00621584"/>
    <w:rsid w:val="00621BD8"/>
    <w:rsid w:val="00622242"/>
    <w:rsid w:val="00623719"/>
    <w:rsid w:val="00623CA7"/>
    <w:rsid w:val="00624C13"/>
    <w:rsid w:val="00625639"/>
    <w:rsid w:val="00626684"/>
    <w:rsid w:val="00626F28"/>
    <w:rsid w:val="00627F05"/>
    <w:rsid w:val="006304C4"/>
    <w:rsid w:val="006307EA"/>
    <w:rsid w:val="00632458"/>
    <w:rsid w:val="006331AF"/>
    <w:rsid w:val="00634C1E"/>
    <w:rsid w:val="006354A7"/>
    <w:rsid w:val="00635EBD"/>
    <w:rsid w:val="00635ECA"/>
    <w:rsid w:val="006404BD"/>
    <w:rsid w:val="006418D4"/>
    <w:rsid w:val="00642363"/>
    <w:rsid w:val="0064273C"/>
    <w:rsid w:val="00642CBA"/>
    <w:rsid w:val="00643B09"/>
    <w:rsid w:val="00643E55"/>
    <w:rsid w:val="006445E9"/>
    <w:rsid w:val="006456A8"/>
    <w:rsid w:val="00645922"/>
    <w:rsid w:val="006459A4"/>
    <w:rsid w:val="006479D4"/>
    <w:rsid w:val="006501E1"/>
    <w:rsid w:val="00651E8E"/>
    <w:rsid w:val="0065259E"/>
    <w:rsid w:val="00653F0D"/>
    <w:rsid w:val="00653FE2"/>
    <w:rsid w:val="00654906"/>
    <w:rsid w:val="0065577C"/>
    <w:rsid w:val="00656097"/>
    <w:rsid w:val="00656378"/>
    <w:rsid w:val="0065673C"/>
    <w:rsid w:val="006571AE"/>
    <w:rsid w:val="006578BC"/>
    <w:rsid w:val="00660009"/>
    <w:rsid w:val="006601F8"/>
    <w:rsid w:val="00661E77"/>
    <w:rsid w:val="00662239"/>
    <w:rsid w:val="00662F6E"/>
    <w:rsid w:val="00663E1D"/>
    <w:rsid w:val="006641E3"/>
    <w:rsid w:val="00664312"/>
    <w:rsid w:val="00664DEF"/>
    <w:rsid w:val="00664E34"/>
    <w:rsid w:val="00666FCD"/>
    <w:rsid w:val="00667ABD"/>
    <w:rsid w:val="0067215D"/>
    <w:rsid w:val="00672E44"/>
    <w:rsid w:val="006732D3"/>
    <w:rsid w:val="00673775"/>
    <w:rsid w:val="00673B3A"/>
    <w:rsid w:val="00673FFD"/>
    <w:rsid w:val="00676B78"/>
    <w:rsid w:val="0067737E"/>
    <w:rsid w:val="0068165E"/>
    <w:rsid w:val="00682BA7"/>
    <w:rsid w:val="00682E57"/>
    <w:rsid w:val="00683CF6"/>
    <w:rsid w:val="00683F65"/>
    <w:rsid w:val="0068444E"/>
    <w:rsid w:val="00685070"/>
    <w:rsid w:val="00685B61"/>
    <w:rsid w:val="006869CB"/>
    <w:rsid w:val="00687680"/>
    <w:rsid w:val="006878EE"/>
    <w:rsid w:val="00690971"/>
    <w:rsid w:val="00691535"/>
    <w:rsid w:val="006917DC"/>
    <w:rsid w:val="0069191B"/>
    <w:rsid w:val="00692702"/>
    <w:rsid w:val="006929A1"/>
    <w:rsid w:val="00694D9D"/>
    <w:rsid w:val="00694E86"/>
    <w:rsid w:val="00696C8A"/>
    <w:rsid w:val="00697431"/>
    <w:rsid w:val="006A0652"/>
    <w:rsid w:val="006A2EE6"/>
    <w:rsid w:val="006A4835"/>
    <w:rsid w:val="006A4D47"/>
    <w:rsid w:val="006A4FB8"/>
    <w:rsid w:val="006A703A"/>
    <w:rsid w:val="006A78B5"/>
    <w:rsid w:val="006A7C95"/>
    <w:rsid w:val="006A7EFA"/>
    <w:rsid w:val="006B044B"/>
    <w:rsid w:val="006B1DB7"/>
    <w:rsid w:val="006B2223"/>
    <w:rsid w:val="006B29D8"/>
    <w:rsid w:val="006B3739"/>
    <w:rsid w:val="006B40D3"/>
    <w:rsid w:val="006B6860"/>
    <w:rsid w:val="006B6C07"/>
    <w:rsid w:val="006B731F"/>
    <w:rsid w:val="006B76A9"/>
    <w:rsid w:val="006B7899"/>
    <w:rsid w:val="006C25B8"/>
    <w:rsid w:val="006C2929"/>
    <w:rsid w:val="006C2E37"/>
    <w:rsid w:val="006C2EAD"/>
    <w:rsid w:val="006C33D2"/>
    <w:rsid w:val="006C38AE"/>
    <w:rsid w:val="006C3BD1"/>
    <w:rsid w:val="006C422F"/>
    <w:rsid w:val="006C4F88"/>
    <w:rsid w:val="006C52AD"/>
    <w:rsid w:val="006C53F9"/>
    <w:rsid w:val="006C620D"/>
    <w:rsid w:val="006C7D5B"/>
    <w:rsid w:val="006D01DE"/>
    <w:rsid w:val="006D0C93"/>
    <w:rsid w:val="006D1A89"/>
    <w:rsid w:val="006D2492"/>
    <w:rsid w:val="006D273F"/>
    <w:rsid w:val="006D299E"/>
    <w:rsid w:val="006D2AAE"/>
    <w:rsid w:val="006D2D24"/>
    <w:rsid w:val="006D2E37"/>
    <w:rsid w:val="006D43CB"/>
    <w:rsid w:val="006D54D8"/>
    <w:rsid w:val="006D58C9"/>
    <w:rsid w:val="006D61FA"/>
    <w:rsid w:val="006D6E00"/>
    <w:rsid w:val="006D7ADE"/>
    <w:rsid w:val="006D7F31"/>
    <w:rsid w:val="006E08DF"/>
    <w:rsid w:val="006E0C42"/>
    <w:rsid w:val="006E179C"/>
    <w:rsid w:val="006E27E2"/>
    <w:rsid w:val="006E4362"/>
    <w:rsid w:val="006E5D4E"/>
    <w:rsid w:val="006E699A"/>
    <w:rsid w:val="006F0270"/>
    <w:rsid w:val="006F0691"/>
    <w:rsid w:val="006F0AC2"/>
    <w:rsid w:val="006F0B6C"/>
    <w:rsid w:val="006F0E12"/>
    <w:rsid w:val="006F0E76"/>
    <w:rsid w:val="006F137F"/>
    <w:rsid w:val="006F1659"/>
    <w:rsid w:val="006F2765"/>
    <w:rsid w:val="006F3122"/>
    <w:rsid w:val="006F365D"/>
    <w:rsid w:val="006F3CEF"/>
    <w:rsid w:val="006F4674"/>
    <w:rsid w:val="006F4B0C"/>
    <w:rsid w:val="006F5EEB"/>
    <w:rsid w:val="006F6021"/>
    <w:rsid w:val="006F6AD2"/>
    <w:rsid w:val="006F6D88"/>
    <w:rsid w:val="006F6E0B"/>
    <w:rsid w:val="006F760E"/>
    <w:rsid w:val="006F7780"/>
    <w:rsid w:val="007008F1"/>
    <w:rsid w:val="00700E56"/>
    <w:rsid w:val="007019F9"/>
    <w:rsid w:val="00702452"/>
    <w:rsid w:val="00702E4D"/>
    <w:rsid w:val="00702FE0"/>
    <w:rsid w:val="00703100"/>
    <w:rsid w:val="007047BE"/>
    <w:rsid w:val="00704AAA"/>
    <w:rsid w:val="00705413"/>
    <w:rsid w:val="00705C20"/>
    <w:rsid w:val="00706592"/>
    <w:rsid w:val="007112FE"/>
    <w:rsid w:val="00711339"/>
    <w:rsid w:val="00713963"/>
    <w:rsid w:val="00713C2A"/>
    <w:rsid w:val="00714298"/>
    <w:rsid w:val="0071456C"/>
    <w:rsid w:val="007160FE"/>
    <w:rsid w:val="00716A86"/>
    <w:rsid w:val="00716D5D"/>
    <w:rsid w:val="00717B00"/>
    <w:rsid w:val="0072124F"/>
    <w:rsid w:val="00721F2D"/>
    <w:rsid w:val="00722884"/>
    <w:rsid w:val="00722CB1"/>
    <w:rsid w:val="00723E75"/>
    <w:rsid w:val="0072423B"/>
    <w:rsid w:val="007248B2"/>
    <w:rsid w:val="00724A6F"/>
    <w:rsid w:val="00724BAD"/>
    <w:rsid w:val="0072520C"/>
    <w:rsid w:val="007258EB"/>
    <w:rsid w:val="00725F0F"/>
    <w:rsid w:val="00726C6C"/>
    <w:rsid w:val="007273EE"/>
    <w:rsid w:val="00727D2E"/>
    <w:rsid w:val="00730FB0"/>
    <w:rsid w:val="0073133D"/>
    <w:rsid w:val="007338A6"/>
    <w:rsid w:val="00733BDC"/>
    <w:rsid w:val="00733DA6"/>
    <w:rsid w:val="007340A6"/>
    <w:rsid w:val="00735154"/>
    <w:rsid w:val="0073551D"/>
    <w:rsid w:val="0074129E"/>
    <w:rsid w:val="00741421"/>
    <w:rsid w:val="00741F41"/>
    <w:rsid w:val="00741FCD"/>
    <w:rsid w:val="0074281E"/>
    <w:rsid w:val="0074413A"/>
    <w:rsid w:val="00744C04"/>
    <w:rsid w:val="00744E84"/>
    <w:rsid w:val="00745231"/>
    <w:rsid w:val="00745FE9"/>
    <w:rsid w:val="00747CD1"/>
    <w:rsid w:val="0075071F"/>
    <w:rsid w:val="0075074B"/>
    <w:rsid w:val="007513AF"/>
    <w:rsid w:val="00751AC3"/>
    <w:rsid w:val="00751C60"/>
    <w:rsid w:val="00751E45"/>
    <w:rsid w:val="00752D95"/>
    <w:rsid w:val="0075318A"/>
    <w:rsid w:val="00753F57"/>
    <w:rsid w:val="00754294"/>
    <w:rsid w:val="00754DFF"/>
    <w:rsid w:val="007558B8"/>
    <w:rsid w:val="007568E2"/>
    <w:rsid w:val="00756C43"/>
    <w:rsid w:val="00757144"/>
    <w:rsid w:val="0075751D"/>
    <w:rsid w:val="007577E0"/>
    <w:rsid w:val="007604A5"/>
    <w:rsid w:val="00760935"/>
    <w:rsid w:val="00760BA1"/>
    <w:rsid w:val="00761336"/>
    <w:rsid w:val="00762D28"/>
    <w:rsid w:val="007639AD"/>
    <w:rsid w:val="00763BAE"/>
    <w:rsid w:val="00763FDF"/>
    <w:rsid w:val="007641A3"/>
    <w:rsid w:val="00764CBF"/>
    <w:rsid w:val="007707EA"/>
    <w:rsid w:val="00772085"/>
    <w:rsid w:val="00773F38"/>
    <w:rsid w:val="00774764"/>
    <w:rsid w:val="007755E4"/>
    <w:rsid w:val="00780386"/>
    <w:rsid w:val="007804F4"/>
    <w:rsid w:val="00781805"/>
    <w:rsid w:val="00781BB1"/>
    <w:rsid w:val="007823E0"/>
    <w:rsid w:val="0078286C"/>
    <w:rsid w:val="0078361A"/>
    <w:rsid w:val="00783BB2"/>
    <w:rsid w:val="00783EFC"/>
    <w:rsid w:val="0078525F"/>
    <w:rsid w:val="00785B48"/>
    <w:rsid w:val="00785E01"/>
    <w:rsid w:val="007862A4"/>
    <w:rsid w:val="00786ACE"/>
    <w:rsid w:val="0078753C"/>
    <w:rsid w:val="00791FC5"/>
    <w:rsid w:val="00793BEA"/>
    <w:rsid w:val="00793C60"/>
    <w:rsid w:val="0079433A"/>
    <w:rsid w:val="00794DEE"/>
    <w:rsid w:val="00795A25"/>
    <w:rsid w:val="00795B8E"/>
    <w:rsid w:val="007A0470"/>
    <w:rsid w:val="007A1DD8"/>
    <w:rsid w:val="007A2788"/>
    <w:rsid w:val="007A2E43"/>
    <w:rsid w:val="007A3961"/>
    <w:rsid w:val="007A41E4"/>
    <w:rsid w:val="007A4847"/>
    <w:rsid w:val="007A4A5D"/>
    <w:rsid w:val="007A502A"/>
    <w:rsid w:val="007A51D1"/>
    <w:rsid w:val="007A5B16"/>
    <w:rsid w:val="007A60D4"/>
    <w:rsid w:val="007A78D0"/>
    <w:rsid w:val="007A792E"/>
    <w:rsid w:val="007B291E"/>
    <w:rsid w:val="007B3238"/>
    <w:rsid w:val="007B3442"/>
    <w:rsid w:val="007B3950"/>
    <w:rsid w:val="007B3B0F"/>
    <w:rsid w:val="007B3D4A"/>
    <w:rsid w:val="007B3E8E"/>
    <w:rsid w:val="007B43D2"/>
    <w:rsid w:val="007B537D"/>
    <w:rsid w:val="007B585B"/>
    <w:rsid w:val="007B7730"/>
    <w:rsid w:val="007C070C"/>
    <w:rsid w:val="007C09A3"/>
    <w:rsid w:val="007C0B35"/>
    <w:rsid w:val="007C1584"/>
    <w:rsid w:val="007C198A"/>
    <w:rsid w:val="007C1BB4"/>
    <w:rsid w:val="007C1CED"/>
    <w:rsid w:val="007C3AF8"/>
    <w:rsid w:val="007C46AB"/>
    <w:rsid w:val="007C53E2"/>
    <w:rsid w:val="007C6E7D"/>
    <w:rsid w:val="007D01D5"/>
    <w:rsid w:val="007D099A"/>
    <w:rsid w:val="007D125D"/>
    <w:rsid w:val="007D18EA"/>
    <w:rsid w:val="007D1D40"/>
    <w:rsid w:val="007D4491"/>
    <w:rsid w:val="007D5BE4"/>
    <w:rsid w:val="007D7723"/>
    <w:rsid w:val="007D7B72"/>
    <w:rsid w:val="007E0736"/>
    <w:rsid w:val="007E163C"/>
    <w:rsid w:val="007E260E"/>
    <w:rsid w:val="007E264B"/>
    <w:rsid w:val="007E28A1"/>
    <w:rsid w:val="007E29C6"/>
    <w:rsid w:val="007E2CB7"/>
    <w:rsid w:val="007E3580"/>
    <w:rsid w:val="007E3F2A"/>
    <w:rsid w:val="007E4FCA"/>
    <w:rsid w:val="007E5C07"/>
    <w:rsid w:val="007E5D77"/>
    <w:rsid w:val="007E5F30"/>
    <w:rsid w:val="007E6842"/>
    <w:rsid w:val="007E79DA"/>
    <w:rsid w:val="007F0216"/>
    <w:rsid w:val="007F037D"/>
    <w:rsid w:val="007F17D2"/>
    <w:rsid w:val="007F186F"/>
    <w:rsid w:val="007F2653"/>
    <w:rsid w:val="007F265A"/>
    <w:rsid w:val="007F2AC5"/>
    <w:rsid w:val="007F4D1F"/>
    <w:rsid w:val="007F5A0E"/>
    <w:rsid w:val="007F6199"/>
    <w:rsid w:val="007F696B"/>
    <w:rsid w:val="007F707D"/>
    <w:rsid w:val="007F7E1D"/>
    <w:rsid w:val="007F7EDA"/>
    <w:rsid w:val="008005CF"/>
    <w:rsid w:val="00800715"/>
    <w:rsid w:val="008018ED"/>
    <w:rsid w:val="00802ECD"/>
    <w:rsid w:val="00803B51"/>
    <w:rsid w:val="0080538D"/>
    <w:rsid w:val="00805A1D"/>
    <w:rsid w:val="008069BB"/>
    <w:rsid w:val="00806F0D"/>
    <w:rsid w:val="00807B72"/>
    <w:rsid w:val="00810040"/>
    <w:rsid w:val="008119F1"/>
    <w:rsid w:val="00812A75"/>
    <w:rsid w:val="00812C95"/>
    <w:rsid w:val="00812D0F"/>
    <w:rsid w:val="00812FC5"/>
    <w:rsid w:val="00813EC7"/>
    <w:rsid w:val="0081496C"/>
    <w:rsid w:val="00814B5C"/>
    <w:rsid w:val="008150F5"/>
    <w:rsid w:val="00815823"/>
    <w:rsid w:val="00815A4A"/>
    <w:rsid w:val="00815B19"/>
    <w:rsid w:val="0081700F"/>
    <w:rsid w:val="0082026D"/>
    <w:rsid w:val="00820C94"/>
    <w:rsid w:val="00820E04"/>
    <w:rsid w:val="00821DB5"/>
    <w:rsid w:val="00821DBD"/>
    <w:rsid w:val="00821F89"/>
    <w:rsid w:val="00822322"/>
    <w:rsid w:val="008225E5"/>
    <w:rsid w:val="008227EB"/>
    <w:rsid w:val="00822CB0"/>
    <w:rsid w:val="008235DF"/>
    <w:rsid w:val="00823976"/>
    <w:rsid w:val="008259D3"/>
    <w:rsid w:val="00831655"/>
    <w:rsid w:val="008334D7"/>
    <w:rsid w:val="00833629"/>
    <w:rsid w:val="00833A13"/>
    <w:rsid w:val="0083413E"/>
    <w:rsid w:val="008341E1"/>
    <w:rsid w:val="008342BC"/>
    <w:rsid w:val="00836B1E"/>
    <w:rsid w:val="00840242"/>
    <w:rsid w:val="00841540"/>
    <w:rsid w:val="008428B4"/>
    <w:rsid w:val="00843193"/>
    <w:rsid w:val="008439F7"/>
    <w:rsid w:val="00843FF7"/>
    <w:rsid w:val="00845F2F"/>
    <w:rsid w:val="008465E6"/>
    <w:rsid w:val="00846642"/>
    <w:rsid w:val="00846783"/>
    <w:rsid w:val="00846FC5"/>
    <w:rsid w:val="00847391"/>
    <w:rsid w:val="00847667"/>
    <w:rsid w:val="0085103C"/>
    <w:rsid w:val="0085247C"/>
    <w:rsid w:val="00852C8A"/>
    <w:rsid w:val="008531CA"/>
    <w:rsid w:val="00853A9A"/>
    <w:rsid w:val="008540E7"/>
    <w:rsid w:val="0085493D"/>
    <w:rsid w:val="00854E78"/>
    <w:rsid w:val="0085504B"/>
    <w:rsid w:val="00856436"/>
    <w:rsid w:val="00856A00"/>
    <w:rsid w:val="00856BB2"/>
    <w:rsid w:val="00857292"/>
    <w:rsid w:val="00857763"/>
    <w:rsid w:val="00861AE4"/>
    <w:rsid w:val="008620CC"/>
    <w:rsid w:val="0086260A"/>
    <w:rsid w:val="0086394C"/>
    <w:rsid w:val="00863987"/>
    <w:rsid w:val="00863BA1"/>
    <w:rsid w:val="00863CDE"/>
    <w:rsid w:val="00864142"/>
    <w:rsid w:val="0086473F"/>
    <w:rsid w:val="00864D13"/>
    <w:rsid w:val="00864EDE"/>
    <w:rsid w:val="00865846"/>
    <w:rsid w:val="00865D6F"/>
    <w:rsid w:val="00866427"/>
    <w:rsid w:val="00870B73"/>
    <w:rsid w:val="00871D37"/>
    <w:rsid w:val="00873A2B"/>
    <w:rsid w:val="00873DC8"/>
    <w:rsid w:val="00875ECD"/>
    <w:rsid w:val="008771B1"/>
    <w:rsid w:val="008776C6"/>
    <w:rsid w:val="00877866"/>
    <w:rsid w:val="008807D1"/>
    <w:rsid w:val="00882626"/>
    <w:rsid w:val="0088389E"/>
    <w:rsid w:val="00884CA2"/>
    <w:rsid w:val="00884D58"/>
    <w:rsid w:val="00884FFB"/>
    <w:rsid w:val="00887053"/>
    <w:rsid w:val="00890478"/>
    <w:rsid w:val="008906B2"/>
    <w:rsid w:val="00891EF0"/>
    <w:rsid w:val="00892F2B"/>
    <w:rsid w:val="00893956"/>
    <w:rsid w:val="00893D6D"/>
    <w:rsid w:val="00894187"/>
    <w:rsid w:val="008943C4"/>
    <w:rsid w:val="008944E9"/>
    <w:rsid w:val="008951D8"/>
    <w:rsid w:val="00895471"/>
    <w:rsid w:val="00895504"/>
    <w:rsid w:val="008956F3"/>
    <w:rsid w:val="00897D46"/>
    <w:rsid w:val="008A17D3"/>
    <w:rsid w:val="008A26EF"/>
    <w:rsid w:val="008A3A86"/>
    <w:rsid w:val="008A4070"/>
    <w:rsid w:val="008A412B"/>
    <w:rsid w:val="008A4522"/>
    <w:rsid w:val="008A58F5"/>
    <w:rsid w:val="008A5A1C"/>
    <w:rsid w:val="008A5F40"/>
    <w:rsid w:val="008A64BB"/>
    <w:rsid w:val="008A658B"/>
    <w:rsid w:val="008A719B"/>
    <w:rsid w:val="008A71CC"/>
    <w:rsid w:val="008A71ED"/>
    <w:rsid w:val="008A7C46"/>
    <w:rsid w:val="008B0338"/>
    <w:rsid w:val="008B0F7E"/>
    <w:rsid w:val="008B1472"/>
    <w:rsid w:val="008B1981"/>
    <w:rsid w:val="008B1D2C"/>
    <w:rsid w:val="008B320F"/>
    <w:rsid w:val="008B3E20"/>
    <w:rsid w:val="008B485A"/>
    <w:rsid w:val="008B4B9F"/>
    <w:rsid w:val="008B5933"/>
    <w:rsid w:val="008B5B4F"/>
    <w:rsid w:val="008B6DD6"/>
    <w:rsid w:val="008B6FBD"/>
    <w:rsid w:val="008B70A5"/>
    <w:rsid w:val="008B7456"/>
    <w:rsid w:val="008B7D05"/>
    <w:rsid w:val="008C018E"/>
    <w:rsid w:val="008C03D9"/>
    <w:rsid w:val="008C04E0"/>
    <w:rsid w:val="008C075D"/>
    <w:rsid w:val="008C0BB3"/>
    <w:rsid w:val="008C0C31"/>
    <w:rsid w:val="008C2009"/>
    <w:rsid w:val="008C29E3"/>
    <w:rsid w:val="008C3390"/>
    <w:rsid w:val="008C3EDE"/>
    <w:rsid w:val="008C4402"/>
    <w:rsid w:val="008C4935"/>
    <w:rsid w:val="008C4E61"/>
    <w:rsid w:val="008C5257"/>
    <w:rsid w:val="008C5947"/>
    <w:rsid w:val="008C67E3"/>
    <w:rsid w:val="008C72AA"/>
    <w:rsid w:val="008C7B8C"/>
    <w:rsid w:val="008C7EE3"/>
    <w:rsid w:val="008D0850"/>
    <w:rsid w:val="008D2A8B"/>
    <w:rsid w:val="008D2F23"/>
    <w:rsid w:val="008D312C"/>
    <w:rsid w:val="008D4A33"/>
    <w:rsid w:val="008D54EB"/>
    <w:rsid w:val="008D5ACF"/>
    <w:rsid w:val="008D5BBD"/>
    <w:rsid w:val="008D5CF0"/>
    <w:rsid w:val="008D79ED"/>
    <w:rsid w:val="008E0E9F"/>
    <w:rsid w:val="008E1070"/>
    <w:rsid w:val="008E29E8"/>
    <w:rsid w:val="008E39E8"/>
    <w:rsid w:val="008E4019"/>
    <w:rsid w:val="008E440B"/>
    <w:rsid w:val="008E4BC2"/>
    <w:rsid w:val="008E6385"/>
    <w:rsid w:val="008E75EF"/>
    <w:rsid w:val="008F2688"/>
    <w:rsid w:val="008F2870"/>
    <w:rsid w:val="008F29E0"/>
    <w:rsid w:val="008F3260"/>
    <w:rsid w:val="008F3E24"/>
    <w:rsid w:val="008F4773"/>
    <w:rsid w:val="008F4F74"/>
    <w:rsid w:val="008F4F82"/>
    <w:rsid w:val="008F5E03"/>
    <w:rsid w:val="008F730F"/>
    <w:rsid w:val="008F77EA"/>
    <w:rsid w:val="008F7C09"/>
    <w:rsid w:val="00901337"/>
    <w:rsid w:val="00902326"/>
    <w:rsid w:val="0090243D"/>
    <w:rsid w:val="00902FCC"/>
    <w:rsid w:val="00904475"/>
    <w:rsid w:val="00904760"/>
    <w:rsid w:val="00904998"/>
    <w:rsid w:val="00904D44"/>
    <w:rsid w:val="00905B49"/>
    <w:rsid w:val="009064ED"/>
    <w:rsid w:val="00907E88"/>
    <w:rsid w:val="009102C7"/>
    <w:rsid w:val="00910681"/>
    <w:rsid w:val="009107A7"/>
    <w:rsid w:val="00910DA6"/>
    <w:rsid w:val="0091197B"/>
    <w:rsid w:val="00911AA7"/>
    <w:rsid w:val="00913232"/>
    <w:rsid w:val="009134C5"/>
    <w:rsid w:val="00913971"/>
    <w:rsid w:val="0091397B"/>
    <w:rsid w:val="0091586E"/>
    <w:rsid w:val="00915C93"/>
    <w:rsid w:val="00916152"/>
    <w:rsid w:val="0091679B"/>
    <w:rsid w:val="00917503"/>
    <w:rsid w:val="0091765D"/>
    <w:rsid w:val="009216B0"/>
    <w:rsid w:val="00921D1E"/>
    <w:rsid w:val="009220FE"/>
    <w:rsid w:val="009237F1"/>
    <w:rsid w:val="00923B13"/>
    <w:rsid w:val="00923E8D"/>
    <w:rsid w:val="009258B4"/>
    <w:rsid w:val="00925C45"/>
    <w:rsid w:val="00926170"/>
    <w:rsid w:val="00926A89"/>
    <w:rsid w:val="00926D7A"/>
    <w:rsid w:val="0092742A"/>
    <w:rsid w:val="00930447"/>
    <w:rsid w:val="00933B40"/>
    <w:rsid w:val="00933BC1"/>
    <w:rsid w:val="00934BB3"/>
    <w:rsid w:val="009365C0"/>
    <w:rsid w:val="00936995"/>
    <w:rsid w:val="00936A50"/>
    <w:rsid w:val="00937C26"/>
    <w:rsid w:val="0094114F"/>
    <w:rsid w:val="009427D8"/>
    <w:rsid w:val="009428CD"/>
    <w:rsid w:val="00943377"/>
    <w:rsid w:val="009439F6"/>
    <w:rsid w:val="00943F0B"/>
    <w:rsid w:val="009440FB"/>
    <w:rsid w:val="009442E8"/>
    <w:rsid w:val="00944824"/>
    <w:rsid w:val="009449CA"/>
    <w:rsid w:val="00944D4D"/>
    <w:rsid w:val="00944E35"/>
    <w:rsid w:val="0094586A"/>
    <w:rsid w:val="0094616B"/>
    <w:rsid w:val="00946B2C"/>
    <w:rsid w:val="00946D59"/>
    <w:rsid w:val="0095200B"/>
    <w:rsid w:val="00952334"/>
    <w:rsid w:val="009544EB"/>
    <w:rsid w:val="00955236"/>
    <w:rsid w:val="00955AEE"/>
    <w:rsid w:val="00955F33"/>
    <w:rsid w:val="00956D55"/>
    <w:rsid w:val="00957841"/>
    <w:rsid w:val="00960182"/>
    <w:rsid w:val="0096074A"/>
    <w:rsid w:val="009614D4"/>
    <w:rsid w:val="00961FC8"/>
    <w:rsid w:val="00962CE1"/>
    <w:rsid w:val="00963312"/>
    <w:rsid w:val="00965081"/>
    <w:rsid w:val="009658B4"/>
    <w:rsid w:val="0096653D"/>
    <w:rsid w:val="00966C1A"/>
    <w:rsid w:val="009707CB"/>
    <w:rsid w:val="009708BB"/>
    <w:rsid w:val="00970BAD"/>
    <w:rsid w:val="00971D6E"/>
    <w:rsid w:val="00973138"/>
    <w:rsid w:val="0097373F"/>
    <w:rsid w:val="009748A2"/>
    <w:rsid w:val="00975463"/>
    <w:rsid w:val="00976299"/>
    <w:rsid w:val="009775D9"/>
    <w:rsid w:val="00981058"/>
    <w:rsid w:val="00981718"/>
    <w:rsid w:val="00982CD8"/>
    <w:rsid w:val="00982E9D"/>
    <w:rsid w:val="009833B3"/>
    <w:rsid w:val="00983DB7"/>
    <w:rsid w:val="00984364"/>
    <w:rsid w:val="00984B7A"/>
    <w:rsid w:val="00984FC9"/>
    <w:rsid w:val="00985C11"/>
    <w:rsid w:val="0098624F"/>
    <w:rsid w:val="00986D21"/>
    <w:rsid w:val="009878DE"/>
    <w:rsid w:val="00987BA4"/>
    <w:rsid w:val="00990020"/>
    <w:rsid w:val="00990BD3"/>
    <w:rsid w:val="009912D0"/>
    <w:rsid w:val="00991441"/>
    <w:rsid w:val="00991840"/>
    <w:rsid w:val="00991EF9"/>
    <w:rsid w:val="009923C8"/>
    <w:rsid w:val="009926F5"/>
    <w:rsid w:val="00992919"/>
    <w:rsid w:val="00993D02"/>
    <w:rsid w:val="00994328"/>
    <w:rsid w:val="009968C2"/>
    <w:rsid w:val="00996C96"/>
    <w:rsid w:val="00996F2A"/>
    <w:rsid w:val="00997361"/>
    <w:rsid w:val="0099778E"/>
    <w:rsid w:val="00997933"/>
    <w:rsid w:val="009A28C7"/>
    <w:rsid w:val="009A2D1D"/>
    <w:rsid w:val="009A2EDF"/>
    <w:rsid w:val="009A329F"/>
    <w:rsid w:val="009A34E4"/>
    <w:rsid w:val="009A37F9"/>
    <w:rsid w:val="009A3DB6"/>
    <w:rsid w:val="009A3F25"/>
    <w:rsid w:val="009A4BD6"/>
    <w:rsid w:val="009A4F3B"/>
    <w:rsid w:val="009A5527"/>
    <w:rsid w:val="009A55C1"/>
    <w:rsid w:val="009A60EC"/>
    <w:rsid w:val="009A634A"/>
    <w:rsid w:val="009A6D00"/>
    <w:rsid w:val="009A7318"/>
    <w:rsid w:val="009B0645"/>
    <w:rsid w:val="009B0ADC"/>
    <w:rsid w:val="009B0CBC"/>
    <w:rsid w:val="009B12CE"/>
    <w:rsid w:val="009B1CC0"/>
    <w:rsid w:val="009B2049"/>
    <w:rsid w:val="009B28C5"/>
    <w:rsid w:val="009B353D"/>
    <w:rsid w:val="009B3B3B"/>
    <w:rsid w:val="009B5D78"/>
    <w:rsid w:val="009B64B6"/>
    <w:rsid w:val="009B6D16"/>
    <w:rsid w:val="009B7222"/>
    <w:rsid w:val="009C035F"/>
    <w:rsid w:val="009C0C06"/>
    <w:rsid w:val="009C2B86"/>
    <w:rsid w:val="009C4C34"/>
    <w:rsid w:val="009C5B8B"/>
    <w:rsid w:val="009C5EA9"/>
    <w:rsid w:val="009C7A3A"/>
    <w:rsid w:val="009D02BF"/>
    <w:rsid w:val="009D08A0"/>
    <w:rsid w:val="009D1728"/>
    <w:rsid w:val="009D1C9D"/>
    <w:rsid w:val="009D1F7E"/>
    <w:rsid w:val="009D3902"/>
    <w:rsid w:val="009D40AC"/>
    <w:rsid w:val="009D4718"/>
    <w:rsid w:val="009D4C31"/>
    <w:rsid w:val="009D7B69"/>
    <w:rsid w:val="009E0612"/>
    <w:rsid w:val="009E18D7"/>
    <w:rsid w:val="009E2931"/>
    <w:rsid w:val="009E2C1F"/>
    <w:rsid w:val="009E343F"/>
    <w:rsid w:val="009E41A5"/>
    <w:rsid w:val="009E5151"/>
    <w:rsid w:val="009E65F5"/>
    <w:rsid w:val="009E6B9D"/>
    <w:rsid w:val="009E758D"/>
    <w:rsid w:val="009F06B9"/>
    <w:rsid w:val="009F2DD6"/>
    <w:rsid w:val="009F4941"/>
    <w:rsid w:val="009F4F39"/>
    <w:rsid w:val="009F608A"/>
    <w:rsid w:val="009F61BC"/>
    <w:rsid w:val="009F6D66"/>
    <w:rsid w:val="009F719F"/>
    <w:rsid w:val="009F7F59"/>
    <w:rsid w:val="00A0025D"/>
    <w:rsid w:val="00A006E8"/>
    <w:rsid w:val="00A00DA7"/>
    <w:rsid w:val="00A01278"/>
    <w:rsid w:val="00A0154C"/>
    <w:rsid w:val="00A01913"/>
    <w:rsid w:val="00A01C48"/>
    <w:rsid w:val="00A01C6B"/>
    <w:rsid w:val="00A03DFA"/>
    <w:rsid w:val="00A03E89"/>
    <w:rsid w:val="00A055DB"/>
    <w:rsid w:val="00A07D2B"/>
    <w:rsid w:val="00A1008C"/>
    <w:rsid w:val="00A10508"/>
    <w:rsid w:val="00A109AF"/>
    <w:rsid w:val="00A12157"/>
    <w:rsid w:val="00A131BA"/>
    <w:rsid w:val="00A137BF"/>
    <w:rsid w:val="00A139EF"/>
    <w:rsid w:val="00A14FB2"/>
    <w:rsid w:val="00A16521"/>
    <w:rsid w:val="00A168F0"/>
    <w:rsid w:val="00A17033"/>
    <w:rsid w:val="00A204A8"/>
    <w:rsid w:val="00A20D74"/>
    <w:rsid w:val="00A23634"/>
    <w:rsid w:val="00A2586E"/>
    <w:rsid w:val="00A262BA"/>
    <w:rsid w:val="00A264EC"/>
    <w:rsid w:val="00A266C7"/>
    <w:rsid w:val="00A26913"/>
    <w:rsid w:val="00A30677"/>
    <w:rsid w:val="00A308AD"/>
    <w:rsid w:val="00A30F68"/>
    <w:rsid w:val="00A3144A"/>
    <w:rsid w:val="00A32DFC"/>
    <w:rsid w:val="00A3306E"/>
    <w:rsid w:val="00A33994"/>
    <w:rsid w:val="00A3476B"/>
    <w:rsid w:val="00A35A94"/>
    <w:rsid w:val="00A36A69"/>
    <w:rsid w:val="00A36E1C"/>
    <w:rsid w:val="00A371BE"/>
    <w:rsid w:val="00A400C2"/>
    <w:rsid w:val="00A40D32"/>
    <w:rsid w:val="00A410B9"/>
    <w:rsid w:val="00A41491"/>
    <w:rsid w:val="00A42E37"/>
    <w:rsid w:val="00A43685"/>
    <w:rsid w:val="00A4392F"/>
    <w:rsid w:val="00A43DCE"/>
    <w:rsid w:val="00A45199"/>
    <w:rsid w:val="00A45BEF"/>
    <w:rsid w:val="00A45E6C"/>
    <w:rsid w:val="00A4705E"/>
    <w:rsid w:val="00A4709C"/>
    <w:rsid w:val="00A50140"/>
    <w:rsid w:val="00A50C26"/>
    <w:rsid w:val="00A515B3"/>
    <w:rsid w:val="00A520AC"/>
    <w:rsid w:val="00A52A2C"/>
    <w:rsid w:val="00A5458B"/>
    <w:rsid w:val="00A5618B"/>
    <w:rsid w:val="00A56966"/>
    <w:rsid w:val="00A56BA6"/>
    <w:rsid w:val="00A61582"/>
    <w:rsid w:val="00A6167D"/>
    <w:rsid w:val="00A61AD0"/>
    <w:rsid w:val="00A61D73"/>
    <w:rsid w:val="00A62174"/>
    <w:rsid w:val="00A6217F"/>
    <w:rsid w:val="00A625E3"/>
    <w:rsid w:val="00A62B65"/>
    <w:rsid w:val="00A63A8D"/>
    <w:rsid w:val="00A63C1C"/>
    <w:rsid w:val="00A64F62"/>
    <w:rsid w:val="00A65A64"/>
    <w:rsid w:val="00A660CC"/>
    <w:rsid w:val="00A70543"/>
    <w:rsid w:val="00A708AF"/>
    <w:rsid w:val="00A70D91"/>
    <w:rsid w:val="00A71A9B"/>
    <w:rsid w:val="00A73B34"/>
    <w:rsid w:val="00A73D43"/>
    <w:rsid w:val="00A73D76"/>
    <w:rsid w:val="00A74840"/>
    <w:rsid w:val="00A75158"/>
    <w:rsid w:val="00A76FEF"/>
    <w:rsid w:val="00A770C0"/>
    <w:rsid w:val="00A7748D"/>
    <w:rsid w:val="00A77ED2"/>
    <w:rsid w:val="00A80C3C"/>
    <w:rsid w:val="00A80D63"/>
    <w:rsid w:val="00A8137E"/>
    <w:rsid w:val="00A8144C"/>
    <w:rsid w:val="00A820F4"/>
    <w:rsid w:val="00A822FF"/>
    <w:rsid w:val="00A83453"/>
    <w:rsid w:val="00A84A17"/>
    <w:rsid w:val="00A84C80"/>
    <w:rsid w:val="00A853A4"/>
    <w:rsid w:val="00A855C9"/>
    <w:rsid w:val="00A859FC"/>
    <w:rsid w:val="00A862E1"/>
    <w:rsid w:val="00A87142"/>
    <w:rsid w:val="00A90490"/>
    <w:rsid w:val="00A90BDB"/>
    <w:rsid w:val="00A90E56"/>
    <w:rsid w:val="00A910E4"/>
    <w:rsid w:val="00A91207"/>
    <w:rsid w:val="00A9298E"/>
    <w:rsid w:val="00A94273"/>
    <w:rsid w:val="00A94350"/>
    <w:rsid w:val="00A9488B"/>
    <w:rsid w:val="00A94FCF"/>
    <w:rsid w:val="00A94FF6"/>
    <w:rsid w:val="00A9553B"/>
    <w:rsid w:val="00A955EB"/>
    <w:rsid w:val="00A9695F"/>
    <w:rsid w:val="00A96BAF"/>
    <w:rsid w:val="00A97248"/>
    <w:rsid w:val="00A9782C"/>
    <w:rsid w:val="00AA013C"/>
    <w:rsid w:val="00AA026C"/>
    <w:rsid w:val="00AA0C18"/>
    <w:rsid w:val="00AA16E3"/>
    <w:rsid w:val="00AA18BC"/>
    <w:rsid w:val="00AA21BA"/>
    <w:rsid w:val="00AA22C2"/>
    <w:rsid w:val="00AA23C1"/>
    <w:rsid w:val="00AA3758"/>
    <w:rsid w:val="00AA3FF1"/>
    <w:rsid w:val="00AA48DB"/>
    <w:rsid w:val="00AA4919"/>
    <w:rsid w:val="00AA561E"/>
    <w:rsid w:val="00AA68C9"/>
    <w:rsid w:val="00AA7438"/>
    <w:rsid w:val="00AA7C80"/>
    <w:rsid w:val="00AA7DD6"/>
    <w:rsid w:val="00AB008B"/>
    <w:rsid w:val="00AB1721"/>
    <w:rsid w:val="00AB1738"/>
    <w:rsid w:val="00AB19A5"/>
    <w:rsid w:val="00AB1C27"/>
    <w:rsid w:val="00AB2534"/>
    <w:rsid w:val="00AB3218"/>
    <w:rsid w:val="00AB38C1"/>
    <w:rsid w:val="00AB69C0"/>
    <w:rsid w:val="00AB7356"/>
    <w:rsid w:val="00AC25A0"/>
    <w:rsid w:val="00AC38B7"/>
    <w:rsid w:val="00AC3978"/>
    <w:rsid w:val="00AC3AE6"/>
    <w:rsid w:val="00AC3F2E"/>
    <w:rsid w:val="00AC761F"/>
    <w:rsid w:val="00AC7909"/>
    <w:rsid w:val="00AC7EBD"/>
    <w:rsid w:val="00AD1CB6"/>
    <w:rsid w:val="00AD2568"/>
    <w:rsid w:val="00AD2ABB"/>
    <w:rsid w:val="00AD33B2"/>
    <w:rsid w:val="00AD4873"/>
    <w:rsid w:val="00AD5909"/>
    <w:rsid w:val="00AD7048"/>
    <w:rsid w:val="00AD7C77"/>
    <w:rsid w:val="00AE0B03"/>
    <w:rsid w:val="00AE1252"/>
    <w:rsid w:val="00AE14BC"/>
    <w:rsid w:val="00AE15A3"/>
    <w:rsid w:val="00AE1D1D"/>
    <w:rsid w:val="00AE229A"/>
    <w:rsid w:val="00AE23E1"/>
    <w:rsid w:val="00AE2725"/>
    <w:rsid w:val="00AE2979"/>
    <w:rsid w:val="00AE3B72"/>
    <w:rsid w:val="00AE4ADE"/>
    <w:rsid w:val="00AE4C2D"/>
    <w:rsid w:val="00AE55B5"/>
    <w:rsid w:val="00AE5CE8"/>
    <w:rsid w:val="00AE637A"/>
    <w:rsid w:val="00AE734B"/>
    <w:rsid w:val="00AF066C"/>
    <w:rsid w:val="00AF1B70"/>
    <w:rsid w:val="00AF1B71"/>
    <w:rsid w:val="00AF26E1"/>
    <w:rsid w:val="00AF3D20"/>
    <w:rsid w:val="00AF406D"/>
    <w:rsid w:val="00AF4170"/>
    <w:rsid w:val="00AF4C36"/>
    <w:rsid w:val="00AF5074"/>
    <w:rsid w:val="00AF7416"/>
    <w:rsid w:val="00AF775E"/>
    <w:rsid w:val="00AF7FA9"/>
    <w:rsid w:val="00B018E8"/>
    <w:rsid w:val="00B01CAF"/>
    <w:rsid w:val="00B02073"/>
    <w:rsid w:val="00B02DAF"/>
    <w:rsid w:val="00B030D2"/>
    <w:rsid w:val="00B0397C"/>
    <w:rsid w:val="00B04045"/>
    <w:rsid w:val="00B04A50"/>
    <w:rsid w:val="00B06178"/>
    <w:rsid w:val="00B07373"/>
    <w:rsid w:val="00B07901"/>
    <w:rsid w:val="00B07D05"/>
    <w:rsid w:val="00B10FDC"/>
    <w:rsid w:val="00B1245D"/>
    <w:rsid w:val="00B12911"/>
    <w:rsid w:val="00B138AB"/>
    <w:rsid w:val="00B150DF"/>
    <w:rsid w:val="00B15226"/>
    <w:rsid w:val="00B1539D"/>
    <w:rsid w:val="00B15E25"/>
    <w:rsid w:val="00B17764"/>
    <w:rsid w:val="00B2068D"/>
    <w:rsid w:val="00B20B66"/>
    <w:rsid w:val="00B22134"/>
    <w:rsid w:val="00B225CB"/>
    <w:rsid w:val="00B23735"/>
    <w:rsid w:val="00B23857"/>
    <w:rsid w:val="00B23DBB"/>
    <w:rsid w:val="00B2411B"/>
    <w:rsid w:val="00B2452E"/>
    <w:rsid w:val="00B2461F"/>
    <w:rsid w:val="00B2476F"/>
    <w:rsid w:val="00B26A59"/>
    <w:rsid w:val="00B27040"/>
    <w:rsid w:val="00B271B1"/>
    <w:rsid w:val="00B27723"/>
    <w:rsid w:val="00B27A81"/>
    <w:rsid w:val="00B30580"/>
    <w:rsid w:val="00B31119"/>
    <w:rsid w:val="00B311F4"/>
    <w:rsid w:val="00B325F9"/>
    <w:rsid w:val="00B326AD"/>
    <w:rsid w:val="00B328CE"/>
    <w:rsid w:val="00B3341E"/>
    <w:rsid w:val="00B33B25"/>
    <w:rsid w:val="00B33DAE"/>
    <w:rsid w:val="00B34176"/>
    <w:rsid w:val="00B346FB"/>
    <w:rsid w:val="00B34E65"/>
    <w:rsid w:val="00B34FF6"/>
    <w:rsid w:val="00B35934"/>
    <w:rsid w:val="00B36EDB"/>
    <w:rsid w:val="00B37295"/>
    <w:rsid w:val="00B373C9"/>
    <w:rsid w:val="00B37798"/>
    <w:rsid w:val="00B41C8A"/>
    <w:rsid w:val="00B42B74"/>
    <w:rsid w:val="00B42D6B"/>
    <w:rsid w:val="00B4301F"/>
    <w:rsid w:val="00B43328"/>
    <w:rsid w:val="00B438B5"/>
    <w:rsid w:val="00B43C3F"/>
    <w:rsid w:val="00B43F53"/>
    <w:rsid w:val="00B44A68"/>
    <w:rsid w:val="00B451C4"/>
    <w:rsid w:val="00B451FA"/>
    <w:rsid w:val="00B47946"/>
    <w:rsid w:val="00B5088B"/>
    <w:rsid w:val="00B51B04"/>
    <w:rsid w:val="00B51EA7"/>
    <w:rsid w:val="00B5266A"/>
    <w:rsid w:val="00B529D1"/>
    <w:rsid w:val="00B55B65"/>
    <w:rsid w:val="00B56D72"/>
    <w:rsid w:val="00B5704F"/>
    <w:rsid w:val="00B5775E"/>
    <w:rsid w:val="00B607B5"/>
    <w:rsid w:val="00B6085D"/>
    <w:rsid w:val="00B62BFA"/>
    <w:rsid w:val="00B6421F"/>
    <w:rsid w:val="00B65CF8"/>
    <w:rsid w:val="00B669E5"/>
    <w:rsid w:val="00B67B0B"/>
    <w:rsid w:val="00B67CAB"/>
    <w:rsid w:val="00B71DBD"/>
    <w:rsid w:val="00B72937"/>
    <w:rsid w:val="00B74598"/>
    <w:rsid w:val="00B74793"/>
    <w:rsid w:val="00B74B53"/>
    <w:rsid w:val="00B75557"/>
    <w:rsid w:val="00B75A36"/>
    <w:rsid w:val="00B76D23"/>
    <w:rsid w:val="00B77002"/>
    <w:rsid w:val="00B77C5C"/>
    <w:rsid w:val="00B77DDD"/>
    <w:rsid w:val="00B8047B"/>
    <w:rsid w:val="00B81886"/>
    <w:rsid w:val="00B81D39"/>
    <w:rsid w:val="00B81DA7"/>
    <w:rsid w:val="00B8329D"/>
    <w:rsid w:val="00B832A5"/>
    <w:rsid w:val="00B835D6"/>
    <w:rsid w:val="00B83E7F"/>
    <w:rsid w:val="00B858EA"/>
    <w:rsid w:val="00B8596F"/>
    <w:rsid w:val="00B85FEF"/>
    <w:rsid w:val="00B86158"/>
    <w:rsid w:val="00B86293"/>
    <w:rsid w:val="00B866A4"/>
    <w:rsid w:val="00B874E6"/>
    <w:rsid w:val="00B90A57"/>
    <w:rsid w:val="00B91295"/>
    <w:rsid w:val="00B9192A"/>
    <w:rsid w:val="00B91E6D"/>
    <w:rsid w:val="00B92080"/>
    <w:rsid w:val="00B921B9"/>
    <w:rsid w:val="00B92F50"/>
    <w:rsid w:val="00B93985"/>
    <w:rsid w:val="00B94124"/>
    <w:rsid w:val="00B94427"/>
    <w:rsid w:val="00B9459C"/>
    <w:rsid w:val="00B94E59"/>
    <w:rsid w:val="00B95893"/>
    <w:rsid w:val="00B965B1"/>
    <w:rsid w:val="00B97703"/>
    <w:rsid w:val="00B97BE8"/>
    <w:rsid w:val="00B97E37"/>
    <w:rsid w:val="00BA02F3"/>
    <w:rsid w:val="00BA1404"/>
    <w:rsid w:val="00BA218A"/>
    <w:rsid w:val="00BA2C07"/>
    <w:rsid w:val="00BA34FF"/>
    <w:rsid w:val="00BA3947"/>
    <w:rsid w:val="00BA44F3"/>
    <w:rsid w:val="00BA56D8"/>
    <w:rsid w:val="00BA5BA7"/>
    <w:rsid w:val="00BA600A"/>
    <w:rsid w:val="00BA685C"/>
    <w:rsid w:val="00BA6E56"/>
    <w:rsid w:val="00BA7027"/>
    <w:rsid w:val="00BB1EDE"/>
    <w:rsid w:val="00BB2370"/>
    <w:rsid w:val="00BB30A9"/>
    <w:rsid w:val="00BB3815"/>
    <w:rsid w:val="00BB4901"/>
    <w:rsid w:val="00BB4C2E"/>
    <w:rsid w:val="00BB511C"/>
    <w:rsid w:val="00BB531F"/>
    <w:rsid w:val="00BB67AA"/>
    <w:rsid w:val="00BB7225"/>
    <w:rsid w:val="00BC00E6"/>
    <w:rsid w:val="00BC02CB"/>
    <w:rsid w:val="00BC031C"/>
    <w:rsid w:val="00BC09A2"/>
    <w:rsid w:val="00BC0F63"/>
    <w:rsid w:val="00BC12EA"/>
    <w:rsid w:val="00BC2293"/>
    <w:rsid w:val="00BC2527"/>
    <w:rsid w:val="00BC2603"/>
    <w:rsid w:val="00BC3882"/>
    <w:rsid w:val="00BC4704"/>
    <w:rsid w:val="00BC528D"/>
    <w:rsid w:val="00BC57C6"/>
    <w:rsid w:val="00BC62BF"/>
    <w:rsid w:val="00BC6BB5"/>
    <w:rsid w:val="00BC766E"/>
    <w:rsid w:val="00BC7AA7"/>
    <w:rsid w:val="00BD0A65"/>
    <w:rsid w:val="00BD0FD5"/>
    <w:rsid w:val="00BD1B34"/>
    <w:rsid w:val="00BD2FEB"/>
    <w:rsid w:val="00BD325F"/>
    <w:rsid w:val="00BD37EC"/>
    <w:rsid w:val="00BD3A31"/>
    <w:rsid w:val="00BD4137"/>
    <w:rsid w:val="00BD4270"/>
    <w:rsid w:val="00BD4B12"/>
    <w:rsid w:val="00BD4F47"/>
    <w:rsid w:val="00BD5261"/>
    <w:rsid w:val="00BD6D6D"/>
    <w:rsid w:val="00BD6FB8"/>
    <w:rsid w:val="00BD73F3"/>
    <w:rsid w:val="00BD746D"/>
    <w:rsid w:val="00BE0806"/>
    <w:rsid w:val="00BE0BAB"/>
    <w:rsid w:val="00BE45EE"/>
    <w:rsid w:val="00BE5211"/>
    <w:rsid w:val="00BE6D5C"/>
    <w:rsid w:val="00BE77F2"/>
    <w:rsid w:val="00BF0024"/>
    <w:rsid w:val="00BF16E1"/>
    <w:rsid w:val="00BF2389"/>
    <w:rsid w:val="00BF2E5D"/>
    <w:rsid w:val="00BF4100"/>
    <w:rsid w:val="00BF4BA8"/>
    <w:rsid w:val="00BF5C37"/>
    <w:rsid w:val="00BF7D9E"/>
    <w:rsid w:val="00C001A4"/>
    <w:rsid w:val="00C00366"/>
    <w:rsid w:val="00C003E2"/>
    <w:rsid w:val="00C0063B"/>
    <w:rsid w:val="00C012AA"/>
    <w:rsid w:val="00C012D1"/>
    <w:rsid w:val="00C01432"/>
    <w:rsid w:val="00C019CF"/>
    <w:rsid w:val="00C025DB"/>
    <w:rsid w:val="00C02AC7"/>
    <w:rsid w:val="00C03B1E"/>
    <w:rsid w:val="00C056DA"/>
    <w:rsid w:val="00C06FEF"/>
    <w:rsid w:val="00C07419"/>
    <w:rsid w:val="00C076C4"/>
    <w:rsid w:val="00C10A89"/>
    <w:rsid w:val="00C11568"/>
    <w:rsid w:val="00C11829"/>
    <w:rsid w:val="00C1182D"/>
    <w:rsid w:val="00C11BE6"/>
    <w:rsid w:val="00C1274F"/>
    <w:rsid w:val="00C12DE0"/>
    <w:rsid w:val="00C13247"/>
    <w:rsid w:val="00C13515"/>
    <w:rsid w:val="00C138A1"/>
    <w:rsid w:val="00C13AA7"/>
    <w:rsid w:val="00C13B5E"/>
    <w:rsid w:val="00C1496E"/>
    <w:rsid w:val="00C157E9"/>
    <w:rsid w:val="00C15B41"/>
    <w:rsid w:val="00C170CE"/>
    <w:rsid w:val="00C17132"/>
    <w:rsid w:val="00C171CA"/>
    <w:rsid w:val="00C1734A"/>
    <w:rsid w:val="00C1753D"/>
    <w:rsid w:val="00C17AD0"/>
    <w:rsid w:val="00C21CB4"/>
    <w:rsid w:val="00C22B8D"/>
    <w:rsid w:val="00C242DE"/>
    <w:rsid w:val="00C2433E"/>
    <w:rsid w:val="00C24A5A"/>
    <w:rsid w:val="00C24C2B"/>
    <w:rsid w:val="00C24EAD"/>
    <w:rsid w:val="00C25284"/>
    <w:rsid w:val="00C257CF"/>
    <w:rsid w:val="00C25E56"/>
    <w:rsid w:val="00C2670D"/>
    <w:rsid w:val="00C26E83"/>
    <w:rsid w:val="00C27478"/>
    <w:rsid w:val="00C3004D"/>
    <w:rsid w:val="00C3054E"/>
    <w:rsid w:val="00C31C7E"/>
    <w:rsid w:val="00C32177"/>
    <w:rsid w:val="00C32AB1"/>
    <w:rsid w:val="00C3329B"/>
    <w:rsid w:val="00C34E75"/>
    <w:rsid w:val="00C35721"/>
    <w:rsid w:val="00C35B69"/>
    <w:rsid w:val="00C35EDF"/>
    <w:rsid w:val="00C36416"/>
    <w:rsid w:val="00C41078"/>
    <w:rsid w:val="00C41208"/>
    <w:rsid w:val="00C42622"/>
    <w:rsid w:val="00C428DA"/>
    <w:rsid w:val="00C428F9"/>
    <w:rsid w:val="00C44202"/>
    <w:rsid w:val="00C45782"/>
    <w:rsid w:val="00C45927"/>
    <w:rsid w:val="00C45DCC"/>
    <w:rsid w:val="00C526B6"/>
    <w:rsid w:val="00C52763"/>
    <w:rsid w:val="00C5280C"/>
    <w:rsid w:val="00C5298F"/>
    <w:rsid w:val="00C533DC"/>
    <w:rsid w:val="00C5368B"/>
    <w:rsid w:val="00C53706"/>
    <w:rsid w:val="00C53E6D"/>
    <w:rsid w:val="00C541B5"/>
    <w:rsid w:val="00C54F60"/>
    <w:rsid w:val="00C55F18"/>
    <w:rsid w:val="00C5696C"/>
    <w:rsid w:val="00C604E0"/>
    <w:rsid w:val="00C60A5B"/>
    <w:rsid w:val="00C61300"/>
    <w:rsid w:val="00C61E85"/>
    <w:rsid w:val="00C631A2"/>
    <w:rsid w:val="00C63268"/>
    <w:rsid w:val="00C6334B"/>
    <w:rsid w:val="00C63F9A"/>
    <w:rsid w:val="00C63FF1"/>
    <w:rsid w:val="00C6451F"/>
    <w:rsid w:val="00C6641F"/>
    <w:rsid w:val="00C66CD5"/>
    <w:rsid w:val="00C676C5"/>
    <w:rsid w:val="00C6771D"/>
    <w:rsid w:val="00C70E30"/>
    <w:rsid w:val="00C70F8C"/>
    <w:rsid w:val="00C71770"/>
    <w:rsid w:val="00C723D3"/>
    <w:rsid w:val="00C72806"/>
    <w:rsid w:val="00C72C99"/>
    <w:rsid w:val="00C72F94"/>
    <w:rsid w:val="00C74258"/>
    <w:rsid w:val="00C743B1"/>
    <w:rsid w:val="00C74DFB"/>
    <w:rsid w:val="00C754B8"/>
    <w:rsid w:val="00C75708"/>
    <w:rsid w:val="00C76460"/>
    <w:rsid w:val="00C76648"/>
    <w:rsid w:val="00C76BE2"/>
    <w:rsid w:val="00C77870"/>
    <w:rsid w:val="00C7788D"/>
    <w:rsid w:val="00C8002E"/>
    <w:rsid w:val="00C8024B"/>
    <w:rsid w:val="00C80278"/>
    <w:rsid w:val="00C80A04"/>
    <w:rsid w:val="00C81735"/>
    <w:rsid w:val="00C81EFE"/>
    <w:rsid w:val="00C823C4"/>
    <w:rsid w:val="00C823EA"/>
    <w:rsid w:val="00C82F31"/>
    <w:rsid w:val="00C82F96"/>
    <w:rsid w:val="00C84A78"/>
    <w:rsid w:val="00C84BDE"/>
    <w:rsid w:val="00C84CBD"/>
    <w:rsid w:val="00C84D21"/>
    <w:rsid w:val="00C8593C"/>
    <w:rsid w:val="00C8675A"/>
    <w:rsid w:val="00C8756E"/>
    <w:rsid w:val="00C87955"/>
    <w:rsid w:val="00C87A5A"/>
    <w:rsid w:val="00C87AA3"/>
    <w:rsid w:val="00C87F2B"/>
    <w:rsid w:val="00C90E16"/>
    <w:rsid w:val="00C9255B"/>
    <w:rsid w:val="00C93D98"/>
    <w:rsid w:val="00C94422"/>
    <w:rsid w:val="00C945D1"/>
    <w:rsid w:val="00C94C73"/>
    <w:rsid w:val="00C95EFC"/>
    <w:rsid w:val="00C96990"/>
    <w:rsid w:val="00C96A1B"/>
    <w:rsid w:val="00C96ECA"/>
    <w:rsid w:val="00C97629"/>
    <w:rsid w:val="00C976F9"/>
    <w:rsid w:val="00C97807"/>
    <w:rsid w:val="00C97B90"/>
    <w:rsid w:val="00C97CD4"/>
    <w:rsid w:val="00CA0087"/>
    <w:rsid w:val="00CA0AA6"/>
    <w:rsid w:val="00CA1B49"/>
    <w:rsid w:val="00CA2F81"/>
    <w:rsid w:val="00CA3362"/>
    <w:rsid w:val="00CA3483"/>
    <w:rsid w:val="00CA3851"/>
    <w:rsid w:val="00CA3C50"/>
    <w:rsid w:val="00CA40A9"/>
    <w:rsid w:val="00CA4227"/>
    <w:rsid w:val="00CA4831"/>
    <w:rsid w:val="00CA5B9F"/>
    <w:rsid w:val="00CA601A"/>
    <w:rsid w:val="00CA693C"/>
    <w:rsid w:val="00CA7C41"/>
    <w:rsid w:val="00CA7F7D"/>
    <w:rsid w:val="00CB006C"/>
    <w:rsid w:val="00CB115B"/>
    <w:rsid w:val="00CB1901"/>
    <w:rsid w:val="00CB1CE1"/>
    <w:rsid w:val="00CB1D89"/>
    <w:rsid w:val="00CB25FF"/>
    <w:rsid w:val="00CB2AA6"/>
    <w:rsid w:val="00CB3636"/>
    <w:rsid w:val="00CB3A95"/>
    <w:rsid w:val="00CB3B3C"/>
    <w:rsid w:val="00CB41C8"/>
    <w:rsid w:val="00CB489C"/>
    <w:rsid w:val="00CB4923"/>
    <w:rsid w:val="00CB5C25"/>
    <w:rsid w:val="00CB6052"/>
    <w:rsid w:val="00CB64B8"/>
    <w:rsid w:val="00CB733C"/>
    <w:rsid w:val="00CB7DCF"/>
    <w:rsid w:val="00CC0749"/>
    <w:rsid w:val="00CC1742"/>
    <w:rsid w:val="00CC20DD"/>
    <w:rsid w:val="00CC3219"/>
    <w:rsid w:val="00CC32E2"/>
    <w:rsid w:val="00CC3E21"/>
    <w:rsid w:val="00CC40B1"/>
    <w:rsid w:val="00CC4428"/>
    <w:rsid w:val="00CC44FC"/>
    <w:rsid w:val="00CC520F"/>
    <w:rsid w:val="00CC547D"/>
    <w:rsid w:val="00CC5A67"/>
    <w:rsid w:val="00CC728E"/>
    <w:rsid w:val="00CC72EF"/>
    <w:rsid w:val="00CC7BE6"/>
    <w:rsid w:val="00CD00F9"/>
    <w:rsid w:val="00CD1617"/>
    <w:rsid w:val="00CD1979"/>
    <w:rsid w:val="00CD1CE6"/>
    <w:rsid w:val="00CD2BF9"/>
    <w:rsid w:val="00CD35DC"/>
    <w:rsid w:val="00CD3C42"/>
    <w:rsid w:val="00CD4423"/>
    <w:rsid w:val="00CD4669"/>
    <w:rsid w:val="00CD4887"/>
    <w:rsid w:val="00CD530D"/>
    <w:rsid w:val="00CD5AF5"/>
    <w:rsid w:val="00CD5EB9"/>
    <w:rsid w:val="00CD630D"/>
    <w:rsid w:val="00CD7FBE"/>
    <w:rsid w:val="00CE019C"/>
    <w:rsid w:val="00CE1C47"/>
    <w:rsid w:val="00CE28BB"/>
    <w:rsid w:val="00CE30E5"/>
    <w:rsid w:val="00CE42BC"/>
    <w:rsid w:val="00CE4E2B"/>
    <w:rsid w:val="00CE5CDD"/>
    <w:rsid w:val="00CE69B1"/>
    <w:rsid w:val="00CE6ACB"/>
    <w:rsid w:val="00CE746C"/>
    <w:rsid w:val="00CF1369"/>
    <w:rsid w:val="00CF1BAE"/>
    <w:rsid w:val="00CF1CDE"/>
    <w:rsid w:val="00CF26BE"/>
    <w:rsid w:val="00CF2B49"/>
    <w:rsid w:val="00CF3F87"/>
    <w:rsid w:val="00CF5431"/>
    <w:rsid w:val="00D00D1C"/>
    <w:rsid w:val="00D01270"/>
    <w:rsid w:val="00D01F55"/>
    <w:rsid w:val="00D0207F"/>
    <w:rsid w:val="00D02336"/>
    <w:rsid w:val="00D02431"/>
    <w:rsid w:val="00D02DD6"/>
    <w:rsid w:val="00D03E6A"/>
    <w:rsid w:val="00D04EF8"/>
    <w:rsid w:val="00D06013"/>
    <w:rsid w:val="00D06F9D"/>
    <w:rsid w:val="00D07198"/>
    <w:rsid w:val="00D07378"/>
    <w:rsid w:val="00D1183F"/>
    <w:rsid w:val="00D1248B"/>
    <w:rsid w:val="00D13601"/>
    <w:rsid w:val="00D13B57"/>
    <w:rsid w:val="00D13E5D"/>
    <w:rsid w:val="00D14E11"/>
    <w:rsid w:val="00D16608"/>
    <w:rsid w:val="00D16A78"/>
    <w:rsid w:val="00D17B01"/>
    <w:rsid w:val="00D20A6F"/>
    <w:rsid w:val="00D21B3B"/>
    <w:rsid w:val="00D21ED2"/>
    <w:rsid w:val="00D221AF"/>
    <w:rsid w:val="00D22203"/>
    <w:rsid w:val="00D2290B"/>
    <w:rsid w:val="00D22B96"/>
    <w:rsid w:val="00D22C1E"/>
    <w:rsid w:val="00D24CFF"/>
    <w:rsid w:val="00D25C09"/>
    <w:rsid w:val="00D25C48"/>
    <w:rsid w:val="00D262A4"/>
    <w:rsid w:val="00D26759"/>
    <w:rsid w:val="00D26798"/>
    <w:rsid w:val="00D274E8"/>
    <w:rsid w:val="00D30593"/>
    <w:rsid w:val="00D30D40"/>
    <w:rsid w:val="00D31C34"/>
    <w:rsid w:val="00D31EDD"/>
    <w:rsid w:val="00D32765"/>
    <w:rsid w:val="00D3398B"/>
    <w:rsid w:val="00D358F8"/>
    <w:rsid w:val="00D35D8D"/>
    <w:rsid w:val="00D367C7"/>
    <w:rsid w:val="00D37B93"/>
    <w:rsid w:val="00D405A0"/>
    <w:rsid w:val="00D40F32"/>
    <w:rsid w:val="00D42AFB"/>
    <w:rsid w:val="00D43EEC"/>
    <w:rsid w:val="00D44064"/>
    <w:rsid w:val="00D443F5"/>
    <w:rsid w:val="00D450B3"/>
    <w:rsid w:val="00D451B2"/>
    <w:rsid w:val="00D460C1"/>
    <w:rsid w:val="00D461A0"/>
    <w:rsid w:val="00D471D2"/>
    <w:rsid w:val="00D47330"/>
    <w:rsid w:val="00D4784C"/>
    <w:rsid w:val="00D47897"/>
    <w:rsid w:val="00D50966"/>
    <w:rsid w:val="00D50A31"/>
    <w:rsid w:val="00D511F3"/>
    <w:rsid w:val="00D51925"/>
    <w:rsid w:val="00D5194F"/>
    <w:rsid w:val="00D51D67"/>
    <w:rsid w:val="00D521A3"/>
    <w:rsid w:val="00D53C48"/>
    <w:rsid w:val="00D53D1B"/>
    <w:rsid w:val="00D54883"/>
    <w:rsid w:val="00D54C6F"/>
    <w:rsid w:val="00D55AED"/>
    <w:rsid w:val="00D563FD"/>
    <w:rsid w:val="00D564C7"/>
    <w:rsid w:val="00D56B8D"/>
    <w:rsid w:val="00D60C26"/>
    <w:rsid w:val="00D611EE"/>
    <w:rsid w:val="00D6146F"/>
    <w:rsid w:val="00D629CA"/>
    <w:rsid w:val="00D63162"/>
    <w:rsid w:val="00D63E5B"/>
    <w:rsid w:val="00D642F8"/>
    <w:rsid w:val="00D64970"/>
    <w:rsid w:val="00D64B13"/>
    <w:rsid w:val="00D654B8"/>
    <w:rsid w:val="00D6610C"/>
    <w:rsid w:val="00D67151"/>
    <w:rsid w:val="00D6745F"/>
    <w:rsid w:val="00D677AA"/>
    <w:rsid w:val="00D7250B"/>
    <w:rsid w:val="00D72F33"/>
    <w:rsid w:val="00D730FA"/>
    <w:rsid w:val="00D7319F"/>
    <w:rsid w:val="00D735CC"/>
    <w:rsid w:val="00D736F6"/>
    <w:rsid w:val="00D74361"/>
    <w:rsid w:val="00D7524E"/>
    <w:rsid w:val="00D754BB"/>
    <w:rsid w:val="00D75DAB"/>
    <w:rsid w:val="00D76104"/>
    <w:rsid w:val="00D77027"/>
    <w:rsid w:val="00D803BB"/>
    <w:rsid w:val="00D80E81"/>
    <w:rsid w:val="00D81D01"/>
    <w:rsid w:val="00D81E45"/>
    <w:rsid w:val="00D82B07"/>
    <w:rsid w:val="00D82E8D"/>
    <w:rsid w:val="00D83FD1"/>
    <w:rsid w:val="00D845DD"/>
    <w:rsid w:val="00D852DD"/>
    <w:rsid w:val="00D8578E"/>
    <w:rsid w:val="00D85C45"/>
    <w:rsid w:val="00D85DFA"/>
    <w:rsid w:val="00D85E02"/>
    <w:rsid w:val="00D868B1"/>
    <w:rsid w:val="00D87172"/>
    <w:rsid w:val="00D87ABE"/>
    <w:rsid w:val="00D90169"/>
    <w:rsid w:val="00D9052F"/>
    <w:rsid w:val="00D90CA4"/>
    <w:rsid w:val="00D90F8A"/>
    <w:rsid w:val="00D923D1"/>
    <w:rsid w:val="00D9257B"/>
    <w:rsid w:val="00D93437"/>
    <w:rsid w:val="00D934A6"/>
    <w:rsid w:val="00D93A0B"/>
    <w:rsid w:val="00D93A72"/>
    <w:rsid w:val="00D94C03"/>
    <w:rsid w:val="00D950DC"/>
    <w:rsid w:val="00D95266"/>
    <w:rsid w:val="00D958B9"/>
    <w:rsid w:val="00D95BA2"/>
    <w:rsid w:val="00D97A78"/>
    <w:rsid w:val="00DA0388"/>
    <w:rsid w:val="00DA0CC6"/>
    <w:rsid w:val="00DA26C0"/>
    <w:rsid w:val="00DA2753"/>
    <w:rsid w:val="00DA3CC5"/>
    <w:rsid w:val="00DA3EE5"/>
    <w:rsid w:val="00DA491F"/>
    <w:rsid w:val="00DA4E72"/>
    <w:rsid w:val="00DA4FAC"/>
    <w:rsid w:val="00DA4FEF"/>
    <w:rsid w:val="00DA5550"/>
    <w:rsid w:val="00DA5CF9"/>
    <w:rsid w:val="00DA60E3"/>
    <w:rsid w:val="00DA68C9"/>
    <w:rsid w:val="00DA72B4"/>
    <w:rsid w:val="00DB033D"/>
    <w:rsid w:val="00DB041F"/>
    <w:rsid w:val="00DB15F7"/>
    <w:rsid w:val="00DB20E6"/>
    <w:rsid w:val="00DB2A27"/>
    <w:rsid w:val="00DB2C28"/>
    <w:rsid w:val="00DB338F"/>
    <w:rsid w:val="00DB41A0"/>
    <w:rsid w:val="00DB4E81"/>
    <w:rsid w:val="00DB4F33"/>
    <w:rsid w:val="00DB551B"/>
    <w:rsid w:val="00DB55E5"/>
    <w:rsid w:val="00DB64A0"/>
    <w:rsid w:val="00DB7D60"/>
    <w:rsid w:val="00DC047B"/>
    <w:rsid w:val="00DC05B5"/>
    <w:rsid w:val="00DC0B4E"/>
    <w:rsid w:val="00DC2748"/>
    <w:rsid w:val="00DC35CB"/>
    <w:rsid w:val="00DC3BE1"/>
    <w:rsid w:val="00DC3D69"/>
    <w:rsid w:val="00DC40A6"/>
    <w:rsid w:val="00DC4112"/>
    <w:rsid w:val="00DC5045"/>
    <w:rsid w:val="00DC532D"/>
    <w:rsid w:val="00DC5D51"/>
    <w:rsid w:val="00DC65EB"/>
    <w:rsid w:val="00DC6813"/>
    <w:rsid w:val="00DC6ED9"/>
    <w:rsid w:val="00DC6F89"/>
    <w:rsid w:val="00DD0133"/>
    <w:rsid w:val="00DD019E"/>
    <w:rsid w:val="00DD0AC7"/>
    <w:rsid w:val="00DD0E05"/>
    <w:rsid w:val="00DD262E"/>
    <w:rsid w:val="00DD2918"/>
    <w:rsid w:val="00DD2DD9"/>
    <w:rsid w:val="00DD2E21"/>
    <w:rsid w:val="00DD6391"/>
    <w:rsid w:val="00DD697E"/>
    <w:rsid w:val="00DD69EF"/>
    <w:rsid w:val="00DD6A64"/>
    <w:rsid w:val="00DD6AC6"/>
    <w:rsid w:val="00DD6B93"/>
    <w:rsid w:val="00DD74BE"/>
    <w:rsid w:val="00DD7608"/>
    <w:rsid w:val="00DD768B"/>
    <w:rsid w:val="00DE135D"/>
    <w:rsid w:val="00DE1930"/>
    <w:rsid w:val="00DE198E"/>
    <w:rsid w:val="00DE5282"/>
    <w:rsid w:val="00DE60CF"/>
    <w:rsid w:val="00DE64EE"/>
    <w:rsid w:val="00DF033B"/>
    <w:rsid w:val="00DF06E2"/>
    <w:rsid w:val="00DF0F07"/>
    <w:rsid w:val="00DF1546"/>
    <w:rsid w:val="00DF24C0"/>
    <w:rsid w:val="00DF2B87"/>
    <w:rsid w:val="00DF6B25"/>
    <w:rsid w:val="00DF6BC6"/>
    <w:rsid w:val="00DF6BF7"/>
    <w:rsid w:val="00DF6F85"/>
    <w:rsid w:val="00DF7B81"/>
    <w:rsid w:val="00DF7BDE"/>
    <w:rsid w:val="00DF7D44"/>
    <w:rsid w:val="00E00D33"/>
    <w:rsid w:val="00E0141C"/>
    <w:rsid w:val="00E02902"/>
    <w:rsid w:val="00E0354F"/>
    <w:rsid w:val="00E03C83"/>
    <w:rsid w:val="00E04106"/>
    <w:rsid w:val="00E04522"/>
    <w:rsid w:val="00E04D77"/>
    <w:rsid w:val="00E052D9"/>
    <w:rsid w:val="00E053A8"/>
    <w:rsid w:val="00E0645F"/>
    <w:rsid w:val="00E074FD"/>
    <w:rsid w:val="00E07C46"/>
    <w:rsid w:val="00E07EB4"/>
    <w:rsid w:val="00E10776"/>
    <w:rsid w:val="00E10C34"/>
    <w:rsid w:val="00E1137F"/>
    <w:rsid w:val="00E115FD"/>
    <w:rsid w:val="00E11AC1"/>
    <w:rsid w:val="00E13628"/>
    <w:rsid w:val="00E13B34"/>
    <w:rsid w:val="00E13E6F"/>
    <w:rsid w:val="00E14054"/>
    <w:rsid w:val="00E14440"/>
    <w:rsid w:val="00E1522C"/>
    <w:rsid w:val="00E15975"/>
    <w:rsid w:val="00E15B18"/>
    <w:rsid w:val="00E16443"/>
    <w:rsid w:val="00E167E3"/>
    <w:rsid w:val="00E168AD"/>
    <w:rsid w:val="00E168DE"/>
    <w:rsid w:val="00E20913"/>
    <w:rsid w:val="00E22150"/>
    <w:rsid w:val="00E22238"/>
    <w:rsid w:val="00E22EB0"/>
    <w:rsid w:val="00E22F7C"/>
    <w:rsid w:val="00E2308A"/>
    <w:rsid w:val="00E23546"/>
    <w:rsid w:val="00E241F4"/>
    <w:rsid w:val="00E24C0A"/>
    <w:rsid w:val="00E24EA6"/>
    <w:rsid w:val="00E25922"/>
    <w:rsid w:val="00E26417"/>
    <w:rsid w:val="00E2641D"/>
    <w:rsid w:val="00E2652E"/>
    <w:rsid w:val="00E2695B"/>
    <w:rsid w:val="00E26C2B"/>
    <w:rsid w:val="00E270F9"/>
    <w:rsid w:val="00E27545"/>
    <w:rsid w:val="00E27E07"/>
    <w:rsid w:val="00E32E83"/>
    <w:rsid w:val="00E32E98"/>
    <w:rsid w:val="00E331CA"/>
    <w:rsid w:val="00E34213"/>
    <w:rsid w:val="00E34F57"/>
    <w:rsid w:val="00E35139"/>
    <w:rsid w:val="00E351F9"/>
    <w:rsid w:val="00E35F98"/>
    <w:rsid w:val="00E37FC0"/>
    <w:rsid w:val="00E409FB"/>
    <w:rsid w:val="00E4179E"/>
    <w:rsid w:val="00E429CD"/>
    <w:rsid w:val="00E43CEA"/>
    <w:rsid w:val="00E442B4"/>
    <w:rsid w:val="00E45726"/>
    <w:rsid w:val="00E466B8"/>
    <w:rsid w:val="00E4688C"/>
    <w:rsid w:val="00E472DD"/>
    <w:rsid w:val="00E51CE1"/>
    <w:rsid w:val="00E52653"/>
    <w:rsid w:val="00E546B8"/>
    <w:rsid w:val="00E55A1A"/>
    <w:rsid w:val="00E55B98"/>
    <w:rsid w:val="00E57C5C"/>
    <w:rsid w:val="00E57DEB"/>
    <w:rsid w:val="00E60B8E"/>
    <w:rsid w:val="00E613FA"/>
    <w:rsid w:val="00E6286C"/>
    <w:rsid w:val="00E62F83"/>
    <w:rsid w:val="00E67D8F"/>
    <w:rsid w:val="00E701A7"/>
    <w:rsid w:val="00E73617"/>
    <w:rsid w:val="00E73E72"/>
    <w:rsid w:val="00E73FB0"/>
    <w:rsid w:val="00E746F8"/>
    <w:rsid w:val="00E762F8"/>
    <w:rsid w:val="00E76397"/>
    <w:rsid w:val="00E76FCF"/>
    <w:rsid w:val="00E77C54"/>
    <w:rsid w:val="00E77F5B"/>
    <w:rsid w:val="00E80886"/>
    <w:rsid w:val="00E8152F"/>
    <w:rsid w:val="00E81A80"/>
    <w:rsid w:val="00E82281"/>
    <w:rsid w:val="00E83D04"/>
    <w:rsid w:val="00E83E63"/>
    <w:rsid w:val="00E84A08"/>
    <w:rsid w:val="00E858F3"/>
    <w:rsid w:val="00E85BB5"/>
    <w:rsid w:val="00E86439"/>
    <w:rsid w:val="00E87555"/>
    <w:rsid w:val="00E87839"/>
    <w:rsid w:val="00E9056F"/>
    <w:rsid w:val="00E905C4"/>
    <w:rsid w:val="00E905D8"/>
    <w:rsid w:val="00E915CE"/>
    <w:rsid w:val="00E91B52"/>
    <w:rsid w:val="00E91DE3"/>
    <w:rsid w:val="00E92118"/>
    <w:rsid w:val="00E93F1A"/>
    <w:rsid w:val="00E941D7"/>
    <w:rsid w:val="00E96FF0"/>
    <w:rsid w:val="00E972FA"/>
    <w:rsid w:val="00E97551"/>
    <w:rsid w:val="00E97C8B"/>
    <w:rsid w:val="00EA17D4"/>
    <w:rsid w:val="00EA1B87"/>
    <w:rsid w:val="00EA3B44"/>
    <w:rsid w:val="00EA43B7"/>
    <w:rsid w:val="00EA6A2B"/>
    <w:rsid w:val="00EA7D41"/>
    <w:rsid w:val="00EA7FBE"/>
    <w:rsid w:val="00EB08F2"/>
    <w:rsid w:val="00EB2D48"/>
    <w:rsid w:val="00EB43F9"/>
    <w:rsid w:val="00EB55F8"/>
    <w:rsid w:val="00EB59B4"/>
    <w:rsid w:val="00EB5E86"/>
    <w:rsid w:val="00EB5F9F"/>
    <w:rsid w:val="00EB644F"/>
    <w:rsid w:val="00EB70FC"/>
    <w:rsid w:val="00EB7284"/>
    <w:rsid w:val="00EC0A95"/>
    <w:rsid w:val="00EC11DA"/>
    <w:rsid w:val="00EC1931"/>
    <w:rsid w:val="00EC4703"/>
    <w:rsid w:val="00EC54B6"/>
    <w:rsid w:val="00EC559D"/>
    <w:rsid w:val="00EC5AAF"/>
    <w:rsid w:val="00EC5FD3"/>
    <w:rsid w:val="00EC673D"/>
    <w:rsid w:val="00EC6D6F"/>
    <w:rsid w:val="00EC711D"/>
    <w:rsid w:val="00EC7B82"/>
    <w:rsid w:val="00EC7FBB"/>
    <w:rsid w:val="00ED020B"/>
    <w:rsid w:val="00ED0671"/>
    <w:rsid w:val="00ED1787"/>
    <w:rsid w:val="00ED21B5"/>
    <w:rsid w:val="00ED4792"/>
    <w:rsid w:val="00ED4C15"/>
    <w:rsid w:val="00ED525C"/>
    <w:rsid w:val="00ED6898"/>
    <w:rsid w:val="00ED701D"/>
    <w:rsid w:val="00ED72D7"/>
    <w:rsid w:val="00ED7A4A"/>
    <w:rsid w:val="00EE018C"/>
    <w:rsid w:val="00EE0845"/>
    <w:rsid w:val="00EE1927"/>
    <w:rsid w:val="00EE2B1B"/>
    <w:rsid w:val="00EE371C"/>
    <w:rsid w:val="00EE5CFE"/>
    <w:rsid w:val="00EE5FF9"/>
    <w:rsid w:val="00EE650C"/>
    <w:rsid w:val="00EE6D79"/>
    <w:rsid w:val="00EE7141"/>
    <w:rsid w:val="00EF02B2"/>
    <w:rsid w:val="00EF0FF3"/>
    <w:rsid w:val="00EF10E0"/>
    <w:rsid w:val="00EF188C"/>
    <w:rsid w:val="00EF2068"/>
    <w:rsid w:val="00EF4903"/>
    <w:rsid w:val="00EF6784"/>
    <w:rsid w:val="00EF7D17"/>
    <w:rsid w:val="00EF7E21"/>
    <w:rsid w:val="00F00CDC"/>
    <w:rsid w:val="00F00F1D"/>
    <w:rsid w:val="00F0143E"/>
    <w:rsid w:val="00F0237C"/>
    <w:rsid w:val="00F027B3"/>
    <w:rsid w:val="00F03703"/>
    <w:rsid w:val="00F074AD"/>
    <w:rsid w:val="00F10535"/>
    <w:rsid w:val="00F11356"/>
    <w:rsid w:val="00F11A64"/>
    <w:rsid w:val="00F12DB9"/>
    <w:rsid w:val="00F131DB"/>
    <w:rsid w:val="00F13594"/>
    <w:rsid w:val="00F141E6"/>
    <w:rsid w:val="00F14671"/>
    <w:rsid w:val="00F15316"/>
    <w:rsid w:val="00F158D1"/>
    <w:rsid w:val="00F15B32"/>
    <w:rsid w:val="00F178A4"/>
    <w:rsid w:val="00F17F1D"/>
    <w:rsid w:val="00F20586"/>
    <w:rsid w:val="00F206D4"/>
    <w:rsid w:val="00F222DF"/>
    <w:rsid w:val="00F22467"/>
    <w:rsid w:val="00F231BD"/>
    <w:rsid w:val="00F23DD9"/>
    <w:rsid w:val="00F260A3"/>
    <w:rsid w:val="00F261EC"/>
    <w:rsid w:val="00F262BA"/>
    <w:rsid w:val="00F2641A"/>
    <w:rsid w:val="00F2664C"/>
    <w:rsid w:val="00F3048A"/>
    <w:rsid w:val="00F31089"/>
    <w:rsid w:val="00F31206"/>
    <w:rsid w:val="00F32BBD"/>
    <w:rsid w:val="00F3325F"/>
    <w:rsid w:val="00F33484"/>
    <w:rsid w:val="00F33BD8"/>
    <w:rsid w:val="00F34707"/>
    <w:rsid w:val="00F35E1B"/>
    <w:rsid w:val="00F40F9D"/>
    <w:rsid w:val="00F4187B"/>
    <w:rsid w:val="00F41EA7"/>
    <w:rsid w:val="00F42113"/>
    <w:rsid w:val="00F430B4"/>
    <w:rsid w:val="00F43638"/>
    <w:rsid w:val="00F442C0"/>
    <w:rsid w:val="00F44397"/>
    <w:rsid w:val="00F44F7E"/>
    <w:rsid w:val="00F46C43"/>
    <w:rsid w:val="00F46FCC"/>
    <w:rsid w:val="00F47E91"/>
    <w:rsid w:val="00F50B4E"/>
    <w:rsid w:val="00F51BC3"/>
    <w:rsid w:val="00F52112"/>
    <w:rsid w:val="00F52155"/>
    <w:rsid w:val="00F532F2"/>
    <w:rsid w:val="00F53325"/>
    <w:rsid w:val="00F54167"/>
    <w:rsid w:val="00F561BD"/>
    <w:rsid w:val="00F57003"/>
    <w:rsid w:val="00F57531"/>
    <w:rsid w:val="00F576B8"/>
    <w:rsid w:val="00F57B07"/>
    <w:rsid w:val="00F60D3C"/>
    <w:rsid w:val="00F6133D"/>
    <w:rsid w:val="00F62591"/>
    <w:rsid w:val="00F62F00"/>
    <w:rsid w:val="00F62F2D"/>
    <w:rsid w:val="00F64E48"/>
    <w:rsid w:val="00F6536D"/>
    <w:rsid w:val="00F65922"/>
    <w:rsid w:val="00F6626A"/>
    <w:rsid w:val="00F66B1D"/>
    <w:rsid w:val="00F7120D"/>
    <w:rsid w:val="00F715A9"/>
    <w:rsid w:val="00F71EAA"/>
    <w:rsid w:val="00F72913"/>
    <w:rsid w:val="00F73507"/>
    <w:rsid w:val="00F73ABF"/>
    <w:rsid w:val="00F74B0C"/>
    <w:rsid w:val="00F75AB7"/>
    <w:rsid w:val="00F765C7"/>
    <w:rsid w:val="00F768DE"/>
    <w:rsid w:val="00F77938"/>
    <w:rsid w:val="00F77AE2"/>
    <w:rsid w:val="00F77D40"/>
    <w:rsid w:val="00F77E11"/>
    <w:rsid w:val="00F819E5"/>
    <w:rsid w:val="00F820E4"/>
    <w:rsid w:val="00F82133"/>
    <w:rsid w:val="00F83002"/>
    <w:rsid w:val="00F83220"/>
    <w:rsid w:val="00F835BB"/>
    <w:rsid w:val="00F83CA0"/>
    <w:rsid w:val="00F84852"/>
    <w:rsid w:val="00F84C46"/>
    <w:rsid w:val="00F84E83"/>
    <w:rsid w:val="00F84EF8"/>
    <w:rsid w:val="00F91359"/>
    <w:rsid w:val="00F91D4D"/>
    <w:rsid w:val="00F9374A"/>
    <w:rsid w:val="00F93E4C"/>
    <w:rsid w:val="00F94037"/>
    <w:rsid w:val="00F94286"/>
    <w:rsid w:val="00F95DA2"/>
    <w:rsid w:val="00F95E52"/>
    <w:rsid w:val="00F96069"/>
    <w:rsid w:val="00F96344"/>
    <w:rsid w:val="00F96B3D"/>
    <w:rsid w:val="00F96D7B"/>
    <w:rsid w:val="00FA0053"/>
    <w:rsid w:val="00FA0279"/>
    <w:rsid w:val="00FA0855"/>
    <w:rsid w:val="00FA1409"/>
    <w:rsid w:val="00FA14DA"/>
    <w:rsid w:val="00FA1FD0"/>
    <w:rsid w:val="00FA2429"/>
    <w:rsid w:val="00FA26EF"/>
    <w:rsid w:val="00FA28C0"/>
    <w:rsid w:val="00FA333C"/>
    <w:rsid w:val="00FA38B7"/>
    <w:rsid w:val="00FA3AEA"/>
    <w:rsid w:val="00FA41F4"/>
    <w:rsid w:val="00FA4217"/>
    <w:rsid w:val="00FA44A3"/>
    <w:rsid w:val="00FA7741"/>
    <w:rsid w:val="00FB08E2"/>
    <w:rsid w:val="00FB0CF5"/>
    <w:rsid w:val="00FB11AA"/>
    <w:rsid w:val="00FB12EE"/>
    <w:rsid w:val="00FB13D7"/>
    <w:rsid w:val="00FB1A78"/>
    <w:rsid w:val="00FB2496"/>
    <w:rsid w:val="00FB2F6D"/>
    <w:rsid w:val="00FB3117"/>
    <w:rsid w:val="00FB3E76"/>
    <w:rsid w:val="00FB433F"/>
    <w:rsid w:val="00FB4437"/>
    <w:rsid w:val="00FB5C48"/>
    <w:rsid w:val="00FB6616"/>
    <w:rsid w:val="00FB7254"/>
    <w:rsid w:val="00FC0EE5"/>
    <w:rsid w:val="00FC302C"/>
    <w:rsid w:val="00FC46F0"/>
    <w:rsid w:val="00FC4948"/>
    <w:rsid w:val="00FC52B3"/>
    <w:rsid w:val="00FC53C5"/>
    <w:rsid w:val="00FC5AC1"/>
    <w:rsid w:val="00FC5C52"/>
    <w:rsid w:val="00FC64AE"/>
    <w:rsid w:val="00FC7950"/>
    <w:rsid w:val="00FC7ECC"/>
    <w:rsid w:val="00FD0579"/>
    <w:rsid w:val="00FD24BD"/>
    <w:rsid w:val="00FD2A55"/>
    <w:rsid w:val="00FD2AF9"/>
    <w:rsid w:val="00FD2CCC"/>
    <w:rsid w:val="00FD325E"/>
    <w:rsid w:val="00FD3925"/>
    <w:rsid w:val="00FD4EBE"/>
    <w:rsid w:val="00FD6777"/>
    <w:rsid w:val="00FD78A5"/>
    <w:rsid w:val="00FD7973"/>
    <w:rsid w:val="00FE11FB"/>
    <w:rsid w:val="00FE183C"/>
    <w:rsid w:val="00FE3302"/>
    <w:rsid w:val="00FE402D"/>
    <w:rsid w:val="00FE44F1"/>
    <w:rsid w:val="00FE5640"/>
    <w:rsid w:val="00FE5C66"/>
    <w:rsid w:val="00FE6D0E"/>
    <w:rsid w:val="00FE7606"/>
    <w:rsid w:val="00FE76A9"/>
    <w:rsid w:val="00FF006D"/>
    <w:rsid w:val="00FF09B2"/>
    <w:rsid w:val="00FF0AD3"/>
    <w:rsid w:val="00FF109F"/>
    <w:rsid w:val="00FF182F"/>
    <w:rsid w:val="00FF276B"/>
    <w:rsid w:val="00FF3963"/>
    <w:rsid w:val="00FF4242"/>
    <w:rsid w:val="00FF456A"/>
    <w:rsid w:val="00FF4988"/>
    <w:rsid w:val="01DE186A"/>
    <w:rsid w:val="023E4112"/>
    <w:rsid w:val="02C71989"/>
    <w:rsid w:val="03045209"/>
    <w:rsid w:val="0371479B"/>
    <w:rsid w:val="047A70C5"/>
    <w:rsid w:val="063D63C7"/>
    <w:rsid w:val="065839E1"/>
    <w:rsid w:val="06941029"/>
    <w:rsid w:val="07B90CB8"/>
    <w:rsid w:val="07DD41B7"/>
    <w:rsid w:val="089B24D3"/>
    <w:rsid w:val="08EE4C25"/>
    <w:rsid w:val="0A314B36"/>
    <w:rsid w:val="0B6B051B"/>
    <w:rsid w:val="0B761B69"/>
    <w:rsid w:val="0CB1205F"/>
    <w:rsid w:val="0F331454"/>
    <w:rsid w:val="0F772D10"/>
    <w:rsid w:val="0F84547A"/>
    <w:rsid w:val="0FB85646"/>
    <w:rsid w:val="11586EB5"/>
    <w:rsid w:val="11C31679"/>
    <w:rsid w:val="1253006B"/>
    <w:rsid w:val="12D27977"/>
    <w:rsid w:val="14351252"/>
    <w:rsid w:val="1485151A"/>
    <w:rsid w:val="153A6355"/>
    <w:rsid w:val="156F66A9"/>
    <w:rsid w:val="160A7A16"/>
    <w:rsid w:val="160F5857"/>
    <w:rsid w:val="16E925CC"/>
    <w:rsid w:val="171001C9"/>
    <w:rsid w:val="18014F06"/>
    <w:rsid w:val="186E3DEC"/>
    <w:rsid w:val="19DE5E98"/>
    <w:rsid w:val="1A291619"/>
    <w:rsid w:val="1A324575"/>
    <w:rsid w:val="1A3954DF"/>
    <w:rsid w:val="1A3B37AF"/>
    <w:rsid w:val="1ADA2FC8"/>
    <w:rsid w:val="1B81318F"/>
    <w:rsid w:val="1C0F11F5"/>
    <w:rsid w:val="1CC82D24"/>
    <w:rsid w:val="1E083917"/>
    <w:rsid w:val="1E5F2028"/>
    <w:rsid w:val="1F46704B"/>
    <w:rsid w:val="1FDE0617"/>
    <w:rsid w:val="215223DC"/>
    <w:rsid w:val="23693F7B"/>
    <w:rsid w:val="24443600"/>
    <w:rsid w:val="24736C22"/>
    <w:rsid w:val="24872590"/>
    <w:rsid w:val="25353A77"/>
    <w:rsid w:val="25AA0807"/>
    <w:rsid w:val="26D92385"/>
    <w:rsid w:val="27D80BC8"/>
    <w:rsid w:val="28EE0280"/>
    <w:rsid w:val="290C261D"/>
    <w:rsid w:val="29775CE3"/>
    <w:rsid w:val="297938D5"/>
    <w:rsid w:val="29E44FE5"/>
    <w:rsid w:val="2A630864"/>
    <w:rsid w:val="2B902AA2"/>
    <w:rsid w:val="2C550700"/>
    <w:rsid w:val="2D473C16"/>
    <w:rsid w:val="2DAA682A"/>
    <w:rsid w:val="2E026666"/>
    <w:rsid w:val="2F2360ED"/>
    <w:rsid w:val="2F644056"/>
    <w:rsid w:val="31451AEC"/>
    <w:rsid w:val="31550713"/>
    <w:rsid w:val="315F3705"/>
    <w:rsid w:val="33663C98"/>
    <w:rsid w:val="33865643"/>
    <w:rsid w:val="353F477B"/>
    <w:rsid w:val="355239D0"/>
    <w:rsid w:val="355F7EFA"/>
    <w:rsid w:val="35B27BDA"/>
    <w:rsid w:val="35F26FC0"/>
    <w:rsid w:val="370F712A"/>
    <w:rsid w:val="371E68A4"/>
    <w:rsid w:val="3731277B"/>
    <w:rsid w:val="37A34A15"/>
    <w:rsid w:val="37D069B2"/>
    <w:rsid w:val="38D856E0"/>
    <w:rsid w:val="39B447F7"/>
    <w:rsid w:val="39E94780"/>
    <w:rsid w:val="3AE17C45"/>
    <w:rsid w:val="3B0A5C93"/>
    <w:rsid w:val="3B357927"/>
    <w:rsid w:val="3BCA7F9E"/>
    <w:rsid w:val="3C5E715D"/>
    <w:rsid w:val="3CCA511A"/>
    <w:rsid w:val="3DB8396D"/>
    <w:rsid w:val="3DC2371B"/>
    <w:rsid w:val="3E463B01"/>
    <w:rsid w:val="3E686222"/>
    <w:rsid w:val="3E6B3DB3"/>
    <w:rsid w:val="40291CE7"/>
    <w:rsid w:val="403126EF"/>
    <w:rsid w:val="40D514AA"/>
    <w:rsid w:val="41035F24"/>
    <w:rsid w:val="41781697"/>
    <w:rsid w:val="41D52A9F"/>
    <w:rsid w:val="41EB6154"/>
    <w:rsid w:val="42682880"/>
    <w:rsid w:val="430622FC"/>
    <w:rsid w:val="43DC4DEE"/>
    <w:rsid w:val="44A22F46"/>
    <w:rsid w:val="460F004B"/>
    <w:rsid w:val="462431C5"/>
    <w:rsid w:val="4662784A"/>
    <w:rsid w:val="47975850"/>
    <w:rsid w:val="482B06C4"/>
    <w:rsid w:val="486E0728"/>
    <w:rsid w:val="48C15F14"/>
    <w:rsid w:val="49A61989"/>
    <w:rsid w:val="4A0871BF"/>
    <w:rsid w:val="4A4D25BF"/>
    <w:rsid w:val="4A8C758B"/>
    <w:rsid w:val="4A92686A"/>
    <w:rsid w:val="4AAC4D70"/>
    <w:rsid w:val="4B207C06"/>
    <w:rsid w:val="4C2B1E03"/>
    <w:rsid w:val="4DE1374A"/>
    <w:rsid w:val="4DE62ABF"/>
    <w:rsid w:val="4E047438"/>
    <w:rsid w:val="4E485F12"/>
    <w:rsid w:val="4E715161"/>
    <w:rsid w:val="4EE549D1"/>
    <w:rsid w:val="4F3F514D"/>
    <w:rsid w:val="50AC44E3"/>
    <w:rsid w:val="52BD2DAB"/>
    <w:rsid w:val="53535A84"/>
    <w:rsid w:val="553E76D4"/>
    <w:rsid w:val="55587248"/>
    <w:rsid w:val="556E16E1"/>
    <w:rsid w:val="5589015C"/>
    <w:rsid w:val="55E72511"/>
    <w:rsid w:val="55F04E72"/>
    <w:rsid w:val="570023D8"/>
    <w:rsid w:val="58807A07"/>
    <w:rsid w:val="58F72414"/>
    <w:rsid w:val="59EB1348"/>
    <w:rsid w:val="5A210E68"/>
    <w:rsid w:val="5A7F4A16"/>
    <w:rsid w:val="5AB318AB"/>
    <w:rsid w:val="5B0B37C7"/>
    <w:rsid w:val="5B561011"/>
    <w:rsid w:val="5BFE4F6F"/>
    <w:rsid w:val="5C470B14"/>
    <w:rsid w:val="5D7E6CC5"/>
    <w:rsid w:val="5D987D1F"/>
    <w:rsid w:val="5F661190"/>
    <w:rsid w:val="5F7A1677"/>
    <w:rsid w:val="5F830548"/>
    <w:rsid w:val="5FB46FD8"/>
    <w:rsid w:val="60053598"/>
    <w:rsid w:val="60D13AF2"/>
    <w:rsid w:val="61750921"/>
    <w:rsid w:val="618959E0"/>
    <w:rsid w:val="62A523B5"/>
    <w:rsid w:val="63BC21A1"/>
    <w:rsid w:val="63CA5184"/>
    <w:rsid w:val="63CF5448"/>
    <w:rsid w:val="64382C08"/>
    <w:rsid w:val="654B3B1C"/>
    <w:rsid w:val="654F4FE5"/>
    <w:rsid w:val="65625A72"/>
    <w:rsid w:val="67954DD4"/>
    <w:rsid w:val="68752FB5"/>
    <w:rsid w:val="68E72104"/>
    <w:rsid w:val="697A45A5"/>
    <w:rsid w:val="69863A6C"/>
    <w:rsid w:val="6B69514F"/>
    <w:rsid w:val="6CB15744"/>
    <w:rsid w:val="6DBC348E"/>
    <w:rsid w:val="6EA43E5B"/>
    <w:rsid w:val="704F580E"/>
    <w:rsid w:val="70721139"/>
    <w:rsid w:val="729A7EE0"/>
    <w:rsid w:val="72F17489"/>
    <w:rsid w:val="73F50C13"/>
    <w:rsid w:val="747B75DF"/>
    <w:rsid w:val="749E2EDC"/>
    <w:rsid w:val="74B166FF"/>
    <w:rsid w:val="74CB0B2C"/>
    <w:rsid w:val="75344537"/>
    <w:rsid w:val="755F68D4"/>
    <w:rsid w:val="758A243F"/>
    <w:rsid w:val="75E3063D"/>
    <w:rsid w:val="76820CE6"/>
    <w:rsid w:val="77480F0E"/>
    <w:rsid w:val="78020E99"/>
    <w:rsid w:val="7859249A"/>
    <w:rsid w:val="78B23DAF"/>
    <w:rsid w:val="78E712E4"/>
    <w:rsid w:val="79F6566B"/>
    <w:rsid w:val="7B205002"/>
    <w:rsid w:val="7B9E24FB"/>
    <w:rsid w:val="7BA60CBF"/>
    <w:rsid w:val="7C5A6E3E"/>
    <w:rsid w:val="7D1709BA"/>
    <w:rsid w:val="7DBA15DB"/>
    <w:rsid w:val="7FE424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4"/>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6" w:lineRule="auto"/>
      <w:ind w:left="992" w:hanging="141"/>
      <w:jc w:val="both"/>
      <w:outlineLvl w:val="2"/>
    </w:pPr>
    <w:rPr>
      <w:rFonts w:ascii="Times New Roman" w:hAnsi="Times New Roman" w:eastAsia="宋体" w:cs="Times New Roman"/>
      <w:b/>
      <w:bCs/>
      <w:kern w:val="2"/>
      <w:sz w:val="32"/>
      <w:szCs w:val="32"/>
    </w:rPr>
  </w:style>
  <w:style w:type="paragraph" w:styleId="6">
    <w:name w:val="heading 4"/>
    <w:basedOn w:val="1"/>
    <w:next w:val="1"/>
    <w:qFormat/>
    <w:uiPriority w:val="0"/>
    <w:pPr>
      <w:keepNext/>
      <w:keepLines/>
      <w:widowControl w:val="0"/>
      <w:spacing w:before="280" w:after="290" w:line="376" w:lineRule="auto"/>
      <w:ind w:left="1276"/>
      <w:jc w:val="both"/>
      <w:outlineLvl w:val="3"/>
    </w:pPr>
    <w:rPr>
      <w:rFonts w:ascii="Arial" w:hAnsi="Arial" w:eastAsia="黑体" w:cs="Times New Roman"/>
      <w:b/>
      <w:bCs/>
      <w:kern w:val="2"/>
      <w:sz w:val="28"/>
      <w:szCs w:val="28"/>
    </w:rPr>
  </w:style>
  <w:style w:type="paragraph" w:styleId="7">
    <w:name w:val="heading 5"/>
    <w:basedOn w:val="1"/>
    <w:next w:val="8"/>
    <w:qFormat/>
    <w:uiPriority w:val="0"/>
    <w:pPr>
      <w:keepNext/>
      <w:keepLines/>
      <w:widowControl w:val="0"/>
      <w:tabs>
        <w:tab w:val="left" w:pos="2580"/>
      </w:tabs>
      <w:spacing w:before="280" w:after="290" w:line="376" w:lineRule="auto"/>
      <w:ind w:left="2580" w:hanging="420"/>
      <w:jc w:val="both"/>
      <w:outlineLvl w:val="4"/>
    </w:pPr>
    <w:rPr>
      <w:rFonts w:ascii="Times New Roman" w:hAnsi="Times New Roman" w:eastAsia="宋体" w:cs="Times New Roman"/>
      <w:b/>
      <w:kern w:val="2"/>
      <w:sz w:val="28"/>
      <w:szCs w:val="20"/>
    </w:rPr>
  </w:style>
  <w:style w:type="paragraph" w:styleId="9">
    <w:name w:val="heading 6"/>
    <w:basedOn w:val="1"/>
    <w:next w:val="8"/>
    <w:qFormat/>
    <w:uiPriority w:val="0"/>
    <w:pPr>
      <w:keepNext/>
      <w:widowControl w:val="0"/>
      <w:tabs>
        <w:tab w:val="left" w:pos="2157"/>
      </w:tabs>
      <w:spacing w:line="440" w:lineRule="exact"/>
      <w:ind w:left="1437" w:hanging="720"/>
      <w:jc w:val="both"/>
      <w:outlineLvl w:val="5"/>
    </w:pPr>
    <w:rPr>
      <w:rFonts w:ascii="Times New Roman" w:hAnsi="Times New Roman" w:eastAsia="宋体" w:cs="Times New Roman"/>
      <w:kern w:val="2"/>
      <w:sz w:val="28"/>
      <w:szCs w:val="20"/>
    </w:rPr>
  </w:style>
  <w:style w:type="paragraph" w:styleId="10">
    <w:name w:val="heading 7"/>
    <w:basedOn w:val="1"/>
    <w:next w:val="1"/>
    <w:qFormat/>
    <w:uiPriority w:val="0"/>
    <w:pPr>
      <w:keepNext/>
      <w:keepLines/>
      <w:widowControl w:val="0"/>
      <w:spacing w:before="240" w:after="64" w:line="320" w:lineRule="auto"/>
      <w:jc w:val="both"/>
      <w:outlineLvl w:val="6"/>
    </w:pPr>
    <w:rPr>
      <w:rFonts w:ascii="Times New Roman" w:hAnsi="Times New Roman" w:eastAsia="宋体" w:cs="Times New Roman"/>
      <w:b/>
      <w:bCs/>
      <w:kern w:val="2"/>
    </w:rPr>
  </w:style>
  <w:style w:type="paragraph" w:styleId="11">
    <w:name w:val="heading 8"/>
    <w:basedOn w:val="1"/>
    <w:next w:val="8"/>
    <w:qFormat/>
    <w:uiPriority w:val="0"/>
    <w:pPr>
      <w:keepNext/>
      <w:keepLines/>
      <w:widowControl w:val="0"/>
      <w:tabs>
        <w:tab w:val="left" w:pos="3840"/>
      </w:tabs>
      <w:spacing w:before="240" w:after="64" w:line="320" w:lineRule="auto"/>
      <w:ind w:left="3840" w:hanging="420"/>
      <w:jc w:val="both"/>
      <w:outlineLvl w:val="7"/>
    </w:pPr>
    <w:rPr>
      <w:rFonts w:ascii="Arial" w:hAnsi="Arial" w:eastAsia="黑体" w:cs="Times New Roman"/>
      <w:kern w:val="2"/>
      <w:szCs w:val="20"/>
    </w:rPr>
  </w:style>
  <w:style w:type="paragraph" w:styleId="12">
    <w:name w:val="heading 9"/>
    <w:basedOn w:val="1"/>
    <w:next w:val="8"/>
    <w:qFormat/>
    <w:uiPriority w:val="0"/>
    <w:pPr>
      <w:keepNext/>
      <w:keepLines/>
      <w:widowControl w:val="0"/>
      <w:tabs>
        <w:tab w:val="left" w:pos="4260"/>
      </w:tabs>
      <w:spacing w:before="240" w:after="64" w:line="320" w:lineRule="auto"/>
      <w:ind w:left="4260" w:hanging="420"/>
      <w:jc w:val="both"/>
      <w:outlineLvl w:val="8"/>
    </w:pPr>
    <w:rPr>
      <w:rFonts w:ascii="Arial" w:hAnsi="Arial" w:eastAsia="黑体" w:cs="Times New Roman"/>
      <w:kern w:val="2"/>
      <w:sz w:val="21"/>
      <w:szCs w:val="20"/>
    </w:rPr>
  </w:style>
  <w:style w:type="character" w:default="1" w:styleId="47">
    <w:name w:val="Default Paragraph Font"/>
    <w:qFormat/>
    <w:uiPriority w:val="0"/>
    <w:rPr>
      <w:rFonts w:ascii="Times New Roman" w:hAnsi="Times New Roman" w:eastAsia="宋体" w:cs="Times New Roman"/>
    </w:rPr>
  </w:style>
  <w:style w:type="table" w:default="1" w:styleId="4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Title"/>
    <w:basedOn w:val="1"/>
    <w:next w:val="1"/>
    <w:qFormat/>
    <w:uiPriority w:val="0"/>
    <w:pPr>
      <w:widowControl w:val="0"/>
      <w:spacing w:before="240" w:after="60"/>
      <w:jc w:val="center"/>
      <w:outlineLvl w:val="0"/>
    </w:pPr>
    <w:rPr>
      <w:rFonts w:ascii="Arial" w:hAnsi="Arial" w:cs="Arial"/>
      <w:sz w:val="32"/>
      <w:szCs w:val="32"/>
    </w:rPr>
  </w:style>
  <w:style w:type="paragraph" w:styleId="8">
    <w:name w:val="Normal Indent"/>
    <w:basedOn w:val="1"/>
    <w:link w:val="56"/>
    <w:qFormat/>
    <w:uiPriority w:val="0"/>
    <w:pPr>
      <w:widowControl w:val="0"/>
      <w:spacing w:line="360" w:lineRule="auto"/>
      <w:ind w:firstLine="200" w:firstLineChars="200"/>
    </w:pPr>
    <w:rPr>
      <w:kern w:val="2"/>
      <w:sz w:val="21"/>
      <w:szCs w:val="20"/>
    </w:rPr>
  </w:style>
  <w:style w:type="paragraph" w:styleId="13">
    <w:name w:val="toc 7"/>
    <w:basedOn w:val="1"/>
    <w:next w:val="1"/>
    <w:unhideWhenUsed/>
    <w:qFormat/>
    <w:uiPriority w:val="39"/>
    <w:pPr>
      <w:ind w:left="1440"/>
    </w:pPr>
    <w:rPr>
      <w:rFonts w:ascii="等线" w:eastAsia="等线"/>
      <w:sz w:val="18"/>
      <w:szCs w:val="18"/>
    </w:rPr>
  </w:style>
  <w:style w:type="paragraph" w:styleId="14">
    <w:name w:val="List Number"/>
    <w:basedOn w:val="1"/>
    <w:qFormat/>
    <w:uiPriority w:val="0"/>
    <w:pPr>
      <w:numPr>
        <w:ilvl w:val="0"/>
        <w:numId w:val="1"/>
      </w:numPr>
      <w:contextualSpacing/>
    </w:pPr>
    <w:rPr>
      <w:rFonts w:ascii="Times New Roman" w:hAnsi="Times New Roman" w:eastAsia="宋体" w:cs="Times New Roman"/>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rPr>
      <w:rFonts w:ascii="Times New Roman" w:hAnsi="Times New Roman" w:eastAsia="宋体" w:cs="Times New Roman"/>
    </w:rPr>
  </w:style>
  <w:style w:type="paragraph" w:styleId="17">
    <w:name w:val="annotation text"/>
    <w:basedOn w:val="1"/>
    <w:link w:val="57"/>
    <w:qFormat/>
    <w:uiPriority w:val="0"/>
    <w:pPr>
      <w:widowControl w:val="0"/>
    </w:pPr>
    <w:rPr>
      <w:kern w:val="2"/>
      <w:sz w:val="21"/>
    </w:rPr>
  </w:style>
  <w:style w:type="paragraph" w:styleId="18">
    <w:name w:val="index 6"/>
    <w:next w:val="1"/>
    <w:qFormat/>
    <w:uiPriority w:val="0"/>
    <w:pPr>
      <w:jc w:val="both"/>
    </w:pPr>
    <w:rPr>
      <w:rFonts w:ascii="Times New Roman" w:hAnsi="Times New Roman" w:eastAsia="宋体" w:cs="Times New Roman"/>
      <w:sz w:val="21"/>
      <w:szCs w:val="24"/>
      <w:lang w:val="en-US" w:eastAsia="zh-CN" w:bidi="ar-SA"/>
    </w:rPr>
  </w:style>
  <w:style w:type="paragraph" w:styleId="19">
    <w:name w:val="Body Text 3"/>
    <w:basedOn w:val="1"/>
    <w:qFormat/>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styleId="20">
    <w:name w:val="Body Text"/>
    <w:basedOn w:val="1"/>
    <w:qFormat/>
    <w:uiPriority w:val="0"/>
    <w:pPr>
      <w:widowControl w:val="0"/>
      <w:jc w:val="both"/>
    </w:pPr>
    <w:rPr>
      <w:rFonts w:ascii="Times New Roman" w:hAnsi="Times New Roman" w:eastAsia="宋体" w:cs="Times New Roman"/>
      <w:kern w:val="2"/>
      <w:sz w:val="28"/>
    </w:rPr>
  </w:style>
  <w:style w:type="paragraph" w:styleId="21">
    <w:name w:val="Body Text Indent"/>
    <w:basedOn w:val="1"/>
    <w:qFormat/>
    <w:uiPriority w:val="0"/>
    <w:pPr>
      <w:spacing w:line="440" w:lineRule="exact"/>
      <w:ind w:firstLine="480" w:firstLineChars="200"/>
      <w:jc w:val="both"/>
    </w:pPr>
    <w:rPr>
      <w:rFonts w:ascii="Times New Roman" w:hAnsi="Times New Roman" w:eastAsia="仿宋_GB2312" w:cs="Times New Roman"/>
    </w:rPr>
  </w:style>
  <w:style w:type="paragraph" w:styleId="22">
    <w:name w:val="List 2"/>
    <w:basedOn w:val="1"/>
    <w:qFormat/>
    <w:uiPriority w:val="0"/>
    <w:pPr>
      <w:ind w:left="100" w:leftChars="200" w:hanging="200" w:hangingChars="200"/>
    </w:pPr>
    <w:rPr>
      <w:rFonts w:ascii="Times New Roman" w:hAnsi="Times New Roman" w:eastAsia="宋体" w:cs="Times New Roman"/>
    </w:rPr>
  </w:style>
  <w:style w:type="paragraph" w:styleId="23">
    <w:name w:val="toc 5"/>
    <w:basedOn w:val="1"/>
    <w:next w:val="1"/>
    <w:unhideWhenUsed/>
    <w:qFormat/>
    <w:uiPriority w:val="39"/>
    <w:pPr>
      <w:ind w:left="960"/>
    </w:pPr>
    <w:rPr>
      <w:rFonts w:ascii="等线" w:eastAsia="等线"/>
      <w:sz w:val="18"/>
      <w:szCs w:val="18"/>
    </w:rPr>
  </w:style>
  <w:style w:type="paragraph" w:styleId="24">
    <w:name w:val="toc 3"/>
    <w:basedOn w:val="1"/>
    <w:next w:val="1"/>
    <w:qFormat/>
    <w:uiPriority w:val="0"/>
    <w:pPr>
      <w:ind w:left="480"/>
    </w:pPr>
    <w:rPr>
      <w:rFonts w:ascii="等线" w:eastAsia="等线"/>
      <w:i/>
      <w:iCs/>
      <w:sz w:val="20"/>
      <w:szCs w:val="20"/>
    </w:rPr>
  </w:style>
  <w:style w:type="paragraph" w:styleId="25">
    <w:name w:val="Plain Text"/>
    <w:basedOn w:val="1"/>
    <w:next w:val="1"/>
    <w:link w:val="58"/>
    <w:qFormat/>
    <w:uiPriority w:val="99"/>
    <w:pPr>
      <w:spacing w:before="100" w:beforeAutospacing="1" w:after="100" w:afterAutospacing="1"/>
    </w:pPr>
    <w:rPr>
      <w:rFonts w:ascii="宋体" w:hAnsi="宋体"/>
    </w:rPr>
  </w:style>
  <w:style w:type="paragraph" w:styleId="26">
    <w:name w:val="toc 8"/>
    <w:basedOn w:val="1"/>
    <w:next w:val="1"/>
    <w:unhideWhenUsed/>
    <w:qFormat/>
    <w:uiPriority w:val="39"/>
    <w:pPr>
      <w:ind w:left="1680"/>
    </w:pPr>
    <w:rPr>
      <w:rFonts w:ascii="等线" w:eastAsia="等线"/>
      <w:sz w:val="18"/>
      <w:szCs w:val="18"/>
    </w:rPr>
  </w:style>
  <w:style w:type="paragraph" w:styleId="27">
    <w:name w:val="Date"/>
    <w:basedOn w:val="1"/>
    <w:next w:val="1"/>
    <w:qFormat/>
    <w:uiPriority w:val="0"/>
    <w:pPr>
      <w:widowControl w:val="0"/>
      <w:ind w:left="100" w:leftChars="2500"/>
      <w:jc w:val="both"/>
    </w:pPr>
    <w:rPr>
      <w:rFonts w:ascii="Times New Roman" w:hAnsi="Times New Roman" w:eastAsia="宋体" w:cs="Times New Roman"/>
      <w:kern w:val="2"/>
      <w:sz w:val="21"/>
    </w:rPr>
  </w:style>
  <w:style w:type="paragraph" w:styleId="28">
    <w:name w:val="Body Text Indent 2"/>
    <w:basedOn w:val="1"/>
    <w:qFormat/>
    <w:uiPriority w:val="0"/>
    <w:pPr>
      <w:ind w:firstLine="435"/>
    </w:pPr>
    <w:rPr>
      <w:rFonts w:ascii="仿宋_GB2312" w:hAnsi="Times New Roman" w:eastAsia="仿宋_GB2312" w:cs="Times New Roman"/>
    </w:rPr>
  </w:style>
  <w:style w:type="paragraph" w:styleId="29">
    <w:name w:val="Balloon Text"/>
    <w:basedOn w:val="1"/>
    <w:qFormat/>
    <w:uiPriority w:val="0"/>
    <w:rPr>
      <w:rFonts w:ascii="Times New Roman" w:hAnsi="Times New Roman" w:eastAsia="宋体" w:cs="Times New Roman"/>
      <w:sz w:val="18"/>
      <w:szCs w:val="18"/>
    </w:rPr>
  </w:style>
  <w:style w:type="paragraph" w:styleId="30">
    <w:name w:val="footer"/>
    <w:basedOn w:val="1"/>
    <w:link w:val="59"/>
    <w:qFormat/>
    <w:uiPriority w:val="0"/>
    <w:pPr>
      <w:tabs>
        <w:tab w:val="center" w:pos="4153"/>
        <w:tab w:val="right" w:pos="8306"/>
      </w:tabs>
      <w:snapToGrid w:val="0"/>
    </w:pPr>
    <w:rPr>
      <w:sz w:val="18"/>
      <w:szCs w:val="18"/>
    </w:rPr>
  </w:style>
  <w:style w:type="paragraph" w:styleId="31">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pPr>
    <w:rPr>
      <w:rFonts w:ascii="等线" w:eastAsia="等线"/>
      <w:b/>
      <w:bCs/>
      <w:caps/>
      <w:sz w:val="20"/>
      <w:szCs w:val="20"/>
    </w:rPr>
  </w:style>
  <w:style w:type="paragraph" w:styleId="33">
    <w:name w:val="toc 4"/>
    <w:basedOn w:val="1"/>
    <w:next w:val="1"/>
    <w:unhideWhenUsed/>
    <w:qFormat/>
    <w:uiPriority w:val="39"/>
    <w:pPr>
      <w:ind w:left="720"/>
    </w:pPr>
    <w:rPr>
      <w:rFonts w:ascii="等线" w:eastAsia="等线"/>
      <w:sz w:val="18"/>
      <w:szCs w:val="18"/>
    </w:rPr>
  </w:style>
  <w:style w:type="paragraph" w:styleId="34">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35">
    <w:name w:val="List"/>
    <w:basedOn w:val="1"/>
    <w:qFormat/>
    <w:uiPriority w:val="0"/>
    <w:pPr>
      <w:ind w:left="200" w:hanging="200" w:hangingChars="200"/>
    </w:pPr>
    <w:rPr>
      <w:rFonts w:ascii="Times New Roman" w:hAnsi="Times New Roman" w:eastAsia="宋体" w:cs="Times New Roman"/>
    </w:rPr>
  </w:style>
  <w:style w:type="paragraph" w:styleId="36">
    <w:name w:val="toc 6"/>
    <w:basedOn w:val="1"/>
    <w:next w:val="1"/>
    <w:unhideWhenUsed/>
    <w:qFormat/>
    <w:uiPriority w:val="39"/>
    <w:pPr>
      <w:ind w:left="1200"/>
    </w:pPr>
    <w:rPr>
      <w:rFonts w:ascii="等线" w:eastAsia="等线"/>
      <w:sz w:val="18"/>
      <w:szCs w:val="18"/>
    </w:rPr>
  </w:style>
  <w:style w:type="paragraph" w:styleId="37">
    <w:name w:val="Body Text Indent 3"/>
    <w:basedOn w:val="1"/>
    <w:qFormat/>
    <w:uiPriority w:val="0"/>
    <w:pPr>
      <w:ind w:firstLine="540" w:firstLineChars="225"/>
      <w:jc w:val="both"/>
    </w:pPr>
    <w:rPr>
      <w:rFonts w:ascii="仿宋_GB2312" w:hAnsi="Times New Roman" w:eastAsia="仿宋_GB2312" w:cs="Times New Roman"/>
      <w:szCs w:val="14"/>
    </w:rPr>
  </w:style>
  <w:style w:type="paragraph" w:styleId="38">
    <w:name w:val="toc 2"/>
    <w:basedOn w:val="1"/>
    <w:next w:val="1"/>
    <w:qFormat/>
    <w:uiPriority w:val="39"/>
    <w:pPr>
      <w:ind w:left="240"/>
    </w:pPr>
    <w:rPr>
      <w:rFonts w:ascii="等线" w:eastAsia="等线"/>
      <w:smallCaps/>
      <w:sz w:val="20"/>
      <w:szCs w:val="20"/>
    </w:rPr>
  </w:style>
  <w:style w:type="paragraph" w:styleId="39">
    <w:name w:val="toc 9"/>
    <w:basedOn w:val="1"/>
    <w:next w:val="1"/>
    <w:unhideWhenUsed/>
    <w:qFormat/>
    <w:uiPriority w:val="39"/>
    <w:pPr>
      <w:ind w:left="1920"/>
    </w:pPr>
    <w:rPr>
      <w:rFonts w:ascii="等线" w:eastAsia="等线"/>
      <w:sz w:val="18"/>
      <w:szCs w:val="18"/>
    </w:rPr>
  </w:style>
  <w:style w:type="paragraph" w:styleId="40">
    <w:name w:val="Body Text 2"/>
    <w:basedOn w:val="1"/>
    <w:qFormat/>
    <w:uiPriority w:val="0"/>
    <w:pPr>
      <w:spacing w:line="360" w:lineRule="exact"/>
      <w:jc w:val="both"/>
    </w:pPr>
    <w:rPr>
      <w:rFonts w:ascii="仿宋_GB2312" w:hAnsi="Times New Roman" w:eastAsia="仿宋_GB2312" w:cs="Times New Roman"/>
    </w:rPr>
  </w:style>
  <w:style w:type="paragraph" w:styleId="41">
    <w:name w:val="Normal (Web)"/>
    <w:basedOn w:val="1"/>
    <w:qFormat/>
    <w:uiPriority w:val="99"/>
    <w:pPr>
      <w:spacing w:before="100" w:beforeAutospacing="1" w:after="100" w:afterAutospacing="1"/>
    </w:pPr>
    <w:rPr>
      <w:rFonts w:hint="eastAsia" w:ascii="宋体" w:hAnsi="宋体" w:eastAsia="宋体" w:cs="Times New Roman"/>
    </w:rPr>
  </w:style>
  <w:style w:type="paragraph" w:styleId="42">
    <w:name w:val="annotation subject"/>
    <w:basedOn w:val="17"/>
    <w:next w:val="17"/>
    <w:qFormat/>
    <w:uiPriority w:val="0"/>
    <w:rPr>
      <w:rFonts w:ascii="Times New Roman" w:hAnsi="Times New Roman" w:eastAsia="宋体" w:cs="Times New Roman"/>
      <w:b/>
      <w:bCs/>
    </w:rPr>
  </w:style>
  <w:style w:type="paragraph" w:styleId="43">
    <w:name w:val="Body Text First Indent"/>
    <w:basedOn w:val="20"/>
    <w:qFormat/>
    <w:uiPriority w:val="0"/>
    <w:pPr>
      <w:widowControl/>
      <w:spacing w:after="120"/>
      <w:ind w:firstLine="420" w:firstLineChars="100"/>
      <w:jc w:val="left"/>
    </w:pPr>
    <w:rPr>
      <w:rFonts w:ascii="Times New Roman" w:hAnsi="Times New Roman" w:eastAsia="宋体" w:cs="Times New Roman"/>
      <w:kern w:val="0"/>
      <w:sz w:val="24"/>
    </w:rPr>
  </w:style>
  <w:style w:type="paragraph" w:styleId="44">
    <w:name w:val="Body Text First Indent 2"/>
    <w:basedOn w:val="21"/>
    <w:link w:val="61"/>
    <w:qFormat/>
    <w:uiPriority w:val="0"/>
    <w:pPr>
      <w:spacing w:after="120" w:line="240" w:lineRule="auto"/>
      <w:ind w:left="420" w:leftChars="200" w:firstLine="420"/>
      <w:jc w:val="left"/>
    </w:pPr>
    <w:rPr>
      <w:rFonts w:eastAsia="宋体"/>
    </w:rPr>
  </w:style>
  <w:style w:type="table" w:styleId="46">
    <w:name w:val="Table Grid"/>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rFonts w:ascii="Times New Roman" w:hAnsi="Times New Roman" w:eastAsia="宋体" w:cs="Times New Roman"/>
      <w:b/>
      <w:bCs/>
    </w:rPr>
  </w:style>
  <w:style w:type="character" w:styleId="49">
    <w:name w:val="page number"/>
    <w:qFormat/>
    <w:uiPriority w:val="0"/>
    <w:rPr>
      <w:rFonts w:ascii="Times New Roman" w:hAnsi="Times New Roman" w:eastAsia="宋体" w:cs="Times New Roman"/>
    </w:rPr>
  </w:style>
  <w:style w:type="character" w:styleId="50">
    <w:name w:val="FollowedHyperlink"/>
    <w:qFormat/>
    <w:uiPriority w:val="0"/>
    <w:rPr>
      <w:rFonts w:ascii="Times New Roman" w:hAnsi="Times New Roman" w:eastAsia="宋体" w:cs="Times New Roman"/>
      <w:color w:val="800080"/>
      <w:u w:val="single"/>
    </w:rPr>
  </w:style>
  <w:style w:type="character" w:styleId="51">
    <w:name w:val="line number"/>
    <w:unhideWhenUsed/>
    <w:qFormat/>
    <w:uiPriority w:val="99"/>
  </w:style>
  <w:style w:type="character" w:styleId="52">
    <w:name w:val="Hyperlink"/>
    <w:qFormat/>
    <w:uiPriority w:val="99"/>
    <w:rPr>
      <w:rFonts w:ascii="Times New Roman" w:hAnsi="Times New Roman" w:eastAsia="宋体" w:cs="Times New Roman"/>
      <w:color w:val="0000FF"/>
      <w:u w:val="single"/>
    </w:rPr>
  </w:style>
  <w:style w:type="character" w:styleId="53">
    <w:name w:val="annotation reference"/>
    <w:qFormat/>
    <w:uiPriority w:val="0"/>
    <w:rPr>
      <w:rFonts w:ascii="Times New Roman" w:hAnsi="Times New Roman" w:eastAsia="宋体" w:cs="Times New Roman"/>
      <w:sz w:val="21"/>
      <w:szCs w:val="21"/>
    </w:rPr>
  </w:style>
  <w:style w:type="character" w:customStyle="1" w:styleId="54">
    <w:name w:val="标题 1 字符1"/>
    <w:link w:val="2"/>
    <w:qFormat/>
    <w:uiPriority w:val="0"/>
    <w:rPr>
      <w:rFonts w:ascii="Times New Roman" w:hAnsi="Times New Roman" w:eastAsia="宋体" w:cs="Times New Roman"/>
      <w:b/>
      <w:bCs/>
      <w:kern w:val="44"/>
      <w:sz w:val="44"/>
      <w:szCs w:val="44"/>
      <w:lang w:val="en-US" w:eastAsia="zh-CN" w:bidi="ar-SA"/>
    </w:rPr>
  </w:style>
  <w:style w:type="character" w:customStyle="1" w:styleId="55">
    <w:name w:val="标题 2 字符1"/>
    <w:link w:val="3"/>
    <w:qFormat/>
    <w:uiPriority w:val="0"/>
    <w:rPr>
      <w:rFonts w:ascii="Arial" w:hAnsi="Arial" w:eastAsia="黑体" w:cs="Times New Roman"/>
      <w:b/>
      <w:bCs/>
      <w:sz w:val="32"/>
      <w:szCs w:val="32"/>
      <w:lang w:val="en-US" w:eastAsia="zh-CN" w:bidi="ar-SA"/>
    </w:rPr>
  </w:style>
  <w:style w:type="character" w:customStyle="1" w:styleId="56">
    <w:name w:val="正文缩进 字符"/>
    <w:link w:val="8"/>
    <w:qFormat/>
    <w:uiPriority w:val="0"/>
    <w:rPr>
      <w:kern w:val="2"/>
      <w:sz w:val="21"/>
    </w:rPr>
  </w:style>
  <w:style w:type="character" w:customStyle="1" w:styleId="57">
    <w:name w:val="批注文字 字符"/>
    <w:link w:val="17"/>
    <w:qFormat/>
    <w:uiPriority w:val="0"/>
    <w:rPr>
      <w:rFonts w:ascii="Times New Roman" w:hAnsi="Times New Roman" w:eastAsia="宋体" w:cs="Times New Roman"/>
      <w:kern w:val="2"/>
      <w:sz w:val="21"/>
      <w:szCs w:val="24"/>
      <w:lang w:val="en-US" w:eastAsia="zh-CN" w:bidi="ar-SA"/>
    </w:rPr>
  </w:style>
  <w:style w:type="character" w:customStyle="1" w:styleId="58">
    <w:name w:val="纯文本 字符"/>
    <w:link w:val="25"/>
    <w:qFormat/>
    <w:uiPriority w:val="99"/>
    <w:rPr>
      <w:rFonts w:ascii="宋体" w:hAnsi="宋体" w:eastAsia="宋体" w:cs="Times New Roman"/>
      <w:sz w:val="24"/>
      <w:szCs w:val="24"/>
      <w:lang w:val="en-US" w:eastAsia="zh-CN" w:bidi="ar-SA"/>
    </w:rPr>
  </w:style>
  <w:style w:type="character" w:customStyle="1" w:styleId="59">
    <w:name w:val="页脚 字符"/>
    <w:link w:val="30"/>
    <w:qFormat/>
    <w:uiPriority w:val="0"/>
    <w:rPr>
      <w:rFonts w:ascii="Times New Roman" w:hAnsi="Times New Roman" w:eastAsia="宋体" w:cs="Times New Roman"/>
      <w:sz w:val="18"/>
      <w:szCs w:val="18"/>
      <w:lang w:val="en-US" w:eastAsia="zh-CN" w:bidi="ar-SA"/>
    </w:rPr>
  </w:style>
  <w:style w:type="character" w:customStyle="1" w:styleId="60">
    <w:name w:val="页眉 字符"/>
    <w:link w:val="31"/>
    <w:qFormat/>
    <w:uiPriority w:val="0"/>
    <w:rPr>
      <w:rFonts w:ascii="Times New Roman" w:hAnsi="Times New Roman" w:eastAsia="宋体" w:cs="Times New Roman"/>
      <w:sz w:val="18"/>
      <w:szCs w:val="18"/>
      <w:lang w:val="en-US" w:eastAsia="zh-CN" w:bidi="ar-SA"/>
    </w:rPr>
  </w:style>
  <w:style w:type="character" w:customStyle="1" w:styleId="61">
    <w:name w:val="正文文本首行缩进 2 字符"/>
    <w:link w:val="44"/>
    <w:qFormat/>
    <w:uiPriority w:val="0"/>
    <w:rPr>
      <w:sz w:val="24"/>
      <w:szCs w:val="24"/>
    </w:rPr>
  </w:style>
  <w:style w:type="character" w:customStyle="1" w:styleId="62">
    <w:name w:val="标题 1 Char"/>
    <w:link w:val="2"/>
    <w:qFormat/>
    <w:uiPriority w:val="0"/>
    <w:rPr>
      <w:rFonts w:ascii="Times New Roman" w:hAnsi="Times New Roman" w:eastAsia="宋体"/>
      <w:b/>
      <w:iCs/>
      <w:color w:val="000000"/>
      <w:sz w:val="24"/>
    </w:rPr>
  </w:style>
  <w:style w:type="character" w:customStyle="1" w:styleId="63">
    <w:name w:val="Z2 Char Char"/>
    <w:qFormat/>
    <w:uiPriority w:val="0"/>
    <w:rPr>
      <w:rFonts w:ascii="Arial" w:hAnsi="Arial" w:eastAsia="黑体" w:cs="Times New Roman"/>
      <w:b/>
      <w:bCs/>
      <w:sz w:val="32"/>
      <w:szCs w:val="32"/>
      <w:lang w:val="en-US" w:eastAsia="zh-CN" w:bidi="ar-SA"/>
    </w:rPr>
  </w:style>
  <w:style w:type="character" w:customStyle="1" w:styleId="64">
    <w:name w:val=" Char Char Char Char Char"/>
    <w:qFormat/>
    <w:uiPriority w:val="0"/>
    <w:rPr>
      <w:rFonts w:ascii="宋体" w:hAnsi="宋体" w:eastAsia="宋体" w:cs="Times New Roman"/>
      <w:sz w:val="24"/>
      <w:szCs w:val="24"/>
      <w:lang w:val="en-US" w:eastAsia="zh-CN" w:bidi="ar-SA"/>
    </w:rPr>
  </w:style>
  <w:style w:type="character" w:customStyle="1" w:styleId="65">
    <w:name w:val="para"/>
    <w:uiPriority w:val="0"/>
    <w:rPr>
      <w:rFonts w:ascii="Times New Roman" w:hAnsi="Times New Roman" w:eastAsia="宋体" w:cs="Times New Roman"/>
    </w:rPr>
  </w:style>
  <w:style w:type="character" w:customStyle="1" w:styleId="66">
    <w:name w:val=" Char Char Char Char"/>
    <w:qFormat/>
    <w:uiPriority w:val="0"/>
    <w:rPr>
      <w:rFonts w:ascii="Times New Roman" w:hAnsi="Times New Roman" w:eastAsia="宋体" w:cs="Times New Roman"/>
      <w:kern w:val="2"/>
      <w:sz w:val="21"/>
      <w:szCs w:val="24"/>
      <w:lang w:val="en-US" w:eastAsia="zh-CN" w:bidi="ar-SA"/>
    </w:rPr>
  </w:style>
  <w:style w:type="character" w:customStyle="1" w:styleId="67">
    <w:name w:val="txt1"/>
    <w:qFormat/>
    <w:uiPriority w:val="0"/>
    <w:rPr>
      <w:rFonts w:hint="default" w:ascii="ˎ̥" w:hAnsi="ˎ̥" w:eastAsia="宋体" w:cs="Times New Roman"/>
      <w:sz w:val="18"/>
      <w:szCs w:val="18"/>
    </w:rPr>
  </w:style>
  <w:style w:type="character" w:customStyle="1" w:styleId="68">
    <w:name w:val="font31"/>
    <w:qFormat/>
    <w:uiPriority w:val="0"/>
    <w:rPr>
      <w:rFonts w:hint="eastAsia" w:ascii="宋体" w:hAnsi="宋体" w:eastAsia="宋体" w:cs="宋体"/>
      <w:color w:val="000000"/>
      <w:sz w:val="18"/>
      <w:szCs w:val="18"/>
      <w:u w:val="none"/>
    </w:rPr>
  </w:style>
  <w:style w:type="character" w:customStyle="1" w:styleId="69">
    <w:name w:val="zyp-正文 Char"/>
    <w:link w:val="70"/>
    <w:qFormat/>
    <w:uiPriority w:val="0"/>
    <w:rPr>
      <w:rFonts w:ascii="宋体" w:hAnsi="宋体" w:eastAsia="宋体" w:cs="Times New Roman"/>
      <w:color w:val="000000"/>
      <w:kern w:val="2"/>
      <w:sz w:val="28"/>
      <w:szCs w:val="18"/>
      <w:lang w:val="en-US" w:eastAsia="zh-CN" w:bidi="ar-SA"/>
    </w:rPr>
  </w:style>
  <w:style w:type="paragraph" w:customStyle="1" w:styleId="70">
    <w:name w:val="zyp-正文"/>
    <w:basedOn w:val="41"/>
    <w:link w:val="69"/>
    <w:qFormat/>
    <w:uiPriority w:val="0"/>
    <w:pPr>
      <w:spacing w:before="0" w:beforeAutospacing="0" w:after="0" w:afterAutospacing="0" w:line="360" w:lineRule="auto"/>
      <w:ind w:firstLine="200" w:firstLineChars="200"/>
    </w:pPr>
    <w:rPr>
      <w:rFonts w:hint="default"/>
      <w:color w:val="000000"/>
      <w:kern w:val="2"/>
      <w:sz w:val="28"/>
      <w:szCs w:val="18"/>
    </w:rPr>
  </w:style>
  <w:style w:type="character" w:customStyle="1" w:styleId="71">
    <w:name w:val="font51"/>
    <w:qFormat/>
    <w:uiPriority w:val="0"/>
    <w:rPr>
      <w:rFonts w:hint="eastAsia" w:ascii="宋体" w:hAnsi="宋体" w:eastAsia="宋体" w:cs="宋体"/>
      <w:color w:val="000000"/>
      <w:sz w:val="22"/>
      <w:szCs w:val="22"/>
      <w:u w:val="none"/>
    </w:rPr>
  </w:style>
  <w:style w:type="character" w:customStyle="1" w:styleId="72">
    <w:name w:val=" Char Char1"/>
    <w:qFormat/>
    <w:uiPriority w:val="0"/>
    <w:rPr>
      <w:rFonts w:ascii="Times New Roman" w:hAnsi="Times New Roman" w:eastAsia="宋体" w:cs="Times New Roman"/>
      <w:sz w:val="18"/>
      <w:szCs w:val="18"/>
      <w:lang w:val="en-US" w:eastAsia="zh-CN" w:bidi="ar-SA"/>
    </w:rPr>
  </w:style>
  <w:style w:type="character" w:customStyle="1" w:styleId="73">
    <w:name w:val="样式1 Char Char"/>
    <w:link w:val="74"/>
    <w:qFormat/>
    <w:uiPriority w:val="0"/>
    <w:rPr>
      <w:rFonts w:ascii="Arial" w:hAnsi="Arial"/>
      <w:kern w:val="2"/>
      <w:sz w:val="21"/>
      <w:szCs w:val="24"/>
    </w:rPr>
  </w:style>
  <w:style w:type="paragraph" w:customStyle="1" w:styleId="74">
    <w:name w:val="样式1"/>
    <w:basedOn w:val="1"/>
    <w:link w:val="73"/>
    <w:qFormat/>
    <w:uiPriority w:val="0"/>
    <w:pPr>
      <w:widowControl w:val="0"/>
      <w:spacing w:line="360" w:lineRule="exact"/>
      <w:ind w:firstLine="200" w:firstLineChars="200"/>
      <w:jc w:val="both"/>
    </w:pPr>
    <w:rPr>
      <w:rFonts w:ascii="Arial" w:hAnsi="Arial"/>
      <w:kern w:val="2"/>
      <w:sz w:val="21"/>
    </w:rPr>
  </w:style>
  <w:style w:type="character" w:customStyle="1" w:styleId="75">
    <w:name w:val=" Char Char3"/>
    <w:qFormat/>
    <w:uiPriority w:val="0"/>
    <w:rPr>
      <w:rFonts w:ascii="Times New Roman" w:hAnsi="Times New Roman" w:eastAsia="宋体" w:cs="Times New Roman"/>
      <w:kern w:val="2"/>
      <w:sz w:val="18"/>
    </w:rPr>
  </w:style>
  <w:style w:type="character" w:customStyle="1" w:styleId="76">
    <w:name w:val="普通文字 Char Char1"/>
    <w:qFormat/>
    <w:uiPriority w:val="0"/>
    <w:rPr>
      <w:rFonts w:ascii="宋体" w:hAnsi="宋体" w:eastAsia="宋体" w:cs="Times New Roman"/>
      <w:sz w:val="24"/>
      <w:szCs w:val="24"/>
      <w:lang w:val="en-US" w:eastAsia="zh-CN" w:bidi="ar-SA"/>
    </w:rPr>
  </w:style>
  <w:style w:type="character" w:customStyle="1" w:styleId="77">
    <w:name w:val="zyp-正文 Char Char"/>
    <w:qFormat/>
    <w:uiPriority w:val="0"/>
    <w:rPr>
      <w:rFonts w:ascii="宋体" w:hAnsi="宋体" w:eastAsia="宋体" w:cs="Times New Roman"/>
      <w:color w:val="000000"/>
      <w:kern w:val="2"/>
      <w:sz w:val="28"/>
      <w:szCs w:val="18"/>
      <w:lang w:val="en-US" w:eastAsia="zh-CN" w:bidi="ar-SA"/>
    </w:rPr>
  </w:style>
  <w:style w:type="character" w:customStyle="1" w:styleId="78">
    <w:name w:val="标题 3 Char"/>
    <w:uiPriority w:val="0"/>
    <w:rPr>
      <w:rFonts w:ascii="黑体" w:hAnsi="Trebuchet MS" w:eastAsia="黑体" w:cs="Times New Roman"/>
      <w:b/>
      <w:bCs/>
      <w:snapToGrid w:val="0"/>
      <w:sz w:val="28"/>
      <w:szCs w:val="28"/>
      <w:lang w:val="en-US" w:eastAsia="zh-CN" w:bidi="ar-SA"/>
    </w:rPr>
  </w:style>
  <w:style w:type="character" w:customStyle="1" w:styleId="79">
    <w:name w:val="apple-style-span"/>
    <w:uiPriority w:val="0"/>
    <w:rPr>
      <w:rFonts w:ascii="Times New Roman" w:hAnsi="Times New Roman" w:eastAsia="宋体" w:cs="Times New Roman"/>
    </w:rPr>
  </w:style>
  <w:style w:type="character" w:customStyle="1" w:styleId="80">
    <w:name w:val=" Char Char Char Char Char Char"/>
    <w:qFormat/>
    <w:uiPriority w:val="0"/>
    <w:rPr>
      <w:rFonts w:ascii="Times New Roman" w:hAnsi="Times New Roman" w:eastAsia="宋体" w:cs="Times New Roman"/>
      <w:kern w:val="2"/>
      <w:sz w:val="21"/>
      <w:szCs w:val="24"/>
      <w:lang w:val="en-US" w:eastAsia="zh-CN" w:bidi="ar-SA"/>
    </w:rPr>
  </w:style>
  <w:style w:type="character" w:customStyle="1" w:styleId="81">
    <w:name w:val="font11"/>
    <w:qFormat/>
    <w:uiPriority w:val="0"/>
    <w:rPr>
      <w:rFonts w:hint="default" w:ascii="Times New Roman" w:hAnsi="Times New Roman" w:eastAsia="宋体" w:cs="Times New Roman"/>
      <w:color w:val="000000"/>
      <w:sz w:val="18"/>
      <w:szCs w:val="18"/>
      <w:u w:val="none"/>
    </w:rPr>
  </w:style>
  <w:style w:type="character" w:customStyle="1" w:styleId="82">
    <w:name w:val="A1"/>
    <w:uiPriority w:val="0"/>
    <w:rPr>
      <w:rFonts w:ascii="Univers LT Std 45 Light" w:hAnsi="Times New Roman" w:eastAsia="Univers LT Std 45 Light" w:cs="Univers LT Std 45 Light"/>
      <w:color w:val="221E1F"/>
      <w:sz w:val="10"/>
      <w:szCs w:val="10"/>
    </w:rPr>
  </w:style>
  <w:style w:type="character" w:customStyle="1" w:styleId="83">
    <w:name w:val="A10"/>
    <w:uiPriority w:val="0"/>
    <w:rPr>
      <w:rFonts w:ascii="Univers LT Std 45 Light" w:hAnsi="Times New Roman" w:eastAsia="Univers LT Std 45 Light" w:cs="Univers LT Std 45 Light"/>
      <w:color w:val="221E1F"/>
      <w:sz w:val="8"/>
      <w:szCs w:val="8"/>
    </w:rPr>
  </w:style>
  <w:style w:type="character" w:customStyle="1" w:styleId="84">
    <w:name w:val="value"/>
    <w:qFormat/>
    <w:uiPriority w:val="0"/>
    <w:rPr>
      <w:rFonts w:ascii="Times New Roman" w:hAnsi="Times New Roman" w:eastAsia="宋体" w:cs="Times New Roman"/>
    </w:rPr>
  </w:style>
  <w:style w:type="character" w:customStyle="1" w:styleId="85">
    <w:name w:val=" Char Char4"/>
    <w:qFormat/>
    <w:uiPriority w:val="0"/>
    <w:rPr>
      <w:rFonts w:ascii="宋体" w:hAnsi="Courier New" w:eastAsia="宋体" w:cs="Courier New"/>
      <w:kern w:val="2"/>
      <w:sz w:val="21"/>
      <w:szCs w:val="21"/>
      <w:lang w:val="en-US" w:eastAsia="zh-CN" w:bidi="ar-SA"/>
    </w:rPr>
  </w:style>
  <w:style w:type="character" w:customStyle="1" w:styleId="86">
    <w:name w:val="font01"/>
    <w:qFormat/>
    <w:uiPriority w:val="0"/>
    <w:rPr>
      <w:rFonts w:hint="default" w:ascii="Times New Roman" w:hAnsi="Times New Roman" w:eastAsia="宋体" w:cs="Times New Roman"/>
      <w:color w:val="000000"/>
      <w:sz w:val="18"/>
      <w:szCs w:val="18"/>
      <w:u w:val="none"/>
      <w:vertAlign w:val="superscript"/>
    </w:rPr>
  </w:style>
  <w:style w:type="paragraph" w:customStyle="1" w:styleId="8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88">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89">
    <w:name w:val="xl32"/>
    <w:basedOn w:val="1"/>
    <w:qFormat/>
    <w:uiPriority w:val="0"/>
    <w:pPr>
      <w:spacing w:before="100" w:beforeAutospacing="1" w:after="100" w:afterAutospacing="1"/>
      <w:jc w:val="center"/>
      <w:textAlignment w:val="center"/>
    </w:pPr>
    <w:rPr>
      <w:rFonts w:ascii="Times New Roman" w:hAnsi="Times New Roman" w:eastAsia="宋体" w:cs="Times New Roman"/>
      <w:sz w:val="28"/>
      <w:szCs w:val="28"/>
    </w:rPr>
  </w:style>
  <w:style w:type="paragraph" w:customStyle="1" w:styleId="9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91">
    <w:name w:val=" Char Char Char Char Char Char Char"/>
    <w:basedOn w:val="1"/>
    <w:qFormat/>
    <w:uiPriority w:val="0"/>
    <w:pPr>
      <w:widowControl w:val="0"/>
      <w:jc w:val="both"/>
    </w:pPr>
    <w:rPr>
      <w:rFonts w:ascii="Tahoma" w:hAnsi="Tahoma" w:eastAsia="宋体" w:cs="Times New Roman"/>
      <w:kern w:val="2"/>
      <w:szCs w:val="20"/>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 Char Char6 Char Char Char Char Char Char"/>
    <w:basedOn w:val="1"/>
    <w:qFormat/>
    <w:uiPriority w:val="0"/>
    <w:pPr>
      <w:widowControl w:val="0"/>
      <w:jc w:val="both"/>
    </w:pPr>
    <w:rPr>
      <w:rFonts w:ascii="Tahoma" w:hAnsi="Tahoma"/>
      <w:kern w:val="2"/>
      <w:szCs w:val="20"/>
    </w:rPr>
  </w:style>
  <w:style w:type="paragraph" w:customStyle="1" w:styleId="94">
    <w:name w:val="font7"/>
    <w:basedOn w:val="1"/>
    <w:qFormat/>
    <w:uiPriority w:val="0"/>
    <w:pPr>
      <w:spacing w:before="100" w:beforeAutospacing="1" w:after="100" w:afterAutospacing="1"/>
    </w:pPr>
    <w:rPr>
      <w:rFonts w:ascii="Times New Roman" w:hAnsi="Times New Roman" w:eastAsia="宋体" w:cs="Times New Roman"/>
      <w:sz w:val="26"/>
      <w:szCs w:val="26"/>
    </w:rPr>
  </w:style>
  <w:style w:type="paragraph" w:customStyle="1" w:styleId="9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默认段落字体 Para Char Char Char Char"/>
    <w:basedOn w:val="1"/>
    <w:qFormat/>
    <w:uiPriority w:val="0"/>
    <w:pPr>
      <w:widowControl w:val="0"/>
      <w:jc w:val="both"/>
    </w:pPr>
    <w:rPr>
      <w:rFonts w:ascii="Times New Roman" w:hAnsi="Times New Roman" w:eastAsia="宋体" w:cs="Times New Roman"/>
      <w:kern w:val="2"/>
      <w:sz w:val="21"/>
    </w:rPr>
  </w:style>
  <w:style w:type="paragraph" w:customStyle="1" w:styleId="97">
    <w:name w:val="默认段落字体 Para Char Char Char Char Char Char Char Char Char Char"/>
    <w:basedOn w:val="1"/>
    <w:qFormat/>
    <w:uiPriority w:val="0"/>
    <w:pPr>
      <w:widowControl w:val="0"/>
      <w:jc w:val="both"/>
    </w:pPr>
    <w:rPr>
      <w:rFonts w:ascii="Tahoma" w:hAnsi="Tahoma" w:eastAsia="宋体" w:cs="Times New Roman"/>
      <w:kern w:val="2"/>
      <w:szCs w:val="20"/>
    </w:rPr>
  </w:style>
  <w:style w:type="paragraph" w:customStyle="1" w:styleId="98">
    <w:name w:val="Char Char Char Char Char Char Char Char Char Char"/>
    <w:basedOn w:val="1"/>
    <w:qFormat/>
    <w:uiPriority w:val="0"/>
    <w:pPr>
      <w:widowControl w:val="0"/>
      <w:jc w:val="both"/>
    </w:pPr>
    <w:rPr>
      <w:rFonts w:ascii="Tahoma" w:hAnsi="Tahoma" w:eastAsia="宋体" w:cs="Times New Roman"/>
      <w:kern w:val="2"/>
      <w:szCs w:val="20"/>
    </w:rPr>
  </w:style>
  <w:style w:type="paragraph" w:customStyle="1" w:styleId="99">
    <w:name w:val="标准小四"/>
    <w:basedOn w:val="1"/>
    <w:qFormat/>
    <w:uiPriority w:val="0"/>
    <w:pPr>
      <w:widowControl w:val="0"/>
      <w:spacing w:line="360" w:lineRule="auto"/>
      <w:ind w:firstLine="480" w:firstLineChars="200"/>
      <w:jc w:val="both"/>
    </w:pPr>
    <w:rPr>
      <w:rFonts w:ascii="Arial" w:hAnsi="Arial" w:eastAsia="宋体" w:cs="Times New Roman"/>
      <w:kern w:val="2"/>
      <w:szCs w:val="21"/>
    </w:rPr>
  </w:style>
  <w:style w:type="paragraph" w:customStyle="1" w:styleId="100">
    <w:name w:val="表格"/>
    <w:basedOn w:val="1"/>
    <w:next w:val="1"/>
    <w:qFormat/>
    <w:uiPriority w:val="0"/>
    <w:pPr>
      <w:keepNext/>
      <w:keepLines/>
      <w:widowControl w:val="0"/>
      <w:autoSpaceDE w:val="0"/>
      <w:autoSpaceDN w:val="0"/>
      <w:adjustRightInd w:val="0"/>
      <w:spacing w:before="120" w:after="120" w:line="240" w:lineRule="atLeast"/>
      <w:jc w:val="center"/>
      <w:textAlignment w:val="bottom"/>
    </w:pPr>
    <w:rPr>
      <w:rFonts w:ascii="黑体" w:hAnsi="Times New Roman" w:eastAsia="宋体" w:cs="Times New Roman"/>
    </w:rPr>
  </w:style>
  <w:style w:type="paragraph" w:customStyle="1" w:styleId="101">
    <w:name w:val="xl41"/>
    <w:basedOn w:val="1"/>
    <w:qFormat/>
    <w:uiPriority w:val="0"/>
    <w:pPr>
      <w:pBdr>
        <w:top w:val="single" w:color="auto" w:sz="4" w:space="0"/>
        <w:lef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2">
    <w:name w:val="font8"/>
    <w:basedOn w:val="1"/>
    <w:qFormat/>
    <w:uiPriority w:val="0"/>
    <w:pPr>
      <w:spacing w:before="100" w:beforeAutospacing="1" w:after="100" w:afterAutospacing="1"/>
    </w:pPr>
    <w:rPr>
      <w:rFonts w:ascii="Times New Roman" w:hAnsi="Times New Roman" w:eastAsia="宋体" w:cs="Times New Roman"/>
      <w:sz w:val="26"/>
      <w:szCs w:val="26"/>
    </w:rPr>
  </w:style>
  <w:style w:type="paragraph" w:customStyle="1" w:styleId="103">
    <w:name w:val="xl4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4">
    <w:name w:val="xl4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5">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Times New Roman"/>
      <w:sz w:val="26"/>
      <w:szCs w:val="26"/>
    </w:rPr>
  </w:style>
  <w:style w:type="paragraph" w:customStyle="1" w:styleId="10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7">
    <w:name w:val="样式 标题 2节标题 1.1 + 段前: 1 行 段后: 0.5 行"/>
    <w:basedOn w:val="3"/>
    <w:qFormat/>
    <w:uiPriority w:val="0"/>
    <w:pPr>
      <w:widowControl w:val="0"/>
      <w:numPr>
        <w:ilvl w:val="1"/>
        <w:numId w:val="0"/>
      </w:numPr>
      <w:spacing w:before="240" w:after="120" w:line="360" w:lineRule="auto"/>
      <w:jc w:val="center"/>
    </w:pPr>
    <w:rPr>
      <w:rFonts w:ascii="宋体" w:hAnsi="宋体" w:eastAsia="宋体" w:cs="Times New Roman"/>
      <w:bCs w:val="0"/>
      <w:kern w:val="2"/>
      <w:sz w:val="24"/>
      <w:szCs w:val="20"/>
    </w:rPr>
  </w:style>
  <w:style w:type="paragraph" w:customStyle="1" w:styleId="108">
    <w:name w:val="font1"/>
    <w:basedOn w:val="1"/>
    <w:qFormat/>
    <w:uiPriority w:val="0"/>
    <w:pPr>
      <w:spacing w:before="100" w:beforeAutospacing="1" w:after="100" w:afterAutospacing="1"/>
    </w:pPr>
    <w:rPr>
      <w:rFonts w:hint="eastAsia" w:ascii="宋体" w:hAnsi="宋体" w:eastAsia="宋体" w:cs="Times New Roman"/>
    </w:rPr>
  </w:style>
  <w:style w:type="paragraph" w:customStyle="1" w:styleId="109">
    <w:name w:val=" Char Char1 Char Char Char Char Char Char Char Char"/>
    <w:basedOn w:val="1"/>
    <w:uiPriority w:val="0"/>
    <w:pPr>
      <w:spacing w:after="160" w:line="240" w:lineRule="exact"/>
    </w:pPr>
    <w:rPr>
      <w:rFonts w:ascii="Times New Roman" w:hAnsi="Times New Roman" w:eastAsia="宋体" w:cs="Times New Roman"/>
      <w:kern w:val="2"/>
      <w:sz w:val="21"/>
    </w:rPr>
  </w:style>
  <w:style w:type="paragraph" w:customStyle="1" w:styleId="110">
    <w:name w:val=" Char Char Char"/>
    <w:basedOn w:val="1"/>
    <w:qFormat/>
    <w:uiPriority w:val="0"/>
    <w:pPr>
      <w:widowControl w:val="0"/>
      <w:jc w:val="both"/>
    </w:pPr>
    <w:rPr>
      <w:rFonts w:ascii="Times New Roman" w:hAnsi="Times New Roman" w:eastAsia="宋体" w:cs="Times New Roman"/>
      <w:kern w:val="2"/>
      <w:sz w:val="21"/>
    </w:rPr>
  </w:style>
  <w:style w:type="paragraph" w:customStyle="1" w:styleId="111">
    <w:name w:val="四级条标题"/>
    <w:basedOn w:val="112"/>
    <w:next w:val="115"/>
    <w:uiPriority w:val="0"/>
    <w:pPr>
      <w:tabs>
        <w:tab w:val="left" w:pos="360"/>
        <w:tab w:val="left" w:pos="2100"/>
        <w:tab w:val="left" w:pos="2905"/>
      </w:tabs>
      <w:ind w:left="2905" w:hanging="720"/>
      <w:outlineLvl w:val="5"/>
    </w:pPr>
    <w:rPr>
      <w:rFonts w:ascii="Times New Roman" w:hAnsi="Times New Roman" w:eastAsia="宋体" w:cs="Times New Roman"/>
    </w:rPr>
  </w:style>
  <w:style w:type="paragraph" w:customStyle="1" w:styleId="112">
    <w:name w:val="三级条标题"/>
    <w:basedOn w:val="113"/>
    <w:next w:val="115"/>
    <w:uiPriority w:val="0"/>
    <w:pPr>
      <w:tabs>
        <w:tab w:val="left" w:pos="360"/>
        <w:tab w:val="left" w:pos="2100"/>
      </w:tabs>
      <w:ind w:left="2100" w:hanging="420"/>
      <w:outlineLvl w:val="4"/>
    </w:pPr>
    <w:rPr>
      <w:rFonts w:ascii="Times New Roman" w:hAnsi="Times New Roman" w:eastAsia="宋体" w:cs="Times New Roman"/>
    </w:rPr>
  </w:style>
  <w:style w:type="paragraph" w:customStyle="1" w:styleId="113">
    <w:name w:val="二级条标题"/>
    <w:basedOn w:val="114"/>
    <w:next w:val="115"/>
    <w:qFormat/>
    <w:uiPriority w:val="0"/>
    <w:pPr>
      <w:tabs>
        <w:tab w:val="left" w:pos="360"/>
      </w:tabs>
      <w:outlineLvl w:val="3"/>
    </w:pPr>
    <w:rPr>
      <w:rFonts w:ascii="Times New Roman" w:hAnsi="Times New Roman" w:eastAsia="宋体" w:cs="Times New Roman"/>
    </w:rPr>
  </w:style>
  <w:style w:type="paragraph" w:customStyle="1" w:styleId="114">
    <w:name w:val="一级条标题"/>
    <w:next w:val="115"/>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章标题"/>
    <w:next w:val="115"/>
    <w:qFormat/>
    <w:uiPriority w:val="0"/>
    <w:pPr>
      <w:tabs>
        <w:tab w:val="left" w:pos="1560"/>
      </w:tabs>
      <w:spacing w:beforeLines="50" w:afterLines="50"/>
      <w:ind w:left="1560" w:hanging="720"/>
      <w:jc w:val="both"/>
      <w:outlineLvl w:val="1"/>
    </w:pPr>
    <w:rPr>
      <w:rFonts w:ascii="黑体" w:hAnsi="Times New Roman" w:eastAsia="黑体" w:cs="Times New Roman"/>
      <w:sz w:val="21"/>
      <w:lang w:val="en-US" w:eastAsia="zh-CN" w:bidi="ar-SA"/>
    </w:rPr>
  </w:style>
  <w:style w:type="paragraph" w:customStyle="1" w:styleId="117">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18">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sz w:val="26"/>
      <w:szCs w:val="26"/>
    </w:rPr>
  </w:style>
  <w:style w:type="paragraph" w:customStyle="1" w:styleId="119">
    <w:name w:val=" Char2"/>
    <w:basedOn w:val="16"/>
    <w:next w:val="1"/>
    <w:qFormat/>
    <w:uiPriority w:val="0"/>
    <w:pPr>
      <w:widowControl w:val="0"/>
      <w:jc w:val="both"/>
    </w:pPr>
    <w:rPr>
      <w:rFonts w:ascii="Times New Roman" w:hAnsi="Times New Roman" w:eastAsia="宋体" w:cs="Times New Roman"/>
      <w:kern w:val="2"/>
      <w:sz w:val="21"/>
      <w:szCs w:val="20"/>
    </w:rPr>
  </w:style>
  <w:style w:type="paragraph" w:customStyle="1" w:styleId="120">
    <w:name w:val="纯文本1"/>
    <w:basedOn w:val="1"/>
    <w:qFormat/>
    <w:uiPriority w:val="0"/>
    <w:rPr>
      <w:rFonts w:hint="eastAsia" w:ascii="宋体" w:hAnsi="Courier New"/>
      <w:kern w:val="2"/>
      <w:sz w:val="21"/>
      <w:szCs w:val="20"/>
    </w:rPr>
  </w:style>
  <w:style w:type="paragraph" w:customStyle="1" w:styleId="121">
    <w:name w:val="Char2"/>
    <w:basedOn w:val="16"/>
    <w:next w:val="1"/>
    <w:qFormat/>
    <w:uiPriority w:val="0"/>
    <w:pPr>
      <w:widowControl w:val="0"/>
      <w:jc w:val="both"/>
    </w:pPr>
    <w:rPr>
      <w:rFonts w:ascii="Times New Roman" w:hAnsi="Times New Roman" w:eastAsia="宋体" w:cs="Times New Roman"/>
      <w:kern w:val="2"/>
      <w:sz w:val="21"/>
      <w:szCs w:val="20"/>
    </w:rPr>
  </w:style>
  <w:style w:type="paragraph" w:customStyle="1" w:styleId="122">
    <w:name w:val="列项——（一级）"/>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23">
    <w:name w:val="五级条标题"/>
    <w:basedOn w:val="111"/>
    <w:next w:val="115"/>
    <w:qFormat/>
    <w:uiPriority w:val="0"/>
    <w:pPr>
      <w:tabs>
        <w:tab w:val="left" w:pos="2940"/>
        <w:tab w:val="clear" w:pos="2905"/>
      </w:tabs>
      <w:ind w:left="2940" w:hanging="420"/>
      <w:outlineLvl w:val="6"/>
    </w:pPr>
    <w:rPr>
      <w:rFonts w:ascii="Times New Roman" w:hAnsi="Times New Roman" w:eastAsia="宋体" w:cs="Times New Roman"/>
    </w:rPr>
  </w:style>
  <w:style w:type="paragraph" w:customStyle="1" w:styleId="124">
    <w:name w:val="正文2"/>
    <w:basedOn w:val="1"/>
    <w:link w:val="125"/>
    <w:qFormat/>
    <w:uiPriority w:val="0"/>
    <w:pPr>
      <w:widowControl w:val="0"/>
      <w:spacing w:before="156" w:line="360" w:lineRule="auto"/>
      <w:ind w:firstLine="510" w:firstLineChars="200"/>
      <w:jc w:val="both"/>
    </w:pPr>
    <w:rPr>
      <w:kern w:val="2"/>
      <w:szCs w:val="20"/>
    </w:rPr>
  </w:style>
  <w:style w:type="character" w:customStyle="1" w:styleId="125">
    <w:name w:val="正文2 Char Char"/>
    <w:link w:val="124"/>
    <w:qFormat/>
    <w:uiPriority w:val="0"/>
    <w:rPr>
      <w:kern w:val="2"/>
      <w:sz w:val="24"/>
    </w:rPr>
  </w:style>
  <w:style w:type="paragraph" w:customStyle="1" w:styleId="126">
    <w:name w:val="xl65"/>
    <w:basedOn w:val="1"/>
    <w:uiPriority w:val="0"/>
    <w:pPr>
      <w:shd w:val="clear" w:color="000000" w:fill="FFFFFF"/>
      <w:spacing w:before="100" w:beforeAutospacing="1" w:after="100" w:afterAutospacing="1"/>
      <w:jc w:val="center"/>
    </w:pPr>
    <w:rPr>
      <w:rFonts w:ascii="宋体" w:hAnsi="宋体" w:cs="宋体"/>
      <w:b/>
      <w:bCs/>
      <w:sz w:val="36"/>
      <w:szCs w:val="36"/>
    </w:rPr>
  </w:style>
  <w:style w:type="paragraph" w:customStyle="1" w:styleId="127">
    <w:name w:val="1"/>
    <w:basedOn w:val="1"/>
    <w:next w:val="19"/>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customStyle="1" w:styleId="128">
    <w:name w:val="xl27"/>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z w:val="22"/>
      <w:szCs w:val="22"/>
    </w:rPr>
  </w:style>
  <w:style w:type="paragraph" w:customStyle="1" w:styleId="129">
    <w:name w:val="def正文"/>
    <w:basedOn w:val="20"/>
    <w:qFormat/>
    <w:uiPriority w:val="0"/>
    <w:pPr>
      <w:widowControl/>
      <w:spacing w:line="360" w:lineRule="auto"/>
      <w:ind w:firstLine="510"/>
      <w:jc w:val="left"/>
    </w:pPr>
    <w:rPr>
      <w:rFonts w:ascii="Times New Roman" w:hAnsi="Times New Roman" w:eastAsia="宋体" w:cs="Times New Roman"/>
      <w:kern w:val="0"/>
      <w:sz w:val="24"/>
    </w:rPr>
  </w:style>
  <w:style w:type="paragraph" w:customStyle="1" w:styleId="130">
    <w:name w:val="表内文字"/>
    <w:basedOn w:val="1"/>
    <w:qFormat/>
    <w:uiPriority w:val="0"/>
    <w:pPr>
      <w:widowControl w:val="0"/>
      <w:spacing w:line="500" w:lineRule="atLeast"/>
      <w:jc w:val="center"/>
    </w:pPr>
    <w:rPr>
      <w:rFonts w:ascii="楷体_GB2312" w:hAnsi="Times New Roman" w:eastAsia="楷体_GB2312" w:cs="Times New Roman"/>
      <w:kern w:val="2"/>
      <w:sz w:val="28"/>
    </w:rPr>
  </w:style>
  <w:style w:type="paragraph" w:customStyle="1" w:styleId="131">
    <w:name w:val="Char"/>
    <w:basedOn w:val="1"/>
    <w:qFormat/>
    <w:uiPriority w:val="0"/>
    <w:pPr>
      <w:widowControl w:val="0"/>
      <w:jc w:val="both"/>
    </w:pPr>
    <w:rPr>
      <w:rFonts w:ascii="仿宋_GB2312" w:hAnsi="Times New Roman" w:eastAsia="仿宋_GB2312" w:cs="Times New Roman"/>
      <w:b/>
      <w:kern w:val="2"/>
      <w:sz w:val="32"/>
      <w:szCs w:val="32"/>
    </w:rPr>
  </w:style>
  <w:style w:type="paragraph" w:customStyle="1" w:styleId="132">
    <w:name w:val="xl31"/>
    <w:basedOn w:val="1"/>
    <w:qFormat/>
    <w:uiPriority w:val="0"/>
    <w:pPr>
      <w:spacing w:before="100" w:beforeAutospacing="1" w:after="100" w:afterAutospacing="1"/>
      <w:jc w:val="center"/>
      <w:textAlignment w:val="center"/>
    </w:pPr>
    <w:rPr>
      <w:rFonts w:hint="eastAsia" w:ascii="黑体" w:hAnsi="宋体" w:eastAsia="黑体" w:cs="Times New Roman"/>
      <w:sz w:val="40"/>
      <w:szCs w:val="40"/>
    </w:rPr>
  </w:style>
  <w:style w:type="paragraph" w:customStyle="1" w:styleId="133">
    <w:name w:val="font5"/>
    <w:basedOn w:val="1"/>
    <w:uiPriority w:val="0"/>
    <w:pPr>
      <w:spacing w:before="100" w:beforeAutospacing="1" w:after="100" w:afterAutospacing="1"/>
    </w:pPr>
    <w:rPr>
      <w:rFonts w:hint="eastAsia" w:ascii="宋体" w:hAnsi="宋体" w:eastAsia="宋体" w:cs="Times New Roman"/>
      <w:sz w:val="18"/>
      <w:szCs w:val="18"/>
    </w:rPr>
  </w:style>
  <w:style w:type="paragraph" w:customStyle="1" w:styleId="134">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styleId="135">
    <w:name w:val="List Paragraph"/>
    <w:basedOn w:val="1"/>
    <w:qFormat/>
    <w:uiPriority w:val="0"/>
    <w:pPr>
      <w:widowControl w:val="0"/>
      <w:ind w:firstLine="420" w:firstLineChars="200"/>
      <w:jc w:val="both"/>
    </w:pPr>
    <w:rPr>
      <w:rFonts w:ascii="Calibri" w:hAnsi="Calibri" w:eastAsia="宋体" w:cs="Times New Roman"/>
      <w:kern w:val="2"/>
      <w:sz w:val="21"/>
      <w:szCs w:val="22"/>
    </w:rPr>
  </w:style>
  <w:style w:type="paragraph" w:customStyle="1" w:styleId="136">
    <w:name w:val=" Char Char7 Char Char Char Char Char Char Char Char"/>
    <w:basedOn w:val="1"/>
    <w:qFormat/>
    <w:uiPriority w:val="0"/>
    <w:pPr>
      <w:widowControl w:val="0"/>
      <w:jc w:val="both"/>
    </w:pPr>
    <w:rPr>
      <w:rFonts w:ascii="Tahoma" w:hAnsi="Tahoma" w:eastAsia="宋体" w:cs="Times New Roman"/>
      <w:kern w:val="2"/>
      <w:szCs w:val="20"/>
    </w:rPr>
  </w:style>
  <w:style w:type="paragraph" w:customStyle="1" w:styleId="137">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38">
    <w:name w:val="2"/>
    <w:basedOn w:val="1"/>
    <w:next w:val="20"/>
    <w:qFormat/>
    <w:uiPriority w:val="0"/>
    <w:pPr>
      <w:widowControl w:val="0"/>
      <w:adjustRightInd w:val="0"/>
      <w:spacing w:line="360" w:lineRule="auto"/>
      <w:jc w:val="both"/>
      <w:textAlignment w:val="baseline"/>
    </w:pPr>
    <w:rPr>
      <w:rFonts w:ascii="宋体" w:hAnsi="Times New Roman" w:eastAsia="宋体" w:cs="Times New Roman"/>
      <w:sz w:val="30"/>
      <w:szCs w:val="20"/>
    </w:rPr>
  </w:style>
  <w:style w:type="paragraph" w:customStyle="1" w:styleId="139">
    <w:name w:val="正文－恩普"/>
    <w:basedOn w:val="8"/>
    <w:qFormat/>
    <w:uiPriority w:val="0"/>
    <w:pPr>
      <w:widowControl/>
      <w:spacing w:afterLines="50"/>
      <w:ind w:firstLine="480"/>
    </w:pPr>
    <w:rPr>
      <w:rFonts w:ascii="Times New Roman" w:hAnsi="Times New Roman" w:eastAsia="宋体" w:cs="Times New Roman"/>
      <w:kern w:val="0"/>
      <w:sz w:val="24"/>
    </w:rPr>
  </w:style>
  <w:style w:type="paragraph" w:customStyle="1" w:styleId="14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41">
    <w:name w:val="xl2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rPr>
  </w:style>
  <w:style w:type="paragraph" w:customStyle="1" w:styleId="142">
    <w:name w:val="3"/>
    <w:basedOn w:val="1"/>
    <w:qFormat/>
    <w:uiPriority w:val="0"/>
    <w:pPr>
      <w:widowControl w:val="0"/>
      <w:jc w:val="both"/>
    </w:pPr>
    <w:rPr>
      <w:rFonts w:ascii="Tahoma" w:hAnsi="Tahoma" w:eastAsia="宋体" w:cs="Times New Roman"/>
      <w:kern w:val="2"/>
      <w:szCs w:val="20"/>
    </w:rPr>
  </w:style>
  <w:style w:type="paragraph" w:customStyle="1" w:styleId="143">
    <w:name w:val="Char Char Char Char"/>
    <w:basedOn w:val="1"/>
    <w:uiPriority w:val="0"/>
    <w:pPr>
      <w:spacing w:after="160" w:line="240" w:lineRule="exact"/>
    </w:pPr>
    <w:rPr>
      <w:rFonts w:ascii="Times New Roman" w:hAnsi="Times New Roman" w:eastAsia="宋体" w:cs="Times New Roman"/>
      <w:kern w:val="2"/>
      <w:sz w:val="21"/>
      <w:szCs w:val="20"/>
    </w:rPr>
  </w:style>
  <w:style w:type="paragraph" w:customStyle="1" w:styleId="144">
    <w:name w:val="p23"/>
    <w:basedOn w:val="1"/>
    <w:uiPriority w:val="0"/>
    <w:pPr>
      <w:spacing w:before="100" w:beforeAutospacing="1" w:after="100" w:afterAutospacing="1"/>
    </w:pPr>
    <w:rPr>
      <w:rFonts w:ascii="宋体" w:hAnsi="宋体" w:eastAsia="宋体" w:cs="宋体"/>
    </w:rPr>
  </w:style>
  <w:style w:type="paragraph" w:customStyle="1" w:styleId="145">
    <w:name w:val=" Char"/>
    <w:basedOn w:val="1"/>
    <w:uiPriority w:val="0"/>
    <w:pPr>
      <w:widowControl w:val="0"/>
      <w:jc w:val="both"/>
    </w:pPr>
    <w:rPr>
      <w:rFonts w:ascii="仿宋_GB2312" w:hAnsi="Times New Roman" w:eastAsia="仿宋_GB2312" w:cs="Times New Roman"/>
      <w:b/>
      <w:kern w:val="2"/>
      <w:sz w:val="32"/>
      <w:szCs w:val="32"/>
    </w:rPr>
  </w:style>
  <w:style w:type="paragraph" w:customStyle="1" w:styleId="146">
    <w:name w:val="xl44"/>
    <w:basedOn w:val="1"/>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47">
    <w:name w:val="font6"/>
    <w:basedOn w:val="1"/>
    <w:uiPriority w:val="0"/>
    <w:pPr>
      <w:spacing w:before="100" w:beforeAutospacing="1" w:after="100" w:afterAutospacing="1"/>
    </w:pPr>
    <w:rPr>
      <w:rFonts w:hint="eastAsia" w:ascii="宋体" w:hAnsi="宋体" w:eastAsia="宋体" w:cs="Times New Roman"/>
      <w:sz w:val="26"/>
      <w:szCs w:val="26"/>
    </w:rPr>
  </w:style>
  <w:style w:type="paragraph" w:customStyle="1" w:styleId="148">
    <w:name w:val="p0"/>
    <w:basedOn w:val="1"/>
    <w:uiPriority w:val="0"/>
    <w:pPr>
      <w:widowControl w:val="0"/>
      <w:autoSpaceDE w:val="0"/>
      <w:autoSpaceDN w:val="0"/>
      <w:adjustRightInd w:val="0"/>
      <w:spacing w:before="100" w:beforeAutospacing="1" w:after="100" w:afterAutospacing="1"/>
      <w:textAlignment w:val="baseline"/>
    </w:pPr>
    <w:rPr>
      <w:rFonts w:ascii="宋体" w:hAnsi="宋体" w:eastAsia="宋体" w:cs="宋体"/>
    </w:rPr>
  </w:style>
  <w:style w:type="character" w:customStyle="1" w:styleId="149">
    <w:name w:val="标题 1 字符"/>
    <w:uiPriority w:val="0"/>
    <w:rPr>
      <w:rFonts w:hint="default" w:ascii="Calibri" w:hAnsi="Calibri" w:eastAsia="宋体" w:cs="Times New Roman"/>
      <w:b/>
      <w:kern w:val="44"/>
      <w:sz w:val="44"/>
      <w:szCs w:val="44"/>
    </w:rPr>
  </w:style>
  <w:style w:type="character" w:customStyle="1" w:styleId="150">
    <w:name w:val="标题 2 字符"/>
    <w:qFormat/>
    <w:uiPriority w:val="0"/>
    <w:rPr>
      <w:rFonts w:ascii="Arial" w:hAnsi="Arial" w:eastAsia="黑体" w:cs="Arial"/>
      <w:b/>
      <w:color w:val="000000"/>
      <w:sz w:val="32"/>
      <w:szCs w:val="32"/>
    </w:rPr>
  </w:style>
  <w:style w:type="paragraph" w:customStyle="1" w:styleId="151">
    <w:name w:val=" Char Char2 Char Char"/>
    <w:basedOn w:val="1"/>
    <w:qFormat/>
    <w:uiPriority w:val="0"/>
    <w:pPr>
      <w:widowControl w:val="0"/>
      <w:jc w:val="both"/>
    </w:pPr>
    <w:rPr>
      <w:rFonts w:ascii="Tahoma" w:hAnsi="Tahoma"/>
      <w:kern w:val="2"/>
      <w:szCs w:val="20"/>
    </w:rPr>
  </w:style>
  <w:style w:type="character" w:customStyle="1" w:styleId="152">
    <w:name w:val="纯文本 字符1"/>
    <w:qFormat/>
    <w:uiPriority w:val="0"/>
    <w:rPr>
      <w:rFonts w:ascii="宋体" w:hAnsi="Courier New" w:eastAsia="宋体" w:cs="Arial"/>
      <w:snapToGrid/>
      <w:kern w:val="2"/>
      <w:sz w:val="21"/>
      <w:szCs w:val="21"/>
      <w:lang w:val="en-US" w:eastAsia="zh-CN" w:bidi="ar-SA"/>
    </w:rPr>
  </w:style>
  <w:style w:type="paragraph" w:customStyle="1" w:styleId="153">
    <w:name w:val="trs_editor"/>
    <w:basedOn w:val="1"/>
    <w:qFormat/>
    <w:uiPriority w:val="0"/>
    <w:pPr>
      <w:spacing w:before="100" w:beforeAutospacing="1" w:after="100" w:afterAutospacing="1"/>
    </w:pPr>
    <w:rPr>
      <w:rFonts w:ascii="宋体" w:hAnsi="宋体" w:cs="宋体"/>
    </w:rPr>
  </w:style>
  <w:style w:type="paragraph" w:customStyle="1" w:styleId="1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55">
    <w:name w:val="纯文本 Char_0"/>
    <w:link w:val="156"/>
    <w:qFormat/>
    <w:uiPriority w:val="0"/>
    <w:rPr>
      <w:rFonts w:ascii="宋体" w:hAnsi="Courier New"/>
      <w:kern w:val="2"/>
      <w:sz w:val="21"/>
      <w:szCs w:val="21"/>
    </w:rPr>
  </w:style>
  <w:style w:type="paragraph" w:customStyle="1" w:styleId="156">
    <w:name w:val="纯文本_0_0"/>
    <w:basedOn w:val="1"/>
    <w:link w:val="155"/>
    <w:qFormat/>
    <w:uiPriority w:val="0"/>
    <w:pPr>
      <w:widowControl w:val="0"/>
      <w:jc w:val="both"/>
    </w:pPr>
    <w:rPr>
      <w:rFonts w:ascii="宋体" w:hAnsi="Courier New"/>
      <w:kern w:val="2"/>
      <w:sz w:val="21"/>
      <w:szCs w:val="21"/>
    </w:rPr>
  </w:style>
  <w:style w:type="character" w:customStyle="1" w:styleId="157">
    <w:name w:val="页脚 字符2"/>
    <w:qFormat/>
    <w:locked/>
    <w:uiPriority w:val="99"/>
    <w:rPr>
      <w:kern w:val="2"/>
      <w:sz w:val="18"/>
      <w:szCs w:val="18"/>
    </w:rPr>
  </w:style>
  <w:style w:type="character" w:customStyle="1" w:styleId="158">
    <w:name w:val="页眉 字符2"/>
    <w:qFormat/>
    <w:uiPriority w:val="99"/>
    <w:rPr>
      <w:kern w:val="2"/>
      <w:sz w:val="18"/>
      <w:szCs w:val="18"/>
    </w:rPr>
  </w:style>
  <w:style w:type="character" w:customStyle="1" w:styleId="159">
    <w:name w:val="NormalCharacter"/>
    <w:qFormat/>
    <w:uiPriority w:val="0"/>
  </w:style>
  <w:style w:type="paragraph" w:customStyle="1" w:styleId="160">
    <w:name w:val="paragraph"/>
    <w:basedOn w:val="1"/>
    <w:qFormat/>
    <w:uiPriority w:val="0"/>
    <w:pPr>
      <w:spacing w:before="100" w:beforeAutospacing="1" w:after="100" w:afterAutospacing="1"/>
    </w:pPr>
    <w:rPr>
      <w:rFonts w:ascii="宋体" w:hAnsi="宋体" w:cs="宋体"/>
    </w:rPr>
  </w:style>
  <w:style w:type="paragraph" w:customStyle="1" w:styleId="161">
    <w:name w:val="列出段落2"/>
    <w:basedOn w:val="1"/>
    <w:qFormat/>
    <w:uiPriority w:val="0"/>
    <w:pPr>
      <w:ind w:firstLine="420" w:firstLineChars="200"/>
    </w:pPr>
    <w:rPr>
      <w:rFonts w:ascii="Calibri" w:hAnsi="Calibri"/>
      <w:sz w:val="21"/>
      <w:szCs w:val="21"/>
    </w:rPr>
  </w:style>
  <w:style w:type="paragraph" w:customStyle="1" w:styleId="162">
    <w:name w:val="列出段落1"/>
    <w:basedOn w:val="1"/>
    <w:qFormat/>
    <w:uiPriority w:val="0"/>
    <w:pPr>
      <w:ind w:firstLine="420" w:firstLineChars="200"/>
    </w:pPr>
  </w:style>
  <w:style w:type="paragraph" w:customStyle="1" w:styleId="163">
    <w:name w:val="_Style 1"/>
    <w:basedOn w:val="1"/>
    <w:qFormat/>
    <w:uiPriority w:val="0"/>
    <w:pPr>
      <w:widowControl w:val="0"/>
      <w:ind w:firstLine="420" w:firstLineChars="200"/>
      <w:jc w:val="both"/>
    </w:pPr>
    <w:rPr>
      <w:rFonts w:ascii="Calibri" w:hAnsi="Calibri"/>
      <w:kern w:val="2"/>
      <w:sz w:val="21"/>
      <w:szCs w:val="22"/>
    </w:rPr>
  </w:style>
  <w:style w:type="character" w:customStyle="1" w:styleId="164">
    <w:name w:val="15"/>
    <w:qFormat/>
    <w:uiPriority w:val="0"/>
    <w:rPr>
      <w:rFonts w:hint="default" w:ascii="Calibri" w:hAnsi="Calibri" w:cs="Calibri"/>
      <w:color w:val="333333"/>
      <w:sz w:val="18"/>
      <w:szCs w:val="18"/>
    </w:rPr>
  </w:style>
  <w:style w:type="paragraph" w:customStyle="1" w:styleId="16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ewe</Company>
  <Pages>89</Pages>
  <Words>8903</Words>
  <Characters>50750</Characters>
  <Lines>422</Lines>
  <Paragraphs>119</Paragraphs>
  <TotalTime>48</TotalTime>
  <ScaleCrop>false</ScaleCrop>
  <LinksUpToDate>false</LinksUpToDate>
  <CharactersWithSpaces>59534</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2022-10-12T12:07:00Z</dcterms:created>
  <dc:creator>刘</dc:creator>
  <cp:lastModifiedBy>阳光招标</cp:lastModifiedBy>
  <cp:lastPrinted>2021-04-09T04:02:00Z</cp:lastPrinted>
  <dcterms:modified xsi:type="dcterms:W3CDTF">2022-10-25T03:04:56Z</dcterms:modified>
  <dc:subject>金华监狱生活电器采购</dc:subject>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招标文件（466）">
    <vt:lpwstr>L</vt:lpwstr>
  </property>
  <property fmtid="{D5CDD505-2E9C-101B-9397-08002B2CF9AE}" pid="3" name="KSOProductBuildVer">
    <vt:lpwstr>2052-11.1.0.11544</vt:lpwstr>
  </property>
  <property fmtid="{D5CDD505-2E9C-101B-9397-08002B2CF9AE}" pid="4" name="ICV">
    <vt:lpwstr>5F2317E745F04E3FBE87A5F170B000BB</vt:lpwstr>
  </property>
</Properties>
</file>