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color w:val="000000" w:themeColor="text1"/>
          <w:sz w:val="44"/>
          <w:szCs w:val="20"/>
        </w:rPr>
      </w:pPr>
    </w:p>
    <w:p>
      <w:pPr>
        <w:spacing w:beforeLines="50"/>
        <w:jc w:val="center"/>
        <w:rPr>
          <w:rFonts w:ascii="宋体" w:hAnsi="宋体"/>
          <w:b/>
          <w:color w:val="000000" w:themeColor="text1"/>
          <w:sz w:val="48"/>
          <w:szCs w:val="48"/>
        </w:rPr>
      </w:pPr>
      <w:r>
        <w:rPr>
          <w:rFonts w:hint="eastAsia" w:ascii="宋体" w:hAnsi="宋体"/>
          <w:b/>
          <w:color w:val="000000" w:themeColor="text1"/>
          <w:sz w:val="48"/>
          <w:szCs w:val="48"/>
        </w:rPr>
        <w:t>金华市公共安全视频监控建设联网应用项目（雪亮工程）后端建设部分</w:t>
      </w:r>
    </w:p>
    <w:p>
      <w:pPr>
        <w:spacing w:beforeLines="50"/>
        <w:jc w:val="center"/>
        <w:rPr>
          <w:rFonts w:ascii="宋体" w:hAnsi="宋体"/>
          <w:b/>
          <w:color w:val="000000" w:themeColor="text1"/>
          <w:sz w:val="48"/>
          <w:szCs w:val="48"/>
        </w:rPr>
      </w:pPr>
    </w:p>
    <w:p>
      <w:pPr>
        <w:spacing w:beforeLines="50"/>
        <w:jc w:val="center"/>
        <w:rPr>
          <w:rFonts w:ascii="宋体" w:hAnsi="宋体"/>
          <w:color w:val="000000" w:themeColor="text1"/>
          <w:sz w:val="72"/>
          <w:szCs w:val="72"/>
        </w:rPr>
      </w:pPr>
      <w:r>
        <w:rPr>
          <w:rFonts w:hint="eastAsia" w:ascii="宋体" w:hAnsi="宋体"/>
          <w:color w:val="000000" w:themeColor="text1"/>
          <w:sz w:val="72"/>
          <w:szCs w:val="72"/>
        </w:rPr>
        <w:t>公开招标采购文件</w:t>
      </w:r>
    </w:p>
    <w:p>
      <w:pPr>
        <w:snapToGrid w:val="0"/>
        <w:spacing w:beforeLines="50" w:line="360" w:lineRule="auto"/>
        <w:rPr>
          <w:rFonts w:ascii="宋体" w:hAnsi="宋体"/>
          <w:color w:val="000000" w:themeColor="text1"/>
          <w:sz w:val="30"/>
          <w:szCs w:val="72"/>
        </w:rPr>
      </w:pPr>
    </w:p>
    <w:p>
      <w:pPr>
        <w:pStyle w:val="25"/>
        <w:snapToGrid w:val="0"/>
        <w:spacing w:before="120" w:after="120" w:line="360" w:lineRule="auto"/>
        <w:rPr>
          <w:rFonts w:hAnsi="宋体"/>
          <w:b/>
          <w:bCs/>
          <w:color w:val="000000" w:themeColor="text1"/>
          <w:sz w:val="30"/>
          <w:szCs w:val="30"/>
        </w:rPr>
      </w:pPr>
      <w:r>
        <w:rPr>
          <w:rFonts w:hAnsi="宋体"/>
          <w:b/>
          <w:bCs/>
          <w:color w:val="000000" w:themeColor="text1"/>
          <w:sz w:val="30"/>
          <w:szCs w:val="30"/>
        </w:rPr>
        <w:t>项目编号：</w:t>
      </w:r>
      <w:r>
        <w:rPr>
          <w:rFonts w:hint="eastAsia" w:hAnsi="宋体"/>
          <w:b/>
          <w:color w:val="000000" w:themeColor="text1"/>
          <w:kern w:val="2"/>
          <w:sz w:val="30"/>
          <w:szCs w:val="48"/>
        </w:rPr>
        <w:t>JHCG20190017A</w:t>
      </w:r>
    </w:p>
    <w:p>
      <w:pPr>
        <w:snapToGrid w:val="0"/>
        <w:spacing w:beforeLines="50" w:line="360" w:lineRule="auto"/>
        <w:rPr>
          <w:rFonts w:ascii="宋体" w:hAnsi="宋体"/>
          <w:b/>
          <w:color w:val="000000" w:themeColor="text1"/>
          <w:sz w:val="30"/>
          <w:szCs w:val="48"/>
        </w:rPr>
      </w:pPr>
      <w:r>
        <w:rPr>
          <w:rFonts w:hint="eastAsia" w:ascii="宋体" w:hAnsi="宋体"/>
          <w:b/>
          <w:color w:val="000000" w:themeColor="text1"/>
          <w:sz w:val="30"/>
          <w:szCs w:val="72"/>
        </w:rPr>
        <w:t>项目名称：</w:t>
      </w:r>
      <w:r>
        <w:rPr>
          <w:rFonts w:hint="eastAsia" w:ascii="宋体" w:hAnsi="宋体"/>
          <w:b/>
          <w:color w:val="000000" w:themeColor="text1"/>
          <w:sz w:val="30"/>
          <w:szCs w:val="48"/>
        </w:rPr>
        <w:t>金华市公共安全视频监控建设联网应用项目</w:t>
      </w:r>
    </w:p>
    <w:p>
      <w:pPr>
        <w:snapToGrid w:val="0"/>
        <w:spacing w:beforeLines="50" w:line="360" w:lineRule="auto"/>
        <w:ind w:firstLine="1343" w:firstLineChars="446"/>
        <w:rPr>
          <w:rFonts w:ascii="宋体" w:hAnsi="宋体"/>
          <w:b/>
          <w:color w:val="000000" w:themeColor="text1"/>
          <w:sz w:val="30"/>
          <w:szCs w:val="48"/>
        </w:rPr>
      </w:pPr>
      <w:r>
        <w:rPr>
          <w:rFonts w:hint="eastAsia" w:ascii="宋体" w:hAnsi="宋体"/>
          <w:b/>
          <w:color w:val="000000" w:themeColor="text1"/>
          <w:sz w:val="30"/>
          <w:szCs w:val="48"/>
        </w:rPr>
        <w:t>（雪亮工程）后端建设部分</w:t>
      </w:r>
    </w:p>
    <w:p>
      <w:pPr>
        <w:pStyle w:val="25"/>
        <w:snapToGrid w:val="0"/>
        <w:spacing w:before="120" w:after="120" w:line="360" w:lineRule="auto"/>
        <w:rPr>
          <w:rFonts w:hAnsi="宋体"/>
          <w:b/>
          <w:color w:val="000000" w:themeColor="text1"/>
          <w:sz w:val="30"/>
          <w:szCs w:val="48"/>
        </w:rPr>
      </w:pPr>
      <w:r>
        <w:rPr>
          <w:rFonts w:hAnsi="宋体"/>
          <w:b/>
          <w:bCs/>
          <w:color w:val="000000" w:themeColor="text1"/>
          <w:w w:val="95"/>
          <w:sz w:val="30"/>
          <w:szCs w:val="30"/>
        </w:rPr>
        <w:t>代理机构：</w:t>
      </w:r>
      <w:r>
        <w:rPr>
          <w:rFonts w:hint="eastAsia" w:hAnsi="宋体"/>
          <w:b/>
          <w:bCs/>
          <w:color w:val="000000" w:themeColor="text1"/>
          <w:w w:val="95"/>
          <w:sz w:val="30"/>
          <w:szCs w:val="30"/>
        </w:rPr>
        <w:t>金华市政府采购中心</w:t>
      </w:r>
    </w:p>
    <w:p>
      <w:pPr>
        <w:pStyle w:val="25"/>
        <w:snapToGrid w:val="0"/>
        <w:spacing w:before="120" w:after="120" w:line="360" w:lineRule="auto"/>
        <w:rPr>
          <w:rFonts w:hAnsi="宋体"/>
          <w:b/>
          <w:color w:val="000000" w:themeColor="text1"/>
          <w:sz w:val="30"/>
          <w:szCs w:val="48"/>
        </w:rPr>
      </w:pPr>
      <w:r>
        <w:rPr>
          <w:rFonts w:hint="eastAsia" w:hAnsi="宋体"/>
          <w:b/>
          <w:color w:val="000000" w:themeColor="text1"/>
          <w:sz w:val="30"/>
          <w:szCs w:val="48"/>
        </w:rPr>
        <w:t>开标时间：2019-6-20  09:30:00</w:t>
      </w:r>
    </w:p>
    <w:p>
      <w:pPr>
        <w:pStyle w:val="25"/>
        <w:spacing w:before="120" w:after="120" w:line="360" w:lineRule="auto"/>
        <w:jc w:val="right"/>
        <w:rPr>
          <w:rFonts w:hAnsi="宋体"/>
          <w:color w:val="000000" w:themeColor="text1"/>
        </w:rPr>
      </w:pPr>
      <w:r>
        <w:rPr>
          <w:rFonts w:hAnsi="宋体"/>
          <w:color w:val="000000" w:themeColor="text1"/>
          <w:sz w:val="28"/>
        </w:rPr>
        <w:t>201</w:t>
      </w:r>
      <w:r>
        <w:rPr>
          <w:rFonts w:hint="eastAsia" w:hAnsi="宋体"/>
          <w:color w:val="000000" w:themeColor="text1"/>
          <w:sz w:val="28"/>
        </w:rPr>
        <w:t>9</w:t>
      </w:r>
      <w:r>
        <w:rPr>
          <w:rFonts w:hAnsi="宋体"/>
          <w:color w:val="000000" w:themeColor="text1"/>
          <w:sz w:val="28"/>
        </w:rPr>
        <w:t>年</w:t>
      </w:r>
      <w:r>
        <w:rPr>
          <w:rFonts w:hAnsi="宋体"/>
          <w:color w:val="000000" w:themeColor="text1"/>
          <w:sz w:val="28"/>
        </w:rPr>
        <w:tab/>
      </w:r>
      <w:r>
        <w:rPr>
          <w:rFonts w:hint="eastAsia" w:hAnsi="宋体"/>
          <w:color w:val="000000" w:themeColor="text1"/>
          <w:sz w:val="28"/>
        </w:rPr>
        <w:t>5</w:t>
      </w:r>
      <w:r>
        <w:rPr>
          <w:rFonts w:hAnsi="宋体"/>
          <w:color w:val="000000" w:themeColor="text1"/>
          <w:sz w:val="28"/>
        </w:rPr>
        <w:t>月</w:t>
      </w:r>
      <w:r>
        <w:rPr>
          <w:rFonts w:hint="eastAsia" w:hAnsi="宋体"/>
          <w:color w:val="000000" w:themeColor="text1"/>
          <w:sz w:val="28"/>
        </w:rPr>
        <w:t>24</w:t>
      </w:r>
      <w:r>
        <w:rPr>
          <w:rFonts w:hAnsi="宋体"/>
          <w:color w:val="000000" w:themeColor="text1"/>
          <w:sz w:val="28"/>
        </w:rPr>
        <w:t>日</w:t>
      </w:r>
      <w:r>
        <w:rPr>
          <w:rFonts w:hAnsi="宋体"/>
          <w:color w:val="000000" w:themeColor="text1"/>
        </w:rPr>
        <w:br w:type="page"/>
      </w:r>
    </w:p>
    <w:p>
      <w:pPr>
        <w:pStyle w:val="25"/>
        <w:spacing w:before="120" w:after="120" w:line="360" w:lineRule="auto"/>
        <w:jc w:val="center"/>
        <w:rPr>
          <w:rFonts w:ascii="创艺简标宋" w:hAnsi="宋体" w:eastAsia="创艺简标宋"/>
          <w:color w:val="000000" w:themeColor="text1"/>
          <w:sz w:val="44"/>
          <w:szCs w:val="44"/>
        </w:rPr>
      </w:pPr>
      <w:r>
        <w:rPr>
          <w:rFonts w:hint="eastAsia" w:ascii="创艺简标宋" w:hAnsi="宋体" w:eastAsia="创艺简标宋"/>
          <w:color w:val="000000" w:themeColor="text1"/>
          <w:sz w:val="44"/>
          <w:szCs w:val="44"/>
        </w:rPr>
        <w:t>目    录</w:t>
      </w:r>
    </w:p>
    <w:p>
      <w:pPr>
        <w:numPr>
          <w:ilvl w:val="0"/>
          <w:numId w:val="3"/>
        </w:numPr>
        <w:spacing w:beforeLines="50" w:line="480" w:lineRule="exact"/>
        <w:rPr>
          <w:rFonts w:ascii="宋体" w:hAnsi="宋体"/>
          <w:color w:val="000000" w:themeColor="text1"/>
          <w:sz w:val="30"/>
          <w:szCs w:val="20"/>
        </w:rPr>
      </w:pPr>
      <w:r>
        <w:rPr>
          <w:rFonts w:hint="eastAsia" w:ascii="宋体" w:hAnsi="宋体"/>
          <w:color w:val="000000" w:themeColor="text1"/>
          <w:sz w:val="30"/>
        </w:rPr>
        <w:t>公开招标采购公告</w:t>
      </w:r>
    </w:p>
    <w:p>
      <w:pPr>
        <w:numPr>
          <w:ilvl w:val="0"/>
          <w:numId w:val="3"/>
        </w:numPr>
        <w:spacing w:beforeLines="50" w:line="480" w:lineRule="exact"/>
        <w:rPr>
          <w:rFonts w:ascii="宋体" w:hAnsi="宋体"/>
          <w:color w:val="000000" w:themeColor="text1"/>
          <w:sz w:val="30"/>
          <w:szCs w:val="20"/>
        </w:rPr>
      </w:pPr>
      <w:r>
        <w:rPr>
          <w:rFonts w:hint="eastAsia" w:ascii="宋体" w:hAnsi="宋体"/>
          <w:color w:val="000000" w:themeColor="text1"/>
          <w:sz w:val="30"/>
        </w:rPr>
        <w:t>招标需求</w:t>
      </w:r>
    </w:p>
    <w:p>
      <w:pPr>
        <w:numPr>
          <w:ilvl w:val="0"/>
          <w:numId w:val="3"/>
        </w:numPr>
        <w:spacing w:beforeLines="50" w:line="480" w:lineRule="exact"/>
        <w:rPr>
          <w:rFonts w:ascii="宋体" w:hAnsi="宋体"/>
          <w:color w:val="000000" w:themeColor="text1"/>
          <w:sz w:val="30"/>
          <w:szCs w:val="20"/>
        </w:rPr>
      </w:pPr>
      <w:r>
        <w:rPr>
          <w:rFonts w:hint="eastAsia" w:ascii="宋体" w:hAnsi="宋体"/>
          <w:color w:val="000000" w:themeColor="text1"/>
          <w:sz w:val="30"/>
        </w:rPr>
        <w:t>投标人须知</w:t>
      </w:r>
    </w:p>
    <w:p>
      <w:pPr>
        <w:numPr>
          <w:ilvl w:val="0"/>
          <w:numId w:val="3"/>
        </w:numPr>
        <w:spacing w:beforeLines="50" w:line="480" w:lineRule="exact"/>
        <w:rPr>
          <w:rFonts w:ascii="宋体" w:hAnsi="宋体"/>
          <w:color w:val="000000" w:themeColor="text1"/>
          <w:sz w:val="30"/>
          <w:szCs w:val="20"/>
        </w:rPr>
      </w:pPr>
      <w:r>
        <w:rPr>
          <w:rFonts w:hint="eastAsia" w:ascii="宋体" w:hAnsi="宋体"/>
          <w:color w:val="000000" w:themeColor="text1"/>
          <w:sz w:val="30"/>
        </w:rPr>
        <w:t>评标办法及评分标准</w:t>
      </w:r>
    </w:p>
    <w:p>
      <w:pPr>
        <w:numPr>
          <w:ilvl w:val="0"/>
          <w:numId w:val="3"/>
        </w:numPr>
        <w:spacing w:beforeLines="50" w:line="480" w:lineRule="exact"/>
        <w:rPr>
          <w:rFonts w:ascii="宋体" w:hAnsi="宋体"/>
          <w:color w:val="000000" w:themeColor="text1"/>
          <w:sz w:val="30"/>
          <w:szCs w:val="20"/>
        </w:rPr>
      </w:pPr>
      <w:r>
        <w:rPr>
          <w:rFonts w:hint="eastAsia" w:ascii="宋体" w:hAnsi="宋体"/>
          <w:color w:val="000000" w:themeColor="text1"/>
          <w:sz w:val="30"/>
        </w:rPr>
        <w:t>政府采购合同主要条款</w:t>
      </w:r>
    </w:p>
    <w:p>
      <w:pPr>
        <w:numPr>
          <w:ilvl w:val="0"/>
          <w:numId w:val="3"/>
        </w:numPr>
        <w:spacing w:beforeLines="50" w:line="480" w:lineRule="exact"/>
        <w:rPr>
          <w:rFonts w:ascii="宋体" w:hAnsi="宋体"/>
          <w:color w:val="000000" w:themeColor="text1"/>
          <w:sz w:val="30"/>
          <w:szCs w:val="20"/>
        </w:rPr>
      </w:pPr>
      <w:r>
        <w:rPr>
          <w:rFonts w:hint="eastAsia" w:ascii="宋体" w:hAnsi="宋体"/>
          <w:color w:val="000000" w:themeColor="text1"/>
          <w:sz w:val="30"/>
        </w:rPr>
        <w:t>投标文件格式</w:t>
      </w:r>
    </w:p>
    <w:p>
      <w:pPr>
        <w:pStyle w:val="25"/>
        <w:snapToGrid w:val="0"/>
        <w:spacing w:before="120" w:after="120" w:line="240" w:lineRule="auto"/>
        <w:ind w:left="1200"/>
        <w:outlineLvl w:val="0"/>
        <w:rPr>
          <w:rFonts w:hAnsi="宋体"/>
          <w:color w:val="000000" w:themeColor="text1"/>
        </w:rPr>
      </w:pPr>
    </w:p>
    <w:p>
      <w:pPr>
        <w:pStyle w:val="25"/>
        <w:pBdr>
          <w:top w:val="single" w:color="auto" w:sz="4" w:space="1"/>
          <w:left w:val="single" w:color="auto" w:sz="4" w:space="4"/>
          <w:bottom w:val="single" w:color="auto" w:sz="4" w:space="1"/>
          <w:right w:val="single" w:color="auto" w:sz="4" w:space="4"/>
        </w:pBdr>
        <w:snapToGrid w:val="0"/>
        <w:spacing w:before="120" w:after="120"/>
        <w:ind w:firstLine="482" w:firstLineChars="200"/>
        <w:jc w:val="left"/>
        <w:outlineLvl w:val="0"/>
        <w:rPr>
          <w:b/>
          <w:color w:val="000000" w:themeColor="text1"/>
        </w:rPr>
      </w:pPr>
      <w:r>
        <w:rPr>
          <w:rFonts w:hint="eastAsia"/>
          <w:b/>
          <w:color w:val="000000" w:themeColor="text1"/>
        </w:rPr>
        <w:t>为确保招投标活动的公开、公平、公正，切实维护各方合法权益，凡在招标投标、开标评标过程中，受到敲诈、勒索或发现围标串标、虚假投标、恶意竞标等涉黑涉恶线索者，请及时保留相关证据并向有关部门举报！</w:t>
      </w:r>
    </w:p>
    <w:p>
      <w:pPr>
        <w:pStyle w:val="25"/>
        <w:pBdr>
          <w:top w:val="single" w:color="auto" w:sz="4" w:space="1"/>
          <w:left w:val="single" w:color="auto" w:sz="4" w:space="4"/>
          <w:bottom w:val="single" w:color="auto" w:sz="4" w:space="1"/>
          <w:right w:val="single" w:color="auto" w:sz="4" w:space="4"/>
        </w:pBdr>
        <w:snapToGrid w:val="0"/>
        <w:spacing w:before="120" w:after="120"/>
        <w:ind w:firstLine="482" w:firstLineChars="200"/>
        <w:outlineLvl w:val="0"/>
        <w:rPr>
          <w:b/>
          <w:color w:val="000000" w:themeColor="text1"/>
        </w:rPr>
      </w:pPr>
      <w:r>
        <w:rPr>
          <w:rFonts w:hint="eastAsia"/>
          <w:b/>
          <w:color w:val="000000" w:themeColor="text1"/>
        </w:rPr>
        <w:t>举报电话：</w:t>
      </w:r>
    </w:p>
    <w:p>
      <w:pPr>
        <w:pStyle w:val="25"/>
        <w:pBdr>
          <w:top w:val="single" w:color="auto" w:sz="4" w:space="1"/>
          <w:left w:val="single" w:color="auto" w:sz="4" w:space="4"/>
          <w:bottom w:val="single" w:color="auto" w:sz="4" w:space="1"/>
          <w:right w:val="single" w:color="auto" w:sz="4" w:space="4"/>
        </w:pBdr>
        <w:snapToGrid w:val="0"/>
        <w:spacing w:before="120" w:after="120"/>
        <w:ind w:firstLine="482" w:firstLineChars="200"/>
        <w:outlineLvl w:val="0"/>
        <w:rPr>
          <w:b/>
          <w:color w:val="000000" w:themeColor="text1"/>
        </w:rPr>
      </w:pPr>
      <w:r>
        <w:rPr>
          <w:rFonts w:hint="eastAsia"/>
          <w:b/>
          <w:color w:val="000000" w:themeColor="text1"/>
        </w:rPr>
        <w:t>市扫黑办  0579-82495227</w:t>
      </w:r>
    </w:p>
    <w:p>
      <w:pPr>
        <w:pStyle w:val="25"/>
        <w:pBdr>
          <w:top w:val="single" w:color="auto" w:sz="4" w:space="1"/>
          <w:left w:val="single" w:color="auto" w:sz="4" w:space="4"/>
          <w:bottom w:val="single" w:color="auto" w:sz="4" w:space="1"/>
          <w:right w:val="single" w:color="auto" w:sz="4" w:space="4"/>
        </w:pBdr>
        <w:snapToGrid w:val="0"/>
        <w:spacing w:before="120" w:after="120"/>
        <w:ind w:firstLine="482" w:firstLineChars="200"/>
        <w:outlineLvl w:val="0"/>
        <w:rPr>
          <w:b/>
          <w:color w:val="000000" w:themeColor="text1"/>
        </w:rPr>
      </w:pPr>
      <w:r>
        <w:rPr>
          <w:rFonts w:hint="eastAsia"/>
          <w:b/>
          <w:color w:val="000000" w:themeColor="text1"/>
        </w:rPr>
        <w:t>市公安局  110、0579-82512110</w:t>
      </w:r>
    </w:p>
    <w:p>
      <w:pPr>
        <w:pStyle w:val="25"/>
        <w:pBdr>
          <w:top w:val="single" w:color="auto" w:sz="4" w:space="1"/>
          <w:left w:val="single" w:color="auto" w:sz="4" w:space="4"/>
          <w:bottom w:val="single" w:color="auto" w:sz="4" w:space="1"/>
          <w:right w:val="single" w:color="auto" w:sz="4" w:space="4"/>
        </w:pBdr>
        <w:snapToGrid w:val="0"/>
        <w:spacing w:before="120" w:after="120"/>
        <w:ind w:firstLine="482" w:firstLineChars="200"/>
        <w:outlineLvl w:val="0"/>
        <w:rPr>
          <w:b/>
          <w:color w:val="000000" w:themeColor="text1"/>
        </w:rPr>
      </w:pPr>
      <w:r>
        <w:rPr>
          <w:rFonts w:hint="eastAsia"/>
          <w:b/>
          <w:color w:val="000000" w:themeColor="text1"/>
        </w:rPr>
        <w:t>市检察院  0579-82537082</w:t>
      </w:r>
    </w:p>
    <w:p>
      <w:pPr>
        <w:pStyle w:val="25"/>
        <w:pBdr>
          <w:top w:val="single" w:color="auto" w:sz="4" w:space="1"/>
          <w:left w:val="single" w:color="auto" w:sz="4" w:space="4"/>
          <w:bottom w:val="single" w:color="auto" w:sz="4" w:space="1"/>
          <w:right w:val="single" w:color="auto" w:sz="4" w:space="4"/>
        </w:pBdr>
        <w:snapToGrid w:val="0"/>
        <w:spacing w:before="120" w:after="120"/>
        <w:ind w:firstLine="482" w:firstLineChars="200"/>
        <w:outlineLvl w:val="0"/>
        <w:rPr>
          <w:b/>
          <w:color w:val="000000" w:themeColor="text1"/>
        </w:rPr>
      </w:pPr>
      <w:r>
        <w:rPr>
          <w:rFonts w:hint="eastAsia"/>
          <w:b/>
          <w:color w:val="000000" w:themeColor="text1"/>
        </w:rPr>
        <w:t>市 法 院  0579-82688725</w:t>
      </w:r>
    </w:p>
    <w:p>
      <w:pPr>
        <w:pStyle w:val="25"/>
        <w:pBdr>
          <w:top w:val="single" w:color="auto" w:sz="4" w:space="1"/>
          <w:left w:val="single" w:color="auto" w:sz="4" w:space="4"/>
          <w:bottom w:val="single" w:color="auto" w:sz="4" w:space="1"/>
          <w:right w:val="single" w:color="auto" w:sz="4" w:space="4"/>
        </w:pBdr>
        <w:snapToGrid w:val="0"/>
        <w:spacing w:before="120" w:after="120"/>
        <w:ind w:firstLine="482" w:firstLineChars="200"/>
        <w:outlineLvl w:val="0"/>
        <w:rPr>
          <w:b/>
          <w:color w:val="000000" w:themeColor="text1"/>
        </w:rPr>
      </w:pPr>
      <w:r>
        <w:rPr>
          <w:rFonts w:hint="eastAsia"/>
          <w:b/>
          <w:color w:val="000000" w:themeColor="text1"/>
        </w:rPr>
        <w:t>市公共资源办  0579-82469285</w:t>
      </w:r>
    </w:p>
    <w:p>
      <w:pPr>
        <w:pStyle w:val="25"/>
        <w:pBdr>
          <w:top w:val="single" w:color="auto" w:sz="4" w:space="1"/>
          <w:left w:val="single" w:color="auto" w:sz="4" w:space="4"/>
          <w:bottom w:val="single" w:color="auto" w:sz="4" w:space="1"/>
          <w:right w:val="single" w:color="auto" w:sz="4" w:space="4"/>
        </w:pBdr>
        <w:snapToGrid w:val="0"/>
        <w:spacing w:before="120" w:after="120" w:line="240" w:lineRule="auto"/>
        <w:ind w:firstLine="482" w:firstLineChars="200"/>
        <w:outlineLvl w:val="0"/>
        <w:rPr>
          <w:b/>
          <w:color w:val="000000" w:themeColor="text1"/>
        </w:rPr>
      </w:pPr>
      <w:r>
        <w:rPr>
          <w:rFonts w:hint="eastAsia"/>
          <w:b/>
          <w:color w:val="000000" w:themeColor="text1"/>
        </w:rPr>
        <w:t>市公共资源交易中心  0579-83187211</w:t>
      </w:r>
    </w:p>
    <w:p>
      <w:pPr>
        <w:pStyle w:val="25"/>
        <w:numPr>
          <w:ilvl w:val="0"/>
          <w:numId w:val="1"/>
        </w:numPr>
        <w:snapToGrid w:val="0"/>
        <w:spacing w:before="120" w:after="120" w:line="240" w:lineRule="auto"/>
        <w:jc w:val="center"/>
        <w:outlineLvl w:val="0"/>
        <w:rPr>
          <w:rFonts w:ascii="黑体" w:hAnsi="宋体" w:eastAsia="黑体"/>
          <w:color w:val="000000" w:themeColor="text1"/>
          <w:sz w:val="30"/>
          <w:szCs w:val="30"/>
        </w:rPr>
      </w:pPr>
      <w:r>
        <w:rPr>
          <w:color w:val="000000" w:themeColor="text1"/>
        </w:rPr>
        <w:br w:type="page"/>
      </w:r>
      <w:r>
        <w:rPr>
          <w:rFonts w:hint="eastAsia" w:ascii="黑体" w:hAnsi="宋体" w:eastAsia="黑体"/>
          <w:color w:val="000000" w:themeColor="text1"/>
          <w:sz w:val="30"/>
          <w:szCs w:val="30"/>
        </w:rPr>
        <w:t>公开招标采购公告</w:t>
      </w:r>
    </w:p>
    <w:p>
      <w:pPr>
        <w:rPr>
          <w:color w:val="000000" w:themeColor="text1"/>
        </w:rPr>
      </w:pPr>
    </w:p>
    <w:p>
      <w:pPr>
        <w:pStyle w:val="61"/>
        <w:widowControl w:val="0"/>
        <w:spacing w:afterLines="0" w:line="360" w:lineRule="auto"/>
        <w:ind w:firstLine="480"/>
        <w:jc w:val="left"/>
        <w:rPr>
          <w:rFonts w:ascii="宋体" w:hAnsi="宋体"/>
          <w:color w:val="000000" w:themeColor="text1"/>
          <w:szCs w:val="24"/>
        </w:rPr>
      </w:pPr>
      <w:r>
        <w:rPr>
          <w:rFonts w:hint="eastAsia" w:ascii="宋体" w:hAnsi="宋体"/>
          <w:color w:val="000000" w:themeColor="text1"/>
          <w:szCs w:val="24"/>
        </w:rPr>
        <w:t>根据</w:t>
      </w:r>
      <w:r>
        <w:rPr>
          <w:rFonts w:hint="eastAsia" w:ascii="宋体" w:hAnsi="宋体"/>
          <w:color w:val="000000" w:themeColor="text1"/>
          <w:szCs w:val="24"/>
          <w:u w:val="single"/>
        </w:rPr>
        <w:t>《中华人民共和国政府采购法》、《中华人民共和国政府采购实施条例》、《政府采购货物和服务招标投标管理办法》</w:t>
      </w:r>
      <w:r>
        <w:rPr>
          <w:rFonts w:hint="eastAsia" w:ascii="宋体" w:hAnsi="宋体"/>
          <w:color w:val="000000" w:themeColor="text1"/>
          <w:szCs w:val="24"/>
        </w:rPr>
        <w:t>（</w:t>
      </w:r>
      <w:r>
        <w:rPr>
          <w:rFonts w:hint="eastAsia" w:ascii="宋体" w:hAnsi="宋体"/>
          <w:b/>
          <w:bCs/>
          <w:color w:val="000000" w:themeColor="text1"/>
          <w:szCs w:val="24"/>
        </w:rPr>
        <w:t>注：</w:t>
      </w:r>
      <w:r>
        <w:rPr>
          <w:rFonts w:hint="eastAsia" w:ascii="宋体" w:hAnsi="宋体"/>
          <w:color w:val="000000" w:themeColor="text1"/>
          <w:szCs w:val="24"/>
        </w:rPr>
        <w:t>基建工程、经批准采购进口机电产品的项目，应注明相关法律依据）等规定，经</w:t>
      </w:r>
      <w:r>
        <w:rPr>
          <w:rFonts w:hint="eastAsia" w:ascii="宋体" w:hAnsi="宋体"/>
          <w:color w:val="000000" w:themeColor="text1"/>
          <w:szCs w:val="24"/>
          <w:u w:val="single"/>
        </w:rPr>
        <w:t>财采确[2019]1942</w:t>
      </w:r>
      <w:r>
        <w:rPr>
          <w:rFonts w:ascii="宋体" w:hAnsi="宋体"/>
          <w:color w:val="000000" w:themeColor="text1"/>
          <w:szCs w:val="24"/>
          <w:u w:val="single"/>
        </w:rPr>
        <w:t>号</w:t>
      </w:r>
      <w:r>
        <w:rPr>
          <w:rFonts w:hint="eastAsia" w:ascii="宋体" w:hAnsi="宋体"/>
          <w:color w:val="000000" w:themeColor="text1"/>
          <w:szCs w:val="24"/>
        </w:rPr>
        <w:t>批准，现就金华市公共安全视频监控建设联网应用项目（雪亮工程）后端建设部分</w:t>
      </w:r>
      <w:r>
        <w:rPr>
          <w:rFonts w:ascii="宋体" w:hAnsi="宋体"/>
          <w:color w:val="000000" w:themeColor="text1"/>
          <w:szCs w:val="24"/>
        </w:rPr>
        <w:t>进行公开招标采购，</w:t>
      </w:r>
      <w:r>
        <w:rPr>
          <w:rFonts w:hint="eastAsia" w:ascii="宋体" w:hAnsi="宋体"/>
          <w:color w:val="000000" w:themeColor="text1"/>
        </w:rPr>
        <w:t>欢迎提供本国货物、服务的生产制造厂商或其合格代理商前来投标</w:t>
      </w:r>
      <w:r>
        <w:rPr>
          <w:rFonts w:hint="eastAsia" w:ascii="宋体" w:hAnsi="宋体"/>
          <w:color w:val="000000" w:themeColor="text1"/>
          <w:szCs w:val="24"/>
        </w:rPr>
        <w:t>：</w:t>
      </w:r>
    </w:p>
    <w:p>
      <w:pPr>
        <w:pStyle w:val="59"/>
        <w:numPr>
          <w:ilvl w:val="0"/>
          <w:numId w:val="2"/>
        </w:numPr>
        <w:spacing w:line="360" w:lineRule="auto"/>
        <w:ind w:left="0" w:firstLine="0" w:firstLineChars="0"/>
        <w:rPr>
          <w:rFonts w:ascii="宋体" w:hAnsi="宋体" w:cs="Arial"/>
          <w:b/>
          <w:color w:val="000000" w:themeColor="text1"/>
          <w:sz w:val="24"/>
        </w:rPr>
      </w:pPr>
      <w:r>
        <w:rPr>
          <w:rFonts w:hint="eastAsia" w:ascii="宋体" w:hAnsi="宋体" w:cs="Arial"/>
          <w:b/>
          <w:color w:val="000000" w:themeColor="text1"/>
          <w:sz w:val="24"/>
        </w:rPr>
        <w:t>项目编号：JHCG20190017A</w:t>
      </w:r>
    </w:p>
    <w:p>
      <w:pPr>
        <w:pStyle w:val="59"/>
        <w:numPr>
          <w:ilvl w:val="0"/>
          <w:numId w:val="2"/>
        </w:numPr>
        <w:spacing w:line="360" w:lineRule="auto"/>
        <w:ind w:firstLineChars="0"/>
        <w:rPr>
          <w:rFonts w:ascii="宋体" w:hAnsi="宋体" w:cs="Arial"/>
          <w:color w:val="000000" w:themeColor="text1"/>
          <w:sz w:val="24"/>
        </w:rPr>
      </w:pPr>
      <w:r>
        <w:rPr>
          <w:rFonts w:hint="eastAsia" w:ascii="宋体" w:hAnsi="宋体" w:cs="Arial"/>
          <w:b/>
          <w:color w:val="000000" w:themeColor="text1"/>
          <w:sz w:val="24"/>
        </w:rPr>
        <w:t>采购组织类型：集中采购</w:t>
      </w:r>
    </w:p>
    <w:p>
      <w:pPr>
        <w:pStyle w:val="59"/>
        <w:numPr>
          <w:ilvl w:val="0"/>
          <w:numId w:val="2"/>
        </w:numPr>
        <w:spacing w:line="360" w:lineRule="auto"/>
        <w:ind w:firstLineChars="0"/>
        <w:rPr>
          <w:rFonts w:ascii="宋体" w:hAnsi="宋体" w:cs="Arial"/>
          <w:b/>
          <w:color w:val="000000" w:themeColor="text1"/>
          <w:sz w:val="24"/>
          <w:szCs w:val="32"/>
        </w:rPr>
      </w:pPr>
      <w:r>
        <w:rPr>
          <w:rFonts w:hint="eastAsia" w:ascii="宋体" w:hAnsi="宋体" w:cs="Arial"/>
          <w:b/>
          <w:color w:val="000000" w:themeColor="text1"/>
          <w:sz w:val="24"/>
        </w:rPr>
        <w:t>招标项目概况（内容、用途、数量、简要技术要求等）:</w:t>
      </w:r>
    </w:p>
    <w:p>
      <w:pPr>
        <w:pStyle w:val="42"/>
        <w:shd w:val="clear" w:color="auto" w:fill="FFFFFF"/>
        <w:rPr>
          <w:rFonts w:cs="Arial"/>
          <w:b/>
          <w:color w:val="000000" w:themeColor="text1"/>
        </w:rPr>
      </w:pPr>
      <w:bookmarkStart w:id="0" w:name="标段信息"/>
      <w:bookmarkEnd w:id="0"/>
    </w:p>
    <w:tbl>
      <w:tblPr>
        <w:tblStyle w:val="53"/>
        <w:tblW w:w="7413"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027"/>
        <w:gridCol w:w="850"/>
        <w:gridCol w:w="723"/>
        <w:gridCol w:w="1200"/>
        <w:gridCol w:w="1488"/>
        <w:gridCol w:w="112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00" w:hRule="atLeast"/>
          <w:jc w:val="center"/>
        </w:trPr>
        <w:tc>
          <w:tcPr>
            <w:tcW w:w="2027" w:type="dxa"/>
            <w:shd w:val="clear" w:color="auto" w:fill="auto"/>
          </w:tcPr>
          <w:p>
            <w:pPr>
              <w:pStyle w:val="42"/>
              <w:jc w:val="center"/>
              <w:rPr>
                <w:rFonts w:cs="Arial"/>
                <w:b/>
                <w:color w:val="000000" w:themeColor="text1"/>
                <w:kern w:val="2"/>
              </w:rPr>
            </w:pPr>
            <w:r>
              <w:rPr>
                <w:rFonts w:hint="eastAsia" w:cs="Arial"/>
                <w:b/>
                <w:color w:val="000000" w:themeColor="text1"/>
                <w:kern w:val="2"/>
              </w:rPr>
              <w:t>标项内容</w:t>
            </w:r>
          </w:p>
        </w:tc>
        <w:tc>
          <w:tcPr>
            <w:tcW w:w="850" w:type="dxa"/>
            <w:shd w:val="clear" w:color="auto" w:fill="auto"/>
          </w:tcPr>
          <w:p>
            <w:pPr>
              <w:pStyle w:val="42"/>
              <w:jc w:val="center"/>
              <w:rPr>
                <w:rFonts w:cs="Arial"/>
                <w:b/>
                <w:color w:val="000000" w:themeColor="text1"/>
                <w:kern w:val="2"/>
              </w:rPr>
            </w:pPr>
            <w:r>
              <w:rPr>
                <w:rFonts w:hint="eastAsia" w:cs="Arial"/>
                <w:b/>
                <w:color w:val="000000" w:themeColor="text1"/>
                <w:kern w:val="2"/>
              </w:rPr>
              <w:t>数量</w:t>
            </w:r>
          </w:p>
        </w:tc>
        <w:tc>
          <w:tcPr>
            <w:tcW w:w="723" w:type="dxa"/>
            <w:shd w:val="clear" w:color="auto" w:fill="auto"/>
          </w:tcPr>
          <w:p>
            <w:pPr>
              <w:pStyle w:val="42"/>
              <w:jc w:val="center"/>
              <w:rPr>
                <w:rFonts w:cs="Arial"/>
                <w:b/>
                <w:color w:val="000000" w:themeColor="text1"/>
                <w:kern w:val="2"/>
              </w:rPr>
            </w:pPr>
            <w:r>
              <w:rPr>
                <w:rFonts w:hint="eastAsia" w:cs="Arial"/>
                <w:b/>
                <w:color w:val="000000" w:themeColor="text1"/>
                <w:kern w:val="2"/>
              </w:rPr>
              <w:t>单位</w:t>
            </w:r>
          </w:p>
        </w:tc>
        <w:tc>
          <w:tcPr>
            <w:tcW w:w="1200" w:type="dxa"/>
            <w:shd w:val="clear" w:color="auto" w:fill="auto"/>
          </w:tcPr>
          <w:p>
            <w:pPr>
              <w:pStyle w:val="42"/>
              <w:jc w:val="center"/>
              <w:rPr>
                <w:rFonts w:cs="Arial"/>
                <w:b/>
                <w:color w:val="000000" w:themeColor="text1"/>
                <w:kern w:val="2"/>
              </w:rPr>
            </w:pPr>
            <w:r>
              <w:rPr>
                <w:rFonts w:hint="eastAsia" w:cs="Arial"/>
                <w:b/>
                <w:color w:val="000000" w:themeColor="text1"/>
                <w:kern w:val="2"/>
              </w:rPr>
              <w:t>标项总金额</w:t>
            </w:r>
            <w:r>
              <w:rPr>
                <w:rFonts w:cs="Arial"/>
                <w:b/>
                <w:color w:val="000000" w:themeColor="text1"/>
                <w:kern w:val="2"/>
              </w:rPr>
              <w:t>(</w:t>
            </w:r>
            <w:r>
              <w:rPr>
                <w:rFonts w:hint="eastAsia" w:cs="Arial"/>
                <w:b/>
                <w:color w:val="000000" w:themeColor="text1"/>
                <w:kern w:val="2"/>
              </w:rPr>
              <w:t>万</w:t>
            </w:r>
            <w:r>
              <w:rPr>
                <w:rFonts w:cs="Arial"/>
                <w:b/>
                <w:color w:val="000000" w:themeColor="text1"/>
                <w:kern w:val="2"/>
              </w:rPr>
              <w:t>元)</w:t>
            </w:r>
          </w:p>
        </w:tc>
        <w:tc>
          <w:tcPr>
            <w:tcW w:w="1488" w:type="dxa"/>
            <w:shd w:val="clear" w:color="auto" w:fill="auto"/>
          </w:tcPr>
          <w:p>
            <w:pPr>
              <w:pStyle w:val="42"/>
              <w:jc w:val="center"/>
              <w:rPr>
                <w:rFonts w:cs="Arial"/>
                <w:b/>
                <w:color w:val="000000" w:themeColor="text1"/>
                <w:kern w:val="2"/>
              </w:rPr>
            </w:pPr>
            <w:r>
              <w:rPr>
                <w:rFonts w:hint="eastAsia" w:cs="Arial"/>
                <w:b/>
                <w:color w:val="000000" w:themeColor="text1"/>
                <w:kern w:val="2"/>
              </w:rPr>
              <w:t>简要技术要求、用途</w:t>
            </w:r>
          </w:p>
        </w:tc>
        <w:tc>
          <w:tcPr>
            <w:tcW w:w="1125" w:type="dxa"/>
            <w:shd w:val="clear" w:color="auto" w:fill="auto"/>
          </w:tcPr>
          <w:p>
            <w:pPr>
              <w:pStyle w:val="42"/>
              <w:jc w:val="center"/>
              <w:rPr>
                <w:rFonts w:cs="Arial"/>
                <w:b/>
                <w:color w:val="000000" w:themeColor="text1"/>
                <w:kern w:val="2"/>
              </w:rPr>
            </w:pPr>
            <w:r>
              <w:rPr>
                <w:rFonts w:hint="eastAsia" w:cs="Arial"/>
                <w:b/>
                <w:color w:val="000000" w:themeColor="text1"/>
                <w:kern w:val="2"/>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00" w:hRule="atLeast"/>
          <w:jc w:val="center"/>
        </w:trPr>
        <w:tc>
          <w:tcPr>
            <w:tcW w:w="2027" w:type="dxa"/>
            <w:shd w:val="clear" w:color="auto" w:fill="auto"/>
          </w:tcPr>
          <w:p>
            <w:pPr>
              <w:pStyle w:val="42"/>
              <w:rPr>
                <w:rFonts w:cs="Arial"/>
                <w:b/>
                <w:color w:val="000000" w:themeColor="text1"/>
                <w:kern w:val="2"/>
              </w:rPr>
            </w:pPr>
            <w:r>
              <w:rPr>
                <w:rFonts w:hint="eastAsia"/>
                <w:color w:val="000000" w:themeColor="text1"/>
              </w:rPr>
              <w:t>金华市公共安全视频监控建设联网应用项目（雪亮工程）后端建设部分</w:t>
            </w:r>
          </w:p>
        </w:tc>
        <w:tc>
          <w:tcPr>
            <w:tcW w:w="850" w:type="dxa"/>
            <w:shd w:val="clear" w:color="auto" w:fill="auto"/>
          </w:tcPr>
          <w:p>
            <w:pPr>
              <w:pStyle w:val="42"/>
              <w:jc w:val="center"/>
              <w:rPr>
                <w:rFonts w:cs="Arial"/>
                <w:b/>
                <w:color w:val="000000" w:themeColor="text1"/>
                <w:kern w:val="2"/>
              </w:rPr>
            </w:pPr>
            <w:r>
              <w:rPr>
                <w:rFonts w:hint="eastAsia" w:cs="Arial"/>
                <w:b/>
                <w:color w:val="000000" w:themeColor="text1"/>
                <w:kern w:val="2"/>
              </w:rPr>
              <w:t>1</w:t>
            </w:r>
          </w:p>
        </w:tc>
        <w:tc>
          <w:tcPr>
            <w:tcW w:w="723" w:type="dxa"/>
            <w:shd w:val="clear" w:color="auto" w:fill="auto"/>
          </w:tcPr>
          <w:p>
            <w:pPr>
              <w:pStyle w:val="42"/>
              <w:ind w:firstLine="241" w:firstLineChars="100"/>
              <w:rPr>
                <w:rFonts w:cs="Arial"/>
                <w:b/>
                <w:color w:val="000000" w:themeColor="text1"/>
                <w:kern w:val="2"/>
                <w:lang w:val="en-GB"/>
              </w:rPr>
            </w:pPr>
            <w:r>
              <w:rPr>
                <w:rFonts w:hint="eastAsia" w:cs="Arial"/>
                <w:b/>
                <w:color w:val="000000" w:themeColor="text1"/>
                <w:kern w:val="2"/>
                <w:lang w:val="en-GB"/>
              </w:rPr>
              <w:t>批</w:t>
            </w:r>
          </w:p>
        </w:tc>
        <w:tc>
          <w:tcPr>
            <w:tcW w:w="1200" w:type="dxa"/>
            <w:shd w:val="clear" w:color="auto" w:fill="auto"/>
          </w:tcPr>
          <w:p>
            <w:pPr>
              <w:pStyle w:val="42"/>
              <w:jc w:val="center"/>
              <w:rPr>
                <w:rFonts w:cs="Arial"/>
                <w:b/>
                <w:color w:val="000000" w:themeColor="text1"/>
                <w:kern w:val="2"/>
              </w:rPr>
            </w:pPr>
            <w:r>
              <w:rPr>
                <w:rFonts w:hint="eastAsia" w:cs="Arial"/>
                <w:b/>
                <w:color w:val="000000" w:themeColor="text1"/>
                <w:kern w:val="2"/>
              </w:rPr>
              <w:t>15720.49万元</w:t>
            </w:r>
          </w:p>
        </w:tc>
        <w:tc>
          <w:tcPr>
            <w:tcW w:w="1488" w:type="dxa"/>
            <w:shd w:val="clear" w:color="auto" w:fill="auto"/>
          </w:tcPr>
          <w:p>
            <w:pPr>
              <w:pStyle w:val="42"/>
              <w:jc w:val="center"/>
              <w:rPr>
                <w:rFonts w:cs="Arial"/>
                <w:b/>
                <w:color w:val="000000" w:themeColor="text1"/>
                <w:kern w:val="2"/>
              </w:rPr>
            </w:pPr>
            <w:r>
              <w:rPr>
                <w:rFonts w:hint="eastAsia" w:cs="Arial"/>
                <w:b/>
                <w:color w:val="000000" w:themeColor="text1"/>
                <w:kern w:val="2"/>
              </w:rPr>
              <w:t>详见参数</w:t>
            </w:r>
          </w:p>
        </w:tc>
        <w:tc>
          <w:tcPr>
            <w:tcW w:w="1125" w:type="dxa"/>
            <w:shd w:val="clear" w:color="auto" w:fill="auto"/>
          </w:tcPr>
          <w:p>
            <w:pPr>
              <w:pStyle w:val="42"/>
              <w:jc w:val="center"/>
              <w:rPr>
                <w:rFonts w:cs="Arial"/>
                <w:b/>
                <w:color w:val="000000" w:themeColor="text1"/>
                <w:kern w:val="2"/>
              </w:rPr>
            </w:pPr>
          </w:p>
        </w:tc>
      </w:tr>
    </w:tbl>
    <w:p>
      <w:pPr>
        <w:pStyle w:val="42"/>
        <w:shd w:val="clear" w:color="auto" w:fill="FFFFFF"/>
        <w:rPr>
          <w:color w:val="000000" w:themeColor="text1"/>
          <w:sz w:val="36"/>
          <w:szCs w:val="36"/>
        </w:rPr>
      </w:pPr>
    </w:p>
    <w:p>
      <w:pPr>
        <w:pStyle w:val="59"/>
        <w:numPr>
          <w:ilvl w:val="0"/>
          <w:numId w:val="2"/>
        </w:numPr>
        <w:spacing w:line="360" w:lineRule="auto"/>
        <w:ind w:firstLineChars="0"/>
        <w:rPr>
          <w:rFonts w:ascii="宋体" w:hAnsi="宋体" w:cs="Arial"/>
          <w:b/>
          <w:color w:val="000000" w:themeColor="text1"/>
          <w:sz w:val="24"/>
        </w:rPr>
      </w:pPr>
      <w:bookmarkStart w:id="1" w:name="B17_备注"/>
      <w:bookmarkEnd w:id="1"/>
      <w:r>
        <w:rPr>
          <w:rFonts w:hint="eastAsia" w:ascii="宋体" w:hAnsi="宋体" w:cs="Arial"/>
          <w:b/>
          <w:color w:val="000000" w:themeColor="text1"/>
          <w:sz w:val="24"/>
        </w:rPr>
        <w:t>投标人资格要求</w:t>
      </w:r>
    </w:p>
    <w:p>
      <w:pPr>
        <w:snapToGrid w:val="0"/>
        <w:spacing w:line="360" w:lineRule="auto"/>
        <w:ind w:firstLine="540" w:firstLineChars="225"/>
        <w:rPr>
          <w:rFonts w:ascii="宋体" w:hAnsi="宋体" w:cs="Arial"/>
          <w:color w:val="000000" w:themeColor="text1"/>
          <w:sz w:val="24"/>
        </w:rPr>
      </w:pPr>
      <w:r>
        <w:rPr>
          <w:rFonts w:hint="eastAsia" w:ascii="宋体" w:hAnsi="宋体" w:cs="Arial"/>
          <w:color w:val="000000" w:themeColor="text1"/>
          <w:sz w:val="24"/>
        </w:rPr>
        <w:t>（一）符合《中华人民共和国政府采购法》第二十二条规定的投标人资格条件：</w:t>
      </w:r>
    </w:p>
    <w:p>
      <w:pPr>
        <w:snapToGrid w:val="0"/>
        <w:spacing w:line="360" w:lineRule="auto"/>
        <w:ind w:firstLine="540" w:firstLineChars="225"/>
        <w:rPr>
          <w:rFonts w:ascii="宋体" w:hAnsi="宋体" w:cs="Arial"/>
          <w:color w:val="000000" w:themeColor="text1"/>
          <w:sz w:val="24"/>
        </w:rPr>
      </w:pPr>
      <w:r>
        <w:rPr>
          <w:rFonts w:hint="eastAsia" w:ascii="宋体" w:hAnsi="宋体" w:cs="Arial"/>
          <w:color w:val="000000" w:themeColor="text1"/>
          <w:sz w:val="24"/>
        </w:rPr>
        <w:t>1.</w:t>
      </w:r>
      <w:r>
        <w:rPr>
          <w:rFonts w:ascii="宋体" w:hAnsi="宋体" w:cs="Arial"/>
          <w:color w:val="000000" w:themeColor="text1"/>
          <w:sz w:val="24"/>
        </w:rPr>
        <w:t>具有独立承担民事责任的能力；</w:t>
      </w:r>
    </w:p>
    <w:p>
      <w:pPr>
        <w:snapToGrid w:val="0"/>
        <w:spacing w:line="360" w:lineRule="auto"/>
        <w:ind w:firstLine="540" w:firstLineChars="225"/>
        <w:rPr>
          <w:rFonts w:ascii="宋体" w:hAnsi="宋体" w:cs="Arial"/>
          <w:color w:val="000000" w:themeColor="text1"/>
          <w:sz w:val="24"/>
        </w:rPr>
      </w:pPr>
      <w:r>
        <w:rPr>
          <w:rFonts w:hint="eastAsia" w:ascii="宋体" w:hAnsi="宋体" w:cs="Arial"/>
          <w:color w:val="000000" w:themeColor="text1"/>
          <w:sz w:val="24"/>
        </w:rPr>
        <w:t>2.</w:t>
      </w:r>
      <w:r>
        <w:rPr>
          <w:rFonts w:ascii="宋体" w:hAnsi="宋体" w:cs="Arial"/>
          <w:color w:val="000000" w:themeColor="text1"/>
          <w:sz w:val="24"/>
        </w:rPr>
        <w:t>具有良好的商业信誉和健全的财务会计制度；</w:t>
      </w:r>
    </w:p>
    <w:p>
      <w:pPr>
        <w:snapToGrid w:val="0"/>
        <w:spacing w:line="360" w:lineRule="auto"/>
        <w:ind w:firstLine="540" w:firstLineChars="225"/>
        <w:rPr>
          <w:rFonts w:ascii="宋体" w:hAnsi="宋体" w:cs="Arial"/>
          <w:color w:val="000000" w:themeColor="text1"/>
          <w:sz w:val="24"/>
        </w:rPr>
      </w:pPr>
      <w:r>
        <w:rPr>
          <w:rFonts w:hint="eastAsia" w:ascii="宋体" w:hAnsi="宋体" w:cs="Arial"/>
          <w:color w:val="000000" w:themeColor="text1"/>
          <w:sz w:val="24"/>
        </w:rPr>
        <w:t>3.</w:t>
      </w:r>
      <w:r>
        <w:rPr>
          <w:rFonts w:ascii="宋体" w:hAnsi="宋体" w:cs="Arial"/>
          <w:color w:val="000000" w:themeColor="text1"/>
          <w:sz w:val="24"/>
        </w:rPr>
        <w:t>具有履行合同所必需的设备和专业技术能力；</w:t>
      </w:r>
    </w:p>
    <w:p>
      <w:pPr>
        <w:snapToGrid w:val="0"/>
        <w:spacing w:line="360" w:lineRule="auto"/>
        <w:ind w:firstLine="540" w:firstLineChars="225"/>
        <w:rPr>
          <w:rFonts w:ascii="宋体" w:hAnsi="宋体" w:cs="Arial"/>
          <w:color w:val="000000" w:themeColor="text1"/>
          <w:sz w:val="24"/>
        </w:rPr>
      </w:pPr>
      <w:r>
        <w:rPr>
          <w:rFonts w:hint="eastAsia" w:ascii="宋体" w:hAnsi="宋体" w:cs="Arial"/>
          <w:color w:val="000000" w:themeColor="text1"/>
          <w:sz w:val="24"/>
        </w:rPr>
        <w:t>4.</w:t>
      </w:r>
      <w:r>
        <w:rPr>
          <w:rFonts w:ascii="宋体" w:hAnsi="宋体" w:cs="Arial"/>
          <w:color w:val="000000" w:themeColor="text1"/>
          <w:sz w:val="24"/>
        </w:rPr>
        <w:t>有依法缴纳税收和社会保障资金的良好记录；</w:t>
      </w:r>
    </w:p>
    <w:p>
      <w:pPr>
        <w:snapToGrid w:val="0"/>
        <w:spacing w:line="360" w:lineRule="auto"/>
        <w:ind w:firstLine="540" w:firstLineChars="225"/>
        <w:rPr>
          <w:rFonts w:ascii="宋体" w:hAnsi="宋体" w:cs="Arial"/>
          <w:color w:val="000000" w:themeColor="text1"/>
          <w:sz w:val="24"/>
        </w:rPr>
      </w:pPr>
      <w:r>
        <w:rPr>
          <w:rFonts w:hint="eastAsia" w:ascii="宋体" w:hAnsi="宋体" w:cs="Arial"/>
          <w:color w:val="000000" w:themeColor="text1"/>
          <w:sz w:val="24"/>
        </w:rPr>
        <w:t>5.</w:t>
      </w:r>
      <w:r>
        <w:rPr>
          <w:rFonts w:ascii="宋体" w:hAnsi="宋体" w:cs="Arial"/>
          <w:color w:val="000000" w:themeColor="text1"/>
          <w:sz w:val="24"/>
        </w:rPr>
        <w:t>参加政府采购活动前三年内，在经营活动中没有重大违法记录；</w:t>
      </w:r>
    </w:p>
    <w:p>
      <w:pPr>
        <w:snapToGrid w:val="0"/>
        <w:spacing w:line="360" w:lineRule="auto"/>
        <w:ind w:firstLine="540" w:firstLineChars="225"/>
        <w:rPr>
          <w:rFonts w:ascii="宋体" w:hAnsi="宋体" w:cs="Arial"/>
          <w:color w:val="000000" w:themeColor="text1"/>
          <w:sz w:val="24"/>
        </w:rPr>
      </w:pPr>
      <w:r>
        <w:rPr>
          <w:rFonts w:hint="eastAsia" w:ascii="宋体" w:hAnsi="宋体" w:cs="Arial"/>
          <w:color w:val="000000" w:themeColor="text1"/>
          <w:sz w:val="24"/>
        </w:rPr>
        <w:t>6.</w:t>
      </w:r>
      <w:r>
        <w:rPr>
          <w:rFonts w:ascii="宋体" w:hAnsi="宋体" w:cs="Arial"/>
          <w:color w:val="000000" w:themeColor="text1"/>
          <w:sz w:val="24"/>
        </w:rPr>
        <w:t>法律、行政法规规定的其他条件；</w:t>
      </w:r>
    </w:p>
    <w:p>
      <w:pPr>
        <w:snapToGrid w:val="0"/>
        <w:spacing w:line="360" w:lineRule="auto"/>
        <w:ind w:firstLine="540" w:firstLineChars="225"/>
        <w:rPr>
          <w:rFonts w:ascii="宋体" w:hAnsi="宋体" w:cs="Arial"/>
          <w:color w:val="000000" w:themeColor="text1"/>
          <w:sz w:val="24"/>
        </w:rPr>
      </w:pPr>
      <w:r>
        <w:rPr>
          <w:rFonts w:hint="eastAsia" w:ascii="宋体" w:hAnsi="宋体" w:cs="Arial"/>
          <w:color w:val="000000" w:themeColor="text1"/>
          <w:sz w:val="24"/>
        </w:rPr>
        <w:t>（二）本项目特定条件：无</w:t>
      </w:r>
    </w:p>
    <w:p>
      <w:pPr>
        <w:snapToGrid w:val="0"/>
        <w:spacing w:line="360" w:lineRule="auto"/>
        <w:ind w:firstLine="540" w:firstLineChars="225"/>
        <w:rPr>
          <w:rFonts w:ascii="宋体" w:hAnsi="宋体" w:cs="Arial"/>
          <w:color w:val="000000" w:themeColor="text1"/>
          <w:sz w:val="24"/>
        </w:rPr>
      </w:pPr>
      <w:r>
        <w:rPr>
          <w:rFonts w:hint="eastAsia" w:ascii="宋体" w:hAnsi="宋体" w:cs="Arial"/>
          <w:color w:val="000000" w:themeColor="text1"/>
          <w:sz w:val="24"/>
        </w:rPr>
        <w:t>（三）</w:t>
      </w:r>
      <w:r>
        <w:rPr>
          <w:rFonts w:ascii="宋体" w:hAnsi="宋体" w:cs="Arial"/>
          <w:color w:val="000000" w:themeColor="text1"/>
          <w:sz w:val="24"/>
        </w:rPr>
        <w:t>本项目不接受联合体投标。</w:t>
      </w:r>
    </w:p>
    <w:p>
      <w:pPr>
        <w:pStyle w:val="59"/>
        <w:numPr>
          <w:ilvl w:val="0"/>
          <w:numId w:val="2"/>
        </w:numPr>
        <w:spacing w:line="360" w:lineRule="auto"/>
        <w:ind w:firstLineChars="0"/>
        <w:rPr>
          <w:rFonts w:ascii="宋体" w:hAnsi="宋体" w:cs="Arial"/>
          <w:b/>
          <w:color w:val="000000" w:themeColor="text1"/>
          <w:sz w:val="24"/>
        </w:rPr>
      </w:pPr>
      <w:r>
        <w:rPr>
          <w:rFonts w:hint="eastAsia" w:ascii="宋体" w:hAnsi="宋体" w:cs="Arial"/>
          <w:b/>
          <w:color w:val="000000" w:themeColor="text1"/>
          <w:sz w:val="24"/>
        </w:rPr>
        <w:t>招标文件的下载：</w:t>
      </w:r>
    </w:p>
    <w:p>
      <w:pPr>
        <w:snapToGrid w:val="0"/>
        <w:spacing w:line="360" w:lineRule="auto"/>
        <w:ind w:firstLine="540" w:firstLineChars="225"/>
        <w:rPr>
          <w:rFonts w:ascii="宋体" w:hAnsi="宋体" w:cs="Arial"/>
          <w:color w:val="000000" w:themeColor="text1"/>
          <w:sz w:val="24"/>
          <w:szCs w:val="20"/>
        </w:rPr>
      </w:pPr>
      <w:r>
        <w:rPr>
          <w:rFonts w:ascii="宋体" w:hAnsi="宋体" w:cs="Arial"/>
          <w:color w:val="000000" w:themeColor="text1"/>
          <w:sz w:val="24"/>
        </w:rPr>
        <w:t>1</w:t>
      </w:r>
      <w:r>
        <w:rPr>
          <w:rFonts w:hint="eastAsia" w:ascii="宋体" w:hAnsi="宋体" w:cs="Arial"/>
          <w:color w:val="000000" w:themeColor="text1"/>
          <w:sz w:val="24"/>
        </w:rPr>
        <w:t>.下载（报名）</w:t>
      </w:r>
      <w:r>
        <w:rPr>
          <w:rFonts w:ascii="宋体" w:hAnsi="宋体" w:cs="Arial"/>
          <w:color w:val="000000" w:themeColor="text1"/>
          <w:sz w:val="24"/>
        </w:rPr>
        <w:t>时间：</w:t>
      </w:r>
      <w:r>
        <w:rPr>
          <w:rFonts w:ascii="宋体" w:hAnsi="宋体" w:cs="Arial"/>
          <w:color w:val="000000" w:themeColor="text1"/>
          <w:sz w:val="24"/>
          <w:u w:val="single"/>
        </w:rPr>
        <w:t>201</w:t>
      </w:r>
      <w:r>
        <w:rPr>
          <w:rFonts w:hint="eastAsia" w:ascii="宋体" w:hAnsi="宋体" w:cs="Arial"/>
          <w:color w:val="000000" w:themeColor="text1"/>
          <w:sz w:val="24"/>
          <w:u w:val="single"/>
        </w:rPr>
        <w:t>9</w:t>
      </w:r>
      <w:r>
        <w:rPr>
          <w:rFonts w:ascii="宋体" w:hAnsi="宋体" w:cs="Arial"/>
          <w:color w:val="000000" w:themeColor="text1"/>
          <w:sz w:val="24"/>
          <w:u w:val="single"/>
        </w:rPr>
        <w:t>-</w:t>
      </w:r>
      <w:r>
        <w:rPr>
          <w:rFonts w:hint="eastAsia" w:ascii="宋体" w:hAnsi="宋体" w:cs="Arial"/>
          <w:color w:val="000000" w:themeColor="text1"/>
          <w:sz w:val="24"/>
          <w:u w:val="single"/>
        </w:rPr>
        <w:t>5</w:t>
      </w:r>
      <w:r>
        <w:rPr>
          <w:rFonts w:ascii="宋体" w:hAnsi="宋体" w:cs="Arial"/>
          <w:color w:val="000000" w:themeColor="text1"/>
          <w:sz w:val="24"/>
          <w:u w:val="single"/>
        </w:rPr>
        <w:t>-</w:t>
      </w:r>
      <w:r>
        <w:rPr>
          <w:rFonts w:hint="eastAsia" w:ascii="宋体" w:hAnsi="宋体" w:cs="Arial"/>
          <w:color w:val="000000" w:themeColor="text1"/>
          <w:sz w:val="24"/>
          <w:u w:val="single"/>
        </w:rPr>
        <w:t>25</w:t>
      </w:r>
      <w:r>
        <w:rPr>
          <w:rFonts w:hint="eastAsia" w:ascii="宋体" w:hAnsi="宋体" w:cs="Arial"/>
          <w:color w:val="000000" w:themeColor="text1"/>
          <w:sz w:val="24"/>
        </w:rPr>
        <w:t>至</w:t>
      </w:r>
      <w:r>
        <w:rPr>
          <w:rFonts w:ascii="宋体" w:hAnsi="宋体" w:cs="Arial"/>
          <w:color w:val="000000" w:themeColor="text1"/>
          <w:sz w:val="24"/>
          <w:u w:val="single"/>
        </w:rPr>
        <w:t>201</w:t>
      </w:r>
      <w:r>
        <w:rPr>
          <w:rFonts w:hint="eastAsia" w:ascii="宋体" w:hAnsi="宋体" w:cs="Arial"/>
          <w:color w:val="000000" w:themeColor="text1"/>
          <w:sz w:val="24"/>
          <w:u w:val="single"/>
        </w:rPr>
        <w:t>9</w:t>
      </w:r>
      <w:r>
        <w:rPr>
          <w:rFonts w:ascii="宋体" w:hAnsi="宋体" w:cs="Arial"/>
          <w:color w:val="000000" w:themeColor="text1"/>
          <w:sz w:val="24"/>
          <w:u w:val="single"/>
        </w:rPr>
        <w:t>-</w:t>
      </w:r>
      <w:r>
        <w:rPr>
          <w:rFonts w:hint="eastAsia" w:ascii="宋体" w:hAnsi="宋体" w:cs="Arial"/>
          <w:color w:val="000000" w:themeColor="text1"/>
          <w:sz w:val="24"/>
          <w:u w:val="single"/>
        </w:rPr>
        <w:t>6</w:t>
      </w:r>
      <w:r>
        <w:rPr>
          <w:rFonts w:ascii="宋体" w:hAnsi="宋体" w:cs="Arial"/>
          <w:color w:val="000000" w:themeColor="text1"/>
          <w:sz w:val="24"/>
          <w:u w:val="single"/>
        </w:rPr>
        <w:t>-</w:t>
      </w:r>
      <w:r>
        <w:rPr>
          <w:rFonts w:hint="eastAsia" w:ascii="宋体" w:hAnsi="宋体" w:cs="Arial"/>
          <w:color w:val="000000" w:themeColor="text1"/>
          <w:sz w:val="24"/>
          <w:u w:val="single"/>
        </w:rPr>
        <w:t>19</w:t>
      </w:r>
      <w:r>
        <w:rPr>
          <w:rFonts w:hint="eastAsia" w:ascii="宋体" w:hAnsi="宋体" w:cs="Arial"/>
          <w:color w:val="000000" w:themeColor="text1"/>
          <w:sz w:val="24"/>
        </w:rPr>
        <w:t xml:space="preserve"> 17:00:00。</w:t>
      </w:r>
    </w:p>
    <w:p>
      <w:pPr>
        <w:snapToGrid w:val="0"/>
        <w:spacing w:line="360" w:lineRule="auto"/>
        <w:ind w:firstLine="540" w:firstLineChars="225"/>
        <w:rPr>
          <w:rFonts w:ascii="宋体" w:hAnsi="宋体" w:cs="Arial"/>
          <w:color w:val="000000" w:themeColor="text1"/>
          <w:sz w:val="24"/>
        </w:rPr>
      </w:pPr>
      <w:r>
        <w:rPr>
          <w:rFonts w:ascii="宋体" w:hAnsi="宋体" w:cs="Arial"/>
          <w:color w:val="000000" w:themeColor="text1"/>
          <w:sz w:val="24"/>
        </w:rPr>
        <w:t>2</w:t>
      </w:r>
      <w:r>
        <w:rPr>
          <w:rFonts w:hint="eastAsia" w:ascii="宋体" w:hAnsi="宋体" w:cs="Arial"/>
          <w:color w:val="000000" w:themeColor="text1"/>
          <w:sz w:val="24"/>
        </w:rPr>
        <w:t>.报名方式：浙江省政府采购网。</w:t>
      </w:r>
    </w:p>
    <w:p>
      <w:pPr>
        <w:snapToGrid w:val="0"/>
        <w:spacing w:line="360" w:lineRule="auto"/>
        <w:ind w:firstLine="540" w:firstLineChars="225"/>
        <w:rPr>
          <w:rFonts w:ascii="宋体" w:hAnsi="宋体" w:cs="Arial"/>
          <w:color w:val="000000" w:themeColor="text1"/>
          <w:sz w:val="24"/>
          <w:szCs w:val="20"/>
        </w:rPr>
      </w:pPr>
      <w:r>
        <w:rPr>
          <w:rFonts w:hint="eastAsia" w:ascii="宋体" w:hAnsi="宋体" w:cs="Arial"/>
          <w:color w:val="000000" w:themeColor="text1"/>
          <w:sz w:val="24"/>
        </w:rPr>
        <w:t>3.招标文件</w:t>
      </w:r>
      <w:r>
        <w:rPr>
          <w:rFonts w:ascii="宋体" w:hAnsi="宋体" w:cs="Arial"/>
          <w:color w:val="000000" w:themeColor="text1"/>
          <w:sz w:val="24"/>
        </w:rPr>
        <w:t>获取</w:t>
      </w:r>
      <w:r>
        <w:rPr>
          <w:rFonts w:hint="eastAsia" w:ascii="宋体" w:hAnsi="宋体" w:cs="Arial"/>
          <w:color w:val="000000" w:themeColor="text1"/>
          <w:sz w:val="24"/>
        </w:rPr>
        <w:t>方式：浙江省政府采购网</w:t>
      </w:r>
      <w:r>
        <w:rPr>
          <w:rFonts w:ascii="宋体" w:hAnsi="宋体" w:cs="Arial"/>
          <w:color w:val="000000" w:themeColor="text1"/>
          <w:sz w:val="24"/>
        </w:rPr>
        <w:t>(</w:t>
      </w:r>
      <w:r>
        <w:fldChar w:fldCharType="begin"/>
      </w:r>
      <w:r>
        <w:instrText xml:space="preserve"> HYPERLINK "http://www.zjzfcg.gov.cn/" </w:instrText>
      </w:r>
      <w:r>
        <w:fldChar w:fldCharType="separate"/>
      </w:r>
      <w:r>
        <w:rPr>
          <w:rStyle w:val="51"/>
          <w:rFonts w:ascii="宋体" w:hAnsi="宋体" w:cs="Arial"/>
          <w:color w:val="000000" w:themeColor="text1"/>
          <w:sz w:val="24"/>
        </w:rPr>
        <w:t>http://www.zjzfcg.gov.cn</w:t>
      </w:r>
      <w:r>
        <w:rPr>
          <w:rStyle w:val="51"/>
          <w:rFonts w:ascii="宋体" w:hAnsi="宋体" w:cs="Arial"/>
          <w:color w:val="000000" w:themeColor="text1"/>
          <w:sz w:val="24"/>
        </w:rPr>
        <w:fldChar w:fldCharType="end"/>
      </w:r>
      <w:r>
        <w:rPr>
          <w:rFonts w:ascii="宋体" w:hAnsi="宋体" w:cs="Arial"/>
          <w:color w:val="000000" w:themeColor="text1"/>
          <w:sz w:val="24"/>
        </w:rPr>
        <w:t>)；</w:t>
      </w:r>
      <w:r>
        <w:rPr>
          <w:rFonts w:hint="eastAsia" w:ascii="宋体" w:hAnsi="宋体" w:cs="Arial"/>
          <w:color w:val="000000" w:themeColor="text1"/>
          <w:sz w:val="24"/>
        </w:rPr>
        <w:t>下载招标文件</w:t>
      </w:r>
    </w:p>
    <w:p>
      <w:pPr>
        <w:pStyle w:val="59"/>
        <w:spacing w:line="360" w:lineRule="auto"/>
        <w:ind w:firstLine="0" w:firstLineChars="0"/>
        <w:rPr>
          <w:rFonts w:ascii="宋体" w:hAnsi="宋体" w:cs="Arial"/>
          <w:b/>
          <w:color w:val="000000" w:themeColor="text1"/>
          <w:sz w:val="24"/>
        </w:rPr>
      </w:pPr>
      <w:r>
        <w:rPr>
          <w:rFonts w:hint="eastAsia" w:ascii="宋体" w:hAnsi="宋体" w:cs="Arial"/>
          <w:b/>
          <w:color w:val="000000" w:themeColor="text1"/>
          <w:sz w:val="24"/>
        </w:rPr>
        <w:t>六.投标保证金：</w:t>
      </w:r>
    </w:p>
    <w:p>
      <w:pPr>
        <w:snapToGrid w:val="0"/>
        <w:spacing w:line="360" w:lineRule="auto"/>
        <w:ind w:left="210" w:leftChars="100" w:firstLine="241" w:firstLineChars="100"/>
        <w:rPr>
          <w:rFonts w:ascii="宋体" w:hAnsi="宋体" w:cs="Arial"/>
          <w:color w:val="000000" w:themeColor="text1"/>
          <w:sz w:val="24"/>
        </w:rPr>
      </w:pPr>
      <w:r>
        <w:rPr>
          <w:rFonts w:ascii="宋体" w:hAnsi="宋体" w:cs="Arial"/>
          <w:b/>
          <w:color w:val="000000" w:themeColor="text1"/>
          <w:sz w:val="24"/>
        </w:rPr>
        <w:t xml:space="preserve"> (人民币 )： </w:t>
      </w:r>
      <w:r>
        <w:rPr>
          <w:rFonts w:hint="eastAsia" w:ascii="宋体" w:hAnsi="宋体" w:cs="Arial"/>
          <w:b/>
          <w:color w:val="000000" w:themeColor="text1"/>
          <w:sz w:val="24"/>
        </w:rPr>
        <w:t>0元</w:t>
      </w:r>
      <w:r>
        <w:rPr>
          <w:rFonts w:hint="eastAsia" w:ascii="宋体" w:hAnsi="宋体" w:cs="Arial"/>
          <w:b/>
          <w:bCs/>
          <w:color w:val="000000" w:themeColor="text1"/>
          <w:sz w:val="24"/>
        </w:rPr>
        <w:t>（本项目无须交纳投标保证金，但要网上报名。</w:t>
      </w:r>
      <w:r>
        <w:rPr>
          <w:rFonts w:hint="eastAsia" w:ascii="宋体" w:hAnsi="宋体"/>
          <w:b/>
          <w:bCs/>
          <w:color w:val="000000" w:themeColor="text1"/>
          <w:sz w:val="24"/>
        </w:rPr>
        <w:t>否则，其投标将被拒绝。</w:t>
      </w:r>
      <w:r>
        <w:rPr>
          <w:rFonts w:hint="eastAsia" w:ascii="宋体" w:hAnsi="宋体" w:cs="Arial"/>
          <w:b/>
          <w:bCs/>
          <w:color w:val="000000" w:themeColor="text1"/>
          <w:sz w:val="24"/>
        </w:rPr>
        <w:t>）</w:t>
      </w:r>
    </w:p>
    <w:p>
      <w:pPr>
        <w:snapToGrid w:val="0"/>
        <w:spacing w:line="360" w:lineRule="auto"/>
        <w:rPr>
          <w:rFonts w:ascii="宋体" w:hAnsi="宋体" w:cs="Arial"/>
          <w:color w:val="000000" w:themeColor="text1"/>
          <w:sz w:val="24"/>
          <w:highlight w:val="yellow"/>
        </w:rPr>
      </w:pPr>
    </w:p>
    <w:p>
      <w:pPr>
        <w:pStyle w:val="59"/>
        <w:spacing w:line="360" w:lineRule="auto"/>
        <w:ind w:firstLine="0" w:firstLineChars="0"/>
        <w:rPr>
          <w:rFonts w:ascii="宋体" w:hAnsi="宋体" w:cs="Arial"/>
          <w:b/>
          <w:color w:val="000000" w:themeColor="text1"/>
          <w:sz w:val="24"/>
        </w:rPr>
      </w:pPr>
      <w:r>
        <w:rPr>
          <w:rFonts w:hint="eastAsia" w:ascii="宋体" w:hAnsi="宋体" w:cs="Arial"/>
          <w:b/>
          <w:color w:val="000000" w:themeColor="text1"/>
          <w:sz w:val="24"/>
        </w:rPr>
        <w:t>七.投标截止时间和地点：</w:t>
      </w:r>
    </w:p>
    <w:p>
      <w:pPr>
        <w:snapToGrid w:val="0"/>
        <w:spacing w:line="360" w:lineRule="auto"/>
        <w:ind w:firstLine="480" w:firstLineChars="200"/>
        <w:jc w:val="left"/>
        <w:rPr>
          <w:rFonts w:ascii="宋体" w:hAnsi="宋体"/>
          <w:color w:val="000000" w:themeColor="text1"/>
          <w:sz w:val="24"/>
        </w:rPr>
      </w:pPr>
      <w:r>
        <w:rPr>
          <w:rFonts w:hint="eastAsia" w:ascii="宋体" w:hAnsi="宋体"/>
          <w:color w:val="000000" w:themeColor="text1"/>
          <w:sz w:val="24"/>
        </w:rPr>
        <w:t>投标人应于</w:t>
      </w:r>
      <w:r>
        <w:rPr>
          <w:rFonts w:ascii="宋体" w:hAnsi="宋体" w:cs="Arial"/>
          <w:color w:val="000000" w:themeColor="text1"/>
          <w:sz w:val="24"/>
          <w:u w:val="single"/>
        </w:rPr>
        <w:t>201</w:t>
      </w:r>
      <w:r>
        <w:rPr>
          <w:rFonts w:hint="eastAsia" w:ascii="宋体" w:hAnsi="宋体" w:cs="Arial"/>
          <w:color w:val="000000" w:themeColor="text1"/>
          <w:sz w:val="24"/>
          <w:u w:val="single"/>
        </w:rPr>
        <w:t>9年6月20日上午9</w:t>
      </w:r>
      <w:r>
        <w:rPr>
          <w:rFonts w:ascii="宋体" w:hAnsi="宋体" w:cs="Arial"/>
          <w:color w:val="000000" w:themeColor="text1"/>
          <w:sz w:val="24"/>
          <w:u w:val="single"/>
          <w:lang w:val="en-GB"/>
        </w:rPr>
        <w:t>:</w:t>
      </w:r>
      <w:r>
        <w:rPr>
          <w:rFonts w:hint="eastAsia" w:ascii="宋体" w:hAnsi="宋体" w:cs="Arial"/>
          <w:color w:val="000000" w:themeColor="text1"/>
          <w:sz w:val="24"/>
          <w:u w:val="single"/>
        </w:rPr>
        <w:t>30</w:t>
      </w:r>
      <w:r>
        <w:rPr>
          <w:rFonts w:hint="eastAsia" w:ascii="宋体" w:hAnsi="宋体"/>
          <w:color w:val="000000" w:themeColor="text1"/>
          <w:sz w:val="24"/>
        </w:rPr>
        <w:t>（时间）前将投标文件密封送交到</w:t>
      </w:r>
      <w:r>
        <w:rPr>
          <w:rFonts w:hint="eastAsia" w:ascii="宋体" w:hAnsi="宋体" w:cs="Arial"/>
          <w:color w:val="000000" w:themeColor="text1"/>
          <w:sz w:val="24"/>
          <w:u w:val="single"/>
        </w:rPr>
        <w:t>金华市双龙南街</w:t>
      </w:r>
      <w:r>
        <w:rPr>
          <w:rFonts w:ascii="宋体" w:hAnsi="宋体" w:cs="Arial"/>
          <w:color w:val="000000" w:themeColor="text1"/>
          <w:sz w:val="24"/>
          <w:u w:val="single"/>
        </w:rPr>
        <w:t>858号财富大厦4楼开标</w:t>
      </w:r>
      <w:r>
        <w:rPr>
          <w:rFonts w:hint="eastAsia" w:ascii="宋体" w:hAnsi="宋体" w:cs="Arial"/>
          <w:color w:val="000000" w:themeColor="text1"/>
          <w:sz w:val="24"/>
          <w:u w:val="single"/>
        </w:rPr>
        <w:t>2</w:t>
      </w:r>
      <w:r>
        <w:rPr>
          <w:rFonts w:ascii="宋体" w:hAnsi="宋体" w:cs="Arial"/>
          <w:color w:val="000000" w:themeColor="text1"/>
          <w:sz w:val="24"/>
          <w:u w:val="single"/>
        </w:rPr>
        <w:t>室</w:t>
      </w:r>
      <w:r>
        <w:rPr>
          <w:rFonts w:hint="eastAsia" w:ascii="宋体" w:hAnsi="宋体" w:cs="Arial"/>
          <w:color w:val="000000" w:themeColor="text1"/>
          <w:sz w:val="24"/>
        </w:rPr>
        <w:t>（地点）</w:t>
      </w:r>
      <w:r>
        <w:rPr>
          <w:rFonts w:hint="eastAsia" w:ascii="宋体" w:hAnsi="宋体"/>
          <w:color w:val="000000" w:themeColor="text1"/>
          <w:sz w:val="24"/>
        </w:rPr>
        <w:t>，逾期送达或未密封将予以拒收（或作无效投标文件处理）。</w:t>
      </w:r>
    </w:p>
    <w:p>
      <w:pPr>
        <w:pStyle w:val="59"/>
        <w:spacing w:line="360" w:lineRule="auto"/>
        <w:ind w:firstLine="0" w:firstLineChars="0"/>
        <w:rPr>
          <w:rFonts w:ascii="宋体" w:hAnsi="宋体" w:cs="Arial"/>
          <w:b/>
          <w:color w:val="000000" w:themeColor="text1"/>
          <w:sz w:val="24"/>
        </w:rPr>
      </w:pPr>
      <w:r>
        <w:rPr>
          <w:rFonts w:hint="eastAsia" w:ascii="宋体" w:hAnsi="宋体" w:cs="Arial"/>
          <w:b/>
          <w:color w:val="000000" w:themeColor="text1"/>
          <w:sz w:val="24"/>
        </w:rPr>
        <w:t>八.开标时间及地点：</w:t>
      </w:r>
    </w:p>
    <w:p>
      <w:pPr>
        <w:snapToGrid w:val="0"/>
        <w:spacing w:line="360" w:lineRule="auto"/>
        <w:ind w:firstLine="480" w:firstLineChars="200"/>
        <w:rPr>
          <w:rFonts w:ascii="宋体" w:hAnsi="宋体" w:cs="Arial"/>
          <w:color w:val="000000" w:themeColor="text1"/>
          <w:sz w:val="24"/>
        </w:rPr>
      </w:pPr>
      <w:r>
        <w:rPr>
          <w:rFonts w:hint="eastAsia" w:ascii="宋体" w:hAnsi="宋体" w:cs="Arial"/>
          <w:color w:val="000000" w:themeColor="text1"/>
          <w:sz w:val="24"/>
        </w:rPr>
        <w:t>本次招标将于</w:t>
      </w:r>
      <w:r>
        <w:rPr>
          <w:rFonts w:ascii="宋体" w:hAnsi="宋体" w:cs="Arial"/>
          <w:color w:val="000000" w:themeColor="text1"/>
          <w:sz w:val="24"/>
          <w:u w:val="single"/>
        </w:rPr>
        <w:t>201</w:t>
      </w:r>
      <w:r>
        <w:rPr>
          <w:rFonts w:hint="eastAsia" w:ascii="宋体" w:hAnsi="宋体" w:cs="Arial"/>
          <w:color w:val="000000" w:themeColor="text1"/>
          <w:sz w:val="24"/>
          <w:u w:val="single"/>
        </w:rPr>
        <w:t>9年6月20日上午9</w:t>
      </w:r>
      <w:r>
        <w:rPr>
          <w:rFonts w:ascii="宋体" w:hAnsi="宋体" w:cs="Arial"/>
          <w:color w:val="000000" w:themeColor="text1"/>
          <w:sz w:val="24"/>
          <w:u w:val="single"/>
          <w:lang w:val="en-GB"/>
        </w:rPr>
        <w:t>:</w:t>
      </w:r>
      <w:r>
        <w:rPr>
          <w:rFonts w:hint="eastAsia" w:ascii="宋体" w:hAnsi="宋体" w:cs="Arial"/>
          <w:color w:val="000000" w:themeColor="text1"/>
          <w:sz w:val="24"/>
          <w:u w:val="single"/>
        </w:rPr>
        <w:t>30</w:t>
      </w:r>
      <w:r>
        <w:rPr>
          <w:rFonts w:hint="eastAsia" w:ascii="宋体" w:hAnsi="宋体"/>
          <w:color w:val="000000" w:themeColor="text1"/>
          <w:sz w:val="24"/>
        </w:rPr>
        <w:t>（时间）在</w:t>
      </w:r>
      <w:r>
        <w:rPr>
          <w:rFonts w:hint="eastAsia" w:ascii="宋体" w:hAnsi="宋体" w:cs="Arial"/>
          <w:color w:val="000000" w:themeColor="text1"/>
          <w:sz w:val="24"/>
          <w:u w:val="single"/>
        </w:rPr>
        <w:t>金华市双龙南街</w:t>
      </w:r>
      <w:r>
        <w:rPr>
          <w:rFonts w:ascii="宋体" w:hAnsi="宋体" w:cs="Arial"/>
          <w:color w:val="000000" w:themeColor="text1"/>
          <w:sz w:val="24"/>
          <w:u w:val="single"/>
        </w:rPr>
        <w:t>858号财富大厦4楼开标2室</w:t>
      </w:r>
      <w:r>
        <w:rPr>
          <w:rFonts w:hint="eastAsia" w:ascii="宋体" w:hAnsi="宋体"/>
          <w:color w:val="000000" w:themeColor="text1"/>
          <w:sz w:val="24"/>
        </w:rPr>
        <w:t>（地点）开</w:t>
      </w:r>
      <w:r>
        <w:rPr>
          <w:rFonts w:hint="eastAsia" w:ascii="宋体" w:hAnsi="宋体" w:cs="Arial"/>
          <w:color w:val="000000" w:themeColor="text1"/>
          <w:sz w:val="24"/>
        </w:rPr>
        <w:t>标，投标人可以派授权代表出席开标会议（授权代表应携带身份证出席）。</w:t>
      </w:r>
    </w:p>
    <w:p>
      <w:pPr>
        <w:pStyle w:val="59"/>
        <w:spacing w:line="360" w:lineRule="auto"/>
        <w:ind w:firstLine="0" w:firstLineChars="0"/>
        <w:rPr>
          <w:rFonts w:ascii="宋体" w:hAnsi="宋体" w:cs="Arial"/>
          <w:b/>
          <w:color w:val="000000" w:themeColor="text1"/>
          <w:sz w:val="24"/>
        </w:rPr>
      </w:pPr>
      <w:r>
        <w:rPr>
          <w:rFonts w:hint="eastAsia" w:ascii="宋体" w:hAnsi="宋体" w:cs="Arial"/>
          <w:b/>
          <w:color w:val="000000" w:themeColor="text1"/>
          <w:sz w:val="24"/>
        </w:rPr>
        <w:t>九.业务咨询：招标需求的疑问请向采购人询问或反映。</w:t>
      </w:r>
    </w:p>
    <w:p>
      <w:pPr>
        <w:snapToGrid w:val="0"/>
        <w:spacing w:line="360" w:lineRule="auto"/>
        <w:ind w:firstLine="420"/>
        <w:rPr>
          <w:rFonts w:ascii="宋体" w:hAnsi="宋体" w:cs="Arial"/>
          <w:color w:val="000000" w:themeColor="text1"/>
          <w:sz w:val="24"/>
        </w:rPr>
      </w:pPr>
      <w:r>
        <w:rPr>
          <w:rFonts w:hint="eastAsia" w:ascii="宋体" w:hAnsi="宋体" w:cs="Arial"/>
          <w:color w:val="000000" w:themeColor="text1"/>
          <w:sz w:val="24"/>
        </w:rPr>
        <w:t>金华市公安局联系人：王晓</w:t>
      </w:r>
      <w:r>
        <w:rPr>
          <w:rFonts w:hint="eastAsia" w:ascii="宋体" w:hAnsi="宋体" w:cs="Arial"/>
          <w:color w:val="000000" w:themeColor="text1"/>
          <w:sz w:val="24"/>
          <w:lang w:val="en-US" w:eastAsia="zh-CN"/>
        </w:rPr>
        <w:t xml:space="preserve">     </w:t>
      </w:r>
      <w:r>
        <w:rPr>
          <w:rFonts w:hint="eastAsia" w:ascii="宋体" w:hAnsi="宋体" w:cs="Arial"/>
          <w:color w:val="000000" w:themeColor="text1"/>
          <w:sz w:val="24"/>
        </w:rPr>
        <w:t xml:space="preserve">电话：0579-82512203 </w:t>
      </w:r>
    </w:p>
    <w:p>
      <w:pPr>
        <w:snapToGrid w:val="0"/>
        <w:spacing w:line="360" w:lineRule="auto"/>
        <w:ind w:firstLine="420"/>
        <w:rPr>
          <w:rFonts w:ascii="宋体" w:hAnsi="宋体" w:cs="Arial"/>
          <w:color w:val="000000" w:themeColor="text1"/>
          <w:sz w:val="24"/>
        </w:rPr>
      </w:pPr>
      <w:r>
        <w:rPr>
          <w:rFonts w:hint="eastAsia" w:ascii="宋体" w:hAnsi="宋体" w:cs="Arial"/>
          <w:color w:val="000000" w:themeColor="text1"/>
          <w:sz w:val="24"/>
        </w:rPr>
        <w:t>采购代理机构名称：金华市政府采购中心</w:t>
      </w:r>
    </w:p>
    <w:p>
      <w:pPr>
        <w:snapToGrid w:val="0"/>
        <w:spacing w:line="360" w:lineRule="auto"/>
        <w:ind w:firstLine="424" w:firstLineChars="177"/>
        <w:rPr>
          <w:rFonts w:ascii="宋体" w:hAnsi="宋体" w:cs="Arial"/>
          <w:color w:val="000000" w:themeColor="text1"/>
          <w:sz w:val="24"/>
        </w:rPr>
      </w:pPr>
      <w:r>
        <w:rPr>
          <w:rFonts w:hint="eastAsia" w:ascii="宋体" w:hAnsi="宋体" w:cs="Arial"/>
          <w:color w:val="000000" w:themeColor="text1"/>
          <w:sz w:val="24"/>
        </w:rPr>
        <w:t>地址：金华市双龙南街</w:t>
      </w:r>
      <w:r>
        <w:rPr>
          <w:rFonts w:ascii="宋体" w:hAnsi="宋体" w:cs="Arial"/>
          <w:color w:val="000000" w:themeColor="text1"/>
          <w:sz w:val="24"/>
        </w:rPr>
        <w:t>858号财富大厦4楼</w:t>
      </w:r>
      <w:r>
        <w:rPr>
          <w:rFonts w:hint="eastAsia" w:ascii="宋体" w:hAnsi="宋体" w:cs="Arial"/>
          <w:color w:val="000000" w:themeColor="text1"/>
          <w:sz w:val="24"/>
        </w:rPr>
        <w:t>403室</w:t>
      </w:r>
    </w:p>
    <w:p>
      <w:pPr>
        <w:snapToGrid w:val="0"/>
        <w:spacing w:line="360" w:lineRule="auto"/>
        <w:ind w:firstLine="424" w:firstLineChars="177"/>
        <w:rPr>
          <w:rFonts w:ascii="宋体" w:hAnsi="宋体" w:cs="Arial"/>
          <w:color w:val="000000" w:themeColor="text1"/>
          <w:sz w:val="24"/>
        </w:rPr>
      </w:pPr>
      <w:r>
        <w:rPr>
          <w:rFonts w:hint="eastAsia" w:ascii="宋体" w:hAnsi="宋体" w:cs="Arial"/>
          <w:color w:val="000000" w:themeColor="text1"/>
          <w:sz w:val="24"/>
        </w:rPr>
        <w:t>联系人：</w:t>
      </w:r>
      <w:r>
        <w:rPr>
          <w:rFonts w:hint="eastAsia" w:ascii="宋体" w:hAnsi="宋体"/>
          <w:color w:val="000000" w:themeColor="text1"/>
          <w:sz w:val="24"/>
        </w:rPr>
        <w:t>袁芳、王欣</w:t>
      </w:r>
      <w:r>
        <w:rPr>
          <w:rFonts w:hint="eastAsia" w:ascii="宋体" w:hAnsi="宋体" w:cs="Arial"/>
          <w:color w:val="000000" w:themeColor="text1"/>
          <w:sz w:val="24"/>
        </w:rPr>
        <w:t>、史照胜、裘美君</w:t>
      </w:r>
    </w:p>
    <w:p>
      <w:pPr>
        <w:snapToGrid w:val="0"/>
        <w:spacing w:line="360" w:lineRule="auto"/>
        <w:ind w:firstLine="420"/>
        <w:rPr>
          <w:rFonts w:ascii="宋体" w:hAnsi="宋体" w:cs="Arial"/>
          <w:color w:val="000000" w:themeColor="text1"/>
          <w:sz w:val="24"/>
        </w:rPr>
      </w:pPr>
      <w:r>
        <w:rPr>
          <w:rFonts w:hint="eastAsia" w:ascii="宋体" w:hAnsi="宋体" w:cs="Arial"/>
          <w:color w:val="000000" w:themeColor="text1"/>
          <w:sz w:val="24"/>
        </w:rPr>
        <w:t>联系电话：</w:t>
      </w:r>
      <w:r>
        <w:rPr>
          <w:rFonts w:ascii="宋体" w:hAnsi="宋体"/>
          <w:color w:val="000000" w:themeColor="text1"/>
          <w:sz w:val="24"/>
        </w:rPr>
        <w:t>0579-</w:t>
      </w:r>
      <w:r>
        <w:rPr>
          <w:rFonts w:hint="eastAsia" w:ascii="宋体" w:hAnsi="宋体"/>
          <w:color w:val="000000" w:themeColor="text1"/>
          <w:sz w:val="24"/>
        </w:rPr>
        <w:t>83187232   0579-83171503</w:t>
      </w:r>
    </w:p>
    <w:p>
      <w:pPr>
        <w:snapToGrid w:val="0"/>
        <w:spacing w:line="360" w:lineRule="auto"/>
        <w:ind w:firstLine="424" w:firstLineChars="177"/>
        <w:rPr>
          <w:rFonts w:ascii="宋体" w:hAnsi="宋体"/>
          <w:color w:val="000000" w:themeColor="text1"/>
          <w:sz w:val="24"/>
        </w:rPr>
      </w:pPr>
      <w:r>
        <w:rPr>
          <w:rFonts w:hint="eastAsia" w:ascii="宋体" w:hAnsi="宋体" w:cs="Arial"/>
          <w:color w:val="000000" w:themeColor="text1"/>
          <w:sz w:val="24"/>
        </w:rPr>
        <w:t>政府采购行政监管及投诉受理部门：金华市</w:t>
      </w:r>
      <w:r>
        <w:rPr>
          <w:rFonts w:ascii="宋体" w:hAnsi="宋体" w:cs="Arial"/>
          <w:color w:val="000000" w:themeColor="text1"/>
          <w:sz w:val="24"/>
        </w:rPr>
        <w:t>财政局政府采购监管处</w:t>
      </w:r>
      <w:r>
        <w:rPr>
          <w:rFonts w:hint="eastAsia" w:ascii="宋体" w:hAnsi="宋体"/>
          <w:color w:val="000000" w:themeColor="text1"/>
          <w:sz w:val="24"/>
        </w:rPr>
        <w:t>；</w:t>
      </w:r>
    </w:p>
    <w:p>
      <w:pPr>
        <w:snapToGrid w:val="0"/>
        <w:spacing w:line="360" w:lineRule="auto"/>
        <w:ind w:firstLine="424" w:firstLineChars="177"/>
        <w:rPr>
          <w:rFonts w:ascii="宋体" w:hAnsi="宋体" w:cs="Arial"/>
          <w:color w:val="000000" w:themeColor="text1"/>
          <w:sz w:val="24"/>
        </w:rPr>
      </w:pPr>
      <w:r>
        <w:rPr>
          <w:rFonts w:hint="eastAsia" w:ascii="宋体" w:hAnsi="宋体" w:cs="Arial"/>
          <w:color w:val="000000" w:themeColor="text1"/>
          <w:sz w:val="24"/>
        </w:rPr>
        <w:t>联系人：周先生，联系电话：</w:t>
      </w:r>
      <w:r>
        <w:rPr>
          <w:rFonts w:ascii="宋体" w:hAnsi="宋体" w:cs="Arial"/>
          <w:color w:val="000000" w:themeColor="text1"/>
          <w:sz w:val="24"/>
        </w:rPr>
        <w:t>057</w:t>
      </w:r>
      <w:r>
        <w:rPr>
          <w:rFonts w:hint="eastAsia" w:ascii="宋体" w:hAnsi="宋体" w:cs="Arial"/>
          <w:color w:val="000000" w:themeColor="text1"/>
          <w:sz w:val="24"/>
        </w:rPr>
        <w:t>9</w:t>
      </w:r>
      <w:r>
        <w:rPr>
          <w:rFonts w:ascii="宋体" w:hAnsi="宋体" w:cs="Arial"/>
          <w:color w:val="000000" w:themeColor="text1"/>
          <w:sz w:val="24"/>
        </w:rPr>
        <w:t>-82468735</w:t>
      </w:r>
    </w:p>
    <w:p>
      <w:pPr>
        <w:snapToGrid w:val="0"/>
        <w:spacing w:line="360" w:lineRule="auto"/>
        <w:ind w:firstLine="424" w:firstLineChars="177"/>
        <w:rPr>
          <w:rFonts w:ascii="宋体" w:hAnsi="宋体" w:cs="Arial"/>
          <w:color w:val="000000" w:themeColor="text1"/>
          <w:sz w:val="24"/>
          <w:u w:val="single"/>
        </w:rPr>
      </w:pPr>
    </w:p>
    <w:p>
      <w:pPr>
        <w:snapToGrid w:val="0"/>
        <w:spacing w:line="360" w:lineRule="auto"/>
        <w:ind w:firstLine="482" w:firstLineChars="200"/>
        <w:rPr>
          <w:rFonts w:ascii="宋体" w:hAnsi="宋体" w:cs="Arial"/>
          <w:b/>
          <w:bCs/>
          <w:color w:val="000000" w:themeColor="text1"/>
          <w:sz w:val="24"/>
        </w:rPr>
      </w:pPr>
    </w:p>
    <w:p>
      <w:pPr>
        <w:snapToGrid w:val="0"/>
        <w:spacing w:line="360" w:lineRule="auto"/>
        <w:ind w:firstLine="482" w:firstLineChars="200"/>
        <w:rPr>
          <w:rFonts w:ascii="宋体" w:hAnsi="宋体" w:cs="Arial"/>
          <w:b/>
          <w:bCs/>
          <w:color w:val="000000" w:themeColor="text1"/>
          <w:sz w:val="24"/>
        </w:rPr>
      </w:pPr>
    </w:p>
    <w:p>
      <w:pPr>
        <w:snapToGrid w:val="0"/>
        <w:spacing w:line="360" w:lineRule="auto"/>
        <w:ind w:left="238"/>
        <w:jc w:val="center"/>
        <w:rPr>
          <w:rFonts w:ascii="宋体" w:hAnsi="宋体"/>
          <w:color w:val="000000" w:themeColor="text1"/>
          <w:sz w:val="24"/>
        </w:rPr>
      </w:pPr>
      <w:r>
        <w:rPr>
          <w:rFonts w:hint="eastAsia" w:ascii="宋体" w:hAnsi="宋体" w:cs="Arial"/>
          <w:b/>
          <w:color w:val="000000" w:themeColor="text1"/>
          <w:sz w:val="24"/>
        </w:rPr>
        <w:t>招标组织单位：</w:t>
      </w:r>
      <w:r>
        <w:rPr>
          <w:rFonts w:ascii="宋体" w:hAnsi="宋体" w:cs="Arial"/>
          <w:b/>
          <w:color w:val="000000" w:themeColor="text1"/>
          <w:sz w:val="24"/>
        </w:rPr>
        <w:t>金华市政府采购中心</w:t>
      </w:r>
    </w:p>
    <w:p>
      <w:pPr>
        <w:snapToGrid w:val="0"/>
        <w:spacing w:line="360" w:lineRule="auto"/>
        <w:ind w:left="238"/>
        <w:jc w:val="center"/>
        <w:rPr>
          <w:rFonts w:ascii="宋体" w:hAnsi="宋体"/>
          <w:color w:val="000000" w:themeColor="text1"/>
          <w:sz w:val="24"/>
        </w:rPr>
      </w:pPr>
      <w:r>
        <w:rPr>
          <w:rFonts w:hAnsi="宋体"/>
          <w:color w:val="000000" w:themeColor="text1"/>
          <w:sz w:val="24"/>
        </w:rPr>
        <w:t>201</w:t>
      </w:r>
      <w:r>
        <w:rPr>
          <w:rFonts w:hint="eastAsia" w:hAnsi="宋体"/>
          <w:color w:val="000000" w:themeColor="text1"/>
          <w:sz w:val="24"/>
        </w:rPr>
        <w:t>9</w:t>
      </w:r>
      <w:r>
        <w:rPr>
          <w:rFonts w:hAnsi="宋体"/>
          <w:color w:val="000000" w:themeColor="text1"/>
          <w:sz w:val="24"/>
        </w:rPr>
        <w:t>年</w:t>
      </w:r>
      <w:r>
        <w:rPr>
          <w:rFonts w:hint="eastAsia" w:hAnsi="宋体"/>
          <w:color w:val="000000" w:themeColor="text1"/>
          <w:sz w:val="24"/>
        </w:rPr>
        <w:t>5</w:t>
      </w:r>
      <w:r>
        <w:rPr>
          <w:rFonts w:hAnsi="宋体"/>
          <w:color w:val="000000" w:themeColor="text1"/>
          <w:sz w:val="24"/>
        </w:rPr>
        <w:t>月</w:t>
      </w:r>
      <w:r>
        <w:rPr>
          <w:rFonts w:hint="eastAsia" w:hAnsi="宋体"/>
          <w:color w:val="000000" w:themeColor="text1"/>
          <w:sz w:val="24"/>
        </w:rPr>
        <w:t>24</w:t>
      </w:r>
      <w:r>
        <w:rPr>
          <w:rFonts w:hAnsi="宋体"/>
          <w:color w:val="000000" w:themeColor="text1"/>
          <w:sz w:val="24"/>
        </w:rPr>
        <w:t>日</w:t>
      </w:r>
    </w:p>
    <w:p>
      <w:pPr>
        <w:snapToGrid w:val="0"/>
        <w:spacing w:beforeLines="50" w:afterLines="50"/>
        <w:jc w:val="center"/>
        <w:rPr>
          <w:rFonts w:ascii="黑体" w:hAnsi="宋体" w:eastAsia="黑体"/>
          <w:b/>
          <w:color w:val="000000" w:themeColor="text1"/>
          <w:sz w:val="24"/>
        </w:rPr>
      </w:pPr>
      <w:r>
        <w:rPr>
          <w:rFonts w:ascii="宋体" w:hAnsi="宋体"/>
          <w:color w:val="000000" w:themeColor="text1"/>
        </w:rPr>
        <w:br w:type="page"/>
      </w:r>
      <w:r>
        <w:rPr>
          <w:rFonts w:hint="eastAsia" w:ascii="黑体" w:hAnsi="宋体" w:eastAsia="黑体"/>
          <w:b/>
          <w:color w:val="000000" w:themeColor="text1"/>
          <w:sz w:val="30"/>
          <w:szCs w:val="30"/>
        </w:rPr>
        <w:t xml:space="preserve">第二章  </w:t>
      </w:r>
      <w:r>
        <w:rPr>
          <w:rFonts w:hint="eastAsia" w:ascii="黑体" w:hAnsi="宋体" w:eastAsia="黑体"/>
          <w:b/>
          <w:bCs/>
          <w:color w:val="000000" w:themeColor="text1"/>
          <w:sz w:val="30"/>
          <w:szCs w:val="30"/>
        </w:rPr>
        <w:t>招</w:t>
      </w:r>
      <w:r>
        <w:rPr>
          <w:rFonts w:hint="eastAsia" w:ascii="黑体" w:hAnsi="宋体" w:eastAsia="黑体"/>
          <w:b/>
          <w:color w:val="000000" w:themeColor="text1"/>
          <w:sz w:val="30"/>
          <w:szCs w:val="30"/>
        </w:rPr>
        <w:t>标需求</w:t>
      </w:r>
      <w:r>
        <w:rPr>
          <w:rFonts w:hint="eastAsia" w:ascii="宋体" w:hAnsi="宋体" w:cs="Arial"/>
          <w:b/>
          <w:color w:val="000000" w:themeColor="text1"/>
          <w:kern w:val="0"/>
          <w:sz w:val="24"/>
        </w:rPr>
        <w:t>（货物名称中打</w:t>
      </w:r>
      <w:r>
        <w:rPr>
          <w:rFonts w:hint="eastAsia" w:ascii="Arial" w:hAnsi="Arial" w:cs="Arial"/>
          <w:b/>
          <w:color w:val="000000" w:themeColor="text1"/>
          <w:kern w:val="0"/>
          <w:sz w:val="24"/>
        </w:rPr>
        <w:t>▲为</w:t>
      </w:r>
      <w:r>
        <w:rPr>
          <w:rFonts w:ascii="宋体" w:hAnsi="宋体" w:cs="Arial"/>
          <w:b/>
          <w:color w:val="000000" w:themeColor="text1"/>
          <w:kern w:val="0"/>
          <w:sz w:val="24"/>
        </w:rPr>
        <w:t>核心产品</w:t>
      </w:r>
      <w:r>
        <w:rPr>
          <w:rFonts w:hint="eastAsia" w:ascii="宋体" w:hAnsi="宋体" w:cs="Arial"/>
          <w:b/>
          <w:color w:val="000000" w:themeColor="text1"/>
          <w:kern w:val="0"/>
          <w:sz w:val="24"/>
        </w:rPr>
        <w:t>）</w:t>
      </w:r>
    </w:p>
    <w:p>
      <w:pPr>
        <w:snapToGrid w:val="0"/>
        <w:ind w:firstLine="480"/>
        <w:rPr>
          <w:rFonts w:ascii="宋体" w:hAnsi="宋体"/>
          <w:color w:val="000000" w:themeColor="text1"/>
        </w:rPr>
      </w:pPr>
    </w:p>
    <w:p>
      <w:pPr>
        <w:spacing w:line="274" w:lineRule="exact"/>
        <w:ind w:right="-109" w:firstLine="480"/>
        <w:jc w:val="center"/>
        <w:rPr>
          <w:rFonts w:ascii="宋体" w:hAnsi="宋体"/>
          <w:color w:val="000000" w:themeColor="text1"/>
        </w:rPr>
      </w:pPr>
      <w:bookmarkStart w:id="2" w:name="采购需求"/>
      <w:bookmarkEnd w:id="2"/>
      <w:bookmarkStart w:id="3" w:name="采购需求1"/>
      <w:bookmarkEnd w:id="3"/>
      <w:r>
        <w:rPr>
          <w:rFonts w:ascii="宋体" w:hAnsi="宋体"/>
          <w:color w:val="000000" w:themeColor="text1"/>
        </w:rPr>
        <w:t>（如有标★号部分为必须满足或优于，否则视为无效投标。）</w:t>
      </w:r>
    </w:p>
    <w:p>
      <w:pPr>
        <w:snapToGrid w:val="0"/>
        <w:ind w:firstLine="480"/>
        <w:rPr>
          <w:color w:val="000000" w:themeColor="text1"/>
        </w:rPr>
      </w:pPr>
      <w:r>
        <w:rPr>
          <w:rFonts w:hint="eastAsia"/>
          <w:color w:val="000000" w:themeColor="text1"/>
        </w:rPr>
        <w:t>根据中央、省、市“雪亮工程”的建设任务，围绕立体化社会治安防控体系建设，优化城区布局，拓展乡镇、村视频监控建设，进一步扩大视频监控覆盖面，依托统一视频专网，分级整合全市视频监控资源，根据“一总两分”架构，建设视频信息共享平台。</w:t>
      </w:r>
    </w:p>
    <w:p>
      <w:pPr>
        <w:snapToGrid w:val="0"/>
        <w:ind w:firstLine="480"/>
        <w:rPr>
          <w:color w:val="000000" w:themeColor="text1"/>
        </w:rPr>
      </w:pPr>
      <w:r>
        <w:rPr>
          <w:rFonts w:hint="eastAsia"/>
          <w:color w:val="000000" w:themeColor="text1"/>
        </w:rPr>
        <w:t>此次“雪亮工程”，公安自建监控摄像机（以下简称一类点位）建设11291路，改造8944路，共建20235路，加上原已建一类点位，到2019年底“雪亮工程”完成后，一类点位不低于4.4万路；新建、改造点位的摄像机为高清的比例达到100%，完好率达到98%，智能化率达到30%以上；全市其他政府部门监控摄像机（以下简称二类点位）、社会面监控摄像机（以下简称三类点位）新接入11550路，加上原已接入的二三类点位的总量不低于4.6万路；建成集智能应用体系、安全体系、运行维护体系于一体的公共安全视频监控建设联网应用，基本实现“全域覆盖、全网共享、全时可用、全程可控”的工作目标。本项目</w:t>
      </w:r>
      <w:r>
        <w:rPr>
          <w:color w:val="000000" w:themeColor="text1"/>
        </w:rPr>
        <w:t>为“</w:t>
      </w:r>
      <w:r>
        <w:rPr>
          <w:rFonts w:hint="eastAsia"/>
          <w:color w:val="000000" w:themeColor="text1"/>
        </w:rPr>
        <w:t>雪亮</w:t>
      </w:r>
      <w:r>
        <w:rPr>
          <w:color w:val="000000" w:themeColor="text1"/>
        </w:rPr>
        <w:t>工程”</w:t>
      </w:r>
      <w:r>
        <w:rPr>
          <w:rFonts w:hint="eastAsia"/>
          <w:color w:val="000000" w:themeColor="text1"/>
        </w:rPr>
        <w:t>后端</w:t>
      </w:r>
      <w:r>
        <w:rPr>
          <w:color w:val="000000" w:themeColor="text1"/>
        </w:rPr>
        <w:t>建设内容，具体预算如下：</w:t>
      </w:r>
    </w:p>
    <w:p>
      <w:pPr>
        <w:ind w:firstLine="482"/>
        <w:rPr>
          <w:b/>
          <w:color w:val="000000" w:themeColor="text1"/>
        </w:rPr>
      </w:pPr>
    </w:p>
    <w:p>
      <w:pPr>
        <w:ind w:firstLine="482"/>
        <w:jc w:val="center"/>
        <w:rPr>
          <w:b/>
          <w:color w:val="000000" w:themeColor="text1"/>
        </w:rPr>
      </w:pPr>
      <w:r>
        <w:rPr>
          <w:rFonts w:hint="eastAsia"/>
          <w:color w:val="000000" w:themeColor="text1"/>
        </w:rPr>
        <w:t>市本级及各县市区分项预算</w:t>
      </w:r>
    </w:p>
    <w:tbl>
      <w:tblPr>
        <w:tblStyle w:val="53"/>
        <w:tblW w:w="6378" w:type="dxa"/>
        <w:jc w:val="center"/>
        <w:tblInd w:w="-13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9"/>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59" w:type="dxa"/>
            <w:shd w:val="clear" w:color="auto" w:fill="auto"/>
            <w:noWrap/>
            <w:vAlign w:val="center"/>
          </w:tcPr>
          <w:p>
            <w:pPr>
              <w:ind w:firstLine="482"/>
              <w:jc w:val="center"/>
              <w:rPr>
                <w:b/>
                <w:color w:val="000000" w:themeColor="text1"/>
              </w:rPr>
            </w:pPr>
            <w:r>
              <w:rPr>
                <w:rFonts w:hint="eastAsia"/>
                <w:b/>
                <w:color w:val="000000" w:themeColor="text1"/>
              </w:rPr>
              <w:t>各区域</w:t>
            </w:r>
          </w:p>
        </w:tc>
        <w:tc>
          <w:tcPr>
            <w:tcW w:w="3119" w:type="dxa"/>
            <w:shd w:val="clear" w:color="auto" w:fill="auto"/>
            <w:noWrap/>
            <w:vAlign w:val="center"/>
          </w:tcPr>
          <w:p>
            <w:pPr>
              <w:ind w:firstLine="482"/>
              <w:jc w:val="center"/>
              <w:rPr>
                <w:b/>
                <w:color w:val="000000" w:themeColor="text1"/>
              </w:rPr>
            </w:pPr>
            <w:r>
              <w:rPr>
                <w:rFonts w:hint="eastAsia"/>
                <w:b/>
                <w:color w:val="000000" w:themeColor="text1"/>
              </w:rPr>
              <w:t>分项预算(单位：万元)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59" w:type="dxa"/>
            <w:shd w:val="clear" w:color="auto" w:fill="auto"/>
            <w:noWrap/>
            <w:vAlign w:val="center"/>
          </w:tcPr>
          <w:p>
            <w:pPr>
              <w:ind w:firstLine="480"/>
              <w:jc w:val="center"/>
              <w:rPr>
                <w:color w:val="000000" w:themeColor="text1"/>
              </w:rPr>
            </w:pPr>
            <w:r>
              <w:rPr>
                <w:rFonts w:hint="eastAsia"/>
                <w:color w:val="000000" w:themeColor="text1"/>
              </w:rPr>
              <w:t>市本级（交警）</w:t>
            </w:r>
          </w:p>
        </w:tc>
        <w:tc>
          <w:tcPr>
            <w:tcW w:w="3119" w:type="dxa"/>
            <w:shd w:val="clear" w:color="auto" w:fill="auto"/>
            <w:noWrap/>
            <w:vAlign w:val="center"/>
          </w:tcPr>
          <w:p>
            <w:pPr>
              <w:ind w:firstLine="480"/>
              <w:jc w:val="center"/>
              <w:rPr>
                <w:color w:val="000000" w:themeColor="text1"/>
              </w:rPr>
            </w:pPr>
            <w:r>
              <w:rPr>
                <w:rFonts w:hint="eastAsia"/>
                <w:color w:val="000000" w:themeColor="text1"/>
              </w:rPr>
              <w:t>3993.31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59" w:type="dxa"/>
            <w:shd w:val="clear" w:color="auto" w:fill="auto"/>
            <w:noWrap/>
            <w:vAlign w:val="center"/>
          </w:tcPr>
          <w:p>
            <w:pPr>
              <w:ind w:firstLine="480"/>
              <w:jc w:val="center"/>
              <w:rPr>
                <w:color w:val="000000" w:themeColor="text1"/>
              </w:rPr>
            </w:pPr>
            <w:r>
              <w:rPr>
                <w:rFonts w:hint="eastAsia"/>
                <w:color w:val="000000" w:themeColor="text1"/>
              </w:rPr>
              <w:t>婺城区</w:t>
            </w:r>
          </w:p>
        </w:tc>
        <w:tc>
          <w:tcPr>
            <w:tcW w:w="3119" w:type="dxa"/>
            <w:shd w:val="clear" w:color="auto" w:fill="auto"/>
            <w:noWrap/>
            <w:vAlign w:val="center"/>
          </w:tcPr>
          <w:p>
            <w:pPr>
              <w:ind w:firstLine="480"/>
              <w:jc w:val="center"/>
              <w:rPr>
                <w:color w:val="000000" w:themeColor="text1"/>
              </w:rPr>
            </w:pPr>
            <w:r>
              <w:rPr>
                <w:rFonts w:hint="eastAsia"/>
                <w:color w:val="000000" w:themeColor="text1"/>
              </w:rPr>
              <w:t>715.02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59" w:type="dxa"/>
            <w:shd w:val="clear" w:color="auto" w:fill="auto"/>
            <w:noWrap/>
            <w:vAlign w:val="center"/>
          </w:tcPr>
          <w:p>
            <w:pPr>
              <w:ind w:firstLine="480"/>
              <w:jc w:val="center"/>
              <w:rPr>
                <w:color w:val="000000" w:themeColor="text1"/>
              </w:rPr>
            </w:pPr>
            <w:r>
              <w:rPr>
                <w:rFonts w:hint="eastAsia"/>
                <w:color w:val="000000" w:themeColor="text1"/>
              </w:rPr>
              <w:t>开发区</w:t>
            </w:r>
          </w:p>
        </w:tc>
        <w:tc>
          <w:tcPr>
            <w:tcW w:w="3119" w:type="dxa"/>
            <w:shd w:val="clear" w:color="auto" w:fill="auto"/>
            <w:noWrap/>
            <w:vAlign w:val="center"/>
          </w:tcPr>
          <w:p>
            <w:pPr>
              <w:ind w:firstLine="480"/>
              <w:jc w:val="center"/>
              <w:rPr>
                <w:color w:val="000000" w:themeColor="text1"/>
              </w:rPr>
            </w:pPr>
            <w:r>
              <w:rPr>
                <w:rFonts w:hint="eastAsia"/>
                <w:color w:val="000000" w:themeColor="text1"/>
              </w:rPr>
              <w:t>576.58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59" w:type="dxa"/>
            <w:shd w:val="clear" w:color="auto" w:fill="auto"/>
            <w:noWrap/>
            <w:vAlign w:val="center"/>
          </w:tcPr>
          <w:p>
            <w:pPr>
              <w:ind w:firstLine="480"/>
              <w:jc w:val="center"/>
              <w:rPr>
                <w:color w:val="000000" w:themeColor="text1"/>
              </w:rPr>
            </w:pPr>
            <w:r>
              <w:rPr>
                <w:rFonts w:hint="eastAsia"/>
                <w:color w:val="000000" w:themeColor="text1"/>
              </w:rPr>
              <w:t>金东区</w:t>
            </w:r>
          </w:p>
        </w:tc>
        <w:tc>
          <w:tcPr>
            <w:tcW w:w="3119" w:type="dxa"/>
            <w:shd w:val="clear" w:color="auto" w:fill="auto"/>
            <w:noWrap/>
            <w:vAlign w:val="center"/>
          </w:tcPr>
          <w:p>
            <w:pPr>
              <w:ind w:firstLine="480"/>
              <w:jc w:val="center"/>
              <w:rPr>
                <w:color w:val="000000" w:themeColor="text1"/>
              </w:rPr>
            </w:pPr>
            <w:r>
              <w:rPr>
                <w:rFonts w:hint="eastAsia"/>
                <w:color w:val="000000" w:themeColor="text1"/>
              </w:rPr>
              <w:t>544.27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59" w:type="dxa"/>
            <w:shd w:val="clear" w:color="auto" w:fill="auto"/>
            <w:noWrap/>
            <w:vAlign w:val="center"/>
          </w:tcPr>
          <w:p>
            <w:pPr>
              <w:ind w:firstLine="480"/>
              <w:jc w:val="center"/>
              <w:rPr>
                <w:color w:val="000000" w:themeColor="text1"/>
              </w:rPr>
            </w:pPr>
            <w:r>
              <w:rPr>
                <w:rFonts w:hint="eastAsia"/>
                <w:color w:val="000000" w:themeColor="text1"/>
              </w:rPr>
              <w:t>金义都</w:t>
            </w:r>
          </w:p>
        </w:tc>
        <w:tc>
          <w:tcPr>
            <w:tcW w:w="3119" w:type="dxa"/>
            <w:shd w:val="clear" w:color="auto" w:fill="auto"/>
            <w:noWrap/>
            <w:vAlign w:val="center"/>
          </w:tcPr>
          <w:p>
            <w:pPr>
              <w:ind w:firstLine="480"/>
              <w:jc w:val="center"/>
              <w:rPr>
                <w:color w:val="000000" w:themeColor="text1"/>
              </w:rPr>
            </w:pPr>
            <w:r>
              <w:rPr>
                <w:rFonts w:hint="eastAsia"/>
                <w:color w:val="000000" w:themeColor="text1"/>
              </w:rPr>
              <w:t>247.05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59" w:type="dxa"/>
            <w:shd w:val="clear" w:color="auto" w:fill="auto"/>
            <w:noWrap/>
            <w:vAlign w:val="center"/>
          </w:tcPr>
          <w:p>
            <w:pPr>
              <w:ind w:firstLine="480"/>
              <w:jc w:val="center"/>
              <w:rPr>
                <w:color w:val="000000" w:themeColor="text1"/>
              </w:rPr>
            </w:pPr>
            <w:r>
              <w:rPr>
                <w:rFonts w:hint="eastAsia"/>
                <w:color w:val="000000" w:themeColor="text1"/>
              </w:rPr>
              <w:t>兰溪市</w:t>
            </w:r>
          </w:p>
        </w:tc>
        <w:tc>
          <w:tcPr>
            <w:tcW w:w="3119" w:type="dxa"/>
            <w:shd w:val="clear" w:color="auto" w:fill="auto"/>
            <w:noWrap/>
            <w:vAlign w:val="center"/>
          </w:tcPr>
          <w:p>
            <w:pPr>
              <w:ind w:firstLine="480"/>
              <w:jc w:val="center"/>
              <w:rPr>
                <w:color w:val="000000" w:themeColor="text1"/>
              </w:rPr>
            </w:pPr>
            <w:r>
              <w:rPr>
                <w:rFonts w:hint="eastAsia"/>
                <w:color w:val="000000" w:themeColor="text1"/>
              </w:rPr>
              <w:t>803.57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59" w:type="dxa"/>
            <w:shd w:val="clear" w:color="auto" w:fill="auto"/>
            <w:noWrap/>
            <w:vAlign w:val="center"/>
          </w:tcPr>
          <w:p>
            <w:pPr>
              <w:ind w:firstLine="480"/>
              <w:jc w:val="center"/>
              <w:rPr>
                <w:color w:val="000000" w:themeColor="text1"/>
              </w:rPr>
            </w:pPr>
            <w:r>
              <w:rPr>
                <w:rFonts w:hint="eastAsia"/>
                <w:color w:val="000000" w:themeColor="text1"/>
              </w:rPr>
              <w:t>义乌市</w:t>
            </w:r>
          </w:p>
        </w:tc>
        <w:tc>
          <w:tcPr>
            <w:tcW w:w="3119" w:type="dxa"/>
            <w:shd w:val="clear" w:color="auto" w:fill="auto"/>
            <w:noWrap/>
            <w:vAlign w:val="center"/>
          </w:tcPr>
          <w:p>
            <w:pPr>
              <w:ind w:firstLine="480"/>
              <w:jc w:val="center"/>
              <w:rPr>
                <w:color w:val="000000" w:themeColor="text1"/>
              </w:rPr>
            </w:pPr>
            <w:r>
              <w:rPr>
                <w:rFonts w:hint="eastAsia"/>
                <w:color w:val="000000" w:themeColor="text1"/>
              </w:rPr>
              <w:t>3908.00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59" w:type="dxa"/>
            <w:shd w:val="clear" w:color="auto" w:fill="auto"/>
            <w:noWrap/>
            <w:vAlign w:val="center"/>
          </w:tcPr>
          <w:p>
            <w:pPr>
              <w:ind w:firstLine="480"/>
              <w:jc w:val="center"/>
              <w:rPr>
                <w:color w:val="000000" w:themeColor="text1"/>
              </w:rPr>
            </w:pPr>
            <w:r>
              <w:rPr>
                <w:rFonts w:hint="eastAsia"/>
                <w:color w:val="000000" w:themeColor="text1"/>
              </w:rPr>
              <w:t>东阳市</w:t>
            </w:r>
          </w:p>
        </w:tc>
        <w:tc>
          <w:tcPr>
            <w:tcW w:w="3119" w:type="dxa"/>
            <w:shd w:val="clear" w:color="auto" w:fill="auto"/>
            <w:noWrap/>
            <w:vAlign w:val="center"/>
          </w:tcPr>
          <w:p>
            <w:pPr>
              <w:ind w:firstLine="480"/>
              <w:jc w:val="center"/>
              <w:rPr>
                <w:color w:val="000000" w:themeColor="text1"/>
              </w:rPr>
            </w:pPr>
            <w:r>
              <w:rPr>
                <w:rFonts w:hint="eastAsia"/>
                <w:color w:val="000000" w:themeColor="text1"/>
              </w:rPr>
              <w:t>1528.29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59" w:type="dxa"/>
            <w:shd w:val="clear" w:color="auto" w:fill="auto"/>
            <w:noWrap/>
            <w:vAlign w:val="center"/>
          </w:tcPr>
          <w:p>
            <w:pPr>
              <w:ind w:firstLine="480"/>
              <w:jc w:val="center"/>
              <w:rPr>
                <w:color w:val="000000" w:themeColor="text1"/>
              </w:rPr>
            </w:pPr>
            <w:r>
              <w:rPr>
                <w:rFonts w:hint="eastAsia"/>
                <w:color w:val="000000" w:themeColor="text1"/>
              </w:rPr>
              <w:t>永康市</w:t>
            </w:r>
          </w:p>
        </w:tc>
        <w:tc>
          <w:tcPr>
            <w:tcW w:w="3119" w:type="dxa"/>
            <w:shd w:val="clear" w:color="auto" w:fill="auto"/>
            <w:noWrap/>
            <w:vAlign w:val="center"/>
          </w:tcPr>
          <w:p>
            <w:pPr>
              <w:ind w:firstLine="480"/>
              <w:jc w:val="center"/>
              <w:rPr>
                <w:color w:val="000000" w:themeColor="text1"/>
              </w:rPr>
            </w:pPr>
            <w:r>
              <w:rPr>
                <w:rFonts w:hint="eastAsia"/>
                <w:color w:val="000000" w:themeColor="text1"/>
              </w:rPr>
              <w:t>1259.42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59" w:type="dxa"/>
            <w:shd w:val="clear" w:color="auto" w:fill="auto"/>
            <w:noWrap/>
            <w:vAlign w:val="center"/>
          </w:tcPr>
          <w:p>
            <w:pPr>
              <w:ind w:firstLine="480"/>
              <w:jc w:val="center"/>
              <w:rPr>
                <w:color w:val="000000" w:themeColor="text1"/>
              </w:rPr>
            </w:pPr>
            <w:r>
              <w:rPr>
                <w:rFonts w:hint="eastAsia"/>
                <w:color w:val="000000" w:themeColor="text1"/>
              </w:rPr>
              <w:t>武义县</w:t>
            </w:r>
          </w:p>
        </w:tc>
        <w:tc>
          <w:tcPr>
            <w:tcW w:w="3119" w:type="dxa"/>
            <w:shd w:val="clear" w:color="auto" w:fill="auto"/>
            <w:noWrap/>
            <w:vAlign w:val="center"/>
          </w:tcPr>
          <w:p>
            <w:pPr>
              <w:ind w:firstLine="480"/>
              <w:jc w:val="center"/>
              <w:rPr>
                <w:color w:val="000000" w:themeColor="text1"/>
              </w:rPr>
            </w:pPr>
            <w:r>
              <w:rPr>
                <w:rFonts w:hint="eastAsia"/>
                <w:color w:val="000000" w:themeColor="text1"/>
              </w:rPr>
              <w:t>615.1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59" w:type="dxa"/>
            <w:shd w:val="clear" w:color="auto" w:fill="auto"/>
            <w:noWrap/>
            <w:vAlign w:val="center"/>
          </w:tcPr>
          <w:p>
            <w:pPr>
              <w:ind w:firstLine="480"/>
              <w:jc w:val="center"/>
              <w:rPr>
                <w:color w:val="000000" w:themeColor="text1"/>
              </w:rPr>
            </w:pPr>
            <w:r>
              <w:rPr>
                <w:rFonts w:hint="eastAsia"/>
                <w:color w:val="000000" w:themeColor="text1"/>
              </w:rPr>
              <w:t>浦江县</w:t>
            </w:r>
          </w:p>
        </w:tc>
        <w:tc>
          <w:tcPr>
            <w:tcW w:w="3119" w:type="dxa"/>
            <w:shd w:val="clear" w:color="auto" w:fill="auto"/>
            <w:noWrap/>
            <w:vAlign w:val="center"/>
          </w:tcPr>
          <w:p>
            <w:pPr>
              <w:ind w:firstLine="480"/>
              <w:jc w:val="center"/>
              <w:rPr>
                <w:color w:val="000000" w:themeColor="text1"/>
              </w:rPr>
            </w:pPr>
            <w:r>
              <w:rPr>
                <w:rFonts w:hint="eastAsia"/>
                <w:color w:val="000000" w:themeColor="text1"/>
              </w:rPr>
              <w:t>1029.03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59" w:type="dxa"/>
            <w:shd w:val="clear" w:color="auto" w:fill="auto"/>
            <w:noWrap/>
            <w:vAlign w:val="center"/>
          </w:tcPr>
          <w:p>
            <w:pPr>
              <w:ind w:firstLine="480"/>
              <w:jc w:val="center"/>
              <w:rPr>
                <w:color w:val="000000" w:themeColor="text1"/>
              </w:rPr>
            </w:pPr>
            <w:r>
              <w:rPr>
                <w:rFonts w:hint="eastAsia"/>
                <w:color w:val="000000" w:themeColor="text1"/>
              </w:rPr>
              <w:t>磐安县</w:t>
            </w:r>
          </w:p>
        </w:tc>
        <w:tc>
          <w:tcPr>
            <w:tcW w:w="3119" w:type="dxa"/>
            <w:shd w:val="clear" w:color="auto" w:fill="auto"/>
            <w:noWrap/>
            <w:vAlign w:val="center"/>
          </w:tcPr>
          <w:p>
            <w:pPr>
              <w:ind w:firstLine="480"/>
              <w:jc w:val="center"/>
              <w:rPr>
                <w:color w:val="000000" w:themeColor="text1"/>
              </w:rPr>
            </w:pPr>
            <w:r>
              <w:rPr>
                <w:rFonts w:hint="eastAsia"/>
                <w:color w:val="000000" w:themeColor="text1"/>
              </w:rPr>
              <w:t>500.85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59" w:type="dxa"/>
            <w:shd w:val="clear" w:color="auto" w:fill="auto"/>
            <w:noWrap/>
            <w:vAlign w:val="center"/>
          </w:tcPr>
          <w:p>
            <w:pPr>
              <w:ind w:firstLine="480"/>
              <w:jc w:val="center"/>
              <w:rPr>
                <w:color w:val="000000" w:themeColor="text1"/>
              </w:rPr>
            </w:pPr>
            <w:r>
              <w:rPr>
                <w:rFonts w:hint="eastAsia"/>
                <w:color w:val="000000" w:themeColor="text1"/>
              </w:rPr>
              <w:t>总预算</w:t>
            </w:r>
          </w:p>
        </w:tc>
        <w:tc>
          <w:tcPr>
            <w:tcW w:w="3119" w:type="dxa"/>
            <w:shd w:val="clear" w:color="auto" w:fill="auto"/>
            <w:noWrap/>
            <w:vAlign w:val="center"/>
          </w:tcPr>
          <w:p>
            <w:pPr>
              <w:ind w:firstLine="480"/>
              <w:jc w:val="center"/>
              <w:rPr>
                <w:color w:val="000000" w:themeColor="text1"/>
              </w:rPr>
            </w:pPr>
            <w:r>
              <w:rPr>
                <w:rFonts w:hint="eastAsia"/>
                <w:color w:val="000000" w:themeColor="text1"/>
              </w:rPr>
              <w:t>15720.49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78" w:type="dxa"/>
            <w:gridSpan w:val="2"/>
            <w:shd w:val="clear" w:color="auto" w:fill="auto"/>
            <w:noWrap/>
            <w:vAlign w:val="center"/>
          </w:tcPr>
          <w:p>
            <w:pPr>
              <w:rPr>
                <w:color w:val="000000" w:themeColor="text1"/>
              </w:rPr>
            </w:pPr>
            <w:r>
              <w:rPr>
                <w:rFonts w:hint="eastAsia"/>
                <w:color w:val="000000" w:themeColor="text1"/>
              </w:rPr>
              <w:t>★备注：各中标人和金华市公安局签订总合同后，费用由各县（市、区）建设单位根据招标结果分签合同自行支付。</w:t>
            </w:r>
          </w:p>
          <w:p>
            <w:pPr>
              <w:ind w:firstLine="840" w:firstLineChars="400"/>
              <w:rPr>
                <w:color w:val="000000" w:themeColor="text1"/>
              </w:rPr>
            </w:pPr>
            <w:r>
              <w:rPr>
                <w:rFonts w:hint="eastAsia"/>
                <w:color w:val="000000" w:themeColor="text1"/>
              </w:rPr>
              <w:t>投标报价不得超出以上分项预算金额。</w:t>
            </w:r>
          </w:p>
        </w:tc>
      </w:tr>
    </w:tbl>
    <w:p>
      <w:pPr>
        <w:spacing w:line="274" w:lineRule="exact"/>
        <w:ind w:right="-109"/>
        <w:rPr>
          <w:rFonts w:ascii="宋体" w:hAnsi="宋体"/>
          <w:color w:val="000000" w:themeColor="text1"/>
        </w:rPr>
      </w:pPr>
    </w:p>
    <w:p>
      <w:pPr>
        <w:spacing w:line="274" w:lineRule="exact"/>
        <w:ind w:right="-109" w:firstLine="480"/>
        <w:jc w:val="center"/>
        <w:rPr>
          <w:rFonts w:ascii="宋体" w:hAnsi="宋体"/>
          <w:color w:val="000000" w:themeColor="text1"/>
        </w:rPr>
      </w:pPr>
      <w:r>
        <w:rPr>
          <w:rFonts w:hint="eastAsia"/>
          <w:color w:val="000000" w:themeColor="text1"/>
        </w:rPr>
        <w:t>各项目分项预算</w:t>
      </w:r>
    </w:p>
    <w:tbl>
      <w:tblPr>
        <w:tblStyle w:val="53"/>
        <w:tblW w:w="69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8"/>
        <w:gridCol w:w="1134"/>
        <w:gridCol w:w="2117"/>
        <w:gridCol w:w="2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4729" w:type="dxa"/>
            <w:gridSpan w:val="3"/>
            <w:shd w:val="clear" w:color="auto" w:fill="auto"/>
            <w:noWrap/>
            <w:vAlign w:val="center"/>
          </w:tcPr>
          <w:p>
            <w:pPr>
              <w:ind w:firstLine="482"/>
              <w:jc w:val="center"/>
              <w:rPr>
                <w:b/>
                <w:color w:val="000000" w:themeColor="text1"/>
              </w:rPr>
            </w:pPr>
            <w:r>
              <w:rPr>
                <w:rFonts w:hint="eastAsia"/>
                <w:b/>
                <w:color w:val="000000" w:themeColor="text1"/>
              </w:rPr>
              <w:t>项目</w:t>
            </w:r>
          </w:p>
        </w:tc>
        <w:tc>
          <w:tcPr>
            <w:tcW w:w="2260" w:type="dxa"/>
            <w:shd w:val="clear" w:color="auto" w:fill="auto"/>
            <w:noWrap/>
            <w:vAlign w:val="center"/>
          </w:tcPr>
          <w:p>
            <w:pPr>
              <w:ind w:firstLine="482"/>
              <w:jc w:val="center"/>
              <w:rPr>
                <w:b/>
                <w:color w:val="000000" w:themeColor="text1"/>
              </w:rPr>
            </w:pPr>
            <w:r>
              <w:rPr>
                <w:rFonts w:hint="eastAsia"/>
                <w:b/>
                <w:color w:val="000000" w:themeColor="text1"/>
              </w:rPr>
              <w:t>分项预算(单位：万元)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29" w:type="dxa"/>
            <w:gridSpan w:val="3"/>
            <w:shd w:val="clear" w:color="auto" w:fill="auto"/>
            <w:noWrap/>
            <w:vAlign w:val="center"/>
          </w:tcPr>
          <w:p>
            <w:pPr>
              <w:ind w:firstLine="480"/>
              <w:jc w:val="center"/>
              <w:rPr>
                <w:color w:val="000000" w:themeColor="text1"/>
              </w:rPr>
            </w:pPr>
            <w:r>
              <w:rPr>
                <w:rFonts w:hint="eastAsia"/>
                <w:color w:val="000000" w:themeColor="text1"/>
              </w:rPr>
              <w:t>综治分平台（社会面整合平台）</w:t>
            </w:r>
          </w:p>
        </w:tc>
        <w:tc>
          <w:tcPr>
            <w:tcW w:w="2260" w:type="dxa"/>
            <w:shd w:val="clear" w:color="auto" w:fill="auto"/>
            <w:noWrap/>
            <w:vAlign w:val="center"/>
          </w:tcPr>
          <w:p>
            <w:pPr>
              <w:jc w:val="center"/>
              <w:rPr>
                <w:color w:val="000000" w:themeColor="text1"/>
              </w:rPr>
            </w:pPr>
            <w:r>
              <w:rPr>
                <w:rFonts w:hint="eastAsia"/>
                <w:color w:val="000000" w:themeColor="text1"/>
              </w:rPr>
              <w:t>874.80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29" w:type="dxa"/>
            <w:gridSpan w:val="3"/>
            <w:shd w:val="clear" w:color="auto" w:fill="auto"/>
            <w:noWrap/>
            <w:vAlign w:val="center"/>
          </w:tcPr>
          <w:p>
            <w:pPr>
              <w:jc w:val="center"/>
              <w:rPr>
                <w:color w:val="000000" w:themeColor="text1"/>
              </w:rPr>
            </w:pPr>
            <w:r>
              <w:rPr>
                <w:rFonts w:hint="eastAsia"/>
                <w:color w:val="000000" w:themeColor="text1"/>
              </w:rPr>
              <w:t>网络系统</w:t>
            </w:r>
          </w:p>
        </w:tc>
        <w:tc>
          <w:tcPr>
            <w:tcW w:w="2260" w:type="dxa"/>
            <w:shd w:val="clear" w:color="auto" w:fill="auto"/>
            <w:noWrap/>
            <w:vAlign w:val="center"/>
          </w:tcPr>
          <w:p>
            <w:pPr>
              <w:jc w:val="center"/>
              <w:rPr>
                <w:color w:val="000000" w:themeColor="text1"/>
              </w:rPr>
            </w:pPr>
            <w:r>
              <w:rPr>
                <w:rFonts w:hint="eastAsia"/>
                <w:color w:val="000000" w:themeColor="text1"/>
              </w:rPr>
              <w:t>948.00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29" w:type="dxa"/>
            <w:gridSpan w:val="3"/>
            <w:shd w:val="clear" w:color="auto" w:fill="auto"/>
            <w:noWrap/>
            <w:vAlign w:val="center"/>
          </w:tcPr>
          <w:p>
            <w:pPr>
              <w:jc w:val="center"/>
              <w:rPr>
                <w:color w:val="000000" w:themeColor="text1"/>
              </w:rPr>
            </w:pPr>
            <w:r>
              <w:rPr>
                <w:rFonts w:hint="eastAsia"/>
                <w:color w:val="000000" w:themeColor="text1"/>
              </w:rPr>
              <w:t>安全系统</w:t>
            </w:r>
          </w:p>
        </w:tc>
        <w:tc>
          <w:tcPr>
            <w:tcW w:w="2260" w:type="dxa"/>
            <w:shd w:val="clear" w:color="auto" w:fill="auto"/>
            <w:noWrap/>
            <w:vAlign w:val="center"/>
          </w:tcPr>
          <w:p>
            <w:pPr>
              <w:jc w:val="center"/>
              <w:rPr>
                <w:color w:val="000000" w:themeColor="text1"/>
              </w:rPr>
            </w:pPr>
            <w:r>
              <w:rPr>
                <w:rFonts w:hint="eastAsia"/>
                <w:color w:val="000000" w:themeColor="text1"/>
              </w:rPr>
              <w:t>943.00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8" w:type="dxa"/>
            <w:vMerge w:val="restart"/>
            <w:shd w:val="clear" w:color="auto" w:fill="auto"/>
            <w:noWrap/>
            <w:vAlign w:val="center"/>
          </w:tcPr>
          <w:p>
            <w:pPr>
              <w:jc w:val="center"/>
              <w:rPr>
                <w:color w:val="000000" w:themeColor="text1"/>
              </w:rPr>
            </w:pPr>
            <w:r>
              <w:rPr>
                <w:rFonts w:hint="eastAsia"/>
                <w:color w:val="000000" w:themeColor="text1"/>
              </w:rPr>
              <w:t>综治大厅及实战应用</w:t>
            </w:r>
          </w:p>
        </w:tc>
        <w:tc>
          <w:tcPr>
            <w:tcW w:w="3251" w:type="dxa"/>
            <w:gridSpan w:val="2"/>
            <w:shd w:val="clear" w:color="auto" w:fill="auto"/>
            <w:vAlign w:val="center"/>
          </w:tcPr>
          <w:p>
            <w:pPr>
              <w:jc w:val="center"/>
              <w:rPr>
                <w:color w:val="000000" w:themeColor="text1"/>
              </w:rPr>
            </w:pPr>
            <w:r>
              <w:rPr>
                <w:rFonts w:hint="eastAsia"/>
                <w:color w:val="000000" w:themeColor="text1"/>
              </w:rPr>
              <w:t>综合指挥中心（指挥大厅）</w:t>
            </w:r>
          </w:p>
        </w:tc>
        <w:tc>
          <w:tcPr>
            <w:tcW w:w="2260" w:type="dxa"/>
            <w:shd w:val="clear" w:color="auto" w:fill="auto"/>
            <w:noWrap/>
            <w:vAlign w:val="center"/>
          </w:tcPr>
          <w:p>
            <w:pPr>
              <w:jc w:val="center"/>
              <w:rPr>
                <w:color w:val="000000" w:themeColor="text1"/>
              </w:rPr>
            </w:pPr>
            <w:r>
              <w:rPr>
                <w:rFonts w:hint="eastAsia"/>
                <w:color w:val="000000" w:themeColor="text1"/>
              </w:rPr>
              <w:t>1110.14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8" w:type="dxa"/>
            <w:vMerge w:val="continue"/>
            <w:shd w:val="clear" w:color="auto" w:fill="auto"/>
            <w:noWrap/>
            <w:vAlign w:val="center"/>
          </w:tcPr>
          <w:p>
            <w:pPr>
              <w:jc w:val="center"/>
              <w:rPr>
                <w:color w:val="000000" w:themeColor="text1"/>
              </w:rPr>
            </w:pPr>
          </w:p>
        </w:tc>
        <w:tc>
          <w:tcPr>
            <w:tcW w:w="3251" w:type="dxa"/>
            <w:gridSpan w:val="2"/>
            <w:shd w:val="clear" w:color="auto" w:fill="auto"/>
            <w:vAlign w:val="center"/>
          </w:tcPr>
          <w:p>
            <w:pPr>
              <w:jc w:val="center"/>
              <w:rPr>
                <w:color w:val="000000" w:themeColor="text1"/>
              </w:rPr>
            </w:pPr>
            <w:r>
              <w:rPr>
                <w:rFonts w:hint="eastAsia"/>
                <w:color w:val="000000" w:themeColor="text1"/>
              </w:rPr>
              <w:t>综治应用系统</w:t>
            </w:r>
          </w:p>
        </w:tc>
        <w:tc>
          <w:tcPr>
            <w:tcW w:w="2260" w:type="dxa"/>
            <w:shd w:val="clear" w:color="auto" w:fill="auto"/>
            <w:noWrap/>
            <w:vAlign w:val="center"/>
          </w:tcPr>
          <w:p>
            <w:pPr>
              <w:jc w:val="center"/>
              <w:rPr>
                <w:color w:val="000000" w:themeColor="text1"/>
              </w:rPr>
            </w:pPr>
            <w:r>
              <w:rPr>
                <w:rFonts w:hint="eastAsia"/>
                <w:color w:val="000000" w:themeColor="text1"/>
              </w:rPr>
              <w:t>887.76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8" w:type="dxa"/>
            <w:vMerge w:val="continue"/>
            <w:shd w:val="clear" w:color="auto" w:fill="auto"/>
            <w:noWrap/>
            <w:vAlign w:val="center"/>
          </w:tcPr>
          <w:p>
            <w:pPr>
              <w:jc w:val="center"/>
              <w:rPr>
                <w:color w:val="000000" w:themeColor="text1"/>
              </w:rPr>
            </w:pPr>
          </w:p>
        </w:tc>
        <w:tc>
          <w:tcPr>
            <w:tcW w:w="3251" w:type="dxa"/>
            <w:gridSpan w:val="2"/>
            <w:shd w:val="clear" w:color="auto" w:fill="auto"/>
            <w:vAlign w:val="center"/>
          </w:tcPr>
          <w:p>
            <w:pPr>
              <w:jc w:val="center"/>
              <w:rPr>
                <w:color w:val="000000" w:themeColor="text1"/>
              </w:rPr>
            </w:pPr>
            <w:r>
              <w:rPr>
                <w:rFonts w:hint="eastAsia"/>
                <w:color w:val="000000" w:themeColor="text1"/>
              </w:rPr>
              <w:t>综合指挥中心（应急指挥室）</w:t>
            </w:r>
          </w:p>
        </w:tc>
        <w:tc>
          <w:tcPr>
            <w:tcW w:w="2260" w:type="dxa"/>
            <w:shd w:val="clear" w:color="auto" w:fill="auto"/>
            <w:noWrap/>
            <w:vAlign w:val="center"/>
          </w:tcPr>
          <w:p>
            <w:pPr>
              <w:jc w:val="center"/>
              <w:rPr>
                <w:color w:val="000000" w:themeColor="text1"/>
              </w:rPr>
            </w:pPr>
            <w:r>
              <w:rPr>
                <w:rFonts w:hint="eastAsia"/>
                <w:color w:val="000000" w:themeColor="text1"/>
              </w:rPr>
              <w:t>630.3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29" w:type="dxa"/>
            <w:gridSpan w:val="3"/>
            <w:shd w:val="clear" w:color="auto" w:fill="auto"/>
            <w:noWrap/>
            <w:vAlign w:val="center"/>
          </w:tcPr>
          <w:p>
            <w:pPr>
              <w:jc w:val="center"/>
              <w:rPr>
                <w:color w:val="000000" w:themeColor="text1"/>
              </w:rPr>
            </w:pPr>
            <w:r>
              <w:rPr>
                <w:rFonts w:hint="eastAsia"/>
                <w:color w:val="000000" w:themeColor="text1"/>
              </w:rPr>
              <w:t>结构化存储</w:t>
            </w:r>
          </w:p>
        </w:tc>
        <w:tc>
          <w:tcPr>
            <w:tcW w:w="2260" w:type="dxa"/>
            <w:shd w:val="clear" w:color="auto" w:fill="auto"/>
            <w:noWrap/>
            <w:vAlign w:val="center"/>
          </w:tcPr>
          <w:p>
            <w:pPr>
              <w:jc w:val="center"/>
              <w:rPr>
                <w:color w:val="000000" w:themeColor="text1"/>
              </w:rPr>
            </w:pPr>
            <w:r>
              <w:rPr>
                <w:rFonts w:hint="eastAsia"/>
                <w:color w:val="000000" w:themeColor="text1"/>
              </w:rPr>
              <w:t>3000.00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1478" w:type="dxa"/>
            <w:vMerge w:val="restart"/>
            <w:shd w:val="clear" w:color="auto" w:fill="auto"/>
            <w:noWrap/>
            <w:vAlign w:val="center"/>
          </w:tcPr>
          <w:p>
            <w:pPr>
              <w:jc w:val="center"/>
              <w:rPr>
                <w:color w:val="000000" w:themeColor="text1"/>
              </w:rPr>
            </w:pPr>
            <w:r>
              <w:rPr>
                <w:rFonts w:hint="eastAsia"/>
                <w:color w:val="000000" w:themeColor="text1"/>
              </w:rPr>
              <w:t>公安业务实战应用</w:t>
            </w:r>
          </w:p>
        </w:tc>
        <w:tc>
          <w:tcPr>
            <w:tcW w:w="1134" w:type="dxa"/>
            <w:vMerge w:val="restart"/>
            <w:shd w:val="clear" w:color="auto" w:fill="auto"/>
            <w:vAlign w:val="center"/>
          </w:tcPr>
          <w:p>
            <w:pPr>
              <w:jc w:val="center"/>
              <w:rPr>
                <w:color w:val="000000" w:themeColor="text1"/>
              </w:rPr>
            </w:pPr>
            <w:r>
              <w:rPr>
                <w:rFonts w:hint="eastAsia"/>
                <w:color w:val="000000" w:themeColor="text1"/>
              </w:rPr>
              <w:t>解析中心</w:t>
            </w:r>
          </w:p>
        </w:tc>
        <w:tc>
          <w:tcPr>
            <w:tcW w:w="2117" w:type="dxa"/>
            <w:shd w:val="clear" w:color="auto" w:fill="auto"/>
            <w:vAlign w:val="center"/>
          </w:tcPr>
          <w:p>
            <w:pPr>
              <w:jc w:val="center"/>
              <w:rPr>
                <w:color w:val="000000" w:themeColor="text1"/>
              </w:rPr>
            </w:pPr>
            <w:r>
              <w:rPr>
                <w:rFonts w:hint="eastAsia"/>
                <w:color w:val="000000" w:themeColor="text1"/>
              </w:rPr>
              <w:t>人像硬件及算法</w:t>
            </w:r>
          </w:p>
        </w:tc>
        <w:tc>
          <w:tcPr>
            <w:tcW w:w="2260" w:type="dxa"/>
            <w:shd w:val="clear" w:color="auto" w:fill="auto"/>
            <w:noWrap/>
            <w:vAlign w:val="center"/>
          </w:tcPr>
          <w:p>
            <w:pPr>
              <w:jc w:val="center"/>
              <w:rPr>
                <w:color w:val="000000" w:themeColor="text1"/>
              </w:rPr>
            </w:pPr>
            <w:r>
              <w:rPr>
                <w:color w:val="000000" w:themeColor="text1"/>
              </w:rPr>
              <w:t>3599.56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1478" w:type="dxa"/>
            <w:vMerge w:val="continue"/>
            <w:shd w:val="clear" w:color="auto" w:fill="auto"/>
            <w:noWrap/>
            <w:vAlign w:val="center"/>
          </w:tcPr>
          <w:p>
            <w:pPr>
              <w:jc w:val="center"/>
              <w:rPr>
                <w:color w:val="000000" w:themeColor="text1"/>
              </w:rPr>
            </w:pPr>
          </w:p>
        </w:tc>
        <w:tc>
          <w:tcPr>
            <w:tcW w:w="1134" w:type="dxa"/>
            <w:vMerge w:val="continue"/>
            <w:shd w:val="clear" w:color="auto" w:fill="auto"/>
            <w:vAlign w:val="center"/>
          </w:tcPr>
          <w:p>
            <w:pPr>
              <w:jc w:val="center"/>
              <w:rPr>
                <w:color w:val="000000" w:themeColor="text1"/>
              </w:rPr>
            </w:pPr>
          </w:p>
        </w:tc>
        <w:tc>
          <w:tcPr>
            <w:tcW w:w="2117" w:type="dxa"/>
            <w:shd w:val="clear" w:color="auto" w:fill="auto"/>
            <w:vAlign w:val="center"/>
          </w:tcPr>
          <w:p>
            <w:pPr>
              <w:jc w:val="center"/>
              <w:rPr>
                <w:color w:val="000000" w:themeColor="text1"/>
              </w:rPr>
            </w:pPr>
            <w:r>
              <w:rPr>
                <w:rFonts w:hint="eastAsia"/>
                <w:color w:val="000000" w:themeColor="text1"/>
              </w:rPr>
              <w:t>萃取硬件及软件</w:t>
            </w:r>
          </w:p>
        </w:tc>
        <w:tc>
          <w:tcPr>
            <w:tcW w:w="2260" w:type="dxa"/>
            <w:shd w:val="clear" w:color="auto" w:fill="auto"/>
            <w:noWrap/>
            <w:vAlign w:val="center"/>
          </w:tcPr>
          <w:p>
            <w:pPr>
              <w:jc w:val="center"/>
              <w:rPr>
                <w:color w:val="000000" w:themeColor="text1"/>
              </w:rPr>
            </w:pPr>
            <w:r>
              <w:rPr>
                <w:rFonts w:hint="eastAsia"/>
                <w:color w:val="000000" w:themeColor="text1"/>
              </w:rPr>
              <w:t>1066.83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1478" w:type="dxa"/>
            <w:vMerge w:val="continue"/>
            <w:shd w:val="clear" w:color="auto" w:fill="auto"/>
            <w:noWrap/>
            <w:vAlign w:val="center"/>
          </w:tcPr>
          <w:p>
            <w:pPr>
              <w:jc w:val="center"/>
              <w:rPr>
                <w:color w:val="000000" w:themeColor="text1"/>
              </w:rPr>
            </w:pPr>
          </w:p>
        </w:tc>
        <w:tc>
          <w:tcPr>
            <w:tcW w:w="1134" w:type="dxa"/>
            <w:vMerge w:val="continue"/>
            <w:shd w:val="clear" w:color="auto" w:fill="auto"/>
            <w:vAlign w:val="center"/>
          </w:tcPr>
          <w:p>
            <w:pPr>
              <w:jc w:val="center"/>
              <w:rPr>
                <w:color w:val="000000" w:themeColor="text1"/>
              </w:rPr>
            </w:pPr>
          </w:p>
        </w:tc>
        <w:tc>
          <w:tcPr>
            <w:tcW w:w="2117" w:type="dxa"/>
            <w:shd w:val="clear" w:color="auto" w:fill="auto"/>
            <w:vAlign w:val="center"/>
          </w:tcPr>
          <w:p>
            <w:pPr>
              <w:jc w:val="center"/>
              <w:rPr>
                <w:color w:val="000000" w:themeColor="text1"/>
              </w:rPr>
            </w:pPr>
            <w:r>
              <w:rPr>
                <w:rFonts w:hint="eastAsia"/>
                <w:color w:val="000000" w:themeColor="text1"/>
              </w:rPr>
              <w:t>车辆二次分析硬件</w:t>
            </w:r>
          </w:p>
        </w:tc>
        <w:tc>
          <w:tcPr>
            <w:tcW w:w="2260" w:type="dxa"/>
            <w:shd w:val="clear" w:color="auto" w:fill="auto"/>
            <w:noWrap/>
            <w:vAlign w:val="center"/>
          </w:tcPr>
          <w:p>
            <w:pPr>
              <w:jc w:val="center"/>
              <w:rPr>
                <w:color w:val="000000" w:themeColor="text1"/>
              </w:rPr>
            </w:pPr>
            <w:r>
              <w:rPr>
                <w:color w:val="000000" w:themeColor="text1"/>
              </w:rPr>
              <w:t>107.1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1478" w:type="dxa"/>
            <w:vMerge w:val="continue"/>
            <w:shd w:val="clear" w:color="auto" w:fill="auto"/>
            <w:noWrap/>
            <w:vAlign w:val="center"/>
          </w:tcPr>
          <w:p>
            <w:pPr>
              <w:jc w:val="center"/>
              <w:rPr>
                <w:color w:val="000000" w:themeColor="text1"/>
              </w:rPr>
            </w:pPr>
          </w:p>
        </w:tc>
        <w:tc>
          <w:tcPr>
            <w:tcW w:w="1134" w:type="dxa"/>
            <w:vMerge w:val="continue"/>
            <w:shd w:val="clear" w:color="auto" w:fill="auto"/>
            <w:vAlign w:val="center"/>
          </w:tcPr>
          <w:p>
            <w:pPr>
              <w:jc w:val="center"/>
              <w:rPr>
                <w:color w:val="000000" w:themeColor="text1"/>
              </w:rPr>
            </w:pPr>
          </w:p>
        </w:tc>
        <w:tc>
          <w:tcPr>
            <w:tcW w:w="2117" w:type="dxa"/>
            <w:shd w:val="clear" w:color="auto" w:fill="auto"/>
            <w:vAlign w:val="center"/>
          </w:tcPr>
          <w:p>
            <w:pPr>
              <w:jc w:val="center"/>
              <w:rPr>
                <w:color w:val="000000" w:themeColor="text1"/>
              </w:rPr>
            </w:pPr>
            <w:r>
              <w:rPr>
                <w:rFonts w:hint="eastAsia"/>
                <w:color w:val="000000" w:themeColor="text1"/>
              </w:rPr>
              <w:t>车辆二次分析软件</w:t>
            </w:r>
          </w:p>
        </w:tc>
        <w:tc>
          <w:tcPr>
            <w:tcW w:w="2260" w:type="dxa"/>
            <w:shd w:val="clear" w:color="auto" w:fill="auto"/>
            <w:noWrap/>
            <w:vAlign w:val="center"/>
          </w:tcPr>
          <w:p>
            <w:pPr>
              <w:jc w:val="center"/>
              <w:rPr>
                <w:color w:val="000000" w:themeColor="text1"/>
              </w:rPr>
            </w:pPr>
            <w:r>
              <w:rPr>
                <w:rFonts w:hint="eastAsia"/>
                <w:color w:val="000000" w:themeColor="text1"/>
              </w:rPr>
              <w:t>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8" w:type="dxa"/>
            <w:vMerge w:val="continue"/>
            <w:shd w:val="clear" w:color="auto" w:fill="auto"/>
            <w:noWrap/>
            <w:vAlign w:val="center"/>
          </w:tcPr>
          <w:p>
            <w:pPr>
              <w:jc w:val="center"/>
              <w:rPr>
                <w:color w:val="000000" w:themeColor="text1"/>
              </w:rPr>
            </w:pPr>
          </w:p>
        </w:tc>
        <w:tc>
          <w:tcPr>
            <w:tcW w:w="1134" w:type="dxa"/>
            <w:vMerge w:val="continue"/>
            <w:shd w:val="clear" w:color="auto" w:fill="auto"/>
            <w:vAlign w:val="center"/>
          </w:tcPr>
          <w:p>
            <w:pPr>
              <w:jc w:val="center"/>
              <w:rPr>
                <w:rFonts w:ascii="仿宋_GB2312"/>
                <w:bCs/>
                <w:color w:val="000000" w:themeColor="text1"/>
              </w:rPr>
            </w:pPr>
          </w:p>
        </w:tc>
        <w:tc>
          <w:tcPr>
            <w:tcW w:w="2117" w:type="dxa"/>
            <w:shd w:val="clear" w:color="auto" w:fill="auto"/>
            <w:vAlign w:val="center"/>
          </w:tcPr>
          <w:p>
            <w:pPr>
              <w:jc w:val="center"/>
              <w:rPr>
                <w:rFonts w:ascii="仿宋_GB2312"/>
                <w:bCs/>
                <w:color w:val="000000" w:themeColor="text1"/>
              </w:rPr>
            </w:pPr>
            <w:r>
              <w:rPr>
                <w:rFonts w:hint="eastAsia" w:ascii="仿宋_GB2312"/>
                <w:bCs/>
                <w:color w:val="000000" w:themeColor="text1"/>
              </w:rPr>
              <w:t>解析中心机柜</w:t>
            </w:r>
          </w:p>
        </w:tc>
        <w:tc>
          <w:tcPr>
            <w:tcW w:w="2260" w:type="dxa"/>
            <w:shd w:val="clear" w:color="auto" w:fill="auto"/>
            <w:noWrap/>
            <w:vAlign w:val="center"/>
          </w:tcPr>
          <w:p>
            <w:pPr>
              <w:jc w:val="center"/>
              <w:rPr>
                <w:color w:val="000000" w:themeColor="text1"/>
              </w:rPr>
            </w:pPr>
            <w:r>
              <w:rPr>
                <w:rFonts w:hint="eastAsia"/>
                <w:color w:val="000000" w:themeColor="text1"/>
              </w:rPr>
              <w:t>425.00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8" w:type="dxa"/>
            <w:vMerge w:val="continue"/>
            <w:shd w:val="clear" w:color="auto" w:fill="auto"/>
            <w:noWrap/>
            <w:vAlign w:val="center"/>
          </w:tcPr>
          <w:p>
            <w:pPr>
              <w:ind w:firstLine="480"/>
              <w:jc w:val="center"/>
              <w:rPr>
                <w:color w:val="000000" w:themeColor="text1"/>
              </w:rPr>
            </w:pPr>
          </w:p>
        </w:tc>
        <w:tc>
          <w:tcPr>
            <w:tcW w:w="3251" w:type="dxa"/>
            <w:gridSpan w:val="2"/>
            <w:shd w:val="clear" w:color="auto" w:fill="auto"/>
            <w:vAlign w:val="center"/>
          </w:tcPr>
          <w:p>
            <w:pPr>
              <w:jc w:val="center"/>
              <w:rPr>
                <w:rFonts w:ascii="仿宋_GB2312"/>
                <w:bCs/>
                <w:color w:val="000000" w:themeColor="text1"/>
              </w:rPr>
            </w:pPr>
            <w:r>
              <w:rPr>
                <w:rFonts w:hint="eastAsia" w:ascii="仿宋_GB2312"/>
                <w:bCs/>
                <w:color w:val="000000" w:themeColor="text1"/>
              </w:rPr>
              <w:t>人像大数据应用</w:t>
            </w:r>
          </w:p>
        </w:tc>
        <w:tc>
          <w:tcPr>
            <w:tcW w:w="2260" w:type="dxa"/>
            <w:shd w:val="clear" w:color="auto" w:fill="auto"/>
            <w:noWrap/>
            <w:vAlign w:val="center"/>
          </w:tcPr>
          <w:p>
            <w:pPr>
              <w:jc w:val="center"/>
              <w:rPr>
                <w:color w:val="000000" w:themeColor="text1"/>
              </w:rPr>
            </w:pPr>
            <w:r>
              <w:rPr>
                <w:rFonts w:hint="eastAsia"/>
                <w:color w:val="000000" w:themeColor="text1"/>
              </w:rPr>
              <w:t>109.00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8" w:type="dxa"/>
            <w:vMerge w:val="continue"/>
            <w:shd w:val="clear" w:color="auto" w:fill="auto"/>
            <w:noWrap/>
            <w:vAlign w:val="center"/>
          </w:tcPr>
          <w:p>
            <w:pPr>
              <w:ind w:firstLine="480"/>
              <w:jc w:val="center"/>
              <w:rPr>
                <w:color w:val="000000" w:themeColor="text1"/>
              </w:rPr>
            </w:pPr>
          </w:p>
        </w:tc>
        <w:tc>
          <w:tcPr>
            <w:tcW w:w="3251" w:type="dxa"/>
            <w:gridSpan w:val="2"/>
            <w:shd w:val="clear" w:color="auto" w:fill="auto"/>
            <w:vAlign w:val="center"/>
          </w:tcPr>
          <w:p>
            <w:pPr>
              <w:jc w:val="center"/>
              <w:rPr>
                <w:rFonts w:ascii="仿宋_GB2312"/>
                <w:bCs/>
                <w:color w:val="000000" w:themeColor="text1"/>
              </w:rPr>
            </w:pPr>
            <w:r>
              <w:rPr>
                <w:rFonts w:hint="eastAsia" w:ascii="仿宋_GB2312"/>
                <w:bCs/>
                <w:color w:val="000000" w:themeColor="text1"/>
              </w:rPr>
              <w:t>视频萃取应用</w:t>
            </w:r>
          </w:p>
        </w:tc>
        <w:tc>
          <w:tcPr>
            <w:tcW w:w="2260" w:type="dxa"/>
            <w:shd w:val="clear" w:color="auto" w:fill="auto"/>
            <w:noWrap/>
            <w:vAlign w:val="center"/>
          </w:tcPr>
          <w:p>
            <w:pPr>
              <w:jc w:val="center"/>
              <w:rPr>
                <w:color w:val="000000" w:themeColor="text1"/>
              </w:rPr>
            </w:pPr>
            <w:r>
              <w:rPr>
                <w:rFonts w:hint="eastAsia"/>
                <w:color w:val="000000" w:themeColor="text1"/>
              </w:rPr>
              <w:t>109.00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8" w:type="dxa"/>
            <w:vMerge w:val="continue"/>
            <w:shd w:val="clear" w:color="auto" w:fill="auto"/>
            <w:noWrap/>
            <w:vAlign w:val="center"/>
          </w:tcPr>
          <w:p>
            <w:pPr>
              <w:ind w:firstLine="480"/>
              <w:jc w:val="center"/>
              <w:rPr>
                <w:color w:val="000000" w:themeColor="text1"/>
              </w:rPr>
            </w:pPr>
          </w:p>
        </w:tc>
        <w:tc>
          <w:tcPr>
            <w:tcW w:w="3251" w:type="dxa"/>
            <w:gridSpan w:val="2"/>
            <w:shd w:val="clear" w:color="auto" w:fill="auto"/>
            <w:vAlign w:val="center"/>
          </w:tcPr>
          <w:p>
            <w:pPr>
              <w:jc w:val="center"/>
              <w:rPr>
                <w:rFonts w:ascii="仿宋_GB2312"/>
                <w:bCs/>
                <w:color w:val="000000" w:themeColor="text1"/>
              </w:rPr>
            </w:pPr>
            <w:r>
              <w:rPr>
                <w:rFonts w:hint="eastAsia" w:ascii="仿宋_GB2312"/>
                <w:bCs/>
                <w:color w:val="000000" w:themeColor="text1"/>
              </w:rPr>
              <w:t>重点区域安保应用</w:t>
            </w:r>
          </w:p>
        </w:tc>
        <w:tc>
          <w:tcPr>
            <w:tcW w:w="2260" w:type="dxa"/>
            <w:shd w:val="clear" w:color="auto" w:fill="auto"/>
            <w:noWrap/>
            <w:vAlign w:val="center"/>
          </w:tcPr>
          <w:p>
            <w:pPr>
              <w:jc w:val="center"/>
              <w:rPr>
                <w:color w:val="000000" w:themeColor="text1"/>
              </w:rPr>
            </w:pPr>
            <w:r>
              <w:rPr>
                <w:rFonts w:hint="eastAsia"/>
                <w:color w:val="000000" w:themeColor="text1"/>
              </w:rPr>
              <w:t>230.00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8" w:type="dxa"/>
            <w:vMerge w:val="continue"/>
            <w:shd w:val="clear" w:color="auto" w:fill="auto"/>
            <w:noWrap/>
            <w:vAlign w:val="center"/>
          </w:tcPr>
          <w:p>
            <w:pPr>
              <w:ind w:firstLine="480"/>
              <w:jc w:val="center"/>
              <w:rPr>
                <w:color w:val="000000" w:themeColor="text1"/>
              </w:rPr>
            </w:pPr>
          </w:p>
        </w:tc>
        <w:tc>
          <w:tcPr>
            <w:tcW w:w="3251" w:type="dxa"/>
            <w:gridSpan w:val="2"/>
            <w:shd w:val="clear" w:color="auto" w:fill="auto"/>
            <w:vAlign w:val="center"/>
          </w:tcPr>
          <w:p>
            <w:pPr>
              <w:jc w:val="center"/>
              <w:rPr>
                <w:rFonts w:ascii="仿宋_GB2312"/>
                <w:bCs/>
                <w:color w:val="000000" w:themeColor="text1"/>
              </w:rPr>
            </w:pPr>
            <w:r>
              <w:rPr>
                <w:rFonts w:hint="eastAsia" w:ascii="仿宋_GB2312"/>
                <w:bCs/>
                <w:color w:val="000000" w:themeColor="text1"/>
              </w:rPr>
              <w:t>数据服务总线</w:t>
            </w:r>
          </w:p>
        </w:tc>
        <w:tc>
          <w:tcPr>
            <w:tcW w:w="2260" w:type="dxa"/>
            <w:shd w:val="clear" w:color="auto" w:fill="auto"/>
            <w:noWrap/>
            <w:vAlign w:val="center"/>
          </w:tcPr>
          <w:p>
            <w:pPr>
              <w:jc w:val="center"/>
              <w:rPr>
                <w:color w:val="000000" w:themeColor="text1"/>
              </w:rPr>
            </w:pPr>
            <w:r>
              <w:rPr>
                <w:rFonts w:hint="eastAsia"/>
                <w:color w:val="000000" w:themeColor="text1"/>
              </w:rPr>
              <w:t>442.00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8" w:type="dxa"/>
            <w:vMerge w:val="continue"/>
            <w:shd w:val="clear" w:color="auto" w:fill="auto"/>
            <w:noWrap/>
            <w:vAlign w:val="center"/>
          </w:tcPr>
          <w:p>
            <w:pPr>
              <w:ind w:firstLine="480"/>
              <w:jc w:val="center"/>
              <w:rPr>
                <w:color w:val="000000" w:themeColor="text1"/>
              </w:rPr>
            </w:pPr>
          </w:p>
        </w:tc>
        <w:tc>
          <w:tcPr>
            <w:tcW w:w="3251" w:type="dxa"/>
            <w:gridSpan w:val="2"/>
            <w:shd w:val="clear" w:color="auto" w:fill="auto"/>
            <w:vAlign w:val="center"/>
          </w:tcPr>
          <w:p>
            <w:pPr>
              <w:jc w:val="center"/>
              <w:rPr>
                <w:rFonts w:ascii="仿宋_GB2312"/>
                <w:bCs/>
                <w:color w:val="000000" w:themeColor="text1"/>
              </w:rPr>
            </w:pPr>
            <w:r>
              <w:rPr>
                <w:rFonts w:hint="eastAsia" w:ascii="仿宋_GB2312"/>
                <w:bCs/>
                <w:color w:val="000000" w:themeColor="text1"/>
              </w:rPr>
              <w:t>数据仓库系统</w:t>
            </w:r>
          </w:p>
        </w:tc>
        <w:tc>
          <w:tcPr>
            <w:tcW w:w="2260" w:type="dxa"/>
            <w:shd w:val="clear" w:color="auto" w:fill="auto"/>
            <w:noWrap/>
            <w:vAlign w:val="center"/>
          </w:tcPr>
          <w:p>
            <w:pPr>
              <w:jc w:val="center"/>
              <w:rPr>
                <w:color w:val="000000" w:themeColor="text1"/>
              </w:rPr>
            </w:pPr>
            <w:r>
              <w:rPr>
                <w:rFonts w:hint="eastAsia"/>
                <w:color w:val="000000" w:themeColor="text1"/>
              </w:rPr>
              <w:t>650.00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6" w:hRule="atLeast"/>
          <w:jc w:val="center"/>
        </w:trPr>
        <w:tc>
          <w:tcPr>
            <w:tcW w:w="4729" w:type="dxa"/>
            <w:gridSpan w:val="3"/>
            <w:shd w:val="clear" w:color="auto" w:fill="auto"/>
            <w:noWrap/>
            <w:vAlign w:val="center"/>
          </w:tcPr>
          <w:p>
            <w:pPr>
              <w:jc w:val="center"/>
              <w:rPr>
                <w:rFonts w:ascii="仿宋_GB2312"/>
                <w:bCs/>
                <w:color w:val="000000" w:themeColor="text1"/>
              </w:rPr>
            </w:pPr>
            <w:r>
              <w:rPr>
                <w:rFonts w:hint="eastAsia" w:ascii="仿宋_GB2312"/>
                <w:bCs/>
                <w:color w:val="000000" w:themeColor="text1"/>
              </w:rPr>
              <w:t>合计</w:t>
            </w:r>
          </w:p>
        </w:tc>
        <w:tc>
          <w:tcPr>
            <w:tcW w:w="2260" w:type="dxa"/>
            <w:shd w:val="clear" w:color="auto" w:fill="auto"/>
            <w:noWrap/>
            <w:vAlign w:val="center"/>
          </w:tcPr>
          <w:p>
            <w:pPr>
              <w:jc w:val="center"/>
              <w:rPr>
                <w:color w:val="000000" w:themeColor="text1"/>
              </w:rPr>
            </w:pPr>
            <w:r>
              <w:rPr>
                <w:rFonts w:hint="eastAsia"/>
                <w:color w:val="000000" w:themeColor="text1"/>
              </w:rPr>
              <w:t>15720.49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1" w:hRule="atLeast"/>
          <w:jc w:val="center"/>
        </w:trPr>
        <w:tc>
          <w:tcPr>
            <w:tcW w:w="6989" w:type="dxa"/>
            <w:gridSpan w:val="4"/>
            <w:shd w:val="clear" w:color="auto" w:fill="auto"/>
            <w:noWrap/>
            <w:vAlign w:val="center"/>
          </w:tcPr>
          <w:p>
            <w:pPr>
              <w:jc w:val="center"/>
              <w:rPr>
                <w:color w:val="000000" w:themeColor="text1"/>
              </w:rPr>
            </w:pPr>
            <w:r>
              <w:rPr>
                <w:rFonts w:hint="eastAsia"/>
                <w:color w:val="000000" w:themeColor="text1"/>
              </w:rPr>
              <w:t>★备注：投标报价不得超出以上分项预算金额。</w:t>
            </w:r>
          </w:p>
        </w:tc>
      </w:tr>
    </w:tbl>
    <w:p>
      <w:pPr>
        <w:spacing w:line="274" w:lineRule="exact"/>
        <w:ind w:right="-109" w:firstLine="480"/>
        <w:jc w:val="center"/>
        <w:rPr>
          <w:rFonts w:ascii="宋体" w:hAnsi="宋体"/>
          <w:color w:val="000000" w:themeColor="text1"/>
        </w:rPr>
      </w:pPr>
    </w:p>
    <w:p>
      <w:pPr>
        <w:spacing w:line="274" w:lineRule="exact"/>
        <w:ind w:right="-109" w:firstLine="480"/>
        <w:jc w:val="center"/>
        <w:rPr>
          <w:rFonts w:ascii="宋体" w:hAnsi="宋体"/>
          <w:color w:val="000000" w:themeColor="text1"/>
        </w:rPr>
      </w:pPr>
    </w:p>
    <w:p>
      <w:pPr>
        <w:spacing w:line="274" w:lineRule="exact"/>
        <w:ind w:right="-109" w:firstLine="480"/>
        <w:jc w:val="center"/>
        <w:rPr>
          <w:rFonts w:ascii="宋体" w:hAnsi="宋体"/>
          <w:color w:val="000000" w:themeColor="text1"/>
        </w:rPr>
        <w:sectPr>
          <w:headerReference r:id="rId3" w:type="default"/>
          <w:footerReference r:id="rId4" w:type="default"/>
          <w:footerReference r:id="rId5" w:type="even"/>
          <w:pgSz w:w="11906" w:h="16838"/>
          <w:pgMar w:top="1474" w:right="1797" w:bottom="1247" w:left="1797" w:header="851" w:footer="851" w:gutter="0"/>
          <w:cols w:space="720" w:num="1"/>
          <w:docGrid w:linePitch="312" w:charSpace="0"/>
        </w:sectPr>
      </w:pPr>
    </w:p>
    <w:p>
      <w:pPr>
        <w:spacing w:line="274" w:lineRule="exact"/>
        <w:ind w:right="-109" w:firstLine="480"/>
        <w:jc w:val="center"/>
        <w:rPr>
          <w:rFonts w:ascii="宋体" w:hAnsi="宋体"/>
          <w:color w:val="000000" w:themeColor="text1"/>
        </w:rPr>
      </w:pPr>
    </w:p>
    <w:p>
      <w:pPr>
        <w:spacing w:line="274" w:lineRule="exact"/>
        <w:ind w:right="-109" w:firstLine="480"/>
        <w:jc w:val="center"/>
        <w:rPr>
          <w:rFonts w:ascii="宋体" w:hAnsi="宋体"/>
          <w:color w:val="000000" w:themeColor="text1"/>
        </w:rPr>
      </w:pPr>
      <w:r>
        <w:rPr>
          <w:rFonts w:hint="eastAsia"/>
          <w:color w:val="000000" w:themeColor="text1"/>
        </w:rPr>
        <w:t>资金分配</w:t>
      </w:r>
      <w:r>
        <w:rPr>
          <w:color w:val="000000" w:themeColor="text1"/>
        </w:rPr>
        <w:t>比例</w:t>
      </w:r>
      <w:r>
        <w:rPr>
          <w:rFonts w:hint="eastAsia"/>
          <w:color w:val="000000" w:themeColor="text1"/>
        </w:rPr>
        <w:t>表</w:t>
      </w:r>
    </w:p>
    <w:tbl>
      <w:tblPr>
        <w:tblStyle w:val="53"/>
        <w:tblW w:w="14333" w:type="dxa"/>
        <w:tblInd w:w="0" w:type="dxa"/>
        <w:tblLayout w:type="fixed"/>
        <w:tblCellMar>
          <w:top w:w="0" w:type="dxa"/>
          <w:left w:w="108" w:type="dxa"/>
          <w:bottom w:w="0" w:type="dxa"/>
          <w:right w:w="108" w:type="dxa"/>
        </w:tblCellMar>
      </w:tblPr>
      <w:tblGrid>
        <w:gridCol w:w="431"/>
        <w:gridCol w:w="1520"/>
        <w:gridCol w:w="993"/>
        <w:gridCol w:w="950"/>
        <w:gridCol w:w="821"/>
        <w:gridCol w:w="820"/>
        <w:gridCol w:w="820"/>
        <w:gridCol w:w="820"/>
        <w:gridCol w:w="820"/>
        <w:gridCol w:w="940"/>
        <w:gridCol w:w="940"/>
        <w:gridCol w:w="940"/>
        <w:gridCol w:w="820"/>
        <w:gridCol w:w="820"/>
        <w:gridCol w:w="820"/>
        <w:gridCol w:w="1058"/>
      </w:tblGrid>
      <w:tr>
        <w:tblPrEx>
          <w:tblLayout w:type="fixed"/>
          <w:tblCellMar>
            <w:top w:w="0" w:type="dxa"/>
            <w:left w:w="108" w:type="dxa"/>
            <w:bottom w:w="0" w:type="dxa"/>
            <w:right w:w="108" w:type="dxa"/>
          </w:tblCellMar>
        </w:tblPrEx>
        <w:trPr>
          <w:trHeight w:val="420" w:hRule="atLeast"/>
        </w:trPr>
        <w:tc>
          <w:tcPr>
            <w:tcW w:w="431" w:type="dxa"/>
            <w:tcBorders>
              <w:top w:val="single" w:color="auto" w:sz="4" w:space="0"/>
              <w:left w:val="single" w:color="auto" w:sz="4" w:space="0"/>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项目</w:t>
            </w:r>
          </w:p>
        </w:tc>
        <w:tc>
          <w:tcPr>
            <w:tcW w:w="1520" w:type="dxa"/>
            <w:tcBorders>
              <w:top w:val="single" w:color="auto" w:sz="4" w:space="0"/>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子项目</w:t>
            </w:r>
          </w:p>
        </w:tc>
        <w:tc>
          <w:tcPr>
            <w:tcW w:w="993" w:type="dxa"/>
            <w:tcBorders>
              <w:top w:val="single" w:color="auto" w:sz="4" w:space="0"/>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预算（万元）</w:t>
            </w:r>
          </w:p>
        </w:tc>
        <w:tc>
          <w:tcPr>
            <w:tcW w:w="950" w:type="dxa"/>
            <w:tcBorders>
              <w:top w:val="single" w:color="auto" w:sz="4" w:space="0"/>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市本级</w:t>
            </w:r>
          </w:p>
        </w:tc>
        <w:tc>
          <w:tcPr>
            <w:tcW w:w="821" w:type="dxa"/>
            <w:tcBorders>
              <w:top w:val="single" w:color="auto" w:sz="4" w:space="0"/>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婺城</w:t>
            </w:r>
          </w:p>
        </w:tc>
        <w:tc>
          <w:tcPr>
            <w:tcW w:w="820" w:type="dxa"/>
            <w:tcBorders>
              <w:top w:val="single" w:color="auto" w:sz="4" w:space="0"/>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江南</w:t>
            </w:r>
          </w:p>
        </w:tc>
        <w:tc>
          <w:tcPr>
            <w:tcW w:w="820" w:type="dxa"/>
            <w:tcBorders>
              <w:top w:val="single" w:color="auto" w:sz="4" w:space="0"/>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金东</w:t>
            </w:r>
          </w:p>
        </w:tc>
        <w:tc>
          <w:tcPr>
            <w:tcW w:w="820" w:type="dxa"/>
            <w:tcBorders>
              <w:top w:val="single" w:color="auto" w:sz="4" w:space="0"/>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金义都</w:t>
            </w:r>
          </w:p>
        </w:tc>
        <w:tc>
          <w:tcPr>
            <w:tcW w:w="820" w:type="dxa"/>
            <w:tcBorders>
              <w:top w:val="single" w:color="auto" w:sz="4" w:space="0"/>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兰溪</w:t>
            </w:r>
          </w:p>
        </w:tc>
        <w:tc>
          <w:tcPr>
            <w:tcW w:w="940" w:type="dxa"/>
            <w:tcBorders>
              <w:top w:val="single" w:color="auto" w:sz="4" w:space="0"/>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义乌</w:t>
            </w:r>
          </w:p>
        </w:tc>
        <w:tc>
          <w:tcPr>
            <w:tcW w:w="940" w:type="dxa"/>
            <w:tcBorders>
              <w:top w:val="single" w:color="auto" w:sz="4" w:space="0"/>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东阳</w:t>
            </w:r>
          </w:p>
        </w:tc>
        <w:tc>
          <w:tcPr>
            <w:tcW w:w="940" w:type="dxa"/>
            <w:tcBorders>
              <w:top w:val="single" w:color="auto" w:sz="4" w:space="0"/>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永康</w:t>
            </w:r>
          </w:p>
        </w:tc>
        <w:tc>
          <w:tcPr>
            <w:tcW w:w="820" w:type="dxa"/>
            <w:tcBorders>
              <w:top w:val="single" w:color="auto" w:sz="4" w:space="0"/>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武义</w:t>
            </w:r>
          </w:p>
        </w:tc>
        <w:tc>
          <w:tcPr>
            <w:tcW w:w="820" w:type="dxa"/>
            <w:tcBorders>
              <w:top w:val="single" w:color="auto" w:sz="4" w:space="0"/>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浦江</w:t>
            </w:r>
          </w:p>
        </w:tc>
        <w:tc>
          <w:tcPr>
            <w:tcW w:w="820" w:type="dxa"/>
            <w:tcBorders>
              <w:top w:val="single" w:color="auto" w:sz="4" w:space="0"/>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磐安</w:t>
            </w:r>
          </w:p>
        </w:tc>
        <w:tc>
          <w:tcPr>
            <w:tcW w:w="1058" w:type="dxa"/>
            <w:tcBorders>
              <w:top w:val="single" w:color="auto" w:sz="4" w:space="0"/>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总数量</w:t>
            </w:r>
          </w:p>
        </w:tc>
      </w:tr>
      <w:tr>
        <w:tblPrEx>
          <w:tblLayout w:type="fixed"/>
          <w:tblCellMar>
            <w:top w:w="0" w:type="dxa"/>
            <w:left w:w="108" w:type="dxa"/>
            <w:bottom w:w="0" w:type="dxa"/>
            <w:right w:w="108" w:type="dxa"/>
          </w:tblCellMar>
        </w:tblPrEx>
        <w:trPr>
          <w:trHeight w:val="660" w:hRule="atLeast"/>
        </w:trPr>
        <w:tc>
          <w:tcPr>
            <w:tcW w:w="431"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1.综治分平台</w:t>
            </w:r>
          </w:p>
        </w:tc>
        <w:tc>
          <w:tcPr>
            <w:tcW w:w="15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视频应用及管理服务</w:t>
            </w:r>
            <w:r>
              <w:rPr>
                <w:rFonts w:hint="eastAsia" w:ascii="宋体" w:hAnsi="宋体" w:cs="宋体"/>
                <w:color w:val="000000" w:themeColor="text1"/>
                <w:kern w:val="0"/>
                <w:szCs w:val="21"/>
              </w:rPr>
              <w:t>1</w:t>
            </w:r>
          </w:p>
        </w:tc>
        <w:tc>
          <w:tcPr>
            <w:tcW w:w="993" w:type="dxa"/>
            <w:vMerge w:val="restart"/>
            <w:tcBorders>
              <w:top w:val="nil"/>
              <w:left w:val="nil"/>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874.80</w:t>
            </w:r>
          </w:p>
        </w:tc>
        <w:tc>
          <w:tcPr>
            <w:tcW w:w="95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821"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1058"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r>
      <w:tr>
        <w:tblPrEx>
          <w:tblLayout w:type="fixed"/>
          <w:tblCellMar>
            <w:top w:w="0" w:type="dxa"/>
            <w:left w:w="108" w:type="dxa"/>
            <w:bottom w:w="0" w:type="dxa"/>
            <w:right w:w="108" w:type="dxa"/>
          </w:tblCellMar>
        </w:tblPrEx>
        <w:trPr>
          <w:trHeight w:val="660" w:hRule="atLeast"/>
        </w:trPr>
        <w:tc>
          <w:tcPr>
            <w:tcW w:w="431"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themeColor="text1"/>
                <w:kern w:val="0"/>
                <w:szCs w:val="21"/>
              </w:rPr>
            </w:pPr>
          </w:p>
        </w:tc>
        <w:tc>
          <w:tcPr>
            <w:tcW w:w="15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视频应用及管理服务</w:t>
            </w:r>
            <w:r>
              <w:rPr>
                <w:rFonts w:hint="eastAsia" w:ascii="宋体" w:hAnsi="宋体" w:cs="宋体"/>
                <w:color w:val="000000" w:themeColor="text1"/>
                <w:kern w:val="0"/>
                <w:szCs w:val="21"/>
              </w:rPr>
              <w:t>2</w:t>
            </w:r>
          </w:p>
        </w:tc>
        <w:tc>
          <w:tcPr>
            <w:tcW w:w="993" w:type="dxa"/>
            <w:vMerge w:val="continue"/>
            <w:tcBorders>
              <w:left w:val="nil"/>
              <w:right w:val="single" w:color="auto" w:sz="4" w:space="0"/>
            </w:tcBorders>
            <w:shd w:val="clear" w:color="auto" w:fill="auto"/>
          </w:tcPr>
          <w:p>
            <w:pPr>
              <w:widowControl/>
              <w:jc w:val="left"/>
              <w:rPr>
                <w:rFonts w:ascii="等线" w:hAnsi="等线" w:eastAsia="等线" w:cs="宋体"/>
                <w:color w:val="000000" w:themeColor="text1"/>
                <w:kern w:val="0"/>
                <w:szCs w:val="21"/>
              </w:rPr>
            </w:pPr>
          </w:p>
        </w:tc>
        <w:tc>
          <w:tcPr>
            <w:tcW w:w="95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1"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1058"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2</w:t>
            </w:r>
          </w:p>
        </w:tc>
      </w:tr>
      <w:tr>
        <w:tblPrEx>
          <w:tblLayout w:type="fixed"/>
          <w:tblCellMar>
            <w:top w:w="0" w:type="dxa"/>
            <w:left w:w="108" w:type="dxa"/>
            <w:bottom w:w="0" w:type="dxa"/>
            <w:right w:w="108" w:type="dxa"/>
          </w:tblCellMar>
        </w:tblPrEx>
        <w:trPr>
          <w:trHeight w:val="660" w:hRule="atLeast"/>
        </w:trPr>
        <w:tc>
          <w:tcPr>
            <w:tcW w:w="431"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themeColor="text1"/>
                <w:kern w:val="0"/>
                <w:szCs w:val="21"/>
              </w:rPr>
            </w:pPr>
          </w:p>
        </w:tc>
        <w:tc>
          <w:tcPr>
            <w:tcW w:w="15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基础视频运维服务</w:t>
            </w:r>
          </w:p>
        </w:tc>
        <w:tc>
          <w:tcPr>
            <w:tcW w:w="993" w:type="dxa"/>
            <w:vMerge w:val="continue"/>
            <w:tcBorders>
              <w:left w:val="nil"/>
              <w:right w:val="single" w:color="auto" w:sz="4" w:space="0"/>
            </w:tcBorders>
            <w:shd w:val="clear" w:color="auto" w:fill="auto"/>
          </w:tcPr>
          <w:p>
            <w:pPr>
              <w:widowControl/>
              <w:jc w:val="left"/>
              <w:rPr>
                <w:rFonts w:ascii="等线" w:hAnsi="等线" w:eastAsia="等线" w:cs="宋体"/>
                <w:color w:val="000000" w:themeColor="text1"/>
                <w:kern w:val="0"/>
                <w:szCs w:val="21"/>
              </w:rPr>
            </w:pPr>
          </w:p>
        </w:tc>
        <w:tc>
          <w:tcPr>
            <w:tcW w:w="95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821"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1058"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3</w:t>
            </w:r>
          </w:p>
        </w:tc>
      </w:tr>
      <w:tr>
        <w:tblPrEx>
          <w:tblLayout w:type="fixed"/>
          <w:tblCellMar>
            <w:top w:w="0" w:type="dxa"/>
            <w:left w:w="108" w:type="dxa"/>
            <w:bottom w:w="0" w:type="dxa"/>
            <w:right w:w="108" w:type="dxa"/>
          </w:tblCellMar>
        </w:tblPrEx>
        <w:trPr>
          <w:trHeight w:val="660" w:hRule="atLeast"/>
        </w:trPr>
        <w:tc>
          <w:tcPr>
            <w:tcW w:w="431"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themeColor="text1"/>
                <w:kern w:val="0"/>
                <w:szCs w:val="21"/>
              </w:rPr>
            </w:pPr>
          </w:p>
        </w:tc>
        <w:tc>
          <w:tcPr>
            <w:tcW w:w="15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中心管理服务器</w:t>
            </w:r>
          </w:p>
        </w:tc>
        <w:tc>
          <w:tcPr>
            <w:tcW w:w="993" w:type="dxa"/>
            <w:vMerge w:val="continue"/>
            <w:tcBorders>
              <w:left w:val="nil"/>
              <w:right w:val="single" w:color="auto" w:sz="4" w:space="0"/>
            </w:tcBorders>
            <w:shd w:val="clear" w:color="auto" w:fill="auto"/>
          </w:tcPr>
          <w:p>
            <w:pPr>
              <w:widowControl/>
              <w:jc w:val="left"/>
              <w:rPr>
                <w:rFonts w:ascii="等线" w:hAnsi="等线" w:eastAsia="等线" w:cs="宋体"/>
                <w:color w:val="000000" w:themeColor="text1"/>
                <w:kern w:val="0"/>
                <w:szCs w:val="21"/>
              </w:rPr>
            </w:pPr>
          </w:p>
        </w:tc>
        <w:tc>
          <w:tcPr>
            <w:tcW w:w="95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821"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1058"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3</w:t>
            </w:r>
          </w:p>
        </w:tc>
      </w:tr>
      <w:tr>
        <w:tblPrEx>
          <w:tblLayout w:type="fixed"/>
          <w:tblCellMar>
            <w:top w:w="0" w:type="dxa"/>
            <w:left w:w="108" w:type="dxa"/>
            <w:bottom w:w="0" w:type="dxa"/>
            <w:right w:w="108" w:type="dxa"/>
          </w:tblCellMar>
        </w:tblPrEx>
        <w:trPr>
          <w:trHeight w:val="660" w:hRule="atLeast"/>
        </w:trPr>
        <w:tc>
          <w:tcPr>
            <w:tcW w:w="431"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themeColor="text1"/>
                <w:kern w:val="0"/>
                <w:szCs w:val="21"/>
              </w:rPr>
            </w:pPr>
          </w:p>
        </w:tc>
        <w:tc>
          <w:tcPr>
            <w:tcW w:w="15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数据库服务器</w:t>
            </w:r>
          </w:p>
        </w:tc>
        <w:tc>
          <w:tcPr>
            <w:tcW w:w="993" w:type="dxa"/>
            <w:vMerge w:val="continue"/>
            <w:tcBorders>
              <w:left w:val="nil"/>
              <w:right w:val="single" w:color="auto" w:sz="4" w:space="0"/>
            </w:tcBorders>
            <w:shd w:val="clear" w:color="auto" w:fill="auto"/>
          </w:tcPr>
          <w:p>
            <w:pPr>
              <w:widowControl/>
              <w:jc w:val="left"/>
              <w:rPr>
                <w:rFonts w:ascii="等线" w:hAnsi="等线" w:eastAsia="等线" w:cs="宋体"/>
                <w:color w:val="000000" w:themeColor="text1"/>
                <w:kern w:val="0"/>
                <w:szCs w:val="21"/>
              </w:rPr>
            </w:pPr>
          </w:p>
        </w:tc>
        <w:tc>
          <w:tcPr>
            <w:tcW w:w="95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821"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1058"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3</w:t>
            </w:r>
          </w:p>
        </w:tc>
      </w:tr>
      <w:tr>
        <w:tblPrEx>
          <w:tblLayout w:type="fixed"/>
          <w:tblCellMar>
            <w:top w:w="0" w:type="dxa"/>
            <w:left w:w="108" w:type="dxa"/>
            <w:bottom w:w="0" w:type="dxa"/>
            <w:right w:w="108" w:type="dxa"/>
          </w:tblCellMar>
        </w:tblPrEx>
        <w:trPr>
          <w:trHeight w:val="660" w:hRule="atLeast"/>
        </w:trPr>
        <w:tc>
          <w:tcPr>
            <w:tcW w:w="431"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themeColor="text1"/>
                <w:kern w:val="0"/>
                <w:szCs w:val="21"/>
              </w:rPr>
            </w:pPr>
          </w:p>
        </w:tc>
        <w:tc>
          <w:tcPr>
            <w:tcW w:w="15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流媒体服务器1</w:t>
            </w:r>
          </w:p>
        </w:tc>
        <w:tc>
          <w:tcPr>
            <w:tcW w:w="993" w:type="dxa"/>
            <w:vMerge w:val="continue"/>
            <w:tcBorders>
              <w:left w:val="nil"/>
              <w:right w:val="single" w:color="auto" w:sz="4" w:space="0"/>
            </w:tcBorders>
            <w:shd w:val="clear" w:color="auto" w:fill="auto"/>
          </w:tcPr>
          <w:p>
            <w:pPr>
              <w:widowControl/>
              <w:jc w:val="left"/>
              <w:rPr>
                <w:rFonts w:ascii="等线" w:hAnsi="等线" w:eastAsia="等线" w:cs="宋体"/>
                <w:color w:val="000000" w:themeColor="text1"/>
                <w:kern w:val="0"/>
                <w:szCs w:val="21"/>
              </w:rPr>
            </w:pPr>
          </w:p>
        </w:tc>
        <w:tc>
          <w:tcPr>
            <w:tcW w:w="95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4</w:t>
            </w:r>
          </w:p>
        </w:tc>
        <w:tc>
          <w:tcPr>
            <w:tcW w:w="821"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2</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2</w:t>
            </w:r>
          </w:p>
        </w:tc>
        <w:tc>
          <w:tcPr>
            <w:tcW w:w="1058"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8</w:t>
            </w:r>
          </w:p>
        </w:tc>
      </w:tr>
      <w:tr>
        <w:tblPrEx>
          <w:tblLayout w:type="fixed"/>
          <w:tblCellMar>
            <w:top w:w="0" w:type="dxa"/>
            <w:left w:w="108" w:type="dxa"/>
            <w:bottom w:w="0" w:type="dxa"/>
            <w:right w:w="108" w:type="dxa"/>
          </w:tblCellMar>
        </w:tblPrEx>
        <w:trPr>
          <w:trHeight w:val="660" w:hRule="atLeast"/>
        </w:trPr>
        <w:tc>
          <w:tcPr>
            <w:tcW w:w="431"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themeColor="text1"/>
                <w:kern w:val="0"/>
                <w:szCs w:val="21"/>
              </w:rPr>
            </w:pPr>
          </w:p>
        </w:tc>
        <w:tc>
          <w:tcPr>
            <w:tcW w:w="15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平台联网网关（一体机）</w:t>
            </w:r>
          </w:p>
        </w:tc>
        <w:tc>
          <w:tcPr>
            <w:tcW w:w="993" w:type="dxa"/>
            <w:vMerge w:val="continue"/>
            <w:tcBorders>
              <w:left w:val="nil"/>
              <w:right w:val="single" w:color="auto" w:sz="4" w:space="0"/>
            </w:tcBorders>
            <w:shd w:val="clear" w:color="auto" w:fill="auto"/>
          </w:tcPr>
          <w:p>
            <w:pPr>
              <w:widowControl/>
              <w:jc w:val="left"/>
              <w:rPr>
                <w:rFonts w:ascii="等线" w:hAnsi="等线" w:eastAsia="等线" w:cs="宋体"/>
                <w:color w:val="000000" w:themeColor="text1"/>
                <w:kern w:val="0"/>
                <w:szCs w:val="21"/>
              </w:rPr>
            </w:pPr>
          </w:p>
        </w:tc>
        <w:tc>
          <w:tcPr>
            <w:tcW w:w="95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6</w:t>
            </w:r>
          </w:p>
        </w:tc>
        <w:tc>
          <w:tcPr>
            <w:tcW w:w="821"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2</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2</w:t>
            </w:r>
          </w:p>
        </w:tc>
        <w:tc>
          <w:tcPr>
            <w:tcW w:w="1058"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10</w:t>
            </w:r>
          </w:p>
        </w:tc>
      </w:tr>
      <w:tr>
        <w:tblPrEx>
          <w:tblLayout w:type="fixed"/>
          <w:tblCellMar>
            <w:top w:w="0" w:type="dxa"/>
            <w:left w:w="108" w:type="dxa"/>
            <w:bottom w:w="0" w:type="dxa"/>
            <w:right w:w="108" w:type="dxa"/>
          </w:tblCellMar>
        </w:tblPrEx>
        <w:trPr>
          <w:trHeight w:val="660" w:hRule="atLeast"/>
        </w:trPr>
        <w:tc>
          <w:tcPr>
            <w:tcW w:w="431"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themeColor="text1"/>
                <w:kern w:val="0"/>
                <w:szCs w:val="21"/>
              </w:rPr>
            </w:pPr>
          </w:p>
        </w:tc>
        <w:tc>
          <w:tcPr>
            <w:tcW w:w="15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流媒体服务器2</w:t>
            </w:r>
          </w:p>
        </w:tc>
        <w:tc>
          <w:tcPr>
            <w:tcW w:w="993" w:type="dxa"/>
            <w:vMerge w:val="continue"/>
            <w:tcBorders>
              <w:left w:val="nil"/>
              <w:right w:val="single" w:color="auto" w:sz="4" w:space="0"/>
            </w:tcBorders>
            <w:shd w:val="clear" w:color="auto" w:fill="auto"/>
          </w:tcPr>
          <w:p>
            <w:pPr>
              <w:widowControl/>
              <w:jc w:val="left"/>
              <w:rPr>
                <w:rFonts w:ascii="等线" w:hAnsi="等线" w:eastAsia="等线" w:cs="宋体"/>
                <w:color w:val="000000" w:themeColor="text1"/>
                <w:kern w:val="0"/>
                <w:szCs w:val="21"/>
              </w:rPr>
            </w:pPr>
          </w:p>
        </w:tc>
        <w:tc>
          <w:tcPr>
            <w:tcW w:w="95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1"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3</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1058"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3</w:t>
            </w:r>
          </w:p>
        </w:tc>
      </w:tr>
      <w:tr>
        <w:tblPrEx>
          <w:tblLayout w:type="fixed"/>
          <w:tblCellMar>
            <w:top w:w="0" w:type="dxa"/>
            <w:left w:w="108" w:type="dxa"/>
            <w:bottom w:w="0" w:type="dxa"/>
            <w:right w:w="108" w:type="dxa"/>
          </w:tblCellMar>
        </w:tblPrEx>
        <w:trPr>
          <w:trHeight w:val="660" w:hRule="atLeast"/>
        </w:trPr>
        <w:tc>
          <w:tcPr>
            <w:tcW w:w="431"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themeColor="text1"/>
                <w:kern w:val="0"/>
                <w:szCs w:val="21"/>
              </w:rPr>
            </w:pPr>
          </w:p>
        </w:tc>
        <w:tc>
          <w:tcPr>
            <w:tcW w:w="15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平台服务器</w:t>
            </w:r>
          </w:p>
        </w:tc>
        <w:tc>
          <w:tcPr>
            <w:tcW w:w="993" w:type="dxa"/>
            <w:vMerge w:val="continue"/>
            <w:tcBorders>
              <w:left w:val="nil"/>
              <w:right w:val="single" w:color="auto" w:sz="4" w:space="0"/>
            </w:tcBorders>
            <w:shd w:val="clear" w:color="auto" w:fill="auto"/>
          </w:tcPr>
          <w:p>
            <w:pPr>
              <w:widowControl/>
              <w:jc w:val="left"/>
              <w:rPr>
                <w:rFonts w:ascii="等线" w:hAnsi="等线" w:eastAsia="等线" w:cs="宋体"/>
                <w:color w:val="000000" w:themeColor="text1"/>
                <w:kern w:val="0"/>
                <w:szCs w:val="21"/>
              </w:rPr>
            </w:pPr>
          </w:p>
        </w:tc>
        <w:tc>
          <w:tcPr>
            <w:tcW w:w="95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1"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1058"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r>
      <w:tr>
        <w:tblPrEx>
          <w:tblLayout w:type="fixed"/>
          <w:tblCellMar>
            <w:top w:w="0" w:type="dxa"/>
            <w:left w:w="108" w:type="dxa"/>
            <w:bottom w:w="0" w:type="dxa"/>
            <w:right w:w="108" w:type="dxa"/>
          </w:tblCellMar>
        </w:tblPrEx>
        <w:trPr>
          <w:trHeight w:val="660" w:hRule="atLeast"/>
        </w:trPr>
        <w:tc>
          <w:tcPr>
            <w:tcW w:w="431"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themeColor="text1"/>
                <w:kern w:val="0"/>
                <w:szCs w:val="21"/>
              </w:rPr>
            </w:pPr>
          </w:p>
        </w:tc>
        <w:tc>
          <w:tcPr>
            <w:tcW w:w="15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出口交换机</w:t>
            </w:r>
          </w:p>
        </w:tc>
        <w:tc>
          <w:tcPr>
            <w:tcW w:w="993" w:type="dxa"/>
            <w:vMerge w:val="continue"/>
            <w:tcBorders>
              <w:left w:val="nil"/>
              <w:right w:val="single" w:color="auto" w:sz="4" w:space="0"/>
            </w:tcBorders>
            <w:shd w:val="clear" w:color="auto" w:fill="auto"/>
          </w:tcPr>
          <w:p>
            <w:pPr>
              <w:widowControl/>
              <w:jc w:val="left"/>
              <w:rPr>
                <w:rFonts w:ascii="等线" w:hAnsi="等线" w:eastAsia="等线" w:cs="宋体"/>
                <w:color w:val="000000" w:themeColor="text1"/>
                <w:kern w:val="0"/>
                <w:szCs w:val="21"/>
              </w:rPr>
            </w:pPr>
          </w:p>
        </w:tc>
        <w:tc>
          <w:tcPr>
            <w:tcW w:w="95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821"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1058"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1</w:t>
            </w:r>
          </w:p>
        </w:tc>
      </w:tr>
      <w:tr>
        <w:tblPrEx>
          <w:tblLayout w:type="fixed"/>
          <w:tblCellMar>
            <w:top w:w="0" w:type="dxa"/>
            <w:left w:w="108" w:type="dxa"/>
            <w:bottom w:w="0" w:type="dxa"/>
            <w:right w:w="108" w:type="dxa"/>
          </w:tblCellMar>
        </w:tblPrEx>
        <w:trPr>
          <w:trHeight w:val="660" w:hRule="atLeast"/>
        </w:trPr>
        <w:tc>
          <w:tcPr>
            <w:tcW w:w="431"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themeColor="text1"/>
                <w:kern w:val="0"/>
                <w:szCs w:val="21"/>
              </w:rPr>
            </w:pPr>
          </w:p>
        </w:tc>
        <w:tc>
          <w:tcPr>
            <w:tcW w:w="15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万兆视频网闸</w:t>
            </w:r>
          </w:p>
        </w:tc>
        <w:tc>
          <w:tcPr>
            <w:tcW w:w="993" w:type="dxa"/>
            <w:vMerge w:val="continue"/>
            <w:tcBorders>
              <w:left w:val="nil"/>
              <w:right w:val="single" w:color="auto" w:sz="4" w:space="0"/>
            </w:tcBorders>
            <w:shd w:val="clear" w:color="auto" w:fill="auto"/>
          </w:tcPr>
          <w:p>
            <w:pPr>
              <w:widowControl/>
              <w:jc w:val="left"/>
              <w:rPr>
                <w:rFonts w:ascii="等线" w:hAnsi="等线" w:eastAsia="等线" w:cs="宋体"/>
                <w:color w:val="000000" w:themeColor="text1"/>
                <w:kern w:val="0"/>
                <w:szCs w:val="21"/>
              </w:rPr>
            </w:pPr>
          </w:p>
        </w:tc>
        <w:tc>
          <w:tcPr>
            <w:tcW w:w="95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821"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1058"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1</w:t>
            </w:r>
          </w:p>
        </w:tc>
      </w:tr>
      <w:tr>
        <w:tblPrEx>
          <w:tblLayout w:type="fixed"/>
          <w:tblCellMar>
            <w:top w:w="0" w:type="dxa"/>
            <w:left w:w="108" w:type="dxa"/>
            <w:bottom w:w="0" w:type="dxa"/>
            <w:right w:w="108" w:type="dxa"/>
          </w:tblCellMar>
        </w:tblPrEx>
        <w:trPr>
          <w:trHeight w:val="660" w:hRule="atLeast"/>
        </w:trPr>
        <w:tc>
          <w:tcPr>
            <w:tcW w:w="431"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themeColor="text1"/>
                <w:kern w:val="0"/>
                <w:szCs w:val="21"/>
              </w:rPr>
            </w:pPr>
          </w:p>
        </w:tc>
        <w:tc>
          <w:tcPr>
            <w:tcW w:w="15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万兆防火墙</w:t>
            </w:r>
          </w:p>
        </w:tc>
        <w:tc>
          <w:tcPr>
            <w:tcW w:w="993" w:type="dxa"/>
            <w:vMerge w:val="continue"/>
            <w:tcBorders>
              <w:left w:val="nil"/>
              <w:right w:val="single" w:color="auto" w:sz="4" w:space="0"/>
            </w:tcBorders>
            <w:shd w:val="clear" w:color="auto" w:fill="auto"/>
          </w:tcPr>
          <w:p>
            <w:pPr>
              <w:widowControl/>
              <w:jc w:val="left"/>
              <w:rPr>
                <w:rFonts w:ascii="等线" w:hAnsi="等线" w:eastAsia="等线" w:cs="宋体"/>
                <w:color w:val="000000" w:themeColor="text1"/>
                <w:kern w:val="0"/>
                <w:szCs w:val="21"/>
              </w:rPr>
            </w:pPr>
          </w:p>
        </w:tc>
        <w:tc>
          <w:tcPr>
            <w:tcW w:w="95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821"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1058"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2</w:t>
            </w:r>
          </w:p>
        </w:tc>
      </w:tr>
      <w:tr>
        <w:tblPrEx>
          <w:tblLayout w:type="fixed"/>
          <w:tblCellMar>
            <w:top w:w="0" w:type="dxa"/>
            <w:left w:w="108" w:type="dxa"/>
            <w:bottom w:w="0" w:type="dxa"/>
            <w:right w:w="108" w:type="dxa"/>
          </w:tblCellMar>
        </w:tblPrEx>
        <w:trPr>
          <w:trHeight w:val="660" w:hRule="atLeast"/>
        </w:trPr>
        <w:tc>
          <w:tcPr>
            <w:tcW w:w="431"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themeColor="text1"/>
                <w:kern w:val="0"/>
                <w:szCs w:val="21"/>
              </w:rPr>
            </w:pPr>
          </w:p>
        </w:tc>
        <w:tc>
          <w:tcPr>
            <w:tcW w:w="15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千兆光纤租费</w:t>
            </w:r>
          </w:p>
        </w:tc>
        <w:tc>
          <w:tcPr>
            <w:tcW w:w="993" w:type="dxa"/>
            <w:vMerge w:val="continue"/>
            <w:tcBorders>
              <w:left w:val="nil"/>
              <w:right w:val="single" w:color="auto" w:sz="4" w:space="0"/>
            </w:tcBorders>
            <w:shd w:val="clear" w:color="auto" w:fill="auto"/>
          </w:tcPr>
          <w:p>
            <w:pPr>
              <w:widowControl/>
              <w:jc w:val="left"/>
              <w:rPr>
                <w:rFonts w:ascii="等线" w:hAnsi="等线" w:eastAsia="等线" w:cs="宋体"/>
                <w:color w:val="000000" w:themeColor="text1"/>
                <w:kern w:val="0"/>
                <w:szCs w:val="21"/>
              </w:rPr>
            </w:pPr>
          </w:p>
        </w:tc>
        <w:tc>
          <w:tcPr>
            <w:tcW w:w="95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4</w:t>
            </w:r>
          </w:p>
        </w:tc>
        <w:tc>
          <w:tcPr>
            <w:tcW w:w="821"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1058"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7</w:t>
            </w:r>
          </w:p>
        </w:tc>
      </w:tr>
      <w:tr>
        <w:tblPrEx>
          <w:tblLayout w:type="fixed"/>
          <w:tblCellMar>
            <w:top w:w="0" w:type="dxa"/>
            <w:left w:w="108" w:type="dxa"/>
            <w:bottom w:w="0" w:type="dxa"/>
            <w:right w:w="108" w:type="dxa"/>
          </w:tblCellMar>
        </w:tblPrEx>
        <w:trPr>
          <w:trHeight w:val="660" w:hRule="atLeast"/>
        </w:trPr>
        <w:tc>
          <w:tcPr>
            <w:tcW w:w="431"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themeColor="text1"/>
                <w:kern w:val="0"/>
                <w:szCs w:val="21"/>
              </w:rPr>
            </w:pPr>
          </w:p>
        </w:tc>
        <w:tc>
          <w:tcPr>
            <w:tcW w:w="15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千兆防火墙</w:t>
            </w:r>
          </w:p>
        </w:tc>
        <w:tc>
          <w:tcPr>
            <w:tcW w:w="993" w:type="dxa"/>
            <w:vMerge w:val="continue"/>
            <w:tcBorders>
              <w:left w:val="nil"/>
              <w:right w:val="single" w:color="auto" w:sz="4" w:space="0"/>
            </w:tcBorders>
            <w:shd w:val="clear" w:color="auto" w:fill="auto"/>
          </w:tcPr>
          <w:p>
            <w:pPr>
              <w:widowControl/>
              <w:jc w:val="left"/>
              <w:rPr>
                <w:rFonts w:ascii="等线" w:hAnsi="等线" w:eastAsia="等线" w:cs="宋体"/>
                <w:color w:val="000000" w:themeColor="text1"/>
                <w:kern w:val="0"/>
                <w:szCs w:val="21"/>
              </w:rPr>
            </w:pPr>
          </w:p>
        </w:tc>
        <w:tc>
          <w:tcPr>
            <w:tcW w:w="95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1"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1058"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2</w:t>
            </w:r>
          </w:p>
        </w:tc>
      </w:tr>
      <w:tr>
        <w:tblPrEx>
          <w:tblLayout w:type="fixed"/>
          <w:tblCellMar>
            <w:top w:w="0" w:type="dxa"/>
            <w:left w:w="108" w:type="dxa"/>
            <w:bottom w:w="0" w:type="dxa"/>
            <w:right w:w="108" w:type="dxa"/>
          </w:tblCellMar>
        </w:tblPrEx>
        <w:trPr>
          <w:trHeight w:val="660" w:hRule="atLeast"/>
        </w:trPr>
        <w:tc>
          <w:tcPr>
            <w:tcW w:w="431"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themeColor="text1"/>
                <w:kern w:val="0"/>
                <w:szCs w:val="21"/>
              </w:rPr>
            </w:pPr>
          </w:p>
        </w:tc>
        <w:tc>
          <w:tcPr>
            <w:tcW w:w="15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社会面接入交换机</w:t>
            </w:r>
          </w:p>
        </w:tc>
        <w:tc>
          <w:tcPr>
            <w:tcW w:w="993" w:type="dxa"/>
            <w:vMerge w:val="continue"/>
            <w:tcBorders>
              <w:left w:val="nil"/>
              <w:right w:val="single" w:color="auto" w:sz="4" w:space="0"/>
            </w:tcBorders>
            <w:shd w:val="clear" w:color="auto" w:fill="auto"/>
          </w:tcPr>
          <w:p>
            <w:pPr>
              <w:widowControl/>
              <w:jc w:val="left"/>
              <w:rPr>
                <w:rFonts w:ascii="等线" w:hAnsi="等线" w:eastAsia="等线" w:cs="宋体"/>
                <w:color w:val="000000" w:themeColor="text1"/>
                <w:kern w:val="0"/>
                <w:szCs w:val="21"/>
              </w:rPr>
            </w:pPr>
          </w:p>
        </w:tc>
        <w:tc>
          <w:tcPr>
            <w:tcW w:w="95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1"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1058"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3</w:t>
            </w:r>
          </w:p>
        </w:tc>
      </w:tr>
      <w:tr>
        <w:tblPrEx>
          <w:tblLayout w:type="fixed"/>
          <w:tblCellMar>
            <w:top w:w="0" w:type="dxa"/>
            <w:left w:w="108" w:type="dxa"/>
            <w:bottom w:w="0" w:type="dxa"/>
            <w:right w:w="108" w:type="dxa"/>
          </w:tblCellMar>
        </w:tblPrEx>
        <w:trPr>
          <w:trHeight w:val="660" w:hRule="atLeast"/>
        </w:trPr>
        <w:tc>
          <w:tcPr>
            <w:tcW w:w="431"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社会视频资源联网整合</w:t>
            </w:r>
          </w:p>
        </w:tc>
        <w:tc>
          <w:tcPr>
            <w:tcW w:w="15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百兆链路数（条）</w:t>
            </w:r>
          </w:p>
        </w:tc>
        <w:tc>
          <w:tcPr>
            <w:tcW w:w="993" w:type="dxa"/>
            <w:vMerge w:val="continue"/>
            <w:tcBorders>
              <w:left w:val="nil"/>
              <w:right w:val="single" w:color="auto" w:sz="4" w:space="0"/>
            </w:tcBorders>
            <w:shd w:val="clear" w:color="auto" w:fill="auto"/>
          </w:tcPr>
          <w:p>
            <w:pPr>
              <w:widowControl/>
              <w:jc w:val="left"/>
              <w:rPr>
                <w:rFonts w:ascii="等线" w:hAnsi="等线" w:eastAsia="等线" w:cs="宋体"/>
                <w:color w:val="000000" w:themeColor="text1"/>
                <w:kern w:val="0"/>
                <w:szCs w:val="21"/>
              </w:rPr>
            </w:pPr>
          </w:p>
        </w:tc>
        <w:tc>
          <w:tcPr>
            <w:tcW w:w="95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1"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230</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65</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70+27</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400</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25</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9</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162</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10</w:t>
            </w:r>
          </w:p>
        </w:tc>
        <w:tc>
          <w:tcPr>
            <w:tcW w:w="1058"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999</w:t>
            </w:r>
          </w:p>
        </w:tc>
      </w:tr>
      <w:tr>
        <w:tblPrEx>
          <w:tblLayout w:type="fixed"/>
          <w:tblCellMar>
            <w:top w:w="0" w:type="dxa"/>
            <w:left w:w="108" w:type="dxa"/>
            <w:bottom w:w="0" w:type="dxa"/>
            <w:right w:w="108" w:type="dxa"/>
          </w:tblCellMar>
        </w:tblPrEx>
        <w:trPr>
          <w:trHeight w:val="660" w:hRule="atLeast"/>
        </w:trPr>
        <w:tc>
          <w:tcPr>
            <w:tcW w:w="431"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themeColor="text1"/>
                <w:kern w:val="0"/>
                <w:szCs w:val="21"/>
              </w:rPr>
            </w:pPr>
          </w:p>
        </w:tc>
        <w:tc>
          <w:tcPr>
            <w:tcW w:w="15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平台级联网关</w:t>
            </w:r>
          </w:p>
        </w:tc>
        <w:tc>
          <w:tcPr>
            <w:tcW w:w="993" w:type="dxa"/>
            <w:vMerge w:val="continue"/>
            <w:tcBorders>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p>
        </w:tc>
        <w:tc>
          <w:tcPr>
            <w:tcW w:w="95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1"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3</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1058"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7</w:t>
            </w:r>
          </w:p>
        </w:tc>
      </w:tr>
      <w:tr>
        <w:tblPrEx>
          <w:tblLayout w:type="fixed"/>
          <w:tblCellMar>
            <w:top w:w="0" w:type="dxa"/>
            <w:left w:w="108" w:type="dxa"/>
            <w:bottom w:w="0" w:type="dxa"/>
            <w:right w:w="108" w:type="dxa"/>
          </w:tblCellMar>
        </w:tblPrEx>
        <w:trPr>
          <w:trHeight w:val="660" w:hRule="atLeast"/>
        </w:trPr>
        <w:tc>
          <w:tcPr>
            <w:tcW w:w="431"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2.网络系统</w:t>
            </w:r>
          </w:p>
        </w:tc>
        <w:tc>
          <w:tcPr>
            <w:tcW w:w="15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市级视频专网核心交换机</w:t>
            </w:r>
          </w:p>
        </w:tc>
        <w:tc>
          <w:tcPr>
            <w:tcW w:w="993" w:type="dxa"/>
            <w:vMerge w:val="restart"/>
            <w:tcBorders>
              <w:top w:val="nil"/>
              <w:left w:val="nil"/>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948.00</w:t>
            </w:r>
          </w:p>
        </w:tc>
        <w:tc>
          <w:tcPr>
            <w:tcW w:w="95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2</w:t>
            </w:r>
          </w:p>
        </w:tc>
        <w:tc>
          <w:tcPr>
            <w:tcW w:w="821"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1058"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2</w:t>
            </w:r>
          </w:p>
        </w:tc>
      </w:tr>
      <w:tr>
        <w:tblPrEx>
          <w:tblLayout w:type="fixed"/>
          <w:tblCellMar>
            <w:top w:w="0" w:type="dxa"/>
            <w:left w:w="108" w:type="dxa"/>
            <w:bottom w:w="0" w:type="dxa"/>
            <w:right w:w="108" w:type="dxa"/>
          </w:tblCellMar>
        </w:tblPrEx>
        <w:trPr>
          <w:trHeight w:val="660" w:hRule="atLeast"/>
        </w:trPr>
        <w:tc>
          <w:tcPr>
            <w:tcW w:w="431"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themeColor="text1"/>
                <w:kern w:val="0"/>
                <w:szCs w:val="21"/>
              </w:rPr>
            </w:pPr>
          </w:p>
        </w:tc>
        <w:tc>
          <w:tcPr>
            <w:tcW w:w="15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市局视频专网汇聚交换机</w:t>
            </w:r>
          </w:p>
        </w:tc>
        <w:tc>
          <w:tcPr>
            <w:tcW w:w="993" w:type="dxa"/>
            <w:vMerge w:val="continue"/>
            <w:tcBorders>
              <w:left w:val="nil"/>
              <w:right w:val="single" w:color="auto" w:sz="4" w:space="0"/>
            </w:tcBorders>
            <w:shd w:val="clear" w:color="auto" w:fill="auto"/>
          </w:tcPr>
          <w:p>
            <w:pPr>
              <w:widowControl/>
              <w:jc w:val="left"/>
              <w:rPr>
                <w:rFonts w:ascii="等线" w:hAnsi="等线" w:eastAsia="等线" w:cs="宋体"/>
                <w:color w:val="000000" w:themeColor="text1"/>
                <w:kern w:val="0"/>
                <w:szCs w:val="21"/>
              </w:rPr>
            </w:pPr>
          </w:p>
        </w:tc>
        <w:tc>
          <w:tcPr>
            <w:tcW w:w="95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821"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1058"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1</w:t>
            </w:r>
          </w:p>
        </w:tc>
      </w:tr>
      <w:tr>
        <w:tblPrEx>
          <w:tblLayout w:type="fixed"/>
          <w:tblCellMar>
            <w:top w:w="0" w:type="dxa"/>
            <w:left w:w="108" w:type="dxa"/>
            <w:bottom w:w="0" w:type="dxa"/>
            <w:right w:w="108" w:type="dxa"/>
          </w:tblCellMar>
        </w:tblPrEx>
        <w:trPr>
          <w:trHeight w:val="660" w:hRule="atLeast"/>
        </w:trPr>
        <w:tc>
          <w:tcPr>
            <w:tcW w:w="431"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themeColor="text1"/>
                <w:kern w:val="0"/>
                <w:szCs w:val="21"/>
              </w:rPr>
            </w:pPr>
          </w:p>
        </w:tc>
        <w:tc>
          <w:tcPr>
            <w:tcW w:w="15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各县市视频专网核心交换机</w:t>
            </w:r>
          </w:p>
        </w:tc>
        <w:tc>
          <w:tcPr>
            <w:tcW w:w="993" w:type="dxa"/>
            <w:vMerge w:val="continue"/>
            <w:tcBorders>
              <w:left w:val="nil"/>
              <w:right w:val="single" w:color="auto" w:sz="4" w:space="0"/>
            </w:tcBorders>
            <w:shd w:val="clear" w:color="auto" w:fill="auto"/>
          </w:tcPr>
          <w:p>
            <w:pPr>
              <w:widowControl/>
              <w:jc w:val="left"/>
              <w:rPr>
                <w:rFonts w:ascii="等线" w:hAnsi="等线" w:eastAsia="等线" w:cs="宋体"/>
                <w:color w:val="000000" w:themeColor="text1"/>
                <w:kern w:val="0"/>
                <w:szCs w:val="21"/>
              </w:rPr>
            </w:pPr>
          </w:p>
        </w:tc>
        <w:tc>
          <w:tcPr>
            <w:tcW w:w="95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821"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1058"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8</w:t>
            </w:r>
          </w:p>
        </w:tc>
      </w:tr>
      <w:tr>
        <w:tblPrEx>
          <w:tblLayout w:type="fixed"/>
          <w:tblCellMar>
            <w:top w:w="0" w:type="dxa"/>
            <w:left w:w="108" w:type="dxa"/>
            <w:bottom w:w="0" w:type="dxa"/>
            <w:right w:w="108" w:type="dxa"/>
          </w:tblCellMar>
        </w:tblPrEx>
        <w:trPr>
          <w:trHeight w:val="660" w:hRule="atLeast"/>
        </w:trPr>
        <w:tc>
          <w:tcPr>
            <w:tcW w:w="431"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themeColor="text1"/>
                <w:kern w:val="0"/>
                <w:szCs w:val="21"/>
              </w:rPr>
            </w:pPr>
          </w:p>
        </w:tc>
        <w:tc>
          <w:tcPr>
            <w:tcW w:w="15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视频专网链路租赁</w:t>
            </w:r>
          </w:p>
        </w:tc>
        <w:tc>
          <w:tcPr>
            <w:tcW w:w="993" w:type="dxa"/>
            <w:vMerge w:val="continue"/>
            <w:tcBorders>
              <w:left w:val="nil"/>
              <w:right w:val="single" w:color="auto" w:sz="4" w:space="0"/>
            </w:tcBorders>
            <w:shd w:val="clear" w:color="auto" w:fill="auto"/>
          </w:tcPr>
          <w:p>
            <w:pPr>
              <w:widowControl/>
              <w:jc w:val="left"/>
              <w:rPr>
                <w:rFonts w:ascii="等线" w:hAnsi="等线" w:eastAsia="等线" w:cs="宋体"/>
                <w:color w:val="000000" w:themeColor="text1"/>
                <w:kern w:val="0"/>
                <w:szCs w:val="21"/>
              </w:rPr>
            </w:pPr>
          </w:p>
        </w:tc>
        <w:tc>
          <w:tcPr>
            <w:tcW w:w="95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12</w:t>
            </w:r>
          </w:p>
        </w:tc>
        <w:tc>
          <w:tcPr>
            <w:tcW w:w="821"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2</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2</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2</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2</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2</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2</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2</w:t>
            </w:r>
          </w:p>
        </w:tc>
        <w:tc>
          <w:tcPr>
            <w:tcW w:w="1058"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26</w:t>
            </w:r>
          </w:p>
        </w:tc>
      </w:tr>
      <w:tr>
        <w:tblPrEx>
          <w:tblLayout w:type="fixed"/>
          <w:tblCellMar>
            <w:top w:w="0" w:type="dxa"/>
            <w:left w:w="108" w:type="dxa"/>
            <w:bottom w:w="0" w:type="dxa"/>
            <w:right w:w="108" w:type="dxa"/>
          </w:tblCellMar>
        </w:tblPrEx>
        <w:trPr>
          <w:trHeight w:val="660" w:hRule="atLeast"/>
        </w:trPr>
        <w:tc>
          <w:tcPr>
            <w:tcW w:w="431"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themeColor="text1"/>
                <w:kern w:val="0"/>
                <w:szCs w:val="21"/>
              </w:rPr>
            </w:pPr>
          </w:p>
        </w:tc>
        <w:tc>
          <w:tcPr>
            <w:tcW w:w="15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视频专网网管系统</w:t>
            </w:r>
          </w:p>
        </w:tc>
        <w:tc>
          <w:tcPr>
            <w:tcW w:w="993" w:type="dxa"/>
            <w:vMerge w:val="continue"/>
            <w:tcBorders>
              <w:left w:val="nil"/>
              <w:right w:val="single" w:color="auto" w:sz="4" w:space="0"/>
            </w:tcBorders>
            <w:shd w:val="clear" w:color="auto" w:fill="auto"/>
          </w:tcPr>
          <w:p>
            <w:pPr>
              <w:widowControl/>
              <w:jc w:val="left"/>
              <w:rPr>
                <w:rFonts w:ascii="等线" w:hAnsi="等线" w:eastAsia="等线" w:cs="宋体"/>
                <w:color w:val="000000" w:themeColor="text1"/>
                <w:kern w:val="0"/>
                <w:szCs w:val="21"/>
              </w:rPr>
            </w:pPr>
          </w:p>
        </w:tc>
        <w:tc>
          <w:tcPr>
            <w:tcW w:w="95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821"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1058"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1</w:t>
            </w:r>
          </w:p>
        </w:tc>
      </w:tr>
      <w:tr>
        <w:tblPrEx>
          <w:tblLayout w:type="fixed"/>
          <w:tblCellMar>
            <w:top w:w="0" w:type="dxa"/>
            <w:left w:w="108" w:type="dxa"/>
            <w:bottom w:w="0" w:type="dxa"/>
            <w:right w:w="108" w:type="dxa"/>
          </w:tblCellMar>
        </w:tblPrEx>
        <w:trPr>
          <w:trHeight w:val="660" w:hRule="atLeast"/>
        </w:trPr>
        <w:tc>
          <w:tcPr>
            <w:tcW w:w="431"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themeColor="text1"/>
                <w:kern w:val="0"/>
                <w:szCs w:val="21"/>
              </w:rPr>
            </w:pPr>
          </w:p>
        </w:tc>
        <w:tc>
          <w:tcPr>
            <w:tcW w:w="15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汇聚交换机配置1</w:t>
            </w:r>
          </w:p>
        </w:tc>
        <w:tc>
          <w:tcPr>
            <w:tcW w:w="993" w:type="dxa"/>
            <w:vMerge w:val="continue"/>
            <w:tcBorders>
              <w:left w:val="nil"/>
              <w:right w:val="single" w:color="auto" w:sz="4" w:space="0"/>
            </w:tcBorders>
            <w:shd w:val="clear" w:color="auto" w:fill="auto"/>
          </w:tcPr>
          <w:p>
            <w:pPr>
              <w:widowControl/>
              <w:jc w:val="left"/>
              <w:rPr>
                <w:rFonts w:ascii="等线" w:hAnsi="等线" w:eastAsia="等线" w:cs="宋体"/>
                <w:color w:val="000000" w:themeColor="text1"/>
                <w:kern w:val="0"/>
                <w:szCs w:val="21"/>
              </w:rPr>
            </w:pPr>
          </w:p>
        </w:tc>
        <w:tc>
          <w:tcPr>
            <w:tcW w:w="95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1"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1058"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1</w:t>
            </w:r>
          </w:p>
        </w:tc>
      </w:tr>
      <w:tr>
        <w:tblPrEx>
          <w:tblLayout w:type="fixed"/>
          <w:tblCellMar>
            <w:top w:w="0" w:type="dxa"/>
            <w:left w:w="108" w:type="dxa"/>
            <w:bottom w:w="0" w:type="dxa"/>
            <w:right w:w="108" w:type="dxa"/>
          </w:tblCellMar>
        </w:tblPrEx>
        <w:trPr>
          <w:trHeight w:val="660" w:hRule="atLeast"/>
        </w:trPr>
        <w:tc>
          <w:tcPr>
            <w:tcW w:w="431"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themeColor="text1"/>
                <w:kern w:val="0"/>
                <w:szCs w:val="21"/>
              </w:rPr>
            </w:pPr>
          </w:p>
        </w:tc>
        <w:tc>
          <w:tcPr>
            <w:tcW w:w="15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汇聚交换机配置2</w:t>
            </w:r>
          </w:p>
        </w:tc>
        <w:tc>
          <w:tcPr>
            <w:tcW w:w="993" w:type="dxa"/>
            <w:vMerge w:val="continue"/>
            <w:tcBorders>
              <w:left w:val="nil"/>
              <w:right w:val="single" w:color="auto" w:sz="4" w:space="0"/>
            </w:tcBorders>
            <w:shd w:val="clear" w:color="auto" w:fill="auto"/>
          </w:tcPr>
          <w:p>
            <w:pPr>
              <w:widowControl/>
              <w:jc w:val="left"/>
              <w:rPr>
                <w:rFonts w:ascii="等线" w:hAnsi="等线" w:eastAsia="等线" w:cs="宋体"/>
                <w:color w:val="000000" w:themeColor="text1"/>
                <w:kern w:val="0"/>
                <w:szCs w:val="21"/>
              </w:rPr>
            </w:pPr>
          </w:p>
        </w:tc>
        <w:tc>
          <w:tcPr>
            <w:tcW w:w="95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1"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2</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1058"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6</w:t>
            </w:r>
          </w:p>
        </w:tc>
      </w:tr>
      <w:tr>
        <w:tblPrEx>
          <w:tblLayout w:type="fixed"/>
          <w:tblCellMar>
            <w:top w:w="0" w:type="dxa"/>
            <w:left w:w="108" w:type="dxa"/>
            <w:bottom w:w="0" w:type="dxa"/>
            <w:right w:w="108" w:type="dxa"/>
          </w:tblCellMar>
        </w:tblPrEx>
        <w:trPr>
          <w:trHeight w:val="660" w:hRule="atLeast"/>
        </w:trPr>
        <w:tc>
          <w:tcPr>
            <w:tcW w:w="431"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themeColor="text1"/>
                <w:kern w:val="0"/>
                <w:szCs w:val="21"/>
              </w:rPr>
            </w:pPr>
          </w:p>
        </w:tc>
        <w:tc>
          <w:tcPr>
            <w:tcW w:w="15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汇聚交换机配置3</w:t>
            </w:r>
          </w:p>
        </w:tc>
        <w:tc>
          <w:tcPr>
            <w:tcW w:w="993" w:type="dxa"/>
            <w:vMerge w:val="continue"/>
            <w:tcBorders>
              <w:left w:val="nil"/>
              <w:right w:val="single" w:color="auto" w:sz="4" w:space="0"/>
            </w:tcBorders>
            <w:shd w:val="clear" w:color="auto" w:fill="auto"/>
          </w:tcPr>
          <w:p>
            <w:pPr>
              <w:widowControl/>
              <w:jc w:val="left"/>
              <w:rPr>
                <w:rFonts w:ascii="等线" w:hAnsi="等线" w:eastAsia="等线" w:cs="宋体"/>
                <w:color w:val="000000" w:themeColor="text1"/>
                <w:kern w:val="0"/>
                <w:szCs w:val="21"/>
              </w:rPr>
            </w:pPr>
          </w:p>
        </w:tc>
        <w:tc>
          <w:tcPr>
            <w:tcW w:w="95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1"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1058"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1</w:t>
            </w:r>
          </w:p>
        </w:tc>
      </w:tr>
      <w:tr>
        <w:tblPrEx>
          <w:tblLayout w:type="fixed"/>
          <w:tblCellMar>
            <w:top w:w="0" w:type="dxa"/>
            <w:left w:w="108" w:type="dxa"/>
            <w:bottom w:w="0" w:type="dxa"/>
            <w:right w:w="108" w:type="dxa"/>
          </w:tblCellMar>
        </w:tblPrEx>
        <w:trPr>
          <w:trHeight w:val="660" w:hRule="atLeast"/>
        </w:trPr>
        <w:tc>
          <w:tcPr>
            <w:tcW w:w="431"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themeColor="text1"/>
                <w:kern w:val="0"/>
                <w:szCs w:val="21"/>
              </w:rPr>
            </w:pPr>
          </w:p>
        </w:tc>
        <w:tc>
          <w:tcPr>
            <w:tcW w:w="15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解析中心核心交换机</w:t>
            </w:r>
          </w:p>
        </w:tc>
        <w:tc>
          <w:tcPr>
            <w:tcW w:w="993" w:type="dxa"/>
            <w:vMerge w:val="continue"/>
            <w:tcBorders>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p>
        </w:tc>
        <w:tc>
          <w:tcPr>
            <w:tcW w:w="95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2</w:t>
            </w:r>
          </w:p>
        </w:tc>
        <w:tc>
          <w:tcPr>
            <w:tcW w:w="821"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1058"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2</w:t>
            </w:r>
          </w:p>
        </w:tc>
      </w:tr>
      <w:tr>
        <w:tblPrEx>
          <w:tblLayout w:type="fixed"/>
          <w:tblCellMar>
            <w:top w:w="0" w:type="dxa"/>
            <w:left w:w="108" w:type="dxa"/>
            <w:bottom w:w="0" w:type="dxa"/>
            <w:right w:w="108" w:type="dxa"/>
          </w:tblCellMar>
        </w:tblPrEx>
        <w:trPr>
          <w:trHeight w:val="660" w:hRule="atLeast"/>
        </w:trPr>
        <w:tc>
          <w:tcPr>
            <w:tcW w:w="431"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3.安全系统</w:t>
            </w:r>
          </w:p>
        </w:tc>
        <w:tc>
          <w:tcPr>
            <w:tcW w:w="15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视频边界(万兆)</w:t>
            </w:r>
          </w:p>
        </w:tc>
        <w:tc>
          <w:tcPr>
            <w:tcW w:w="993" w:type="dxa"/>
            <w:vMerge w:val="restart"/>
            <w:tcBorders>
              <w:top w:val="nil"/>
              <w:left w:val="nil"/>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943.00</w:t>
            </w:r>
          </w:p>
        </w:tc>
        <w:tc>
          <w:tcPr>
            <w:tcW w:w="95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2</w:t>
            </w:r>
          </w:p>
        </w:tc>
        <w:tc>
          <w:tcPr>
            <w:tcW w:w="821"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1058"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2</w:t>
            </w:r>
          </w:p>
        </w:tc>
      </w:tr>
      <w:tr>
        <w:tblPrEx>
          <w:tblLayout w:type="fixed"/>
          <w:tblCellMar>
            <w:top w:w="0" w:type="dxa"/>
            <w:left w:w="108" w:type="dxa"/>
            <w:bottom w:w="0" w:type="dxa"/>
            <w:right w:w="108" w:type="dxa"/>
          </w:tblCellMar>
        </w:tblPrEx>
        <w:trPr>
          <w:trHeight w:val="660" w:hRule="atLeast"/>
        </w:trPr>
        <w:tc>
          <w:tcPr>
            <w:tcW w:w="431"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themeColor="text1"/>
                <w:kern w:val="0"/>
                <w:szCs w:val="21"/>
              </w:rPr>
            </w:pPr>
          </w:p>
        </w:tc>
        <w:tc>
          <w:tcPr>
            <w:tcW w:w="15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视频网闸(万兆)</w:t>
            </w:r>
          </w:p>
        </w:tc>
        <w:tc>
          <w:tcPr>
            <w:tcW w:w="993" w:type="dxa"/>
            <w:vMerge w:val="continue"/>
            <w:tcBorders>
              <w:left w:val="nil"/>
              <w:right w:val="single" w:color="auto" w:sz="4" w:space="0"/>
            </w:tcBorders>
            <w:shd w:val="clear" w:color="auto" w:fill="auto"/>
          </w:tcPr>
          <w:p>
            <w:pPr>
              <w:widowControl/>
              <w:jc w:val="left"/>
              <w:rPr>
                <w:rFonts w:ascii="等线" w:hAnsi="等线" w:eastAsia="等线" w:cs="宋体"/>
                <w:color w:val="000000" w:themeColor="text1"/>
                <w:kern w:val="0"/>
                <w:szCs w:val="21"/>
              </w:rPr>
            </w:pPr>
          </w:p>
        </w:tc>
        <w:tc>
          <w:tcPr>
            <w:tcW w:w="95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1"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2</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2</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2</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2</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2</w:t>
            </w:r>
          </w:p>
        </w:tc>
        <w:tc>
          <w:tcPr>
            <w:tcW w:w="1058"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12</w:t>
            </w:r>
          </w:p>
        </w:tc>
      </w:tr>
      <w:tr>
        <w:tblPrEx>
          <w:tblLayout w:type="fixed"/>
          <w:tblCellMar>
            <w:top w:w="0" w:type="dxa"/>
            <w:left w:w="108" w:type="dxa"/>
            <w:bottom w:w="0" w:type="dxa"/>
            <w:right w:w="108" w:type="dxa"/>
          </w:tblCellMar>
        </w:tblPrEx>
        <w:trPr>
          <w:trHeight w:val="660" w:hRule="atLeast"/>
        </w:trPr>
        <w:tc>
          <w:tcPr>
            <w:tcW w:w="431"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themeColor="text1"/>
                <w:kern w:val="0"/>
                <w:szCs w:val="21"/>
              </w:rPr>
            </w:pPr>
          </w:p>
        </w:tc>
        <w:tc>
          <w:tcPr>
            <w:tcW w:w="15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数据边界(万兆)</w:t>
            </w:r>
          </w:p>
        </w:tc>
        <w:tc>
          <w:tcPr>
            <w:tcW w:w="993" w:type="dxa"/>
            <w:vMerge w:val="continue"/>
            <w:tcBorders>
              <w:left w:val="nil"/>
              <w:right w:val="single" w:color="auto" w:sz="4" w:space="0"/>
            </w:tcBorders>
            <w:shd w:val="clear" w:color="auto" w:fill="auto"/>
          </w:tcPr>
          <w:p>
            <w:pPr>
              <w:widowControl/>
              <w:jc w:val="left"/>
              <w:rPr>
                <w:rFonts w:ascii="等线" w:hAnsi="等线" w:eastAsia="等线" w:cs="宋体"/>
                <w:color w:val="000000" w:themeColor="text1"/>
                <w:kern w:val="0"/>
                <w:szCs w:val="21"/>
              </w:rPr>
            </w:pPr>
          </w:p>
        </w:tc>
        <w:tc>
          <w:tcPr>
            <w:tcW w:w="95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2</w:t>
            </w:r>
          </w:p>
        </w:tc>
        <w:tc>
          <w:tcPr>
            <w:tcW w:w="821"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1058"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2</w:t>
            </w:r>
          </w:p>
        </w:tc>
      </w:tr>
      <w:tr>
        <w:tblPrEx>
          <w:tblLayout w:type="fixed"/>
          <w:tblCellMar>
            <w:top w:w="0" w:type="dxa"/>
            <w:left w:w="108" w:type="dxa"/>
            <w:bottom w:w="0" w:type="dxa"/>
            <w:right w:w="108" w:type="dxa"/>
          </w:tblCellMar>
        </w:tblPrEx>
        <w:trPr>
          <w:trHeight w:val="660" w:hRule="atLeast"/>
        </w:trPr>
        <w:tc>
          <w:tcPr>
            <w:tcW w:w="431"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themeColor="text1"/>
                <w:kern w:val="0"/>
                <w:szCs w:val="21"/>
              </w:rPr>
            </w:pPr>
          </w:p>
        </w:tc>
        <w:tc>
          <w:tcPr>
            <w:tcW w:w="15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下一代防火墙（万兆）</w:t>
            </w:r>
          </w:p>
        </w:tc>
        <w:tc>
          <w:tcPr>
            <w:tcW w:w="993" w:type="dxa"/>
            <w:vMerge w:val="continue"/>
            <w:tcBorders>
              <w:left w:val="nil"/>
              <w:right w:val="single" w:color="auto" w:sz="4" w:space="0"/>
            </w:tcBorders>
            <w:shd w:val="clear" w:color="auto" w:fill="auto"/>
          </w:tcPr>
          <w:p>
            <w:pPr>
              <w:widowControl/>
              <w:jc w:val="left"/>
              <w:rPr>
                <w:rFonts w:ascii="等线" w:hAnsi="等线" w:eastAsia="等线" w:cs="宋体"/>
                <w:color w:val="000000" w:themeColor="text1"/>
                <w:kern w:val="0"/>
                <w:szCs w:val="21"/>
              </w:rPr>
            </w:pPr>
          </w:p>
        </w:tc>
        <w:tc>
          <w:tcPr>
            <w:tcW w:w="95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821"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1058"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6</w:t>
            </w:r>
          </w:p>
        </w:tc>
      </w:tr>
      <w:tr>
        <w:tblPrEx>
          <w:tblLayout w:type="fixed"/>
          <w:tblCellMar>
            <w:top w:w="0" w:type="dxa"/>
            <w:left w:w="108" w:type="dxa"/>
            <w:bottom w:w="0" w:type="dxa"/>
            <w:right w:w="108" w:type="dxa"/>
          </w:tblCellMar>
        </w:tblPrEx>
        <w:trPr>
          <w:trHeight w:val="660" w:hRule="atLeast"/>
        </w:trPr>
        <w:tc>
          <w:tcPr>
            <w:tcW w:w="431"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themeColor="text1"/>
                <w:kern w:val="0"/>
                <w:szCs w:val="21"/>
              </w:rPr>
            </w:pPr>
          </w:p>
        </w:tc>
        <w:tc>
          <w:tcPr>
            <w:tcW w:w="15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交换机</w:t>
            </w:r>
          </w:p>
        </w:tc>
        <w:tc>
          <w:tcPr>
            <w:tcW w:w="993" w:type="dxa"/>
            <w:vMerge w:val="continue"/>
            <w:tcBorders>
              <w:left w:val="nil"/>
              <w:right w:val="single" w:color="auto" w:sz="4" w:space="0"/>
            </w:tcBorders>
            <w:shd w:val="clear" w:color="auto" w:fill="auto"/>
          </w:tcPr>
          <w:p>
            <w:pPr>
              <w:widowControl/>
              <w:jc w:val="left"/>
              <w:rPr>
                <w:rFonts w:ascii="等线" w:hAnsi="等线" w:eastAsia="等线" w:cs="宋体"/>
                <w:color w:val="000000" w:themeColor="text1"/>
                <w:kern w:val="0"/>
                <w:szCs w:val="21"/>
              </w:rPr>
            </w:pPr>
          </w:p>
        </w:tc>
        <w:tc>
          <w:tcPr>
            <w:tcW w:w="95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821"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1058"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6</w:t>
            </w:r>
          </w:p>
        </w:tc>
      </w:tr>
      <w:tr>
        <w:tblPrEx>
          <w:tblLayout w:type="fixed"/>
          <w:tblCellMar>
            <w:top w:w="0" w:type="dxa"/>
            <w:left w:w="108" w:type="dxa"/>
            <w:bottom w:w="0" w:type="dxa"/>
            <w:right w:w="108" w:type="dxa"/>
          </w:tblCellMar>
        </w:tblPrEx>
        <w:trPr>
          <w:trHeight w:val="660" w:hRule="atLeast"/>
        </w:trPr>
        <w:tc>
          <w:tcPr>
            <w:tcW w:w="431"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themeColor="text1"/>
                <w:kern w:val="0"/>
                <w:szCs w:val="21"/>
              </w:rPr>
            </w:pPr>
          </w:p>
        </w:tc>
        <w:tc>
          <w:tcPr>
            <w:tcW w:w="15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准入控制及终端安全管理系统</w:t>
            </w:r>
          </w:p>
        </w:tc>
        <w:tc>
          <w:tcPr>
            <w:tcW w:w="993" w:type="dxa"/>
            <w:vMerge w:val="continue"/>
            <w:tcBorders>
              <w:left w:val="nil"/>
              <w:right w:val="single" w:color="auto" w:sz="4" w:space="0"/>
            </w:tcBorders>
            <w:shd w:val="clear" w:color="auto" w:fill="auto"/>
          </w:tcPr>
          <w:p>
            <w:pPr>
              <w:widowControl/>
              <w:jc w:val="left"/>
              <w:rPr>
                <w:rFonts w:ascii="等线" w:hAnsi="等线" w:eastAsia="等线" w:cs="宋体"/>
                <w:color w:val="000000" w:themeColor="text1"/>
                <w:kern w:val="0"/>
                <w:szCs w:val="21"/>
              </w:rPr>
            </w:pPr>
          </w:p>
        </w:tc>
        <w:tc>
          <w:tcPr>
            <w:tcW w:w="95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1"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1058"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2</w:t>
            </w:r>
          </w:p>
        </w:tc>
      </w:tr>
      <w:tr>
        <w:tblPrEx>
          <w:tblLayout w:type="fixed"/>
          <w:tblCellMar>
            <w:top w:w="0" w:type="dxa"/>
            <w:left w:w="108" w:type="dxa"/>
            <w:bottom w:w="0" w:type="dxa"/>
            <w:right w:w="108" w:type="dxa"/>
          </w:tblCellMar>
        </w:tblPrEx>
        <w:trPr>
          <w:trHeight w:val="660" w:hRule="atLeast"/>
        </w:trPr>
        <w:tc>
          <w:tcPr>
            <w:tcW w:w="431"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themeColor="text1"/>
                <w:kern w:val="0"/>
                <w:szCs w:val="21"/>
              </w:rPr>
            </w:pPr>
          </w:p>
        </w:tc>
        <w:tc>
          <w:tcPr>
            <w:tcW w:w="15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日志审计系统</w:t>
            </w:r>
          </w:p>
        </w:tc>
        <w:tc>
          <w:tcPr>
            <w:tcW w:w="993" w:type="dxa"/>
            <w:vMerge w:val="continue"/>
            <w:tcBorders>
              <w:left w:val="nil"/>
              <w:right w:val="single" w:color="auto" w:sz="4" w:space="0"/>
            </w:tcBorders>
            <w:shd w:val="clear" w:color="auto" w:fill="auto"/>
          </w:tcPr>
          <w:p>
            <w:pPr>
              <w:widowControl/>
              <w:jc w:val="left"/>
              <w:rPr>
                <w:rFonts w:ascii="等线" w:hAnsi="等线" w:eastAsia="等线" w:cs="宋体"/>
                <w:color w:val="000000" w:themeColor="text1"/>
                <w:kern w:val="0"/>
                <w:szCs w:val="21"/>
              </w:rPr>
            </w:pPr>
          </w:p>
        </w:tc>
        <w:tc>
          <w:tcPr>
            <w:tcW w:w="95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821"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1058"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1</w:t>
            </w:r>
          </w:p>
        </w:tc>
      </w:tr>
      <w:tr>
        <w:tblPrEx>
          <w:tblLayout w:type="fixed"/>
          <w:tblCellMar>
            <w:top w:w="0" w:type="dxa"/>
            <w:left w:w="108" w:type="dxa"/>
            <w:bottom w:w="0" w:type="dxa"/>
            <w:right w:w="108" w:type="dxa"/>
          </w:tblCellMar>
        </w:tblPrEx>
        <w:trPr>
          <w:trHeight w:val="660" w:hRule="atLeast"/>
        </w:trPr>
        <w:tc>
          <w:tcPr>
            <w:tcW w:w="431"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themeColor="text1"/>
                <w:kern w:val="0"/>
                <w:szCs w:val="21"/>
              </w:rPr>
            </w:pPr>
          </w:p>
        </w:tc>
        <w:tc>
          <w:tcPr>
            <w:tcW w:w="15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解析中心安全防护-下一代防火墙（40G）</w:t>
            </w:r>
          </w:p>
        </w:tc>
        <w:tc>
          <w:tcPr>
            <w:tcW w:w="993" w:type="dxa"/>
            <w:vMerge w:val="continue"/>
            <w:tcBorders>
              <w:left w:val="nil"/>
              <w:right w:val="single" w:color="auto" w:sz="4" w:space="0"/>
            </w:tcBorders>
            <w:shd w:val="clear" w:color="auto" w:fill="auto"/>
          </w:tcPr>
          <w:p>
            <w:pPr>
              <w:widowControl/>
              <w:jc w:val="left"/>
              <w:rPr>
                <w:rFonts w:ascii="等线" w:hAnsi="等线" w:eastAsia="等线" w:cs="宋体"/>
                <w:color w:val="000000" w:themeColor="text1"/>
                <w:kern w:val="0"/>
                <w:szCs w:val="21"/>
              </w:rPr>
            </w:pPr>
          </w:p>
        </w:tc>
        <w:tc>
          <w:tcPr>
            <w:tcW w:w="95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2</w:t>
            </w:r>
          </w:p>
        </w:tc>
        <w:tc>
          <w:tcPr>
            <w:tcW w:w="821"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1058"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2</w:t>
            </w:r>
          </w:p>
        </w:tc>
      </w:tr>
      <w:tr>
        <w:tblPrEx>
          <w:tblLayout w:type="fixed"/>
          <w:tblCellMar>
            <w:top w:w="0" w:type="dxa"/>
            <w:left w:w="108" w:type="dxa"/>
            <w:bottom w:w="0" w:type="dxa"/>
            <w:right w:w="108" w:type="dxa"/>
          </w:tblCellMar>
        </w:tblPrEx>
        <w:trPr>
          <w:trHeight w:val="660" w:hRule="atLeast"/>
        </w:trPr>
        <w:tc>
          <w:tcPr>
            <w:tcW w:w="431"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themeColor="text1"/>
                <w:kern w:val="0"/>
                <w:szCs w:val="21"/>
              </w:rPr>
            </w:pPr>
          </w:p>
        </w:tc>
        <w:tc>
          <w:tcPr>
            <w:tcW w:w="15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堡垒机</w:t>
            </w:r>
          </w:p>
        </w:tc>
        <w:tc>
          <w:tcPr>
            <w:tcW w:w="993" w:type="dxa"/>
            <w:vMerge w:val="continue"/>
            <w:tcBorders>
              <w:left w:val="nil"/>
              <w:right w:val="single" w:color="auto" w:sz="4" w:space="0"/>
            </w:tcBorders>
            <w:shd w:val="clear" w:color="auto" w:fill="auto"/>
          </w:tcPr>
          <w:p>
            <w:pPr>
              <w:widowControl/>
              <w:jc w:val="left"/>
              <w:rPr>
                <w:rFonts w:ascii="等线" w:hAnsi="等线" w:eastAsia="等线" w:cs="宋体"/>
                <w:color w:val="000000" w:themeColor="text1"/>
                <w:kern w:val="0"/>
                <w:szCs w:val="21"/>
              </w:rPr>
            </w:pPr>
          </w:p>
        </w:tc>
        <w:tc>
          <w:tcPr>
            <w:tcW w:w="95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2</w:t>
            </w:r>
          </w:p>
        </w:tc>
        <w:tc>
          <w:tcPr>
            <w:tcW w:w="821"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1058"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2</w:t>
            </w:r>
          </w:p>
        </w:tc>
      </w:tr>
      <w:tr>
        <w:tblPrEx>
          <w:tblLayout w:type="fixed"/>
          <w:tblCellMar>
            <w:top w:w="0" w:type="dxa"/>
            <w:left w:w="108" w:type="dxa"/>
            <w:bottom w:w="0" w:type="dxa"/>
            <w:right w:w="108" w:type="dxa"/>
          </w:tblCellMar>
        </w:tblPrEx>
        <w:trPr>
          <w:trHeight w:val="660" w:hRule="atLeast"/>
        </w:trPr>
        <w:tc>
          <w:tcPr>
            <w:tcW w:w="431"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themeColor="text1"/>
                <w:kern w:val="0"/>
                <w:szCs w:val="21"/>
              </w:rPr>
            </w:pPr>
          </w:p>
        </w:tc>
        <w:tc>
          <w:tcPr>
            <w:tcW w:w="15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共享平台安全防护-下一代防火墙（千兆）</w:t>
            </w:r>
          </w:p>
        </w:tc>
        <w:tc>
          <w:tcPr>
            <w:tcW w:w="993" w:type="dxa"/>
            <w:vMerge w:val="continue"/>
            <w:tcBorders>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p>
        </w:tc>
        <w:tc>
          <w:tcPr>
            <w:tcW w:w="95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2</w:t>
            </w:r>
          </w:p>
        </w:tc>
        <w:tc>
          <w:tcPr>
            <w:tcW w:w="821"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w:t>
            </w:r>
          </w:p>
        </w:tc>
        <w:tc>
          <w:tcPr>
            <w:tcW w:w="1058"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12</w:t>
            </w:r>
          </w:p>
        </w:tc>
      </w:tr>
      <w:tr>
        <w:tblPrEx>
          <w:tblLayout w:type="fixed"/>
          <w:tblCellMar>
            <w:top w:w="0" w:type="dxa"/>
            <w:left w:w="108" w:type="dxa"/>
            <w:bottom w:w="0" w:type="dxa"/>
            <w:right w:w="108" w:type="dxa"/>
          </w:tblCellMar>
        </w:tblPrEx>
        <w:trPr>
          <w:trHeight w:val="1020" w:hRule="atLeast"/>
        </w:trPr>
        <w:tc>
          <w:tcPr>
            <w:tcW w:w="431"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4.综治大厅及实战应用</w:t>
            </w:r>
          </w:p>
        </w:tc>
        <w:tc>
          <w:tcPr>
            <w:tcW w:w="15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综合指挥中心（指挥大厅）</w:t>
            </w:r>
          </w:p>
        </w:tc>
        <w:tc>
          <w:tcPr>
            <w:tcW w:w="993"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1110.14</w:t>
            </w:r>
          </w:p>
        </w:tc>
        <w:tc>
          <w:tcPr>
            <w:tcW w:w="95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100.00%</w:t>
            </w:r>
          </w:p>
        </w:tc>
        <w:tc>
          <w:tcPr>
            <w:tcW w:w="821"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nil"/>
              <w:right w:val="nil"/>
            </w:tcBorders>
            <w:shd w:val="clear" w:color="auto" w:fill="auto"/>
          </w:tcPr>
          <w:p>
            <w:pPr>
              <w:widowControl/>
              <w:jc w:val="left"/>
              <w:rPr>
                <w:rFonts w:ascii="等线" w:hAnsi="等线" w:eastAsia="等线" w:cs="宋体"/>
                <w:color w:val="000000" w:themeColor="text1"/>
                <w:kern w:val="0"/>
                <w:szCs w:val="21"/>
              </w:rPr>
            </w:pPr>
          </w:p>
        </w:tc>
        <w:tc>
          <w:tcPr>
            <w:tcW w:w="820" w:type="dxa"/>
            <w:tcBorders>
              <w:top w:val="nil"/>
              <w:left w:val="single" w:color="auto" w:sz="4" w:space="0"/>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1058"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r>
      <w:tr>
        <w:tblPrEx>
          <w:tblLayout w:type="fixed"/>
          <w:tblCellMar>
            <w:top w:w="0" w:type="dxa"/>
            <w:left w:w="108" w:type="dxa"/>
            <w:bottom w:w="0" w:type="dxa"/>
            <w:right w:w="108" w:type="dxa"/>
          </w:tblCellMar>
        </w:tblPrEx>
        <w:trPr>
          <w:trHeight w:val="972" w:hRule="atLeast"/>
        </w:trPr>
        <w:tc>
          <w:tcPr>
            <w:tcW w:w="431"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themeColor="text1"/>
                <w:kern w:val="0"/>
                <w:szCs w:val="21"/>
              </w:rPr>
            </w:pPr>
          </w:p>
        </w:tc>
        <w:tc>
          <w:tcPr>
            <w:tcW w:w="15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综治应用系统</w:t>
            </w:r>
          </w:p>
        </w:tc>
        <w:tc>
          <w:tcPr>
            <w:tcW w:w="993"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887.76</w:t>
            </w:r>
          </w:p>
        </w:tc>
        <w:tc>
          <w:tcPr>
            <w:tcW w:w="95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100.00%</w:t>
            </w:r>
          </w:p>
        </w:tc>
        <w:tc>
          <w:tcPr>
            <w:tcW w:w="821"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single" w:color="auto" w:sz="4" w:space="0"/>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1058"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r>
      <w:tr>
        <w:tblPrEx>
          <w:tblLayout w:type="fixed"/>
          <w:tblCellMar>
            <w:top w:w="0" w:type="dxa"/>
            <w:left w:w="108" w:type="dxa"/>
            <w:bottom w:w="0" w:type="dxa"/>
            <w:right w:w="108" w:type="dxa"/>
          </w:tblCellMar>
        </w:tblPrEx>
        <w:trPr>
          <w:trHeight w:val="1152" w:hRule="atLeast"/>
        </w:trPr>
        <w:tc>
          <w:tcPr>
            <w:tcW w:w="431"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themeColor="text1"/>
                <w:kern w:val="0"/>
                <w:szCs w:val="21"/>
              </w:rPr>
            </w:pPr>
          </w:p>
        </w:tc>
        <w:tc>
          <w:tcPr>
            <w:tcW w:w="15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综合指挥中心（应急指挥室）</w:t>
            </w:r>
          </w:p>
        </w:tc>
        <w:tc>
          <w:tcPr>
            <w:tcW w:w="993"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630.3</w:t>
            </w:r>
          </w:p>
        </w:tc>
        <w:tc>
          <w:tcPr>
            <w:tcW w:w="95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21.39%</w:t>
            </w:r>
          </w:p>
        </w:tc>
        <w:tc>
          <w:tcPr>
            <w:tcW w:w="821"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6.06%</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4.67%</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6.06%</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2.88%</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6.14%</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20.44%</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12.48%</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6.33%</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3.80%</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6.84%</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2.91%</w:t>
            </w:r>
          </w:p>
        </w:tc>
        <w:tc>
          <w:tcPr>
            <w:tcW w:w="1058"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100.00%</w:t>
            </w:r>
          </w:p>
        </w:tc>
      </w:tr>
      <w:tr>
        <w:tblPrEx>
          <w:tblLayout w:type="fixed"/>
          <w:tblCellMar>
            <w:top w:w="0" w:type="dxa"/>
            <w:left w:w="108" w:type="dxa"/>
            <w:bottom w:w="0" w:type="dxa"/>
            <w:right w:w="108" w:type="dxa"/>
          </w:tblCellMar>
        </w:tblPrEx>
        <w:trPr>
          <w:trHeight w:val="1020" w:hRule="atLeast"/>
        </w:trPr>
        <w:tc>
          <w:tcPr>
            <w:tcW w:w="431" w:type="dxa"/>
            <w:tcBorders>
              <w:top w:val="nil"/>
              <w:left w:val="single" w:color="auto" w:sz="4" w:space="0"/>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5.结构化存储</w:t>
            </w:r>
          </w:p>
        </w:tc>
        <w:tc>
          <w:tcPr>
            <w:tcW w:w="15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93"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3000</w:t>
            </w:r>
          </w:p>
        </w:tc>
        <w:tc>
          <w:tcPr>
            <w:tcW w:w="95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12.57%</w:t>
            </w:r>
          </w:p>
        </w:tc>
        <w:tc>
          <w:tcPr>
            <w:tcW w:w="821"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5.58%</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4.75%</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4.36%</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2.05%</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6.67%</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23.64%</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17.11%</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8.60%</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4.07%</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7.62%</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2.98%</w:t>
            </w:r>
          </w:p>
        </w:tc>
        <w:tc>
          <w:tcPr>
            <w:tcW w:w="1058"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100.00%</w:t>
            </w:r>
          </w:p>
        </w:tc>
      </w:tr>
      <w:tr>
        <w:tblPrEx>
          <w:tblLayout w:type="fixed"/>
          <w:tblCellMar>
            <w:top w:w="0" w:type="dxa"/>
            <w:left w:w="108" w:type="dxa"/>
            <w:bottom w:w="0" w:type="dxa"/>
            <w:right w:w="108" w:type="dxa"/>
          </w:tblCellMar>
        </w:tblPrEx>
        <w:trPr>
          <w:trHeight w:val="660" w:hRule="atLeast"/>
        </w:trPr>
        <w:tc>
          <w:tcPr>
            <w:tcW w:w="431"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6.公安业务实战应用</w:t>
            </w:r>
          </w:p>
        </w:tc>
        <w:tc>
          <w:tcPr>
            <w:tcW w:w="15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重点区域场所安保</w:t>
            </w:r>
          </w:p>
        </w:tc>
        <w:tc>
          <w:tcPr>
            <w:tcW w:w="993"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230</w:t>
            </w:r>
          </w:p>
        </w:tc>
        <w:tc>
          <w:tcPr>
            <w:tcW w:w="95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100.00%</w:t>
            </w:r>
          </w:p>
        </w:tc>
        <w:tc>
          <w:tcPr>
            <w:tcW w:w="821"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c>
          <w:tcPr>
            <w:tcW w:w="1058"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　</w:t>
            </w:r>
          </w:p>
        </w:tc>
      </w:tr>
      <w:tr>
        <w:tblPrEx>
          <w:tblLayout w:type="fixed"/>
          <w:tblCellMar>
            <w:top w:w="0" w:type="dxa"/>
            <w:left w:w="108" w:type="dxa"/>
            <w:bottom w:w="0" w:type="dxa"/>
            <w:right w:w="108" w:type="dxa"/>
          </w:tblCellMar>
        </w:tblPrEx>
        <w:trPr>
          <w:trHeight w:val="660" w:hRule="atLeast"/>
        </w:trPr>
        <w:tc>
          <w:tcPr>
            <w:tcW w:w="431"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themeColor="text1"/>
                <w:kern w:val="0"/>
                <w:szCs w:val="21"/>
              </w:rPr>
            </w:pPr>
          </w:p>
        </w:tc>
        <w:tc>
          <w:tcPr>
            <w:tcW w:w="15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解析中心机柜及交换机等</w:t>
            </w:r>
          </w:p>
        </w:tc>
        <w:tc>
          <w:tcPr>
            <w:tcW w:w="993"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425</w:t>
            </w:r>
          </w:p>
        </w:tc>
        <w:tc>
          <w:tcPr>
            <w:tcW w:w="95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5.23%</w:t>
            </w:r>
          </w:p>
        </w:tc>
        <w:tc>
          <w:tcPr>
            <w:tcW w:w="821"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4.44%</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4.52%</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4.01%</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2.09%</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2.71%</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44.67%</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9.68%</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10.52%</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3.63%</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5.71%</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2.79%</w:t>
            </w:r>
          </w:p>
        </w:tc>
        <w:tc>
          <w:tcPr>
            <w:tcW w:w="1058"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100.00%</w:t>
            </w:r>
          </w:p>
        </w:tc>
      </w:tr>
      <w:tr>
        <w:tblPrEx>
          <w:tblLayout w:type="fixed"/>
          <w:tblCellMar>
            <w:top w:w="0" w:type="dxa"/>
            <w:left w:w="108" w:type="dxa"/>
            <w:bottom w:w="0" w:type="dxa"/>
            <w:right w:w="108" w:type="dxa"/>
          </w:tblCellMar>
        </w:tblPrEx>
        <w:trPr>
          <w:trHeight w:val="942" w:hRule="atLeast"/>
        </w:trPr>
        <w:tc>
          <w:tcPr>
            <w:tcW w:w="431"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themeColor="text1"/>
                <w:kern w:val="0"/>
                <w:szCs w:val="21"/>
              </w:rPr>
            </w:pPr>
          </w:p>
        </w:tc>
        <w:tc>
          <w:tcPr>
            <w:tcW w:w="15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车辆二次分析软件资金分配比例</w:t>
            </w:r>
          </w:p>
        </w:tc>
        <w:tc>
          <w:tcPr>
            <w:tcW w:w="993"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588</w:t>
            </w:r>
          </w:p>
        </w:tc>
        <w:tc>
          <w:tcPr>
            <w:tcW w:w="95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8.68%</w:t>
            </w:r>
          </w:p>
        </w:tc>
        <w:tc>
          <w:tcPr>
            <w:tcW w:w="821"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2.78%</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1.93%</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4.32%</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1.61%</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6.25%</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42.38%</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16.53%</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5.06%</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1.37%</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4.92%</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4.17%</w:t>
            </w:r>
          </w:p>
        </w:tc>
        <w:tc>
          <w:tcPr>
            <w:tcW w:w="1058"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100.00%</w:t>
            </w:r>
          </w:p>
        </w:tc>
      </w:tr>
      <w:tr>
        <w:tblPrEx>
          <w:tblLayout w:type="fixed"/>
          <w:tblCellMar>
            <w:top w:w="0" w:type="dxa"/>
            <w:left w:w="108" w:type="dxa"/>
            <w:bottom w:w="0" w:type="dxa"/>
            <w:right w:w="108" w:type="dxa"/>
          </w:tblCellMar>
        </w:tblPrEx>
        <w:trPr>
          <w:trHeight w:val="660" w:hRule="atLeast"/>
        </w:trPr>
        <w:tc>
          <w:tcPr>
            <w:tcW w:w="431"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themeColor="text1"/>
                <w:kern w:val="0"/>
                <w:szCs w:val="21"/>
              </w:rPr>
            </w:pPr>
          </w:p>
        </w:tc>
        <w:tc>
          <w:tcPr>
            <w:tcW w:w="15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车辆二次分析硬件资金分配比例</w:t>
            </w:r>
          </w:p>
        </w:tc>
        <w:tc>
          <w:tcPr>
            <w:tcW w:w="993"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107.1</w:t>
            </w:r>
          </w:p>
        </w:tc>
        <w:tc>
          <w:tcPr>
            <w:tcW w:w="95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9.63%</w:t>
            </w:r>
          </w:p>
        </w:tc>
        <w:tc>
          <w:tcPr>
            <w:tcW w:w="821"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2.31%</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3.99%</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3.60%</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1.34%</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5.21%</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35.33%</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16.16%</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4.22%</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5.89%</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8.85%</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3.47%</w:t>
            </w:r>
          </w:p>
        </w:tc>
        <w:tc>
          <w:tcPr>
            <w:tcW w:w="1058"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100.00%</w:t>
            </w:r>
          </w:p>
        </w:tc>
      </w:tr>
      <w:tr>
        <w:tblPrEx>
          <w:tblLayout w:type="fixed"/>
          <w:tblCellMar>
            <w:top w:w="0" w:type="dxa"/>
            <w:left w:w="108" w:type="dxa"/>
            <w:bottom w:w="0" w:type="dxa"/>
            <w:right w:w="108" w:type="dxa"/>
          </w:tblCellMar>
        </w:tblPrEx>
        <w:trPr>
          <w:trHeight w:val="660" w:hRule="atLeast"/>
        </w:trPr>
        <w:tc>
          <w:tcPr>
            <w:tcW w:w="431"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themeColor="text1"/>
                <w:kern w:val="0"/>
                <w:szCs w:val="21"/>
              </w:rPr>
            </w:pPr>
          </w:p>
        </w:tc>
        <w:tc>
          <w:tcPr>
            <w:tcW w:w="15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视频萃取应用资金分配比例</w:t>
            </w:r>
          </w:p>
        </w:tc>
        <w:tc>
          <w:tcPr>
            <w:tcW w:w="993"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109</w:t>
            </w:r>
          </w:p>
        </w:tc>
        <w:tc>
          <w:tcPr>
            <w:tcW w:w="95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17.20%</w:t>
            </w:r>
          </w:p>
        </w:tc>
        <w:tc>
          <w:tcPr>
            <w:tcW w:w="821"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7.97%</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8.40%</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4.43%</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2.00%</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6.00%</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12.00%</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12.00%</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12.00%</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6.00%</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6.00%</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6.00%</w:t>
            </w:r>
          </w:p>
        </w:tc>
        <w:tc>
          <w:tcPr>
            <w:tcW w:w="1058"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100.00%</w:t>
            </w:r>
          </w:p>
        </w:tc>
      </w:tr>
      <w:tr>
        <w:tblPrEx>
          <w:tblLayout w:type="fixed"/>
          <w:tblCellMar>
            <w:top w:w="0" w:type="dxa"/>
            <w:left w:w="108" w:type="dxa"/>
            <w:bottom w:w="0" w:type="dxa"/>
            <w:right w:w="108" w:type="dxa"/>
          </w:tblCellMar>
        </w:tblPrEx>
        <w:trPr>
          <w:trHeight w:val="660" w:hRule="atLeast"/>
        </w:trPr>
        <w:tc>
          <w:tcPr>
            <w:tcW w:w="431"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themeColor="text1"/>
                <w:kern w:val="0"/>
                <w:szCs w:val="21"/>
              </w:rPr>
            </w:pPr>
          </w:p>
        </w:tc>
        <w:tc>
          <w:tcPr>
            <w:tcW w:w="15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萃取硬件及软件分配比</w:t>
            </w:r>
          </w:p>
        </w:tc>
        <w:tc>
          <w:tcPr>
            <w:tcW w:w="993"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1066.83</w:t>
            </w:r>
          </w:p>
        </w:tc>
        <w:tc>
          <w:tcPr>
            <w:tcW w:w="95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17.20%</w:t>
            </w:r>
          </w:p>
        </w:tc>
        <w:tc>
          <w:tcPr>
            <w:tcW w:w="821"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7.97%</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8.40%</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4.43%</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2.00%</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6.00%</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12.00%</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12.00%</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12.00%</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6.00%</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6.00%</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6.00%</w:t>
            </w:r>
          </w:p>
        </w:tc>
        <w:tc>
          <w:tcPr>
            <w:tcW w:w="1058"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100.00%</w:t>
            </w:r>
          </w:p>
        </w:tc>
      </w:tr>
      <w:tr>
        <w:tblPrEx>
          <w:tblLayout w:type="fixed"/>
          <w:tblCellMar>
            <w:top w:w="0" w:type="dxa"/>
            <w:left w:w="108" w:type="dxa"/>
            <w:bottom w:w="0" w:type="dxa"/>
            <w:right w:w="108" w:type="dxa"/>
          </w:tblCellMar>
        </w:tblPrEx>
        <w:trPr>
          <w:trHeight w:val="660" w:hRule="atLeast"/>
        </w:trPr>
        <w:tc>
          <w:tcPr>
            <w:tcW w:w="431"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themeColor="text1"/>
                <w:kern w:val="0"/>
                <w:szCs w:val="21"/>
              </w:rPr>
            </w:pPr>
          </w:p>
        </w:tc>
        <w:tc>
          <w:tcPr>
            <w:tcW w:w="15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人像数据应用资金分配比例</w:t>
            </w:r>
          </w:p>
        </w:tc>
        <w:tc>
          <w:tcPr>
            <w:tcW w:w="993"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109</w:t>
            </w:r>
          </w:p>
        </w:tc>
        <w:tc>
          <w:tcPr>
            <w:tcW w:w="95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0.96%</w:t>
            </w:r>
          </w:p>
        </w:tc>
        <w:tc>
          <w:tcPr>
            <w:tcW w:w="821"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3.73%</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3.81%</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3.84%</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2.22%</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1.08%</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55.01%</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7.68%</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11.17%</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3.23%</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5.67%</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1.60%</w:t>
            </w:r>
          </w:p>
        </w:tc>
        <w:tc>
          <w:tcPr>
            <w:tcW w:w="1058"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100.00%</w:t>
            </w:r>
          </w:p>
        </w:tc>
      </w:tr>
      <w:tr>
        <w:tblPrEx>
          <w:tblLayout w:type="fixed"/>
          <w:tblCellMar>
            <w:top w:w="0" w:type="dxa"/>
            <w:left w:w="108" w:type="dxa"/>
            <w:bottom w:w="0" w:type="dxa"/>
            <w:right w:w="108" w:type="dxa"/>
          </w:tblCellMar>
        </w:tblPrEx>
        <w:trPr>
          <w:trHeight w:val="660" w:hRule="atLeast"/>
        </w:trPr>
        <w:tc>
          <w:tcPr>
            <w:tcW w:w="431"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themeColor="text1"/>
                <w:kern w:val="0"/>
                <w:szCs w:val="21"/>
              </w:rPr>
            </w:pPr>
          </w:p>
        </w:tc>
        <w:tc>
          <w:tcPr>
            <w:tcW w:w="15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人像硬件及算法分配比例</w:t>
            </w:r>
          </w:p>
        </w:tc>
        <w:tc>
          <w:tcPr>
            <w:tcW w:w="993"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3599.56</w:t>
            </w:r>
          </w:p>
        </w:tc>
        <w:tc>
          <w:tcPr>
            <w:tcW w:w="95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0.96%</w:t>
            </w:r>
          </w:p>
        </w:tc>
        <w:tc>
          <w:tcPr>
            <w:tcW w:w="821"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3.73%</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3.81%</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3.84%</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2.22%</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1.08%</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55.01%</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7.68%</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11.17%</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3.23%</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5.67%</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1.60%</w:t>
            </w:r>
          </w:p>
        </w:tc>
        <w:tc>
          <w:tcPr>
            <w:tcW w:w="1058"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100.00%</w:t>
            </w:r>
          </w:p>
        </w:tc>
      </w:tr>
      <w:tr>
        <w:tblPrEx>
          <w:tblLayout w:type="fixed"/>
          <w:tblCellMar>
            <w:top w:w="0" w:type="dxa"/>
            <w:left w:w="108" w:type="dxa"/>
            <w:bottom w:w="0" w:type="dxa"/>
            <w:right w:w="108" w:type="dxa"/>
          </w:tblCellMar>
        </w:tblPrEx>
        <w:trPr>
          <w:trHeight w:val="660" w:hRule="atLeast"/>
        </w:trPr>
        <w:tc>
          <w:tcPr>
            <w:tcW w:w="431"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themeColor="text1"/>
                <w:kern w:val="0"/>
                <w:szCs w:val="21"/>
              </w:rPr>
            </w:pPr>
          </w:p>
        </w:tc>
        <w:tc>
          <w:tcPr>
            <w:tcW w:w="15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数据总线及数据仓库系统分配比例</w:t>
            </w:r>
          </w:p>
        </w:tc>
        <w:tc>
          <w:tcPr>
            <w:tcW w:w="993"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1092</w:t>
            </w:r>
          </w:p>
        </w:tc>
        <w:tc>
          <w:tcPr>
            <w:tcW w:w="95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12.57%</w:t>
            </w:r>
          </w:p>
        </w:tc>
        <w:tc>
          <w:tcPr>
            <w:tcW w:w="821"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5.58%</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4.75%</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4.36%</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2.05%</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6.67%</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23.64%</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17.11%</w:t>
            </w:r>
          </w:p>
        </w:tc>
        <w:tc>
          <w:tcPr>
            <w:tcW w:w="94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8.60%</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4.07%</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7.62%</w:t>
            </w:r>
          </w:p>
        </w:tc>
        <w:tc>
          <w:tcPr>
            <w:tcW w:w="820"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2.98%</w:t>
            </w:r>
          </w:p>
        </w:tc>
        <w:tc>
          <w:tcPr>
            <w:tcW w:w="1058" w:type="dxa"/>
            <w:tcBorders>
              <w:top w:val="nil"/>
              <w:left w:val="nil"/>
              <w:bottom w:val="single" w:color="auto" w:sz="4" w:space="0"/>
              <w:right w:val="single" w:color="auto" w:sz="4" w:space="0"/>
            </w:tcBorders>
            <w:shd w:val="clear" w:color="auto" w:fill="auto"/>
          </w:tcPr>
          <w:p>
            <w:pPr>
              <w:widowControl/>
              <w:jc w:val="left"/>
              <w:rPr>
                <w:rFonts w:ascii="等线" w:hAnsi="等线" w:eastAsia="等线" w:cs="宋体"/>
                <w:color w:val="000000" w:themeColor="text1"/>
                <w:kern w:val="0"/>
                <w:szCs w:val="21"/>
              </w:rPr>
            </w:pPr>
            <w:r>
              <w:rPr>
                <w:rFonts w:hint="eastAsia" w:ascii="等线" w:hAnsi="等线" w:eastAsia="等线" w:cs="宋体"/>
                <w:color w:val="000000" w:themeColor="text1"/>
                <w:kern w:val="0"/>
                <w:szCs w:val="21"/>
              </w:rPr>
              <w:t>100.00%</w:t>
            </w:r>
          </w:p>
        </w:tc>
      </w:tr>
    </w:tbl>
    <w:p>
      <w:pPr>
        <w:spacing w:line="274" w:lineRule="exact"/>
        <w:ind w:right="-109" w:firstLine="480"/>
        <w:jc w:val="center"/>
        <w:rPr>
          <w:rFonts w:ascii="宋体" w:hAnsi="宋体"/>
          <w:color w:val="000000" w:themeColor="text1"/>
        </w:rPr>
        <w:sectPr>
          <w:pgSz w:w="16838" w:h="11906" w:orient="landscape"/>
          <w:pgMar w:top="1797" w:right="1474" w:bottom="1797" w:left="1247" w:header="851" w:footer="851" w:gutter="0"/>
          <w:cols w:space="720" w:num="1"/>
          <w:docGrid w:linePitch="312" w:charSpace="0"/>
        </w:sectPr>
      </w:pPr>
    </w:p>
    <w:p>
      <w:pPr>
        <w:spacing w:line="274" w:lineRule="exact"/>
        <w:ind w:right="-109" w:firstLine="480"/>
        <w:jc w:val="center"/>
        <w:rPr>
          <w:rFonts w:ascii="宋体" w:hAnsi="宋体"/>
          <w:color w:val="000000" w:themeColor="text1"/>
        </w:rPr>
      </w:pPr>
    </w:p>
    <w:p>
      <w:pPr>
        <w:spacing w:line="274" w:lineRule="exact"/>
        <w:ind w:right="-109" w:firstLine="480"/>
        <w:jc w:val="center"/>
        <w:rPr>
          <w:rFonts w:ascii="宋体" w:hAnsi="宋体"/>
          <w:color w:val="000000" w:themeColor="text1"/>
        </w:rPr>
      </w:pPr>
    </w:p>
    <w:p>
      <w:pPr>
        <w:spacing w:line="274" w:lineRule="exact"/>
        <w:ind w:right="-109" w:firstLine="480"/>
        <w:jc w:val="center"/>
        <w:rPr>
          <w:rFonts w:ascii="宋体" w:hAnsi="宋体"/>
          <w:color w:val="000000" w:themeColor="text1"/>
        </w:rPr>
      </w:pPr>
    </w:p>
    <w:p>
      <w:pPr>
        <w:pStyle w:val="3"/>
        <w:spacing w:before="120" w:after="120"/>
        <w:ind w:firstLine="562"/>
        <w:rPr>
          <w:rFonts w:ascii="黑体" w:hAnsi="宋体"/>
          <w:bCs w:val="0"/>
          <w:color w:val="000000" w:themeColor="text1"/>
          <w:szCs w:val="30"/>
        </w:rPr>
      </w:pPr>
      <w:bookmarkStart w:id="4" w:name="_Toc8760703"/>
      <w:bookmarkStart w:id="5" w:name="_Toc7521679"/>
      <w:r>
        <w:rPr>
          <w:rFonts w:hint="eastAsia" w:ascii="黑体" w:hAnsi="宋体"/>
          <w:bCs w:val="0"/>
          <w:color w:val="000000" w:themeColor="text1"/>
          <w:szCs w:val="30"/>
        </w:rPr>
        <w:t>一</w:t>
      </w:r>
      <w:bookmarkStart w:id="6" w:name="_Toc532520578"/>
      <w:r>
        <w:rPr>
          <w:rFonts w:hint="eastAsia" w:ascii="黑体" w:hAnsi="宋体"/>
          <w:bCs w:val="0"/>
          <w:color w:val="000000" w:themeColor="text1"/>
          <w:szCs w:val="30"/>
        </w:rPr>
        <w:t>、</w:t>
      </w:r>
      <w:r>
        <w:rPr>
          <w:rFonts w:ascii="黑体" w:hAnsi="宋体"/>
          <w:bCs w:val="0"/>
          <w:color w:val="000000" w:themeColor="text1"/>
          <w:szCs w:val="30"/>
        </w:rPr>
        <w:t>综治分平台（社会面整合平台）</w:t>
      </w:r>
      <w:bookmarkEnd w:id="4"/>
      <w:bookmarkEnd w:id="5"/>
      <w:bookmarkEnd w:id="6"/>
    </w:p>
    <w:p>
      <w:pPr>
        <w:pStyle w:val="4"/>
        <w:ind w:firstLine="562"/>
        <w:rPr>
          <w:rFonts w:ascii="黑体" w:hAnsi="宋体"/>
          <w:bCs w:val="0"/>
          <w:color w:val="000000" w:themeColor="text1"/>
          <w:szCs w:val="30"/>
        </w:rPr>
      </w:pPr>
      <w:bookmarkStart w:id="7" w:name="_Toc8760704"/>
      <w:bookmarkStart w:id="8" w:name="_Toc7521680"/>
      <w:r>
        <w:rPr>
          <w:rFonts w:hint="eastAsia" w:ascii="黑体" w:hAnsi="宋体"/>
          <w:bCs w:val="0"/>
          <w:color w:val="000000" w:themeColor="text1"/>
          <w:szCs w:val="30"/>
        </w:rPr>
        <w:t>（一）</w:t>
      </w:r>
      <w:r>
        <w:rPr>
          <w:rFonts w:ascii="黑体" w:hAnsi="宋体"/>
          <w:bCs w:val="0"/>
          <w:color w:val="000000" w:themeColor="text1"/>
          <w:szCs w:val="30"/>
        </w:rPr>
        <w:t>项目</w:t>
      </w:r>
      <w:r>
        <w:rPr>
          <w:rFonts w:hint="eastAsia" w:ascii="黑体" w:hAnsi="宋体"/>
          <w:bCs w:val="0"/>
          <w:color w:val="000000" w:themeColor="text1"/>
          <w:szCs w:val="30"/>
        </w:rPr>
        <w:t>内容</w:t>
      </w:r>
      <w:bookmarkEnd w:id="7"/>
      <w:bookmarkEnd w:id="8"/>
    </w:p>
    <w:p>
      <w:pPr>
        <w:pStyle w:val="5"/>
        <w:spacing w:before="120" w:after="120"/>
        <w:ind w:firstLine="480"/>
        <w:rPr>
          <w:rFonts w:ascii="黑体"/>
          <w:bCs w:val="0"/>
          <w:color w:val="000000" w:themeColor="text1"/>
          <w:szCs w:val="24"/>
        </w:rPr>
      </w:pPr>
      <w:r>
        <w:rPr>
          <w:rFonts w:hint="eastAsia" w:ascii="黑体"/>
          <w:bCs w:val="0"/>
          <w:color w:val="000000" w:themeColor="text1"/>
          <w:szCs w:val="24"/>
        </w:rPr>
        <w:t>1.</w:t>
      </w:r>
      <w:r>
        <w:rPr>
          <w:rFonts w:ascii="黑体"/>
          <w:bCs w:val="0"/>
          <w:color w:val="000000" w:themeColor="text1"/>
          <w:szCs w:val="24"/>
        </w:rPr>
        <w:t>1综治分平台（社会面整合平台）</w:t>
      </w:r>
    </w:p>
    <w:p>
      <w:pPr>
        <w:ind w:firstLine="480"/>
        <w:rPr>
          <w:color w:val="000000" w:themeColor="text1"/>
        </w:rPr>
      </w:pPr>
      <w:r>
        <w:rPr>
          <w:color w:val="000000" w:themeColor="text1"/>
        </w:rPr>
        <w:t>建设市</w:t>
      </w:r>
      <w:r>
        <w:rPr>
          <w:rFonts w:hint="eastAsia"/>
          <w:color w:val="000000" w:themeColor="text1"/>
        </w:rPr>
        <w:t>本级、浦江和磐安社会面整合平台</w:t>
      </w:r>
      <w:r>
        <w:rPr>
          <w:color w:val="000000" w:themeColor="text1"/>
        </w:rPr>
        <w:t>，整合运营商现有视频平台上市本级及各区、武义、浦江、磐安的视频资源。平台通过安全</w:t>
      </w:r>
      <w:r>
        <w:rPr>
          <w:rFonts w:hint="eastAsia"/>
          <w:color w:val="000000" w:themeColor="text1"/>
        </w:rPr>
        <w:t>设备</w:t>
      </w:r>
      <w:r>
        <w:rPr>
          <w:color w:val="000000" w:themeColor="text1"/>
        </w:rPr>
        <w:t>与公安视频专网对接。同时组建覆盖全市的社会面视频整合VPN专网，统一IP地址规划</w:t>
      </w:r>
      <w:r>
        <w:rPr>
          <w:rFonts w:hint="eastAsia"/>
          <w:color w:val="000000" w:themeColor="text1"/>
        </w:rPr>
        <w:t>。本</w:t>
      </w:r>
      <w:r>
        <w:rPr>
          <w:color w:val="000000" w:themeColor="text1"/>
        </w:rPr>
        <w:t>项目</w:t>
      </w:r>
      <w:r>
        <w:rPr>
          <w:rFonts w:hint="eastAsia"/>
          <w:color w:val="000000" w:themeColor="text1"/>
        </w:rPr>
        <w:t>将</w:t>
      </w:r>
      <w:r>
        <w:rPr>
          <w:color w:val="000000" w:themeColor="text1"/>
        </w:rPr>
        <w:t>行业部门</w:t>
      </w:r>
      <w:r>
        <w:rPr>
          <w:rFonts w:hint="eastAsia"/>
          <w:color w:val="000000" w:themeColor="text1"/>
        </w:rPr>
        <w:t>与</w:t>
      </w:r>
      <w:r>
        <w:rPr>
          <w:color w:val="000000" w:themeColor="text1"/>
        </w:rPr>
        <w:t>社会单位建设的</w:t>
      </w:r>
      <w:r>
        <w:rPr>
          <w:rFonts w:hint="eastAsia"/>
          <w:color w:val="000000" w:themeColor="text1"/>
        </w:rPr>
        <w:t>11550路</w:t>
      </w:r>
      <w:r>
        <w:rPr>
          <w:color w:val="000000" w:themeColor="text1"/>
        </w:rPr>
        <w:t>二</w:t>
      </w:r>
      <w:r>
        <w:rPr>
          <w:rFonts w:hint="eastAsia"/>
          <w:color w:val="000000" w:themeColor="text1"/>
        </w:rPr>
        <w:t>、</w:t>
      </w:r>
      <w:r>
        <w:rPr>
          <w:color w:val="000000" w:themeColor="text1"/>
        </w:rPr>
        <w:t>三类监控探头整合后接入联网，</w:t>
      </w:r>
      <w:r>
        <w:rPr>
          <w:rFonts w:hint="eastAsia"/>
          <w:color w:val="000000" w:themeColor="text1"/>
        </w:rPr>
        <w:t>2019年</w:t>
      </w:r>
      <w:r>
        <w:rPr>
          <w:color w:val="000000" w:themeColor="text1"/>
        </w:rPr>
        <w:t>底实现视频资源总联网数</w:t>
      </w:r>
      <w:r>
        <w:rPr>
          <w:rFonts w:hint="eastAsia"/>
          <w:color w:val="000000" w:themeColor="text1"/>
        </w:rPr>
        <w:t>达</w:t>
      </w:r>
      <w:r>
        <w:rPr>
          <w:color w:val="000000" w:themeColor="text1"/>
        </w:rPr>
        <w:t>到</w:t>
      </w:r>
      <w:r>
        <w:rPr>
          <w:rFonts w:hint="eastAsia"/>
          <w:color w:val="000000" w:themeColor="text1"/>
        </w:rPr>
        <w:t>4</w:t>
      </w:r>
      <w:r>
        <w:rPr>
          <w:color w:val="000000" w:themeColor="text1"/>
        </w:rPr>
        <w:t>.6</w:t>
      </w:r>
      <w:r>
        <w:rPr>
          <w:rFonts w:hint="eastAsia"/>
          <w:color w:val="000000" w:themeColor="text1"/>
        </w:rPr>
        <w:t>万</w:t>
      </w:r>
      <w:r>
        <w:rPr>
          <w:color w:val="000000" w:themeColor="text1"/>
        </w:rPr>
        <w:t>路。</w:t>
      </w:r>
    </w:p>
    <w:p>
      <w:pPr>
        <w:ind w:firstLine="480"/>
        <w:rPr>
          <w:color w:val="000000" w:themeColor="text1"/>
        </w:rPr>
      </w:pPr>
    </w:p>
    <w:tbl>
      <w:tblPr>
        <w:tblStyle w:val="53"/>
        <w:tblW w:w="9022" w:type="dxa"/>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582"/>
        <w:gridCol w:w="2020"/>
        <w:gridCol w:w="2440"/>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2" w:hRule="atLeast"/>
        </w:trPr>
        <w:tc>
          <w:tcPr>
            <w:tcW w:w="2582" w:type="dxa"/>
            <w:vAlign w:val="center"/>
          </w:tcPr>
          <w:p>
            <w:pPr>
              <w:spacing w:line="274" w:lineRule="exact"/>
              <w:jc w:val="center"/>
              <w:rPr>
                <w:color w:val="000000" w:themeColor="text1"/>
                <w:szCs w:val="21"/>
              </w:rPr>
            </w:pPr>
            <w:r>
              <w:rPr>
                <w:rFonts w:ascii="宋体" w:hAnsi="宋体" w:cs="宋体"/>
                <w:b/>
                <w:bCs/>
                <w:color w:val="000000" w:themeColor="text1"/>
                <w:w w:val="99"/>
                <w:szCs w:val="21"/>
              </w:rPr>
              <w:t>单位</w:t>
            </w:r>
          </w:p>
        </w:tc>
        <w:tc>
          <w:tcPr>
            <w:tcW w:w="2020" w:type="dxa"/>
            <w:vAlign w:val="center"/>
          </w:tcPr>
          <w:p>
            <w:pPr>
              <w:spacing w:line="274" w:lineRule="exact"/>
              <w:jc w:val="center"/>
              <w:rPr>
                <w:color w:val="000000" w:themeColor="text1"/>
                <w:szCs w:val="21"/>
              </w:rPr>
            </w:pPr>
            <w:r>
              <w:rPr>
                <w:rFonts w:ascii="宋体" w:hAnsi="宋体" w:cs="宋体"/>
                <w:b/>
                <w:bCs/>
                <w:color w:val="000000" w:themeColor="text1"/>
                <w:w w:val="99"/>
                <w:szCs w:val="21"/>
              </w:rPr>
              <w:t>已联网数量</w:t>
            </w:r>
          </w:p>
        </w:tc>
        <w:tc>
          <w:tcPr>
            <w:tcW w:w="2440" w:type="dxa"/>
            <w:vAlign w:val="center"/>
          </w:tcPr>
          <w:p>
            <w:pPr>
              <w:spacing w:line="274" w:lineRule="exact"/>
              <w:jc w:val="center"/>
              <w:rPr>
                <w:color w:val="000000" w:themeColor="text1"/>
                <w:szCs w:val="21"/>
              </w:rPr>
            </w:pPr>
            <w:r>
              <w:rPr>
                <w:rFonts w:ascii="宋体" w:hAnsi="宋体" w:cs="宋体"/>
                <w:b/>
                <w:bCs/>
                <w:color w:val="000000" w:themeColor="text1"/>
                <w:w w:val="99"/>
                <w:szCs w:val="21"/>
              </w:rPr>
              <w:t>新增联网任务数</w:t>
            </w:r>
          </w:p>
        </w:tc>
        <w:tc>
          <w:tcPr>
            <w:tcW w:w="1980" w:type="dxa"/>
            <w:vAlign w:val="center"/>
          </w:tcPr>
          <w:p>
            <w:pPr>
              <w:spacing w:line="274" w:lineRule="exact"/>
              <w:jc w:val="center"/>
              <w:rPr>
                <w:color w:val="000000" w:themeColor="text1"/>
                <w:szCs w:val="21"/>
              </w:rPr>
            </w:pPr>
            <w:r>
              <w:rPr>
                <w:rFonts w:ascii="宋体" w:hAnsi="宋体" w:cs="宋体"/>
                <w:b/>
                <w:bCs/>
                <w:color w:val="000000" w:themeColor="text1"/>
                <w:w w:val="99"/>
                <w:szCs w:val="21"/>
              </w:rPr>
              <w:t>目标到达数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2582" w:type="dxa"/>
            <w:vAlign w:val="center"/>
          </w:tcPr>
          <w:p>
            <w:pPr>
              <w:spacing w:line="274" w:lineRule="exact"/>
              <w:jc w:val="center"/>
              <w:rPr>
                <w:color w:val="000000" w:themeColor="text1"/>
                <w:szCs w:val="21"/>
              </w:rPr>
            </w:pPr>
            <w:r>
              <w:rPr>
                <w:rFonts w:ascii="宋体" w:hAnsi="宋体" w:cs="宋体"/>
                <w:b/>
                <w:bCs/>
                <w:color w:val="000000" w:themeColor="text1"/>
                <w:w w:val="99"/>
                <w:szCs w:val="21"/>
              </w:rPr>
              <w:t>市本级</w:t>
            </w:r>
          </w:p>
        </w:tc>
        <w:tc>
          <w:tcPr>
            <w:tcW w:w="2020" w:type="dxa"/>
            <w:vAlign w:val="center"/>
          </w:tcPr>
          <w:p>
            <w:pPr>
              <w:spacing w:line="274" w:lineRule="exact"/>
              <w:jc w:val="center"/>
              <w:rPr>
                <w:color w:val="000000" w:themeColor="text1"/>
                <w:szCs w:val="21"/>
              </w:rPr>
            </w:pPr>
            <w:r>
              <w:rPr>
                <w:rFonts w:ascii="宋体" w:hAnsi="宋体" w:cs="宋体"/>
                <w:color w:val="000000" w:themeColor="text1"/>
                <w:w w:val="99"/>
                <w:szCs w:val="21"/>
              </w:rPr>
              <w:t>5673</w:t>
            </w:r>
          </w:p>
        </w:tc>
        <w:tc>
          <w:tcPr>
            <w:tcW w:w="2440" w:type="dxa"/>
            <w:vAlign w:val="center"/>
          </w:tcPr>
          <w:p>
            <w:pPr>
              <w:spacing w:line="274" w:lineRule="exact"/>
              <w:jc w:val="center"/>
              <w:rPr>
                <w:color w:val="000000" w:themeColor="text1"/>
                <w:szCs w:val="21"/>
              </w:rPr>
            </w:pPr>
            <w:r>
              <w:rPr>
                <w:rFonts w:ascii="宋体" w:hAnsi="宋体" w:cs="宋体"/>
                <w:color w:val="000000" w:themeColor="text1"/>
                <w:w w:val="99"/>
                <w:szCs w:val="21"/>
              </w:rPr>
              <w:t>2600</w:t>
            </w:r>
          </w:p>
        </w:tc>
        <w:tc>
          <w:tcPr>
            <w:tcW w:w="1980" w:type="dxa"/>
            <w:vAlign w:val="center"/>
          </w:tcPr>
          <w:p>
            <w:pPr>
              <w:spacing w:line="274" w:lineRule="exact"/>
              <w:jc w:val="center"/>
              <w:rPr>
                <w:color w:val="000000" w:themeColor="text1"/>
                <w:szCs w:val="21"/>
              </w:rPr>
            </w:pPr>
            <w:r>
              <w:rPr>
                <w:rFonts w:ascii="宋体" w:hAnsi="宋体" w:cs="宋体"/>
                <w:color w:val="000000" w:themeColor="text1"/>
                <w:w w:val="99"/>
                <w:szCs w:val="21"/>
              </w:rPr>
              <w:t>8273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1" w:hRule="atLeast"/>
        </w:trPr>
        <w:tc>
          <w:tcPr>
            <w:tcW w:w="2582" w:type="dxa"/>
            <w:vAlign w:val="center"/>
          </w:tcPr>
          <w:p>
            <w:pPr>
              <w:spacing w:line="274" w:lineRule="exact"/>
              <w:jc w:val="center"/>
              <w:rPr>
                <w:color w:val="000000" w:themeColor="text1"/>
                <w:szCs w:val="21"/>
              </w:rPr>
            </w:pPr>
            <w:r>
              <w:rPr>
                <w:rFonts w:ascii="宋体" w:hAnsi="宋体" w:cs="宋体"/>
                <w:b/>
                <w:bCs/>
                <w:color w:val="000000" w:themeColor="text1"/>
                <w:w w:val="99"/>
                <w:szCs w:val="21"/>
              </w:rPr>
              <w:t>婺城</w:t>
            </w:r>
          </w:p>
        </w:tc>
        <w:tc>
          <w:tcPr>
            <w:tcW w:w="2020" w:type="dxa"/>
            <w:vAlign w:val="center"/>
          </w:tcPr>
          <w:p>
            <w:pPr>
              <w:spacing w:line="274" w:lineRule="exact"/>
              <w:jc w:val="center"/>
              <w:rPr>
                <w:color w:val="000000" w:themeColor="text1"/>
                <w:szCs w:val="21"/>
              </w:rPr>
            </w:pPr>
            <w:r>
              <w:rPr>
                <w:rFonts w:ascii="宋体" w:hAnsi="宋体" w:cs="宋体"/>
                <w:color w:val="000000" w:themeColor="text1"/>
                <w:w w:val="99"/>
                <w:szCs w:val="21"/>
              </w:rPr>
              <w:t>56</w:t>
            </w:r>
          </w:p>
        </w:tc>
        <w:tc>
          <w:tcPr>
            <w:tcW w:w="2440" w:type="dxa"/>
            <w:vAlign w:val="center"/>
          </w:tcPr>
          <w:p>
            <w:pPr>
              <w:spacing w:line="274" w:lineRule="exact"/>
              <w:jc w:val="center"/>
              <w:rPr>
                <w:color w:val="000000" w:themeColor="text1"/>
                <w:szCs w:val="21"/>
              </w:rPr>
            </w:pPr>
            <w:r>
              <w:rPr>
                <w:rFonts w:ascii="宋体" w:hAnsi="宋体" w:cs="宋体"/>
                <w:color w:val="000000" w:themeColor="text1"/>
                <w:w w:val="99"/>
                <w:szCs w:val="21"/>
              </w:rPr>
              <w:t>274</w:t>
            </w:r>
          </w:p>
        </w:tc>
        <w:tc>
          <w:tcPr>
            <w:tcW w:w="1980" w:type="dxa"/>
            <w:vAlign w:val="center"/>
          </w:tcPr>
          <w:p>
            <w:pPr>
              <w:spacing w:line="274" w:lineRule="exact"/>
              <w:jc w:val="center"/>
              <w:rPr>
                <w:color w:val="000000" w:themeColor="text1"/>
                <w:szCs w:val="21"/>
              </w:rPr>
            </w:pPr>
            <w:r>
              <w:rPr>
                <w:rFonts w:ascii="宋体" w:hAnsi="宋体" w:cs="宋体"/>
                <w:color w:val="000000" w:themeColor="text1"/>
                <w:w w:val="99"/>
                <w:szCs w:val="21"/>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08" w:hRule="atLeast"/>
        </w:trPr>
        <w:tc>
          <w:tcPr>
            <w:tcW w:w="2582" w:type="dxa"/>
            <w:vAlign w:val="center"/>
          </w:tcPr>
          <w:p>
            <w:pPr>
              <w:spacing w:line="274" w:lineRule="exact"/>
              <w:jc w:val="center"/>
              <w:rPr>
                <w:color w:val="000000" w:themeColor="text1"/>
                <w:szCs w:val="21"/>
              </w:rPr>
            </w:pPr>
            <w:r>
              <w:rPr>
                <w:rFonts w:ascii="宋体" w:hAnsi="宋体" w:cs="宋体"/>
                <w:b/>
                <w:bCs/>
                <w:color w:val="000000" w:themeColor="text1"/>
                <w:w w:val="99"/>
                <w:szCs w:val="21"/>
              </w:rPr>
              <w:t>江南</w:t>
            </w:r>
          </w:p>
        </w:tc>
        <w:tc>
          <w:tcPr>
            <w:tcW w:w="2020" w:type="dxa"/>
            <w:vAlign w:val="center"/>
          </w:tcPr>
          <w:p>
            <w:pPr>
              <w:spacing w:line="274" w:lineRule="exact"/>
              <w:jc w:val="center"/>
              <w:rPr>
                <w:color w:val="000000" w:themeColor="text1"/>
                <w:szCs w:val="21"/>
              </w:rPr>
            </w:pPr>
            <w:r>
              <w:rPr>
                <w:rFonts w:ascii="宋体" w:hAnsi="宋体" w:cs="宋体"/>
                <w:color w:val="000000" w:themeColor="text1"/>
                <w:w w:val="99"/>
                <w:szCs w:val="21"/>
              </w:rPr>
              <w:t>605</w:t>
            </w:r>
          </w:p>
        </w:tc>
        <w:tc>
          <w:tcPr>
            <w:tcW w:w="2440" w:type="dxa"/>
            <w:vAlign w:val="center"/>
          </w:tcPr>
          <w:p>
            <w:pPr>
              <w:spacing w:line="274" w:lineRule="exact"/>
              <w:jc w:val="center"/>
              <w:rPr>
                <w:color w:val="000000" w:themeColor="text1"/>
                <w:szCs w:val="21"/>
              </w:rPr>
            </w:pPr>
            <w:r>
              <w:rPr>
                <w:rFonts w:ascii="宋体" w:hAnsi="宋体" w:cs="宋体"/>
                <w:color w:val="000000" w:themeColor="text1"/>
                <w:w w:val="99"/>
                <w:szCs w:val="21"/>
              </w:rPr>
              <w:t>278</w:t>
            </w:r>
          </w:p>
        </w:tc>
        <w:tc>
          <w:tcPr>
            <w:tcW w:w="1980" w:type="dxa"/>
            <w:vAlign w:val="center"/>
          </w:tcPr>
          <w:p>
            <w:pPr>
              <w:spacing w:line="274" w:lineRule="exact"/>
              <w:jc w:val="center"/>
              <w:rPr>
                <w:color w:val="000000" w:themeColor="text1"/>
                <w:szCs w:val="21"/>
              </w:rPr>
            </w:pPr>
            <w:r>
              <w:rPr>
                <w:rFonts w:ascii="宋体" w:hAnsi="宋体" w:cs="宋体"/>
                <w:color w:val="000000" w:themeColor="text1"/>
                <w:w w:val="99"/>
                <w:szCs w:val="21"/>
              </w:rPr>
              <w:t>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2582" w:type="dxa"/>
            <w:vAlign w:val="center"/>
          </w:tcPr>
          <w:p>
            <w:pPr>
              <w:spacing w:line="274" w:lineRule="exact"/>
              <w:jc w:val="center"/>
              <w:rPr>
                <w:color w:val="000000" w:themeColor="text1"/>
                <w:szCs w:val="21"/>
              </w:rPr>
            </w:pPr>
            <w:r>
              <w:rPr>
                <w:rFonts w:ascii="宋体" w:hAnsi="宋体" w:cs="宋体"/>
                <w:b/>
                <w:bCs/>
                <w:color w:val="000000" w:themeColor="text1"/>
                <w:w w:val="99"/>
                <w:szCs w:val="21"/>
              </w:rPr>
              <w:t>金东</w:t>
            </w:r>
          </w:p>
        </w:tc>
        <w:tc>
          <w:tcPr>
            <w:tcW w:w="2020" w:type="dxa"/>
            <w:vAlign w:val="center"/>
          </w:tcPr>
          <w:p>
            <w:pPr>
              <w:spacing w:line="274" w:lineRule="exact"/>
              <w:jc w:val="center"/>
              <w:rPr>
                <w:color w:val="000000" w:themeColor="text1"/>
                <w:szCs w:val="21"/>
              </w:rPr>
            </w:pPr>
            <w:r>
              <w:rPr>
                <w:rFonts w:ascii="宋体" w:hAnsi="宋体" w:cs="宋体"/>
                <w:color w:val="000000" w:themeColor="text1"/>
                <w:w w:val="99"/>
                <w:szCs w:val="21"/>
              </w:rPr>
              <w:t>379</w:t>
            </w:r>
          </w:p>
        </w:tc>
        <w:tc>
          <w:tcPr>
            <w:tcW w:w="2440" w:type="dxa"/>
            <w:vAlign w:val="center"/>
          </w:tcPr>
          <w:p>
            <w:pPr>
              <w:spacing w:line="274" w:lineRule="exact"/>
              <w:jc w:val="center"/>
              <w:rPr>
                <w:color w:val="000000" w:themeColor="text1"/>
                <w:szCs w:val="21"/>
              </w:rPr>
            </w:pPr>
            <w:r>
              <w:rPr>
                <w:rFonts w:ascii="宋体" w:hAnsi="宋体" w:cs="宋体"/>
                <w:color w:val="000000" w:themeColor="text1"/>
                <w:w w:val="99"/>
                <w:szCs w:val="21"/>
              </w:rPr>
              <w:t>330</w:t>
            </w:r>
          </w:p>
        </w:tc>
        <w:tc>
          <w:tcPr>
            <w:tcW w:w="1980" w:type="dxa"/>
            <w:vAlign w:val="center"/>
          </w:tcPr>
          <w:p>
            <w:pPr>
              <w:spacing w:line="274" w:lineRule="exact"/>
              <w:jc w:val="center"/>
              <w:rPr>
                <w:color w:val="000000" w:themeColor="text1"/>
                <w:szCs w:val="21"/>
              </w:rPr>
            </w:pPr>
            <w:r>
              <w:rPr>
                <w:rFonts w:ascii="宋体" w:hAnsi="宋体" w:cs="宋体"/>
                <w:color w:val="000000" w:themeColor="text1"/>
                <w:w w:val="99"/>
                <w:szCs w:val="21"/>
              </w:rPr>
              <w:t>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09" w:hRule="atLeast"/>
        </w:trPr>
        <w:tc>
          <w:tcPr>
            <w:tcW w:w="2582" w:type="dxa"/>
            <w:vAlign w:val="center"/>
          </w:tcPr>
          <w:p>
            <w:pPr>
              <w:spacing w:line="274" w:lineRule="exact"/>
              <w:jc w:val="center"/>
              <w:rPr>
                <w:color w:val="000000" w:themeColor="text1"/>
                <w:szCs w:val="21"/>
              </w:rPr>
            </w:pPr>
            <w:r>
              <w:rPr>
                <w:rFonts w:ascii="宋体" w:hAnsi="宋体" w:cs="宋体"/>
                <w:b/>
                <w:bCs/>
                <w:color w:val="000000" w:themeColor="text1"/>
                <w:w w:val="99"/>
                <w:szCs w:val="21"/>
              </w:rPr>
              <w:t>金义都</w:t>
            </w:r>
          </w:p>
        </w:tc>
        <w:tc>
          <w:tcPr>
            <w:tcW w:w="2020" w:type="dxa"/>
            <w:vAlign w:val="center"/>
          </w:tcPr>
          <w:p>
            <w:pPr>
              <w:spacing w:line="274" w:lineRule="exact"/>
              <w:jc w:val="center"/>
              <w:rPr>
                <w:color w:val="000000" w:themeColor="text1"/>
                <w:szCs w:val="21"/>
              </w:rPr>
            </w:pPr>
            <w:r>
              <w:rPr>
                <w:rFonts w:ascii="宋体" w:hAnsi="宋体" w:cs="宋体"/>
                <w:color w:val="000000" w:themeColor="text1"/>
                <w:w w:val="99"/>
                <w:szCs w:val="21"/>
              </w:rPr>
              <w:t>155</w:t>
            </w:r>
          </w:p>
        </w:tc>
        <w:tc>
          <w:tcPr>
            <w:tcW w:w="2440" w:type="dxa"/>
            <w:vAlign w:val="center"/>
          </w:tcPr>
          <w:p>
            <w:pPr>
              <w:spacing w:line="274" w:lineRule="exact"/>
              <w:jc w:val="center"/>
              <w:rPr>
                <w:color w:val="000000" w:themeColor="text1"/>
                <w:szCs w:val="21"/>
              </w:rPr>
            </w:pPr>
            <w:r>
              <w:rPr>
                <w:rFonts w:ascii="宋体" w:hAnsi="宋体" w:cs="宋体"/>
                <w:color w:val="000000" w:themeColor="text1"/>
                <w:w w:val="99"/>
                <w:szCs w:val="21"/>
              </w:rPr>
              <w:t>107</w:t>
            </w:r>
          </w:p>
        </w:tc>
        <w:tc>
          <w:tcPr>
            <w:tcW w:w="1980" w:type="dxa"/>
            <w:vAlign w:val="center"/>
          </w:tcPr>
          <w:p>
            <w:pPr>
              <w:spacing w:line="274" w:lineRule="exact"/>
              <w:jc w:val="center"/>
              <w:rPr>
                <w:color w:val="000000" w:themeColor="text1"/>
                <w:szCs w:val="21"/>
              </w:rPr>
            </w:pPr>
            <w:r>
              <w:rPr>
                <w:rFonts w:ascii="宋体" w:hAnsi="宋体" w:cs="宋体"/>
                <w:color w:val="000000" w:themeColor="text1"/>
                <w:w w:val="99"/>
                <w:szCs w:val="21"/>
              </w:rPr>
              <w:t>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1" w:hRule="atLeast"/>
        </w:trPr>
        <w:tc>
          <w:tcPr>
            <w:tcW w:w="2582" w:type="dxa"/>
            <w:vAlign w:val="center"/>
          </w:tcPr>
          <w:p>
            <w:pPr>
              <w:spacing w:line="274" w:lineRule="exact"/>
              <w:jc w:val="center"/>
              <w:rPr>
                <w:color w:val="000000" w:themeColor="text1"/>
                <w:szCs w:val="21"/>
              </w:rPr>
            </w:pPr>
            <w:r>
              <w:rPr>
                <w:rFonts w:ascii="宋体" w:hAnsi="宋体" w:cs="宋体"/>
                <w:b/>
                <w:bCs/>
                <w:color w:val="000000" w:themeColor="text1"/>
                <w:w w:val="99"/>
                <w:szCs w:val="21"/>
              </w:rPr>
              <w:t>兰溪</w:t>
            </w:r>
          </w:p>
        </w:tc>
        <w:tc>
          <w:tcPr>
            <w:tcW w:w="2020" w:type="dxa"/>
            <w:vAlign w:val="center"/>
          </w:tcPr>
          <w:p>
            <w:pPr>
              <w:spacing w:line="274" w:lineRule="exact"/>
              <w:jc w:val="center"/>
              <w:rPr>
                <w:color w:val="000000" w:themeColor="text1"/>
                <w:szCs w:val="21"/>
              </w:rPr>
            </w:pPr>
            <w:r>
              <w:rPr>
                <w:rFonts w:ascii="宋体" w:hAnsi="宋体" w:cs="宋体"/>
                <w:color w:val="000000" w:themeColor="text1"/>
                <w:w w:val="99"/>
                <w:szCs w:val="21"/>
              </w:rPr>
              <w:t>208</w:t>
            </w:r>
          </w:p>
        </w:tc>
        <w:tc>
          <w:tcPr>
            <w:tcW w:w="2440" w:type="dxa"/>
            <w:vAlign w:val="center"/>
          </w:tcPr>
          <w:p>
            <w:pPr>
              <w:spacing w:line="274" w:lineRule="exact"/>
              <w:jc w:val="center"/>
              <w:rPr>
                <w:color w:val="000000" w:themeColor="text1"/>
                <w:szCs w:val="21"/>
              </w:rPr>
            </w:pPr>
            <w:r>
              <w:rPr>
                <w:rFonts w:ascii="宋体" w:hAnsi="宋体" w:cs="宋体"/>
                <w:color w:val="000000" w:themeColor="text1"/>
                <w:w w:val="99"/>
                <w:szCs w:val="21"/>
              </w:rPr>
              <w:t>1286</w:t>
            </w:r>
          </w:p>
        </w:tc>
        <w:tc>
          <w:tcPr>
            <w:tcW w:w="1980" w:type="dxa"/>
            <w:vAlign w:val="center"/>
          </w:tcPr>
          <w:p>
            <w:pPr>
              <w:spacing w:line="274" w:lineRule="exact"/>
              <w:jc w:val="center"/>
              <w:rPr>
                <w:color w:val="000000" w:themeColor="text1"/>
                <w:szCs w:val="21"/>
              </w:rPr>
            </w:pPr>
            <w:r>
              <w:rPr>
                <w:rFonts w:ascii="宋体" w:hAnsi="宋体" w:cs="宋体"/>
                <w:color w:val="000000" w:themeColor="text1"/>
                <w:w w:val="99"/>
                <w:szCs w:val="21"/>
              </w:rPr>
              <w:t>1494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08" w:hRule="atLeast"/>
        </w:trPr>
        <w:tc>
          <w:tcPr>
            <w:tcW w:w="2582" w:type="dxa"/>
            <w:vAlign w:val="center"/>
          </w:tcPr>
          <w:p>
            <w:pPr>
              <w:spacing w:line="274" w:lineRule="exact"/>
              <w:jc w:val="center"/>
              <w:rPr>
                <w:color w:val="000000" w:themeColor="text1"/>
                <w:szCs w:val="21"/>
              </w:rPr>
            </w:pPr>
            <w:r>
              <w:rPr>
                <w:rFonts w:ascii="宋体" w:hAnsi="宋体" w:cs="宋体"/>
                <w:b/>
                <w:bCs/>
                <w:color w:val="000000" w:themeColor="text1"/>
                <w:w w:val="99"/>
                <w:szCs w:val="21"/>
              </w:rPr>
              <w:t>义乌</w:t>
            </w:r>
          </w:p>
        </w:tc>
        <w:tc>
          <w:tcPr>
            <w:tcW w:w="2020" w:type="dxa"/>
            <w:vAlign w:val="center"/>
          </w:tcPr>
          <w:p>
            <w:pPr>
              <w:spacing w:line="274" w:lineRule="exact"/>
              <w:jc w:val="center"/>
              <w:rPr>
                <w:color w:val="000000" w:themeColor="text1"/>
                <w:szCs w:val="21"/>
              </w:rPr>
            </w:pPr>
            <w:r>
              <w:rPr>
                <w:rFonts w:ascii="宋体" w:hAnsi="宋体" w:cs="宋体"/>
                <w:color w:val="000000" w:themeColor="text1"/>
                <w:w w:val="99"/>
                <w:szCs w:val="21"/>
              </w:rPr>
              <w:t>11000</w:t>
            </w:r>
          </w:p>
        </w:tc>
        <w:tc>
          <w:tcPr>
            <w:tcW w:w="2440" w:type="dxa"/>
            <w:vAlign w:val="center"/>
          </w:tcPr>
          <w:p>
            <w:pPr>
              <w:spacing w:line="274" w:lineRule="exact"/>
              <w:jc w:val="center"/>
              <w:rPr>
                <w:color w:val="000000" w:themeColor="text1"/>
                <w:szCs w:val="21"/>
              </w:rPr>
            </w:pPr>
            <w:r>
              <w:rPr>
                <w:rFonts w:ascii="宋体" w:hAnsi="宋体" w:cs="宋体"/>
                <w:color w:val="000000" w:themeColor="text1"/>
                <w:w w:val="99"/>
                <w:szCs w:val="21"/>
              </w:rPr>
              <w:t>1628</w:t>
            </w:r>
          </w:p>
        </w:tc>
        <w:tc>
          <w:tcPr>
            <w:tcW w:w="1980" w:type="dxa"/>
            <w:vAlign w:val="center"/>
          </w:tcPr>
          <w:p>
            <w:pPr>
              <w:spacing w:line="274" w:lineRule="exact"/>
              <w:jc w:val="center"/>
              <w:rPr>
                <w:color w:val="000000" w:themeColor="text1"/>
                <w:szCs w:val="21"/>
              </w:rPr>
            </w:pPr>
            <w:r>
              <w:rPr>
                <w:rFonts w:ascii="宋体" w:hAnsi="宋体" w:cs="宋体"/>
                <w:color w:val="000000" w:themeColor="text1"/>
                <w:w w:val="99"/>
                <w:szCs w:val="21"/>
              </w:rPr>
              <w:t>12628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2582" w:type="dxa"/>
            <w:vAlign w:val="center"/>
          </w:tcPr>
          <w:p>
            <w:pPr>
              <w:spacing w:line="274" w:lineRule="exact"/>
              <w:jc w:val="center"/>
              <w:rPr>
                <w:color w:val="000000" w:themeColor="text1"/>
                <w:szCs w:val="21"/>
              </w:rPr>
            </w:pPr>
            <w:r>
              <w:rPr>
                <w:rFonts w:ascii="宋体" w:hAnsi="宋体" w:cs="宋体"/>
                <w:b/>
                <w:bCs/>
                <w:color w:val="000000" w:themeColor="text1"/>
                <w:w w:val="99"/>
                <w:szCs w:val="21"/>
              </w:rPr>
              <w:t>东阳</w:t>
            </w:r>
          </w:p>
        </w:tc>
        <w:tc>
          <w:tcPr>
            <w:tcW w:w="2020" w:type="dxa"/>
            <w:vAlign w:val="center"/>
          </w:tcPr>
          <w:p>
            <w:pPr>
              <w:spacing w:line="274" w:lineRule="exact"/>
              <w:jc w:val="center"/>
              <w:rPr>
                <w:color w:val="000000" w:themeColor="text1"/>
                <w:szCs w:val="21"/>
              </w:rPr>
            </w:pPr>
            <w:r>
              <w:rPr>
                <w:rFonts w:ascii="宋体" w:hAnsi="宋体" w:cs="宋体"/>
                <w:color w:val="000000" w:themeColor="text1"/>
                <w:w w:val="99"/>
                <w:szCs w:val="21"/>
              </w:rPr>
              <w:t>8828</w:t>
            </w:r>
          </w:p>
        </w:tc>
        <w:tc>
          <w:tcPr>
            <w:tcW w:w="2440" w:type="dxa"/>
            <w:vAlign w:val="center"/>
          </w:tcPr>
          <w:p>
            <w:pPr>
              <w:spacing w:line="274" w:lineRule="exact"/>
              <w:jc w:val="center"/>
              <w:rPr>
                <w:color w:val="000000" w:themeColor="text1"/>
                <w:szCs w:val="21"/>
              </w:rPr>
            </w:pPr>
            <w:r>
              <w:rPr>
                <w:rFonts w:ascii="宋体" w:hAnsi="宋体" w:cs="宋体"/>
                <w:color w:val="000000" w:themeColor="text1"/>
                <w:w w:val="99"/>
                <w:szCs w:val="21"/>
              </w:rPr>
              <w:t>1000</w:t>
            </w:r>
          </w:p>
        </w:tc>
        <w:tc>
          <w:tcPr>
            <w:tcW w:w="1980" w:type="dxa"/>
            <w:vAlign w:val="center"/>
          </w:tcPr>
          <w:p>
            <w:pPr>
              <w:spacing w:line="274" w:lineRule="exact"/>
              <w:jc w:val="center"/>
              <w:rPr>
                <w:color w:val="000000" w:themeColor="text1"/>
                <w:szCs w:val="21"/>
              </w:rPr>
            </w:pPr>
            <w:r>
              <w:rPr>
                <w:rFonts w:ascii="宋体" w:hAnsi="宋体" w:cs="宋体"/>
                <w:color w:val="000000" w:themeColor="text1"/>
                <w:w w:val="99"/>
                <w:szCs w:val="21"/>
              </w:rPr>
              <w:t>9828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2582" w:type="dxa"/>
            <w:vAlign w:val="center"/>
          </w:tcPr>
          <w:p>
            <w:pPr>
              <w:spacing w:line="274" w:lineRule="exact"/>
              <w:jc w:val="center"/>
              <w:rPr>
                <w:color w:val="000000" w:themeColor="text1"/>
                <w:szCs w:val="21"/>
              </w:rPr>
            </w:pPr>
            <w:r>
              <w:rPr>
                <w:rFonts w:ascii="宋体" w:hAnsi="宋体" w:cs="宋体"/>
                <w:b/>
                <w:bCs/>
                <w:color w:val="000000" w:themeColor="text1"/>
                <w:w w:val="99"/>
                <w:szCs w:val="21"/>
              </w:rPr>
              <w:t>永康</w:t>
            </w:r>
          </w:p>
        </w:tc>
        <w:tc>
          <w:tcPr>
            <w:tcW w:w="2020" w:type="dxa"/>
            <w:vAlign w:val="center"/>
          </w:tcPr>
          <w:p>
            <w:pPr>
              <w:spacing w:line="274" w:lineRule="exact"/>
              <w:jc w:val="center"/>
              <w:rPr>
                <w:color w:val="000000" w:themeColor="text1"/>
                <w:szCs w:val="21"/>
              </w:rPr>
            </w:pPr>
            <w:r>
              <w:rPr>
                <w:rFonts w:ascii="宋体" w:hAnsi="宋体" w:cs="宋体"/>
                <w:color w:val="000000" w:themeColor="text1"/>
                <w:w w:val="99"/>
                <w:szCs w:val="21"/>
              </w:rPr>
              <w:t>6919</w:t>
            </w:r>
          </w:p>
        </w:tc>
        <w:tc>
          <w:tcPr>
            <w:tcW w:w="2440" w:type="dxa"/>
            <w:vAlign w:val="center"/>
          </w:tcPr>
          <w:p>
            <w:pPr>
              <w:spacing w:line="274" w:lineRule="exact"/>
              <w:jc w:val="center"/>
              <w:rPr>
                <w:color w:val="000000" w:themeColor="text1"/>
                <w:szCs w:val="21"/>
              </w:rPr>
            </w:pPr>
            <w:r>
              <w:rPr>
                <w:rFonts w:ascii="宋体" w:hAnsi="宋体" w:cs="宋体"/>
                <w:color w:val="000000" w:themeColor="text1"/>
                <w:w w:val="99"/>
                <w:szCs w:val="21"/>
              </w:rPr>
              <w:t>1000</w:t>
            </w:r>
          </w:p>
        </w:tc>
        <w:tc>
          <w:tcPr>
            <w:tcW w:w="1980" w:type="dxa"/>
            <w:vAlign w:val="center"/>
          </w:tcPr>
          <w:p>
            <w:pPr>
              <w:spacing w:line="274" w:lineRule="exact"/>
              <w:jc w:val="center"/>
              <w:rPr>
                <w:color w:val="000000" w:themeColor="text1"/>
                <w:szCs w:val="21"/>
              </w:rPr>
            </w:pPr>
            <w:r>
              <w:rPr>
                <w:rFonts w:ascii="宋体" w:hAnsi="宋体" w:cs="宋体"/>
                <w:color w:val="000000" w:themeColor="text1"/>
                <w:w w:val="99"/>
                <w:szCs w:val="21"/>
              </w:rPr>
              <w:t>7919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2582" w:type="dxa"/>
            <w:vAlign w:val="center"/>
          </w:tcPr>
          <w:p>
            <w:pPr>
              <w:spacing w:line="274" w:lineRule="exact"/>
              <w:jc w:val="center"/>
              <w:rPr>
                <w:color w:val="000000" w:themeColor="text1"/>
                <w:szCs w:val="21"/>
              </w:rPr>
            </w:pPr>
            <w:r>
              <w:rPr>
                <w:rFonts w:ascii="宋体" w:hAnsi="宋体" w:cs="宋体"/>
                <w:b/>
                <w:bCs/>
                <w:color w:val="000000" w:themeColor="text1"/>
                <w:w w:val="99"/>
                <w:szCs w:val="21"/>
              </w:rPr>
              <w:t>武义</w:t>
            </w:r>
          </w:p>
        </w:tc>
        <w:tc>
          <w:tcPr>
            <w:tcW w:w="2020" w:type="dxa"/>
            <w:vAlign w:val="center"/>
          </w:tcPr>
          <w:p>
            <w:pPr>
              <w:spacing w:line="274" w:lineRule="exact"/>
              <w:jc w:val="center"/>
              <w:rPr>
                <w:color w:val="000000" w:themeColor="text1"/>
                <w:szCs w:val="21"/>
              </w:rPr>
            </w:pPr>
            <w:r>
              <w:rPr>
                <w:rFonts w:ascii="宋体" w:hAnsi="宋体" w:cs="宋体"/>
                <w:color w:val="000000" w:themeColor="text1"/>
                <w:w w:val="99"/>
                <w:szCs w:val="21"/>
              </w:rPr>
              <w:t>450</w:t>
            </w:r>
          </w:p>
        </w:tc>
        <w:tc>
          <w:tcPr>
            <w:tcW w:w="2440" w:type="dxa"/>
            <w:vAlign w:val="center"/>
          </w:tcPr>
          <w:p>
            <w:pPr>
              <w:spacing w:line="274" w:lineRule="exact"/>
              <w:jc w:val="center"/>
              <w:rPr>
                <w:color w:val="000000" w:themeColor="text1"/>
                <w:szCs w:val="21"/>
              </w:rPr>
            </w:pPr>
            <w:r>
              <w:rPr>
                <w:rFonts w:ascii="宋体" w:hAnsi="宋体" w:cs="宋体"/>
                <w:color w:val="000000" w:themeColor="text1"/>
                <w:w w:val="99"/>
                <w:szCs w:val="21"/>
              </w:rPr>
              <w:t>800</w:t>
            </w:r>
          </w:p>
        </w:tc>
        <w:tc>
          <w:tcPr>
            <w:tcW w:w="1980" w:type="dxa"/>
            <w:vAlign w:val="center"/>
          </w:tcPr>
          <w:p>
            <w:pPr>
              <w:spacing w:line="274" w:lineRule="exact"/>
              <w:jc w:val="center"/>
              <w:rPr>
                <w:color w:val="000000" w:themeColor="text1"/>
                <w:szCs w:val="21"/>
              </w:rPr>
            </w:pPr>
            <w:r>
              <w:rPr>
                <w:rFonts w:ascii="宋体" w:hAnsi="宋体" w:cs="宋体"/>
                <w:color w:val="000000" w:themeColor="text1"/>
                <w:w w:val="99"/>
                <w:szCs w:val="21"/>
              </w:rPr>
              <w:t>1250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2582" w:type="dxa"/>
            <w:vAlign w:val="center"/>
          </w:tcPr>
          <w:p>
            <w:pPr>
              <w:spacing w:line="274" w:lineRule="exact"/>
              <w:jc w:val="center"/>
              <w:rPr>
                <w:color w:val="000000" w:themeColor="text1"/>
                <w:szCs w:val="21"/>
              </w:rPr>
            </w:pPr>
            <w:r>
              <w:rPr>
                <w:rFonts w:ascii="宋体" w:hAnsi="宋体" w:cs="宋体"/>
                <w:b/>
                <w:bCs/>
                <w:color w:val="000000" w:themeColor="text1"/>
                <w:w w:val="99"/>
                <w:szCs w:val="21"/>
              </w:rPr>
              <w:t>浦江</w:t>
            </w:r>
          </w:p>
        </w:tc>
        <w:tc>
          <w:tcPr>
            <w:tcW w:w="2020" w:type="dxa"/>
            <w:vAlign w:val="center"/>
          </w:tcPr>
          <w:p>
            <w:pPr>
              <w:spacing w:line="274" w:lineRule="exact"/>
              <w:jc w:val="center"/>
              <w:rPr>
                <w:color w:val="000000" w:themeColor="text1"/>
                <w:szCs w:val="21"/>
              </w:rPr>
            </w:pPr>
            <w:r>
              <w:rPr>
                <w:rFonts w:ascii="宋体" w:hAnsi="宋体" w:cs="宋体"/>
                <w:color w:val="000000" w:themeColor="text1"/>
                <w:w w:val="99"/>
                <w:szCs w:val="21"/>
              </w:rPr>
              <w:t>118</w:t>
            </w:r>
          </w:p>
        </w:tc>
        <w:tc>
          <w:tcPr>
            <w:tcW w:w="2440" w:type="dxa"/>
            <w:vAlign w:val="center"/>
          </w:tcPr>
          <w:p>
            <w:pPr>
              <w:spacing w:line="274" w:lineRule="exact"/>
              <w:jc w:val="center"/>
              <w:rPr>
                <w:color w:val="000000" w:themeColor="text1"/>
                <w:szCs w:val="21"/>
              </w:rPr>
            </w:pPr>
            <w:r>
              <w:rPr>
                <w:rFonts w:ascii="宋体" w:hAnsi="宋体" w:cs="宋体"/>
                <w:color w:val="000000" w:themeColor="text1"/>
                <w:w w:val="99"/>
                <w:szCs w:val="21"/>
              </w:rPr>
              <w:t>1200</w:t>
            </w:r>
          </w:p>
        </w:tc>
        <w:tc>
          <w:tcPr>
            <w:tcW w:w="1980" w:type="dxa"/>
            <w:vAlign w:val="center"/>
          </w:tcPr>
          <w:p>
            <w:pPr>
              <w:spacing w:line="274" w:lineRule="exact"/>
              <w:jc w:val="center"/>
              <w:rPr>
                <w:color w:val="000000" w:themeColor="text1"/>
                <w:szCs w:val="21"/>
              </w:rPr>
            </w:pPr>
            <w:r>
              <w:rPr>
                <w:rFonts w:ascii="宋体" w:hAnsi="宋体" w:cs="宋体"/>
                <w:color w:val="000000" w:themeColor="text1"/>
                <w:w w:val="99"/>
                <w:szCs w:val="21"/>
              </w:rPr>
              <w:t>1318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75" w:hRule="atLeast"/>
        </w:trPr>
        <w:tc>
          <w:tcPr>
            <w:tcW w:w="2582" w:type="dxa"/>
            <w:vAlign w:val="center"/>
          </w:tcPr>
          <w:p>
            <w:pPr>
              <w:spacing w:line="274" w:lineRule="exact"/>
              <w:jc w:val="center"/>
              <w:rPr>
                <w:color w:val="000000" w:themeColor="text1"/>
                <w:szCs w:val="21"/>
              </w:rPr>
            </w:pPr>
            <w:r>
              <w:rPr>
                <w:rFonts w:ascii="宋体" w:hAnsi="宋体" w:cs="宋体"/>
                <w:b/>
                <w:bCs/>
                <w:color w:val="000000" w:themeColor="text1"/>
                <w:w w:val="99"/>
                <w:szCs w:val="21"/>
              </w:rPr>
              <w:t>磐安</w:t>
            </w:r>
          </w:p>
        </w:tc>
        <w:tc>
          <w:tcPr>
            <w:tcW w:w="2020" w:type="dxa"/>
            <w:vAlign w:val="center"/>
          </w:tcPr>
          <w:p>
            <w:pPr>
              <w:spacing w:line="274" w:lineRule="exact"/>
              <w:jc w:val="center"/>
              <w:rPr>
                <w:color w:val="000000" w:themeColor="text1"/>
                <w:szCs w:val="21"/>
              </w:rPr>
            </w:pPr>
            <w:r>
              <w:rPr>
                <w:rFonts w:ascii="宋体" w:hAnsi="宋体" w:cs="宋体"/>
                <w:color w:val="000000" w:themeColor="text1"/>
                <w:w w:val="99"/>
                <w:szCs w:val="21"/>
              </w:rPr>
              <w:t>117</w:t>
            </w:r>
          </w:p>
        </w:tc>
        <w:tc>
          <w:tcPr>
            <w:tcW w:w="2440" w:type="dxa"/>
            <w:vAlign w:val="center"/>
          </w:tcPr>
          <w:p>
            <w:pPr>
              <w:spacing w:line="274" w:lineRule="exact"/>
              <w:jc w:val="center"/>
              <w:rPr>
                <w:color w:val="000000" w:themeColor="text1"/>
                <w:szCs w:val="21"/>
              </w:rPr>
            </w:pPr>
            <w:r>
              <w:rPr>
                <w:rFonts w:ascii="宋体" w:hAnsi="宋体" w:cs="宋体"/>
                <w:color w:val="000000" w:themeColor="text1"/>
                <w:w w:val="99"/>
                <w:szCs w:val="21"/>
              </w:rPr>
              <w:t>1047</w:t>
            </w:r>
          </w:p>
        </w:tc>
        <w:tc>
          <w:tcPr>
            <w:tcW w:w="1980" w:type="dxa"/>
            <w:vAlign w:val="center"/>
          </w:tcPr>
          <w:p>
            <w:pPr>
              <w:spacing w:line="274" w:lineRule="exact"/>
              <w:jc w:val="center"/>
              <w:rPr>
                <w:color w:val="000000" w:themeColor="text1"/>
                <w:szCs w:val="21"/>
              </w:rPr>
            </w:pPr>
            <w:r>
              <w:rPr>
                <w:rFonts w:ascii="宋体" w:hAnsi="宋体" w:cs="宋体"/>
                <w:color w:val="000000" w:themeColor="text1"/>
                <w:w w:val="99"/>
                <w:szCs w:val="21"/>
              </w:rPr>
              <w:t>1164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71" w:hRule="atLeast"/>
        </w:trPr>
        <w:tc>
          <w:tcPr>
            <w:tcW w:w="2582" w:type="dxa"/>
            <w:vAlign w:val="center"/>
          </w:tcPr>
          <w:p>
            <w:pPr>
              <w:spacing w:line="274" w:lineRule="exact"/>
              <w:jc w:val="center"/>
              <w:rPr>
                <w:color w:val="000000" w:themeColor="text1"/>
                <w:szCs w:val="21"/>
              </w:rPr>
            </w:pPr>
            <w:r>
              <w:rPr>
                <w:rFonts w:ascii="宋体" w:hAnsi="宋体" w:cs="宋体"/>
                <w:b/>
                <w:bCs/>
                <w:color w:val="000000" w:themeColor="text1"/>
                <w:w w:val="99"/>
                <w:szCs w:val="21"/>
              </w:rPr>
              <w:t>合计</w:t>
            </w:r>
          </w:p>
        </w:tc>
        <w:tc>
          <w:tcPr>
            <w:tcW w:w="2020" w:type="dxa"/>
            <w:vAlign w:val="center"/>
          </w:tcPr>
          <w:p>
            <w:pPr>
              <w:spacing w:line="274" w:lineRule="exact"/>
              <w:jc w:val="center"/>
              <w:rPr>
                <w:color w:val="000000" w:themeColor="text1"/>
                <w:szCs w:val="21"/>
              </w:rPr>
            </w:pPr>
            <w:r>
              <w:rPr>
                <w:rFonts w:ascii="宋体" w:hAnsi="宋体" w:cs="宋体"/>
                <w:b/>
                <w:bCs/>
                <w:color w:val="000000" w:themeColor="text1"/>
                <w:w w:val="99"/>
                <w:szCs w:val="21"/>
              </w:rPr>
              <w:t>3450</w:t>
            </w:r>
            <w:r>
              <w:rPr>
                <w:rFonts w:hint="eastAsia" w:ascii="宋体" w:hAnsi="宋体" w:cs="宋体"/>
                <w:b/>
                <w:bCs/>
                <w:color w:val="000000" w:themeColor="text1"/>
                <w:w w:val="99"/>
                <w:szCs w:val="21"/>
              </w:rPr>
              <w:t>8</w:t>
            </w:r>
          </w:p>
        </w:tc>
        <w:tc>
          <w:tcPr>
            <w:tcW w:w="2440" w:type="dxa"/>
            <w:vAlign w:val="center"/>
          </w:tcPr>
          <w:p>
            <w:pPr>
              <w:spacing w:line="274" w:lineRule="exact"/>
              <w:jc w:val="center"/>
              <w:rPr>
                <w:color w:val="000000" w:themeColor="text1"/>
                <w:szCs w:val="21"/>
              </w:rPr>
            </w:pPr>
            <w:r>
              <w:rPr>
                <w:rFonts w:ascii="宋体" w:hAnsi="宋体" w:cs="宋体"/>
                <w:b/>
                <w:bCs/>
                <w:color w:val="000000" w:themeColor="text1"/>
                <w:w w:val="99"/>
                <w:szCs w:val="21"/>
              </w:rPr>
              <w:t>11550</w:t>
            </w:r>
          </w:p>
        </w:tc>
        <w:tc>
          <w:tcPr>
            <w:tcW w:w="1980" w:type="dxa"/>
            <w:vAlign w:val="center"/>
          </w:tcPr>
          <w:p>
            <w:pPr>
              <w:spacing w:line="274" w:lineRule="exact"/>
              <w:jc w:val="center"/>
              <w:rPr>
                <w:color w:val="000000" w:themeColor="text1"/>
                <w:szCs w:val="21"/>
              </w:rPr>
            </w:pPr>
            <w:r>
              <w:rPr>
                <w:rFonts w:ascii="宋体" w:hAnsi="宋体" w:cs="宋体"/>
                <w:b/>
                <w:bCs/>
                <w:color w:val="000000" w:themeColor="text1"/>
                <w:w w:val="99"/>
                <w:szCs w:val="21"/>
              </w:rPr>
              <w:t>4605</w:t>
            </w:r>
            <w:r>
              <w:rPr>
                <w:rFonts w:hint="eastAsia" w:ascii="宋体" w:hAnsi="宋体" w:cs="宋体"/>
                <w:b/>
                <w:bCs/>
                <w:color w:val="000000" w:themeColor="text1"/>
                <w:w w:val="99"/>
                <w:szCs w:val="21"/>
              </w:rPr>
              <w:t>8</w:t>
            </w:r>
          </w:p>
        </w:tc>
      </w:tr>
    </w:tbl>
    <w:p>
      <w:pPr>
        <w:ind w:firstLine="480"/>
        <w:rPr>
          <w:color w:val="000000" w:themeColor="text1"/>
          <w:u w:val="single"/>
        </w:rPr>
      </w:pPr>
    </w:p>
    <w:p>
      <w:pPr>
        <w:pStyle w:val="6"/>
        <w:spacing w:before="120" w:after="120"/>
        <w:ind w:firstLine="480"/>
        <w:rPr>
          <w:color w:val="000000" w:themeColor="text1"/>
        </w:rPr>
      </w:pPr>
      <w:r>
        <w:rPr>
          <w:rFonts w:hint="eastAsia"/>
          <w:color w:val="000000" w:themeColor="text1"/>
        </w:rPr>
        <w:t>1.1</w:t>
      </w:r>
      <w:r>
        <w:rPr>
          <w:color w:val="000000" w:themeColor="text1"/>
        </w:rPr>
        <w:t>.1平台基本功能要求</w:t>
      </w:r>
    </w:p>
    <w:p>
      <w:pPr>
        <w:ind w:firstLine="480"/>
        <w:rPr>
          <w:color w:val="000000" w:themeColor="text1"/>
        </w:rPr>
      </w:pPr>
      <w:r>
        <w:rPr>
          <w:color w:val="000000" w:themeColor="text1"/>
        </w:rPr>
        <w:t>平台要求可对接上级平台和接入下级平台的能力，可同时接入多个异构平台及接入设备网关，支持不少于10万个监控点的管理，市平台不少于600路4M视频转发能力，</w:t>
      </w:r>
      <w:r>
        <w:rPr>
          <w:rFonts w:hint="eastAsia"/>
          <w:color w:val="000000" w:themeColor="text1"/>
        </w:rPr>
        <w:t>浦江</w:t>
      </w:r>
      <w:r>
        <w:rPr>
          <w:color w:val="000000" w:themeColor="text1"/>
        </w:rPr>
        <w:t>和磐安</w:t>
      </w:r>
      <w:r>
        <w:rPr>
          <w:rFonts w:hint="eastAsia"/>
          <w:color w:val="000000" w:themeColor="text1"/>
        </w:rPr>
        <w:t>平台</w:t>
      </w:r>
      <w:r>
        <w:rPr>
          <w:color w:val="000000" w:themeColor="text1"/>
        </w:rPr>
        <w:t>分别不少于</w:t>
      </w:r>
      <w:r>
        <w:rPr>
          <w:rFonts w:hint="eastAsia"/>
          <w:color w:val="000000" w:themeColor="text1"/>
        </w:rPr>
        <w:t>300路</w:t>
      </w:r>
      <w:r>
        <w:rPr>
          <w:color w:val="000000" w:themeColor="text1"/>
        </w:rPr>
        <w:t>4M视频转发能力</w:t>
      </w:r>
      <w:r>
        <w:rPr>
          <w:rFonts w:hint="eastAsia"/>
          <w:color w:val="000000" w:themeColor="text1"/>
        </w:rPr>
        <w:t>。</w:t>
      </w:r>
      <w:r>
        <w:rPr>
          <w:color w:val="000000" w:themeColor="text1"/>
        </w:rPr>
        <w:t>平台主要功能包含视频监控、设备管理、报表与日志管理、系统管理等。</w:t>
      </w:r>
    </w:p>
    <w:p>
      <w:pPr>
        <w:pStyle w:val="7"/>
        <w:spacing w:before="120" w:after="120"/>
        <w:ind w:firstLine="480"/>
        <w:rPr>
          <w:color w:val="000000" w:themeColor="text1"/>
        </w:rPr>
      </w:pPr>
      <w:bookmarkStart w:id="9" w:name="_Toc495865559"/>
      <w:r>
        <w:rPr>
          <w:rFonts w:hint="eastAsia"/>
          <w:color w:val="000000" w:themeColor="text1"/>
        </w:rPr>
        <w:t>1.1</w:t>
      </w:r>
      <w:r>
        <w:rPr>
          <w:color w:val="000000" w:themeColor="text1"/>
        </w:rPr>
        <w:t>.1</w:t>
      </w:r>
      <w:r>
        <w:rPr>
          <w:rFonts w:hint="eastAsia"/>
          <w:color w:val="000000" w:themeColor="text1"/>
        </w:rPr>
        <w:t>.1</w:t>
      </w:r>
      <w:r>
        <w:rPr>
          <w:color w:val="000000" w:themeColor="text1"/>
        </w:rPr>
        <w:t>视频监控功能</w:t>
      </w:r>
      <w:bookmarkEnd w:id="9"/>
    </w:p>
    <w:p>
      <w:pPr>
        <w:ind w:firstLine="480"/>
        <w:rPr>
          <w:color w:val="000000" w:themeColor="text1"/>
        </w:rPr>
      </w:pPr>
      <w:r>
        <w:rPr>
          <w:color w:val="000000" w:themeColor="text1"/>
        </w:rPr>
        <w:t>实时视频查看</w:t>
      </w:r>
      <w:r>
        <w:rPr>
          <w:rFonts w:hint="eastAsia"/>
          <w:color w:val="000000" w:themeColor="text1"/>
        </w:rPr>
        <w:t>：</w:t>
      </w:r>
      <w:r>
        <w:rPr>
          <w:color w:val="000000" w:themeColor="text1"/>
        </w:rPr>
        <w:t>能按照指定设备、指定通道进行图像的实时查看，支持浏览图像的显示、缩放及多用户对同一图像资源的同时查看。</w:t>
      </w:r>
    </w:p>
    <w:p>
      <w:pPr>
        <w:ind w:firstLine="480"/>
        <w:rPr>
          <w:color w:val="000000" w:themeColor="text1"/>
        </w:rPr>
      </w:pPr>
      <w:r>
        <w:rPr>
          <w:color w:val="000000" w:themeColor="text1"/>
        </w:rPr>
        <w:t>多画面监视</w:t>
      </w:r>
      <w:r>
        <w:rPr>
          <w:rFonts w:hint="eastAsia"/>
          <w:color w:val="000000" w:themeColor="text1"/>
        </w:rPr>
        <w:t>：</w:t>
      </w:r>
      <w:r>
        <w:rPr>
          <w:color w:val="000000" w:themeColor="text1"/>
        </w:rPr>
        <w:t>在客户端上可以实现对多个监控点的显示，可实现一个或多个监控点实时图像显示在指定的一个或多个显示器上，可以选择多种画面分割，能提供多种分辨率，以适应各种应用需求，并可以实现全屏显示。支持连续点播实时点位视频查看，播放窗口按顺序自动跳转。</w:t>
      </w:r>
    </w:p>
    <w:p>
      <w:pPr>
        <w:ind w:firstLine="480"/>
        <w:rPr>
          <w:color w:val="000000" w:themeColor="text1"/>
        </w:rPr>
      </w:pPr>
      <w:r>
        <w:rPr>
          <w:color w:val="000000" w:themeColor="text1"/>
        </w:rPr>
        <w:t>多画面轮巡</w:t>
      </w:r>
      <w:r>
        <w:rPr>
          <w:rFonts w:hint="eastAsia"/>
          <w:color w:val="000000" w:themeColor="text1"/>
        </w:rPr>
        <w:t>：</w:t>
      </w:r>
      <w:r>
        <w:rPr>
          <w:color w:val="000000" w:themeColor="text1"/>
        </w:rPr>
        <w:t>可将一组图像设置在一个播放控件窗口上，可设置轮巡间隔时间以实现多个画面轮流显示，支持1/4/6/8/16多分屏画面显示。</w:t>
      </w:r>
    </w:p>
    <w:p>
      <w:pPr>
        <w:ind w:firstLine="480"/>
        <w:rPr>
          <w:color w:val="000000" w:themeColor="text1"/>
        </w:rPr>
      </w:pPr>
      <w:bookmarkStart w:id="10" w:name="_Toc456170364"/>
      <w:bookmarkStart w:id="11" w:name="_Toc465537509"/>
      <w:bookmarkStart w:id="12" w:name="_Toc492885665"/>
      <w:r>
        <w:rPr>
          <w:color w:val="000000" w:themeColor="text1"/>
        </w:rPr>
        <w:t>视频录像回放</w:t>
      </w:r>
      <w:bookmarkEnd w:id="10"/>
      <w:bookmarkEnd w:id="11"/>
      <w:bookmarkEnd w:id="12"/>
      <w:r>
        <w:rPr>
          <w:rFonts w:hint="eastAsia"/>
          <w:color w:val="000000" w:themeColor="text1"/>
        </w:rPr>
        <w:t>：</w:t>
      </w:r>
      <w:r>
        <w:rPr>
          <w:color w:val="000000" w:themeColor="text1"/>
        </w:rPr>
        <w:t>能按照指定设备、通道、时间、报警信息等要素检索历史图像资料并回放和下载；回放应支持正常播放、快速播放、慢速播放、进退、画面暂停、图像抓拍、录像切换播放等。</w:t>
      </w:r>
      <w:bookmarkStart w:id="13" w:name="_Toc492885606"/>
      <w:bookmarkEnd w:id="13"/>
      <w:bookmarkStart w:id="14" w:name="_Toc492827380"/>
      <w:bookmarkEnd w:id="14"/>
      <w:bookmarkStart w:id="15" w:name="_Toc492885608"/>
      <w:bookmarkEnd w:id="15"/>
      <w:bookmarkStart w:id="16" w:name="_Toc492885694"/>
      <w:bookmarkEnd w:id="16"/>
      <w:bookmarkStart w:id="17" w:name="_Toc492827379"/>
      <w:bookmarkEnd w:id="17"/>
      <w:bookmarkStart w:id="18" w:name="_Toc492827518"/>
      <w:bookmarkEnd w:id="18"/>
      <w:bookmarkStart w:id="19" w:name="_Toc492885687"/>
      <w:bookmarkEnd w:id="19"/>
      <w:bookmarkStart w:id="20" w:name="_Toc492827913"/>
      <w:bookmarkEnd w:id="20"/>
      <w:bookmarkStart w:id="21" w:name="_Toc492826440"/>
      <w:bookmarkEnd w:id="21"/>
      <w:bookmarkStart w:id="22" w:name="_Toc492885695"/>
      <w:bookmarkEnd w:id="22"/>
      <w:bookmarkStart w:id="23" w:name="_Toc492827515"/>
      <w:bookmarkEnd w:id="23"/>
      <w:bookmarkStart w:id="24" w:name="_Toc492827382"/>
      <w:bookmarkEnd w:id="24"/>
      <w:bookmarkStart w:id="25" w:name="_Toc492826441"/>
      <w:bookmarkEnd w:id="25"/>
      <w:bookmarkStart w:id="26" w:name="_Toc492827907"/>
      <w:bookmarkEnd w:id="26"/>
      <w:bookmarkStart w:id="27" w:name="_Toc492885692"/>
      <w:bookmarkEnd w:id="27"/>
      <w:bookmarkStart w:id="28" w:name="_Toc492826897"/>
      <w:bookmarkEnd w:id="28"/>
      <w:bookmarkStart w:id="29" w:name="_Toc492826924"/>
      <w:bookmarkEnd w:id="29"/>
      <w:bookmarkStart w:id="30" w:name="_Toc492827376"/>
      <w:bookmarkEnd w:id="30"/>
      <w:bookmarkStart w:id="31" w:name="_Toc492885693"/>
      <w:bookmarkEnd w:id="31"/>
      <w:bookmarkStart w:id="32" w:name="_Toc492827381"/>
      <w:bookmarkEnd w:id="32"/>
      <w:bookmarkStart w:id="33" w:name="_Toc492826927"/>
      <w:bookmarkEnd w:id="33"/>
      <w:bookmarkStart w:id="34" w:name="_Toc492826442"/>
      <w:bookmarkEnd w:id="34"/>
      <w:bookmarkStart w:id="35" w:name="_Toc492827352"/>
      <w:bookmarkEnd w:id="35"/>
      <w:bookmarkStart w:id="36" w:name="_Toc492885690"/>
      <w:bookmarkEnd w:id="36"/>
      <w:bookmarkStart w:id="37" w:name="_Toc492885689"/>
      <w:bookmarkEnd w:id="37"/>
      <w:bookmarkStart w:id="38" w:name="_Toc492826413"/>
      <w:bookmarkEnd w:id="38"/>
      <w:bookmarkStart w:id="39" w:name="_Toc492885605"/>
      <w:bookmarkEnd w:id="39"/>
      <w:bookmarkStart w:id="40" w:name="_Toc492826920"/>
      <w:bookmarkEnd w:id="40"/>
      <w:bookmarkStart w:id="41" w:name="_Toc492826926"/>
      <w:bookmarkEnd w:id="41"/>
      <w:bookmarkStart w:id="42" w:name="_Toc492826443"/>
      <w:bookmarkEnd w:id="42"/>
      <w:bookmarkStart w:id="43" w:name="_Toc492885688"/>
      <w:bookmarkEnd w:id="43"/>
      <w:bookmarkStart w:id="44" w:name="_Toc492885601"/>
      <w:bookmarkEnd w:id="44"/>
      <w:bookmarkStart w:id="45" w:name="_Toc492827915"/>
      <w:bookmarkEnd w:id="45"/>
      <w:bookmarkStart w:id="46" w:name="_Toc492826435"/>
      <w:bookmarkEnd w:id="46"/>
      <w:bookmarkStart w:id="47" w:name="_Toc492827510"/>
      <w:bookmarkEnd w:id="47"/>
      <w:bookmarkStart w:id="48" w:name="_Toc492826437"/>
      <w:bookmarkEnd w:id="48"/>
      <w:bookmarkStart w:id="49" w:name="_Toc492827512"/>
      <w:bookmarkEnd w:id="49"/>
      <w:bookmarkStart w:id="50" w:name="_Toc492827886"/>
      <w:bookmarkEnd w:id="50"/>
      <w:bookmarkStart w:id="51" w:name="_Toc492827517"/>
      <w:bookmarkEnd w:id="51"/>
      <w:bookmarkStart w:id="52" w:name="_Toc492827516"/>
      <w:bookmarkEnd w:id="52"/>
      <w:bookmarkStart w:id="53" w:name="_Toc492885600"/>
      <w:bookmarkEnd w:id="53"/>
      <w:bookmarkStart w:id="54" w:name="_Toc492827509"/>
      <w:bookmarkEnd w:id="54"/>
      <w:bookmarkStart w:id="55" w:name="_Toc492826925"/>
      <w:bookmarkEnd w:id="55"/>
      <w:bookmarkStart w:id="56" w:name="_Toc492885607"/>
      <w:bookmarkEnd w:id="56"/>
      <w:bookmarkStart w:id="57" w:name="_Toc492827912"/>
      <w:bookmarkEnd w:id="57"/>
      <w:bookmarkStart w:id="58" w:name="_Toc492827914"/>
      <w:bookmarkEnd w:id="58"/>
      <w:bookmarkStart w:id="59" w:name="_Toc492827488"/>
      <w:bookmarkEnd w:id="59"/>
      <w:bookmarkStart w:id="60" w:name="_Toc492827355"/>
      <w:bookmarkEnd w:id="60"/>
      <w:bookmarkStart w:id="61" w:name="_Toc492827356"/>
      <w:bookmarkEnd w:id="61"/>
      <w:bookmarkStart w:id="62" w:name="_Toc492827908"/>
      <w:bookmarkEnd w:id="62"/>
      <w:bookmarkStart w:id="63" w:name="_Toc492827493"/>
      <w:bookmarkEnd w:id="63"/>
      <w:bookmarkStart w:id="64" w:name="_Toc492827890"/>
      <w:bookmarkEnd w:id="64"/>
      <w:bookmarkStart w:id="65" w:name="_Toc492826922"/>
      <w:bookmarkEnd w:id="65"/>
      <w:bookmarkStart w:id="66" w:name="_Toc492826438"/>
      <w:bookmarkEnd w:id="66"/>
      <w:bookmarkStart w:id="67" w:name="_Toc492885580"/>
      <w:bookmarkEnd w:id="67"/>
      <w:bookmarkStart w:id="68" w:name="_Toc492827375"/>
      <w:bookmarkEnd w:id="68"/>
      <w:bookmarkStart w:id="69" w:name="_Toc492826918"/>
      <w:bookmarkEnd w:id="69"/>
      <w:bookmarkStart w:id="70" w:name="_Toc492827894"/>
      <w:bookmarkEnd w:id="70"/>
      <w:bookmarkStart w:id="71" w:name="_Toc492827373"/>
      <w:bookmarkEnd w:id="71"/>
      <w:bookmarkStart w:id="72" w:name="_Toc492827490"/>
      <w:bookmarkEnd w:id="72"/>
      <w:bookmarkStart w:id="73" w:name="_Toc492885667"/>
      <w:bookmarkEnd w:id="73"/>
      <w:bookmarkStart w:id="74" w:name="_Toc492826415"/>
      <w:bookmarkEnd w:id="74"/>
      <w:bookmarkStart w:id="75" w:name="_Toc492826921"/>
      <w:bookmarkEnd w:id="75"/>
      <w:bookmarkStart w:id="76" w:name="_Toc492827909"/>
      <w:bookmarkEnd w:id="76"/>
      <w:bookmarkStart w:id="77" w:name="_Toc492826436"/>
      <w:bookmarkEnd w:id="77"/>
      <w:bookmarkStart w:id="78" w:name="_Toc492885666"/>
      <w:bookmarkEnd w:id="78"/>
      <w:bookmarkStart w:id="79" w:name="_Toc492827374"/>
      <w:bookmarkEnd w:id="79"/>
      <w:bookmarkStart w:id="80" w:name="_Toc492885602"/>
      <w:bookmarkEnd w:id="80"/>
      <w:bookmarkStart w:id="81" w:name="_Toc492827889"/>
      <w:bookmarkEnd w:id="81"/>
      <w:bookmarkStart w:id="82" w:name="_Toc492885579"/>
      <w:bookmarkEnd w:id="82"/>
      <w:bookmarkStart w:id="83" w:name="_Toc492827358"/>
      <w:bookmarkEnd w:id="83"/>
      <w:bookmarkStart w:id="84" w:name="_Toc492827910"/>
      <w:bookmarkEnd w:id="84"/>
      <w:bookmarkStart w:id="85" w:name="_Toc492827511"/>
      <w:bookmarkEnd w:id="85"/>
      <w:bookmarkStart w:id="86" w:name="_Toc492826919"/>
      <w:bookmarkEnd w:id="86"/>
      <w:bookmarkStart w:id="87" w:name="_Toc492885583"/>
      <w:bookmarkEnd w:id="87"/>
      <w:bookmarkStart w:id="88" w:name="_Toc492885670"/>
      <w:bookmarkEnd w:id="88"/>
      <w:bookmarkStart w:id="89" w:name="_Toc492827887"/>
      <w:bookmarkEnd w:id="89"/>
      <w:bookmarkStart w:id="90" w:name="_Toc492827491"/>
      <w:bookmarkEnd w:id="90"/>
      <w:bookmarkStart w:id="91" w:name="_Toc492885603"/>
      <w:bookmarkEnd w:id="91"/>
      <w:bookmarkStart w:id="92" w:name="_Toc492885581"/>
      <w:bookmarkEnd w:id="92"/>
      <w:bookmarkStart w:id="93" w:name="_Toc492826900"/>
      <w:bookmarkEnd w:id="93"/>
      <w:bookmarkStart w:id="94" w:name="_Toc492885669"/>
      <w:bookmarkEnd w:id="94"/>
      <w:bookmarkStart w:id="95" w:name="_Toc492826899"/>
      <w:bookmarkEnd w:id="95"/>
      <w:bookmarkStart w:id="96" w:name="_Toc492826420"/>
      <w:bookmarkEnd w:id="96"/>
      <w:bookmarkStart w:id="97" w:name="_Toc492827895"/>
      <w:bookmarkEnd w:id="97"/>
      <w:bookmarkStart w:id="98" w:name="_Toc492827492"/>
      <w:bookmarkEnd w:id="98"/>
      <w:bookmarkStart w:id="99" w:name="_Toc492885582"/>
      <w:bookmarkEnd w:id="99"/>
      <w:bookmarkStart w:id="100" w:name="_Toc492827354"/>
      <w:bookmarkEnd w:id="100"/>
      <w:bookmarkStart w:id="101" w:name="_Toc492885671"/>
      <w:bookmarkEnd w:id="101"/>
      <w:bookmarkStart w:id="102" w:name="_Toc492826422"/>
      <w:bookmarkEnd w:id="102"/>
      <w:bookmarkStart w:id="103" w:name="_Toc492827357"/>
      <w:bookmarkEnd w:id="103"/>
      <w:bookmarkStart w:id="104" w:name="_Toc492826417"/>
      <w:bookmarkEnd w:id="104"/>
      <w:bookmarkStart w:id="105" w:name="_Toc492826414"/>
      <w:bookmarkEnd w:id="105"/>
      <w:bookmarkStart w:id="106" w:name="_Toc492826905"/>
      <w:bookmarkEnd w:id="106"/>
      <w:bookmarkStart w:id="107" w:name="_Toc492885586"/>
      <w:bookmarkEnd w:id="107"/>
      <w:bookmarkStart w:id="108" w:name="_Toc492826901"/>
      <w:bookmarkEnd w:id="108"/>
      <w:bookmarkStart w:id="109" w:name="_Toc492826418"/>
      <w:bookmarkEnd w:id="109"/>
      <w:bookmarkStart w:id="110" w:name="_Toc492826902"/>
      <w:bookmarkEnd w:id="110"/>
      <w:bookmarkStart w:id="111" w:name="_Toc492827353"/>
      <w:bookmarkEnd w:id="111"/>
      <w:bookmarkStart w:id="112" w:name="_Toc492827360"/>
      <w:bookmarkEnd w:id="112"/>
      <w:bookmarkStart w:id="113" w:name="_Toc492885591"/>
      <w:bookmarkEnd w:id="113"/>
      <w:bookmarkStart w:id="114" w:name="_Toc492827361"/>
      <w:bookmarkEnd w:id="114"/>
      <w:bookmarkStart w:id="115" w:name="_Toc492826416"/>
      <w:bookmarkEnd w:id="115"/>
      <w:bookmarkStart w:id="116" w:name="_Toc492827501"/>
      <w:bookmarkEnd w:id="116"/>
      <w:bookmarkStart w:id="117" w:name="_Toc492885668"/>
      <w:bookmarkEnd w:id="117"/>
      <w:bookmarkStart w:id="118" w:name="_Toc492827892"/>
      <w:bookmarkEnd w:id="118"/>
      <w:bookmarkStart w:id="119" w:name="_Toc492827489"/>
      <w:bookmarkEnd w:id="119"/>
      <w:bookmarkStart w:id="120" w:name="_Toc492826898"/>
      <w:bookmarkEnd w:id="120"/>
      <w:bookmarkStart w:id="121" w:name="_Toc492827888"/>
      <w:bookmarkEnd w:id="121"/>
      <w:bookmarkStart w:id="122" w:name="_Toc492885675"/>
      <w:bookmarkEnd w:id="122"/>
      <w:bookmarkStart w:id="123" w:name="_Toc492826908"/>
      <w:bookmarkEnd w:id="123"/>
      <w:bookmarkStart w:id="124" w:name="_Toc492885590"/>
      <w:bookmarkEnd w:id="124"/>
      <w:bookmarkStart w:id="125" w:name="_Toc492827896"/>
      <w:bookmarkEnd w:id="125"/>
      <w:bookmarkStart w:id="126" w:name="_Toc492885585"/>
      <w:bookmarkEnd w:id="126"/>
      <w:bookmarkStart w:id="127" w:name="_Toc492826906"/>
      <w:bookmarkEnd w:id="127"/>
      <w:bookmarkStart w:id="128" w:name="_Toc492826903"/>
      <w:bookmarkEnd w:id="128"/>
      <w:bookmarkStart w:id="129" w:name="_Toc492827494"/>
      <w:bookmarkEnd w:id="129"/>
      <w:bookmarkStart w:id="130" w:name="_Toc492885672"/>
      <w:bookmarkEnd w:id="130"/>
      <w:bookmarkStart w:id="131" w:name="_Toc492826423"/>
      <w:bookmarkEnd w:id="131"/>
      <w:bookmarkStart w:id="132" w:name="_Toc492827366"/>
      <w:bookmarkEnd w:id="132"/>
      <w:bookmarkStart w:id="133" w:name="_Toc492827359"/>
      <w:bookmarkEnd w:id="133"/>
      <w:bookmarkStart w:id="134" w:name="_Toc492885595"/>
      <w:bookmarkEnd w:id="134"/>
      <w:bookmarkStart w:id="135" w:name="_Toc492827899"/>
      <w:bookmarkEnd w:id="135"/>
      <w:bookmarkStart w:id="136" w:name="_Toc492827496"/>
      <w:bookmarkEnd w:id="136"/>
      <w:bookmarkStart w:id="137" w:name="_Toc492826904"/>
      <w:bookmarkEnd w:id="137"/>
      <w:bookmarkStart w:id="138" w:name="_Toc492885679"/>
      <w:bookmarkEnd w:id="138"/>
      <w:bookmarkStart w:id="139" w:name="_Toc492885676"/>
      <w:bookmarkEnd w:id="139"/>
      <w:bookmarkStart w:id="140" w:name="_Toc492826421"/>
      <w:bookmarkEnd w:id="140"/>
      <w:bookmarkStart w:id="141" w:name="_Toc492827897"/>
      <w:bookmarkEnd w:id="141"/>
      <w:bookmarkStart w:id="142" w:name="_Toc492827495"/>
      <w:bookmarkEnd w:id="142"/>
      <w:bookmarkStart w:id="143" w:name="_Toc492826425"/>
      <w:bookmarkEnd w:id="143"/>
      <w:bookmarkStart w:id="144" w:name="_Toc492885680"/>
      <w:bookmarkEnd w:id="144"/>
      <w:bookmarkStart w:id="145" w:name="_Toc492827363"/>
      <w:bookmarkEnd w:id="145"/>
      <w:bookmarkStart w:id="146" w:name="_Toc492885673"/>
      <w:bookmarkEnd w:id="146"/>
      <w:bookmarkStart w:id="147" w:name="_Toc492826419"/>
      <w:bookmarkEnd w:id="147"/>
      <w:bookmarkStart w:id="148" w:name="_Toc492827891"/>
      <w:bookmarkEnd w:id="148"/>
      <w:bookmarkStart w:id="149" w:name="_Toc492885584"/>
      <w:bookmarkEnd w:id="149"/>
      <w:bookmarkStart w:id="150" w:name="_Toc492827893"/>
      <w:bookmarkEnd w:id="150"/>
      <w:bookmarkStart w:id="151" w:name="_Toc492885588"/>
      <w:bookmarkEnd w:id="151"/>
      <w:bookmarkStart w:id="152" w:name="_Toc492885587"/>
      <w:bookmarkEnd w:id="152"/>
      <w:bookmarkStart w:id="153" w:name="_Toc492885674"/>
      <w:bookmarkEnd w:id="153"/>
      <w:bookmarkStart w:id="154" w:name="_Toc492827500"/>
      <w:bookmarkEnd w:id="154"/>
      <w:bookmarkStart w:id="155" w:name="_Toc492827497"/>
      <w:bookmarkEnd w:id="155"/>
      <w:bookmarkStart w:id="156" w:name="_Toc492885696"/>
      <w:bookmarkEnd w:id="156"/>
      <w:bookmarkStart w:id="157" w:name="_Toc492827904"/>
      <w:bookmarkEnd w:id="157"/>
      <w:bookmarkStart w:id="158" w:name="_Toc492885681"/>
      <w:bookmarkEnd w:id="158"/>
      <w:bookmarkStart w:id="159" w:name="_Toc492827898"/>
      <w:bookmarkEnd w:id="159"/>
      <w:bookmarkStart w:id="160" w:name="_Toc492826426"/>
      <w:bookmarkEnd w:id="160"/>
      <w:bookmarkStart w:id="161" w:name="_Toc492885677"/>
      <w:bookmarkEnd w:id="161"/>
      <w:bookmarkStart w:id="162" w:name="_Toc492826910"/>
      <w:bookmarkEnd w:id="162"/>
      <w:bookmarkStart w:id="163" w:name="_Toc492827901"/>
      <w:bookmarkEnd w:id="163"/>
      <w:bookmarkStart w:id="164" w:name="_Toc492826429"/>
      <w:bookmarkEnd w:id="164"/>
      <w:bookmarkStart w:id="165" w:name="_Toc492885684"/>
      <w:bookmarkEnd w:id="165"/>
      <w:bookmarkStart w:id="166" w:name="_Toc492826444"/>
      <w:bookmarkEnd w:id="166"/>
      <w:bookmarkStart w:id="167" w:name="_Toc492885683"/>
      <w:bookmarkEnd w:id="167"/>
      <w:bookmarkStart w:id="168" w:name="_Toc492885589"/>
      <w:bookmarkEnd w:id="168"/>
      <w:bookmarkStart w:id="169" w:name="_Toc492827900"/>
      <w:bookmarkEnd w:id="169"/>
      <w:bookmarkStart w:id="170" w:name="_Toc492827365"/>
      <w:bookmarkEnd w:id="170"/>
      <w:bookmarkStart w:id="171" w:name="_Toc492827364"/>
      <w:bookmarkEnd w:id="171"/>
      <w:bookmarkStart w:id="172" w:name="_Toc492827504"/>
      <w:bookmarkEnd w:id="172"/>
      <w:bookmarkStart w:id="173" w:name="_Toc492827498"/>
      <w:bookmarkEnd w:id="173"/>
      <w:bookmarkStart w:id="174" w:name="_Toc492885678"/>
      <w:bookmarkEnd w:id="174"/>
      <w:bookmarkStart w:id="175" w:name="_Toc492827367"/>
      <w:bookmarkEnd w:id="175"/>
      <w:bookmarkStart w:id="176" w:name="_Toc492826430"/>
      <w:bookmarkEnd w:id="176"/>
      <w:bookmarkStart w:id="177" w:name="_Toc492827502"/>
      <w:bookmarkEnd w:id="177"/>
      <w:bookmarkStart w:id="178" w:name="_Toc492827362"/>
      <w:bookmarkEnd w:id="178"/>
      <w:bookmarkStart w:id="179" w:name="_Toc492826424"/>
      <w:bookmarkEnd w:id="179"/>
      <w:bookmarkStart w:id="180" w:name="_Toc492827499"/>
      <w:bookmarkEnd w:id="180"/>
      <w:bookmarkStart w:id="181" w:name="_Toc492826427"/>
      <w:bookmarkEnd w:id="181"/>
      <w:bookmarkStart w:id="182" w:name="_Toc492885592"/>
      <w:bookmarkEnd w:id="182"/>
      <w:bookmarkStart w:id="183" w:name="_Toc492826909"/>
      <w:bookmarkEnd w:id="183"/>
      <w:bookmarkStart w:id="184" w:name="_Toc492826907"/>
      <w:bookmarkEnd w:id="184"/>
      <w:bookmarkStart w:id="185" w:name="_Toc492885597"/>
      <w:bookmarkEnd w:id="185"/>
      <w:bookmarkStart w:id="186" w:name="_Toc492826912"/>
      <w:bookmarkEnd w:id="186"/>
      <w:bookmarkStart w:id="187" w:name="_Toc492826911"/>
      <w:bookmarkEnd w:id="187"/>
      <w:bookmarkStart w:id="188" w:name="_Toc492827519"/>
      <w:bookmarkEnd w:id="188"/>
      <w:bookmarkStart w:id="189" w:name="_Toc492826914"/>
      <w:bookmarkEnd w:id="189"/>
      <w:bookmarkStart w:id="190" w:name="_Toc492826913"/>
      <w:bookmarkEnd w:id="190"/>
      <w:bookmarkStart w:id="191" w:name="_Toc492826428"/>
      <w:bookmarkEnd w:id="191"/>
      <w:bookmarkStart w:id="192" w:name="_Toc492827506"/>
      <w:bookmarkEnd w:id="192"/>
      <w:bookmarkStart w:id="193" w:name="_Toc492827513"/>
      <w:bookmarkEnd w:id="193"/>
      <w:bookmarkStart w:id="194" w:name="_Toc492885593"/>
      <w:bookmarkEnd w:id="194"/>
      <w:bookmarkStart w:id="195" w:name="_Toc492827903"/>
      <w:bookmarkEnd w:id="195"/>
      <w:bookmarkStart w:id="196" w:name="_Toc492885596"/>
      <w:bookmarkEnd w:id="196"/>
      <w:bookmarkStart w:id="197" w:name="_Toc492826434"/>
      <w:bookmarkEnd w:id="197"/>
      <w:bookmarkStart w:id="198" w:name="_Toc492826923"/>
      <w:bookmarkEnd w:id="198"/>
      <w:bookmarkStart w:id="199" w:name="_Toc492885594"/>
      <w:bookmarkEnd w:id="199"/>
      <w:bookmarkStart w:id="200" w:name="_Toc492827378"/>
      <w:bookmarkEnd w:id="200"/>
      <w:bookmarkStart w:id="201" w:name="_Toc492827505"/>
      <w:bookmarkEnd w:id="201"/>
      <w:bookmarkStart w:id="202" w:name="_Toc492826439"/>
      <w:bookmarkEnd w:id="202"/>
      <w:bookmarkStart w:id="203" w:name="_Toc492827503"/>
      <w:bookmarkEnd w:id="203"/>
      <w:bookmarkStart w:id="204" w:name="_Toc492827369"/>
      <w:bookmarkEnd w:id="204"/>
      <w:bookmarkStart w:id="205" w:name="_Toc492885609"/>
      <w:bookmarkEnd w:id="205"/>
      <w:bookmarkStart w:id="206" w:name="_Toc492827508"/>
      <w:bookmarkEnd w:id="206"/>
      <w:bookmarkStart w:id="207" w:name="_Toc492826433"/>
      <w:bookmarkEnd w:id="207"/>
      <w:bookmarkStart w:id="208" w:name="_Toc492885682"/>
      <w:bookmarkEnd w:id="208"/>
      <w:bookmarkStart w:id="209" w:name="_Toc492826928"/>
      <w:bookmarkEnd w:id="209"/>
      <w:bookmarkStart w:id="210" w:name="_Toc492826431"/>
      <w:bookmarkEnd w:id="210"/>
      <w:bookmarkStart w:id="211" w:name="_Toc492827368"/>
      <w:bookmarkEnd w:id="211"/>
      <w:bookmarkStart w:id="212" w:name="_Toc492827902"/>
      <w:bookmarkEnd w:id="212"/>
      <w:bookmarkStart w:id="213" w:name="_Toc492826916"/>
      <w:bookmarkEnd w:id="213"/>
      <w:bookmarkStart w:id="214" w:name="_Toc492827507"/>
      <w:bookmarkEnd w:id="214"/>
      <w:bookmarkStart w:id="215" w:name="_Toc492826432"/>
      <w:bookmarkEnd w:id="215"/>
      <w:bookmarkStart w:id="216" w:name="_Toc492827370"/>
      <w:bookmarkEnd w:id="216"/>
      <w:bookmarkStart w:id="217" w:name="_Toc492827377"/>
      <w:bookmarkEnd w:id="217"/>
      <w:bookmarkStart w:id="218" w:name="_Toc492826915"/>
      <w:bookmarkEnd w:id="218"/>
      <w:bookmarkStart w:id="219" w:name="_Toc492827383"/>
      <w:bookmarkEnd w:id="219"/>
      <w:bookmarkStart w:id="220" w:name="_Toc492827372"/>
      <w:bookmarkEnd w:id="220"/>
      <w:bookmarkStart w:id="221" w:name="_Toc492673916"/>
      <w:bookmarkEnd w:id="221"/>
      <w:bookmarkStart w:id="222" w:name="_Toc492827385"/>
      <w:bookmarkEnd w:id="222"/>
      <w:bookmarkStart w:id="223" w:name="_Toc492885612"/>
      <w:bookmarkEnd w:id="223"/>
      <w:bookmarkStart w:id="224" w:name="_Toc492827905"/>
      <w:bookmarkEnd w:id="224"/>
      <w:bookmarkStart w:id="225" w:name="_Toc492885599"/>
      <w:bookmarkEnd w:id="225"/>
      <w:bookmarkStart w:id="226" w:name="_Toc492827906"/>
      <w:bookmarkEnd w:id="226"/>
      <w:bookmarkStart w:id="227" w:name="_Toc492827514"/>
      <w:bookmarkEnd w:id="227"/>
      <w:bookmarkStart w:id="228" w:name="_Toc492885697"/>
      <w:bookmarkEnd w:id="228"/>
      <w:bookmarkStart w:id="229" w:name="_Toc492885604"/>
      <w:bookmarkEnd w:id="229"/>
      <w:bookmarkStart w:id="230" w:name="_Toc492885686"/>
      <w:bookmarkEnd w:id="230"/>
      <w:bookmarkStart w:id="231" w:name="_Toc492827916"/>
      <w:bookmarkEnd w:id="231"/>
      <w:bookmarkStart w:id="232" w:name="_Toc492826917"/>
      <w:bookmarkEnd w:id="232"/>
      <w:bookmarkStart w:id="233" w:name="_Toc492826446"/>
      <w:bookmarkEnd w:id="233"/>
      <w:bookmarkStart w:id="234" w:name="_Toc492827918"/>
      <w:bookmarkEnd w:id="234"/>
      <w:bookmarkStart w:id="235" w:name="_Toc492885691"/>
      <w:bookmarkEnd w:id="235"/>
      <w:bookmarkStart w:id="236" w:name="_Toc492885685"/>
      <w:bookmarkEnd w:id="236"/>
      <w:bookmarkStart w:id="237" w:name="_Toc492885611"/>
      <w:bookmarkEnd w:id="237"/>
      <w:bookmarkStart w:id="238" w:name="_Toc492826930"/>
      <w:bookmarkEnd w:id="238"/>
      <w:bookmarkStart w:id="239" w:name="_Toc492885699"/>
      <w:bookmarkEnd w:id="239"/>
      <w:bookmarkStart w:id="240" w:name="_Toc492827371"/>
      <w:bookmarkEnd w:id="240"/>
      <w:bookmarkStart w:id="241" w:name="_Toc492827384"/>
      <w:bookmarkEnd w:id="241"/>
      <w:bookmarkStart w:id="242" w:name="_Toc492827919"/>
      <w:bookmarkEnd w:id="242"/>
      <w:bookmarkStart w:id="243" w:name="_Toc492885610"/>
      <w:bookmarkEnd w:id="243"/>
      <w:bookmarkStart w:id="244" w:name="_Toc492826445"/>
      <w:bookmarkEnd w:id="244"/>
      <w:bookmarkStart w:id="245" w:name="_Toc492827917"/>
      <w:bookmarkEnd w:id="245"/>
      <w:bookmarkStart w:id="246" w:name="_Toc492885698"/>
      <w:bookmarkEnd w:id="246"/>
      <w:bookmarkStart w:id="247" w:name="_Toc492827911"/>
      <w:bookmarkEnd w:id="247"/>
      <w:bookmarkStart w:id="248" w:name="_Toc492827520"/>
      <w:bookmarkEnd w:id="248"/>
      <w:bookmarkStart w:id="249" w:name="_Toc492827521"/>
      <w:bookmarkEnd w:id="249"/>
      <w:bookmarkStart w:id="250" w:name="_Toc492826929"/>
      <w:bookmarkEnd w:id="250"/>
      <w:bookmarkStart w:id="251" w:name="_Toc492885598"/>
      <w:bookmarkEnd w:id="251"/>
      <w:bookmarkStart w:id="252" w:name="_Toc492652118"/>
      <w:bookmarkEnd w:id="252"/>
      <w:bookmarkStart w:id="253" w:name="_Toc485903607"/>
      <w:bookmarkStart w:id="254" w:name="_Toc492885701"/>
    </w:p>
    <w:p>
      <w:pPr>
        <w:ind w:firstLine="480"/>
        <w:rPr>
          <w:color w:val="000000" w:themeColor="text1"/>
        </w:rPr>
      </w:pPr>
      <w:bookmarkStart w:id="255" w:name="_Toc495865560"/>
      <w:r>
        <w:rPr>
          <w:color w:val="000000" w:themeColor="text1"/>
        </w:rPr>
        <w:t>远程控制功能</w:t>
      </w:r>
      <w:bookmarkEnd w:id="253"/>
      <w:bookmarkEnd w:id="255"/>
      <w:r>
        <w:rPr>
          <w:rFonts w:hint="eastAsia"/>
          <w:color w:val="000000" w:themeColor="text1"/>
        </w:rPr>
        <w:t>：</w:t>
      </w:r>
      <w:r>
        <w:rPr>
          <w:color w:val="000000" w:themeColor="text1"/>
        </w:rPr>
        <w:t>能通过操作可对前端设备的各种动作进行遥控；能设定控制优先级，对级别高的用户请求应有相应措施保证优先响应。</w:t>
      </w:r>
    </w:p>
    <w:bookmarkEnd w:id="254"/>
    <w:p>
      <w:pPr>
        <w:pStyle w:val="7"/>
        <w:spacing w:before="120" w:after="120"/>
        <w:ind w:firstLine="480"/>
        <w:rPr>
          <w:color w:val="000000" w:themeColor="text1"/>
        </w:rPr>
      </w:pPr>
      <w:bookmarkStart w:id="256" w:name="_Toc485903611"/>
      <w:bookmarkStart w:id="257" w:name="_Toc495865564"/>
      <w:r>
        <w:rPr>
          <w:rFonts w:hint="eastAsia"/>
          <w:color w:val="000000" w:themeColor="text1"/>
        </w:rPr>
        <w:t>1.</w:t>
      </w:r>
      <w:r>
        <w:rPr>
          <w:color w:val="000000" w:themeColor="text1"/>
        </w:rPr>
        <w:t>1.</w:t>
      </w:r>
      <w:r>
        <w:rPr>
          <w:rFonts w:hint="eastAsia"/>
          <w:color w:val="000000" w:themeColor="text1"/>
        </w:rPr>
        <w:t>1.2</w:t>
      </w:r>
      <w:r>
        <w:rPr>
          <w:color w:val="000000" w:themeColor="text1"/>
        </w:rPr>
        <w:t>设备管理功能</w:t>
      </w:r>
    </w:p>
    <w:p>
      <w:pPr>
        <w:ind w:firstLine="480"/>
        <w:rPr>
          <w:color w:val="000000" w:themeColor="text1"/>
        </w:rPr>
      </w:pPr>
      <w:r>
        <w:rPr>
          <w:color w:val="000000" w:themeColor="text1"/>
        </w:rPr>
        <w:t>设备管理：支持添加IP摄像机、数字化编码设备和报警设备，添加设备时需选择设备类型、设备型号、生产厂家、联系人、联系电话、购买日期、保修期限等信息；可远程设置设备参数，可设置的内容决定于设备厂商SDK的支持。</w:t>
      </w:r>
    </w:p>
    <w:p>
      <w:pPr>
        <w:ind w:firstLine="480"/>
        <w:rPr>
          <w:color w:val="000000" w:themeColor="text1"/>
        </w:rPr>
      </w:pPr>
      <w:r>
        <w:rPr>
          <w:color w:val="000000" w:themeColor="text1"/>
        </w:rPr>
        <w:t>流媒体管理：可以配置流媒体服务设备转发参数，系统管理平台可设置若干个流媒体服务，每个流媒体服务需设置服务名称、IP地址、端口、所关联的客户端IP段、最大带宽参数；系统通过判断客户端软件所属的IP地址范围和访问的视频图像的不同，自动通过某个流媒体服务设备转发，并且可指定用户可使用的最大并发连接数和带宽。</w:t>
      </w:r>
    </w:p>
    <w:p>
      <w:pPr>
        <w:ind w:firstLine="480"/>
        <w:rPr>
          <w:color w:val="000000" w:themeColor="text1"/>
        </w:rPr>
      </w:pPr>
      <w:r>
        <w:rPr>
          <w:color w:val="000000" w:themeColor="text1"/>
        </w:rPr>
        <w:t>设备校时管理：各级节点的管理平台、前端设备之间可进行手动或者自动的时钟同步。</w:t>
      </w:r>
    </w:p>
    <w:p>
      <w:pPr>
        <w:ind w:firstLine="480"/>
        <w:rPr>
          <w:color w:val="000000" w:themeColor="text1"/>
        </w:rPr>
      </w:pPr>
      <w:r>
        <w:rPr>
          <w:rFonts w:hint="eastAsia"/>
          <w:color w:val="000000" w:themeColor="text1"/>
        </w:rPr>
        <w:t>具备</w:t>
      </w:r>
      <w:r>
        <w:rPr>
          <w:color w:val="000000" w:themeColor="text1"/>
        </w:rPr>
        <w:t>远程重启</w:t>
      </w:r>
      <w:r>
        <w:rPr>
          <w:rFonts w:hint="eastAsia"/>
          <w:color w:val="000000" w:themeColor="text1"/>
        </w:rPr>
        <w:t>和</w:t>
      </w:r>
      <w:r>
        <w:rPr>
          <w:color w:val="000000" w:themeColor="text1"/>
        </w:rPr>
        <w:t>远程升级等功能。</w:t>
      </w:r>
    </w:p>
    <w:p>
      <w:pPr>
        <w:pStyle w:val="7"/>
        <w:spacing w:before="120" w:after="120"/>
        <w:ind w:firstLine="480"/>
        <w:rPr>
          <w:color w:val="000000" w:themeColor="text1"/>
        </w:rPr>
      </w:pPr>
      <w:r>
        <w:rPr>
          <w:rFonts w:hint="eastAsia"/>
          <w:color w:val="000000" w:themeColor="text1"/>
        </w:rPr>
        <w:t>1.1</w:t>
      </w:r>
      <w:r>
        <w:rPr>
          <w:color w:val="000000" w:themeColor="text1"/>
        </w:rPr>
        <w:t>.1</w:t>
      </w:r>
      <w:r>
        <w:rPr>
          <w:rFonts w:hint="eastAsia"/>
          <w:color w:val="000000" w:themeColor="text1"/>
        </w:rPr>
        <w:t>.3</w:t>
      </w:r>
      <w:r>
        <w:rPr>
          <w:color w:val="000000" w:themeColor="text1"/>
        </w:rPr>
        <w:t>报表与日志管理功能</w:t>
      </w:r>
    </w:p>
    <w:p>
      <w:pPr>
        <w:ind w:firstLine="480"/>
        <w:rPr>
          <w:color w:val="000000" w:themeColor="text1"/>
        </w:rPr>
      </w:pPr>
      <w:r>
        <w:rPr>
          <w:color w:val="000000" w:themeColor="text1"/>
        </w:rPr>
        <w:t>统计报表：支持统计某个时刻所有在线用户的信息，包括用户名、登录的IP地址、登录的时间和所属的机构等。支持对所有的设备和通道按照所在的机构进行统计，包括设备总数、通道总数和已经启用的通道数量等，可以生成报表并导出。</w:t>
      </w:r>
    </w:p>
    <w:p>
      <w:pPr>
        <w:ind w:firstLine="480"/>
        <w:rPr>
          <w:color w:val="000000" w:themeColor="text1"/>
        </w:rPr>
      </w:pPr>
      <w:r>
        <w:rPr>
          <w:color w:val="000000" w:themeColor="text1"/>
        </w:rPr>
        <w:t>系统日志：用户可搜索查询用户访问操作日志，包括日志来源、等级、操作用户、操作者IP地址和具体的操作内容，设备所属的组织、设备的名称、访问的端口、具体操作内容和操作结果等，可以生成报表并导出。</w:t>
      </w:r>
    </w:p>
    <w:p>
      <w:pPr>
        <w:ind w:firstLine="480"/>
        <w:rPr>
          <w:color w:val="000000" w:themeColor="text1"/>
        </w:rPr>
      </w:pPr>
      <w:r>
        <w:rPr>
          <w:color w:val="000000" w:themeColor="text1"/>
        </w:rPr>
        <w:t>用户可查询统计最近一次设备状态巡检的统计日志。</w:t>
      </w:r>
    </w:p>
    <w:p>
      <w:pPr>
        <w:ind w:firstLine="480"/>
        <w:rPr>
          <w:color w:val="000000" w:themeColor="text1"/>
        </w:rPr>
      </w:pPr>
      <w:r>
        <w:rPr>
          <w:color w:val="000000" w:themeColor="text1"/>
        </w:rPr>
        <w:t>用户可查询检索任何一级机构下的报警信息记录，可以按照报警源、报警等级、报警类型和报警时间组合查询，可以生成报表并导出。</w:t>
      </w:r>
    </w:p>
    <w:p>
      <w:pPr>
        <w:pStyle w:val="7"/>
        <w:spacing w:before="120" w:after="120"/>
        <w:ind w:firstLine="480"/>
        <w:rPr>
          <w:color w:val="000000" w:themeColor="text1"/>
        </w:rPr>
      </w:pPr>
      <w:r>
        <w:rPr>
          <w:rFonts w:hint="eastAsia"/>
          <w:color w:val="000000" w:themeColor="text1"/>
        </w:rPr>
        <w:t>1.1.</w:t>
      </w:r>
      <w:r>
        <w:rPr>
          <w:color w:val="000000" w:themeColor="text1"/>
        </w:rPr>
        <w:t>1.</w:t>
      </w:r>
      <w:r>
        <w:rPr>
          <w:rFonts w:hint="eastAsia"/>
          <w:color w:val="000000" w:themeColor="text1"/>
        </w:rPr>
        <w:t>4</w:t>
      </w:r>
      <w:r>
        <w:rPr>
          <w:color w:val="000000" w:themeColor="text1"/>
        </w:rPr>
        <w:t>系统管理功能</w:t>
      </w:r>
      <w:bookmarkEnd w:id="256"/>
      <w:bookmarkEnd w:id="257"/>
    </w:p>
    <w:p>
      <w:pPr>
        <w:ind w:firstLine="480"/>
        <w:rPr>
          <w:color w:val="000000" w:themeColor="text1"/>
        </w:rPr>
      </w:pPr>
      <w:r>
        <w:rPr>
          <w:color w:val="000000" w:themeColor="text1"/>
        </w:rPr>
        <w:t>组织机构：可以定义、增加、修改以及删除组织树上的若干级组织机构，可以增加子机构以及所辖的前端设备、监控终端、用户。管理员可根据组织机构的类型的不同添加不同类型的二级机构。</w:t>
      </w:r>
    </w:p>
    <w:p>
      <w:pPr>
        <w:ind w:firstLine="480"/>
        <w:rPr>
          <w:rFonts w:ascii="宋体" w:hAnsi="宋体"/>
          <w:color w:val="000000" w:themeColor="text1"/>
        </w:rPr>
      </w:pPr>
      <w:r>
        <w:rPr>
          <w:rFonts w:ascii="宋体" w:hAnsi="宋体"/>
          <w:color w:val="000000" w:themeColor="text1"/>
        </w:rPr>
        <w:t>角色管理：可以定义、修改、删除具体角色及其权限，可定义若干角色为系统权限、包含权限和排除权限。可根据不同的用户权限需要进行不同的授权。</w:t>
      </w:r>
    </w:p>
    <w:p>
      <w:pPr>
        <w:ind w:firstLine="480"/>
        <w:rPr>
          <w:rFonts w:ascii="宋体" w:hAnsi="宋体"/>
          <w:color w:val="000000" w:themeColor="text1"/>
        </w:rPr>
      </w:pPr>
      <w:r>
        <w:rPr>
          <w:rFonts w:ascii="宋体" w:hAnsi="宋体"/>
          <w:color w:val="000000" w:themeColor="text1"/>
        </w:rPr>
        <w:t>系统权限：用于定义角色为特定的某些功能权限的集合，包含权限用于定义角色对于某些设备资源具有访问权，排除权限用于定义角色对于某些设备资源不具有访问权。</w:t>
      </w:r>
    </w:p>
    <w:p>
      <w:pPr>
        <w:pStyle w:val="6"/>
        <w:spacing w:before="120" w:after="120"/>
        <w:ind w:firstLine="480"/>
        <w:rPr>
          <w:rFonts w:ascii="黑体"/>
          <w:bCs w:val="0"/>
          <w:color w:val="000000" w:themeColor="text1"/>
          <w:szCs w:val="24"/>
        </w:rPr>
      </w:pPr>
      <w:bookmarkStart w:id="258" w:name="_Toc521013702"/>
      <w:r>
        <w:rPr>
          <w:rFonts w:hint="eastAsia" w:ascii="黑体"/>
          <w:bCs w:val="0"/>
          <w:color w:val="000000" w:themeColor="text1"/>
          <w:szCs w:val="24"/>
        </w:rPr>
        <w:t>1.2</w:t>
      </w:r>
      <w:r>
        <w:rPr>
          <w:rFonts w:ascii="黑体"/>
          <w:bCs w:val="0"/>
          <w:color w:val="000000" w:themeColor="text1"/>
          <w:szCs w:val="24"/>
        </w:rPr>
        <w:t>.1运维监管</w:t>
      </w:r>
      <w:r>
        <w:rPr>
          <w:color w:val="000000" w:themeColor="text1"/>
        </w:rPr>
        <w:t>功能要求</w:t>
      </w:r>
      <w:bookmarkEnd w:id="258"/>
    </w:p>
    <w:p>
      <w:pPr>
        <w:ind w:firstLine="480"/>
        <w:rPr>
          <w:color w:val="000000" w:themeColor="text1"/>
        </w:rPr>
      </w:pPr>
      <w:r>
        <w:rPr>
          <w:color w:val="000000" w:themeColor="text1"/>
        </w:rPr>
        <w:t>由于社会视频存在数量多，分布广，品类繁，涉及的建设单位多等特</w:t>
      </w:r>
      <w:r>
        <w:rPr>
          <w:rFonts w:hint="eastAsia"/>
          <w:color w:val="000000" w:themeColor="text1"/>
        </w:rPr>
        <w:t>点</w:t>
      </w:r>
      <w:r>
        <w:rPr>
          <w:color w:val="000000" w:themeColor="text1"/>
        </w:rPr>
        <w:t>，维护视频监控的在线率和稳定性是社会视频联网建设后期的关键任务。精准、智能、多层次的运维管理可有效节省人力物力，倍速提高运维保障能力。运维系统通过对设备的在线率、完好率等信息进行综合检测分析，实时监测设备运行状态，及时发现设备问题并进行在线派单维修工作，保障平台的正常稳定运行。通过建设智慧运维系统，</w:t>
      </w:r>
      <w:r>
        <w:rPr>
          <w:rFonts w:hint="eastAsia"/>
          <w:color w:val="000000" w:themeColor="text1"/>
        </w:rPr>
        <w:t>实时监测设备在线率</w:t>
      </w:r>
      <w:r>
        <w:rPr>
          <w:color w:val="000000" w:themeColor="text1"/>
        </w:rPr>
        <w:t>。对社会面资源（二类点）的户籍化信息需在同级公安视频专网共享平台统一管理，相关运维信息要求与公安视频专网共享平台信息同步。</w:t>
      </w:r>
    </w:p>
    <w:p>
      <w:pPr>
        <w:pStyle w:val="7"/>
        <w:spacing w:before="120" w:after="120"/>
        <w:ind w:firstLine="480"/>
        <w:rPr>
          <w:color w:val="000000" w:themeColor="text1"/>
        </w:rPr>
      </w:pPr>
      <w:bookmarkStart w:id="259" w:name="_Toc521013703"/>
      <w:r>
        <w:rPr>
          <w:rFonts w:hint="eastAsia"/>
          <w:color w:val="000000" w:themeColor="text1"/>
        </w:rPr>
        <w:t>1.2.1</w:t>
      </w:r>
      <w:r>
        <w:rPr>
          <w:color w:val="000000" w:themeColor="text1"/>
        </w:rPr>
        <w:t>.1在线率检测功能</w:t>
      </w:r>
      <w:bookmarkEnd w:id="259"/>
    </w:p>
    <w:p>
      <w:pPr>
        <w:ind w:firstLine="480"/>
        <w:rPr>
          <w:color w:val="000000" w:themeColor="text1"/>
        </w:rPr>
      </w:pPr>
      <w:r>
        <w:rPr>
          <w:color w:val="000000" w:themeColor="text1"/>
        </w:rPr>
        <w:t>系统可统计并展示当前设备在线率综合状况，在线率变化趋势，各单位设备在线率对比，离线设备数量等信息。</w:t>
      </w:r>
    </w:p>
    <w:p>
      <w:pPr>
        <w:pStyle w:val="7"/>
        <w:spacing w:before="120" w:after="120"/>
        <w:ind w:firstLine="480"/>
        <w:rPr>
          <w:color w:val="000000" w:themeColor="text1"/>
        </w:rPr>
      </w:pPr>
      <w:bookmarkStart w:id="260" w:name="_Toc521013704"/>
      <w:r>
        <w:rPr>
          <w:rFonts w:hint="eastAsia"/>
          <w:color w:val="000000" w:themeColor="text1"/>
        </w:rPr>
        <w:t>1.2.</w:t>
      </w:r>
      <w:r>
        <w:rPr>
          <w:color w:val="000000" w:themeColor="text1"/>
        </w:rPr>
        <w:t>1.</w:t>
      </w:r>
      <w:r>
        <w:rPr>
          <w:rFonts w:hint="eastAsia"/>
          <w:color w:val="000000" w:themeColor="text1"/>
        </w:rPr>
        <w:t>2</w:t>
      </w:r>
      <w:r>
        <w:rPr>
          <w:color w:val="000000" w:themeColor="text1"/>
        </w:rPr>
        <w:t>数据报表功能</w:t>
      </w:r>
      <w:bookmarkEnd w:id="260"/>
    </w:p>
    <w:p>
      <w:pPr>
        <w:ind w:firstLine="480"/>
        <w:rPr>
          <w:color w:val="000000" w:themeColor="text1"/>
        </w:rPr>
      </w:pPr>
      <w:r>
        <w:rPr>
          <w:color w:val="000000" w:themeColor="text1"/>
        </w:rPr>
        <w:t>系统具有数据报表功能：可制作视频回传率报表，设备即时情况报表，设备历史情况报表等状态报表，同时可制作月度在线率报表，月度完好率报表，月度回传率报表等统计报表。</w:t>
      </w:r>
    </w:p>
    <w:p>
      <w:pPr>
        <w:pStyle w:val="7"/>
        <w:spacing w:before="120" w:after="120"/>
        <w:ind w:firstLine="480"/>
        <w:rPr>
          <w:color w:val="000000" w:themeColor="text1"/>
        </w:rPr>
      </w:pPr>
      <w:bookmarkStart w:id="261" w:name="_Toc521013705"/>
      <w:r>
        <w:rPr>
          <w:rFonts w:hint="eastAsia"/>
          <w:color w:val="000000" w:themeColor="text1"/>
        </w:rPr>
        <w:t>1.2.</w:t>
      </w:r>
      <w:r>
        <w:rPr>
          <w:color w:val="000000" w:themeColor="text1"/>
        </w:rPr>
        <w:t>1.</w:t>
      </w:r>
      <w:r>
        <w:rPr>
          <w:rFonts w:hint="eastAsia"/>
          <w:color w:val="000000" w:themeColor="text1"/>
        </w:rPr>
        <w:t>3</w:t>
      </w:r>
      <w:r>
        <w:rPr>
          <w:color w:val="000000" w:themeColor="text1"/>
        </w:rPr>
        <w:t>在线派单功能</w:t>
      </w:r>
      <w:bookmarkEnd w:id="261"/>
    </w:p>
    <w:p>
      <w:pPr>
        <w:ind w:firstLine="480"/>
        <w:rPr>
          <w:color w:val="000000" w:themeColor="text1"/>
        </w:rPr>
      </w:pPr>
      <w:r>
        <w:rPr>
          <w:color w:val="000000" w:themeColor="text1"/>
        </w:rPr>
        <w:t>系统可以根据在线率检测及数据报表中设备故障信息完成在线派单工作，把具体发生故障设备的设备型号、故障发生地理位置、故障发生时间等信息及时发送给相关维修人员。</w:t>
      </w:r>
    </w:p>
    <w:p>
      <w:pPr>
        <w:pStyle w:val="7"/>
        <w:spacing w:before="120" w:after="120"/>
        <w:ind w:firstLine="480"/>
        <w:rPr>
          <w:color w:val="000000" w:themeColor="text1"/>
        </w:rPr>
      </w:pPr>
      <w:bookmarkStart w:id="262" w:name="_Toc521013706"/>
      <w:r>
        <w:rPr>
          <w:rFonts w:hint="eastAsia"/>
          <w:color w:val="000000" w:themeColor="text1"/>
        </w:rPr>
        <w:t>1.2.</w:t>
      </w:r>
      <w:r>
        <w:rPr>
          <w:color w:val="000000" w:themeColor="text1"/>
        </w:rPr>
        <w:t>1.</w:t>
      </w:r>
      <w:r>
        <w:rPr>
          <w:rFonts w:hint="eastAsia"/>
          <w:color w:val="000000" w:themeColor="text1"/>
        </w:rPr>
        <w:t>4</w:t>
      </w:r>
      <w:r>
        <w:rPr>
          <w:color w:val="000000" w:themeColor="text1"/>
        </w:rPr>
        <w:t>维护跟踪功能</w:t>
      </w:r>
      <w:bookmarkEnd w:id="262"/>
    </w:p>
    <w:p>
      <w:pPr>
        <w:ind w:firstLine="480"/>
        <w:rPr>
          <w:color w:val="000000" w:themeColor="text1"/>
        </w:rPr>
      </w:pPr>
      <w:r>
        <w:rPr>
          <w:color w:val="000000" w:themeColor="text1"/>
        </w:rPr>
        <w:t>系统可以实时更新设备维修状态，查询项目完成进度，项目维修及时率等信息，以便了解整个维修流程及施工进展情况。</w:t>
      </w:r>
    </w:p>
    <w:p>
      <w:pPr>
        <w:pStyle w:val="6"/>
        <w:spacing w:before="120" w:after="120"/>
        <w:ind w:firstLine="480"/>
        <w:rPr>
          <w:color w:val="000000" w:themeColor="text1"/>
        </w:rPr>
      </w:pPr>
      <w:bookmarkStart w:id="263" w:name="_Toc521013707"/>
      <w:r>
        <w:rPr>
          <w:rFonts w:hint="eastAsia"/>
          <w:color w:val="000000" w:themeColor="text1"/>
        </w:rPr>
        <w:t>1.3</w:t>
      </w:r>
      <w:r>
        <w:rPr>
          <w:color w:val="000000" w:themeColor="text1"/>
        </w:rPr>
        <w:t>.1安全防护要求</w:t>
      </w:r>
      <w:bookmarkEnd w:id="263"/>
    </w:p>
    <w:p>
      <w:pPr>
        <w:ind w:firstLine="480"/>
        <w:rPr>
          <w:color w:val="000000" w:themeColor="text1"/>
        </w:rPr>
      </w:pPr>
      <w:r>
        <w:rPr>
          <w:rFonts w:hint="eastAsia"/>
          <w:color w:val="000000" w:themeColor="text1"/>
        </w:rPr>
        <w:t>社会面整合安全可从设备、接入、传输、平台、应用多个层面进行全方位的安全防护。本项目中社会面整合平台不对外提供应用服务，仅定位为视频联网接入的平台，安全防护仅考虑边界及平台防火墙。</w:t>
      </w:r>
    </w:p>
    <w:p>
      <w:pPr>
        <w:ind w:firstLine="480"/>
        <w:rPr>
          <w:rFonts w:ascii="宋体" w:hAnsi="宋体"/>
          <w:color w:val="000000" w:themeColor="text1"/>
        </w:rPr>
      </w:pPr>
      <w:r>
        <w:rPr>
          <w:rFonts w:ascii="宋体" w:hAnsi="宋体"/>
          <w:color w:val="000000" w:themeColor="text1"/>
        </w:rPr>
        <w:t>市级社会面整合平台与市公安视频专网共享平台间部署1套万兆视频边界及1套万兆防火墙，义乌、永康社会面整合平台新增1套千兆防火墙，东阳社会面整合平台新增1套万兆防火墙。</w:t>
      </w:r>
    </w:p>
    <w:p>
      <w:pPr>
        <w:ind w:firstLine="480"/>
        <w:rPr>
          <w:rFonts w:ascii="宋体" w:hAnsi="宋体"/>
          <w:color w:val="000000" w:themeColor="text1"/>
        </w:rPr>
      </w:pPr>
      <w:r>
        <w:rPr>
          <w:rFonts w:ascii="宋体" w:hAnsi="宋体"/>
          <w:color w:val="000000" w:themeColor="text1"/>
        </w:rPr>
        <w:t>视频安全边界包括视频认证服务器和视频安全隔离设备。视频认证服务器又分为视频用户认证服务器和视频接入认证服务器两类。视频用户认证服务器对公安信息通信网上使用视频资源的用户进行统一注册、身份认证及权限管理，仅允许认证通过的用户访问已授权的视频资源。视频接入认证服务器对接入对象进行设备认证，并对视频信令格式进行检查及内容过滤，只允许合法的协议和数据通过。视频安全隔离设备将视频控制信令和数据进行分别处理和传输，其中视频数据为单向传输，视频控制信令为双向传输。</w:t>
      </w:r>
    </w:p>
    <w:p>
      <w:pPr>
        <w:ind w:firstLine="480"/>
        <w:rPr>
          <w:rFonts w:ascii="宋体" w:hAnsi="宋体"/>
          <w:color w:val="000000" w:themeColor="text1"/>
        </w:rPr>
      </w:pPr>
      <w:r>
        <w:rPr>
          <w:rFonts w:ascii="宋体" w:hAnsi="宋体"/>
          <w:color w:val="000000" w:themeColor="text1"/>
        </w:rPr>
        <w:t>防火墙串联在社会面整合平台与公安视频专网链路间，作为内部网与外部网之间的一种访问控制设备，对流经它的网络通信进行扫描，过滤掉一些攻击，</w:t>
      </w:r>
      <w:r>
        <w:rPr>
          <w:rFonts w:hint="eastAsia" w:ascii="宋体" w:hAnsi="宋体"/>
          <w:color w:val="000000" w:themeColor="text1"/>
        </w:rPr>
        <w:t>避</w:t>
      </w:r>
      <w:r>
        <w:rPr>
          <w:rFonts w:ascii="宋体" w:hAnsi="宋体"/>
          <w:color w:val="000000" w:themeColor="text1"/>
        </w:rPr>
        <w:t>免其在目标计算机上被执行。防火墙还可以关闭不使用的端口，禁止特定端口的流出通信，封锁特洛伊木马，禁止来自特殊站点的访问，从而防止来自不明入侵者的所有通信。</w:t>
      </w:r>
    </w:p>
    <w:p>
      <w:pPr>
        <w:pStyle w:val="6"/>
        <w:spacing w:before="120" w:after="120"/>
        <w:ind w:firstLine="480"/>
        <w:rPr>
          <w:color w:val="000000" w:themeColor="text1"/>
        </w:rPr>
      </w:pPr>
      <w:bookmarkStart w:id="264" w:name="_Toc521954869"/>
      <w:r>
        <w:rPr>
          <w:rFonts w:hint="eastAsia"/>
          <w:color w:val="000000" w:themeColor="text1"/>
        </w:rPr>
        <w:t>1.4</w:t>
      </w:r>
      <w:r>
        <w:rPr>
          <w:color w:val="000000" w:themeColor="text1"/>
        </w:rPr>
        <w:t>.1平台IP规划</w:t>
      </w:r>
      <w:bookmarkEnd w:id="264"/>
    </w:p>
    <w:p>
      <w:pPr>
        <w:ind w:firstLine="480"/>
        <w:rPr>
          <w:color w:val="000000" w:themeColor="text1"/>
        </w:rPr>
      </w:pPr>
      <w:r>
        <w:rPr>
          <w:color w:val="000000" w:themeColor="text1"/>
        </w:rPr>
        <w:t>IP宜连续分配并预留一定的扩展性，以实现统一的安全管理，对各辖区平台及下联运营商平台IP规划如下：</w:t>
      </w:r>
    </w:p>
    <w:p>
      <w:pPr>
        <w:pStyle w:val="28"/>
        <w:ind w:firstLine="540"/>
        <w:jc w:val="center"/>
        <w:rPr>
          <w:rFonts w:ascii="宋体"/>
          <w:b w:val="0"/>
          <w:color w:val="000000" w:themeColor="text1"/>
        </w:rPr>
      </w:pPr>
    </w:p>
    <w:tbl>
      <w:tblPr>
        <w:tblStyle w:val="53"/>
        <w:tblW w:w="9100"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2792"/>
        <w:gridCol w:w="3551"/>
        <w:gridCol w:w="275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20" w:hRule="atLeast"/>
          <w:tblHeader/>
          <w:jc w:val="center"/>
        </w:trPr>
        <w:tc>
          <w:tcPr>
            <w:tcW w:w="2792" w:type="dxa"/>
            <w:shd w:val="clear" w:color="auto" w:fill="auto"/>
            <w:tcMar>
              <w:top w:w="15" w:type="dxa"/>
              <w:left w:w="15" w:type="dxa"/>
              <w:bottom w:w="0" w:type="dxa"/>
              <w:right w:w="15" w:type="dxa"/>
            </w:tcMar>
            <w:vAlign w:val="center"/>
          </w:tcPr>
          <w:p>
            <w:pPr>
              <w:spacing w:line="300" w:lineRule="exact"/>
              <w:ind w:firstLine="482"/>
              <w:jc w:val="center"/>
              <w:textAlignment w:val="center"/>
              <w:rPr>
                <w:b/>
                <w:color w:val="000000" w:themeColor="text1"/>
                <w:szCs w:val="21"/>
              </w:rPr>
            </w:pPr>
            <w:r>
              <w:rPr>
                <w:b/>
                <w:color w:val="000000" w:themeColor="text1"/>
                <w:kern w:val="24"/>
                <w:szCs w:val="21"/>
              </w:rPr>
              <w:t>辖区名称</w:t>
            </w:r>
          </w:p>
        </w:tc>
        <w:tc>
          <w:tcPr>
            <w:tcW w:w="3551" w:type="dxa"/>
            <w:shd w:val="clear" w:color="auto" w:fill="auto"/>
            <w:tcMar>
              <w:top w:w="15" w:type="dxa"/>
              <w:left w:w="15" w:type="dxa"/>
              <w:bottom w:w="0" w:type="dxa"/>
              <w:right w:w="15" w:type="dxa"/>
            </w:tcMar>
            <w:vAlign w:val="center"/>
          </w:tcPr>
          <w:p>
            <w:pPr>
              <w:spacing w:line="300" w:lineRule="exact"/>
              <w:ind w:firstLine="482"/>
              <w:jc w:val="center"/>
              <w:textAlignment w:val="center"/>
              <w:rPr>
                <w:b/>
                <w:color w:val="000000" w:themeColor="text1"/>
                <w:szCs w:val="21"/>
              </w:rPr>
            </w:pPr>
            <w:r>
              <w:rPr>
                <w:b/>
                <w:color w:val="000000" w:themeColor="text1"/>
                <w:kern w:val="24"/>
                <w:szCs w:val="21"/>
              </w:rPr>
              <w:t>IP规划</w:t>
            </w:r>
          </w:p>
        </w:tc>
        <w:tc>
          <w:tcPr>
            <w:tcW w:w="2757" w:type="dxa"/>
            <w:shd w:val="clear" w:color="auto" w:fill="auto"/>
            <w:tcMar>
              <w:top w:w="15" w:type="dxa"/>
              <w:left w:w="15" w:type="dxa"/>
              <w:bottom w:w="0" w:type="dxa"/>
              <w:right w:w="15" w:type="dxa"/>
            </w:tcMar>
            <w:vAlign w:val="center"/>
          </w:tcPr>
          <w:p>
            <w:pPr>
              <w:spacing w:line="300" w:lineRule="exact"/>
              <w:ind w:firstLine="482"/>
              <w:jc w:val="center"/>
              <w:textAlignment w:val="center"/>
              <w:rPr>
                <w:b/>
                <w:color w:val="000000" w:themeColor="text1"/>
                <w:szCs w:val="21"/>
              </w:rPr>
            </w:pPr>
            <w:r>
              <w:rPr>
                <w:b/>
                <w:color w:val="000000" w:themeColor="text1"/>
                <w:kern w:val="24"/>
                <w:szCs w:val="21"/>
              </w:rPr>
              <w:t>子网掩码</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20" w:hRule="atLeast"/>
          <w:jc w:val="center"/>
        </w:trPr>
        <w:tc>
          <w:tcPr>
            <w:tcW w:w="2792" w:type="dxa"/>
            <w:shd w:val="clear" w:color="auto" w:fill="auto"/>
            <w:tcMar>
              <w:top w:w="15" w:type="dxa"/>
              <w:left w:w="15" w:type="dxa"/>
              <w:bottom w:w="0" w:type="dxa"/>
              <w:right w:w="15" w:type="dxa"/>
            </w:tcMar>
            <w:vAlign w:val="center"/>
          </w:tcPr>
          <w:p>
            <w:pPr>
              <w:spacing w:line="300" w:lineRule="exact"/>
              <w:ind w:firstLine="480"/>
              <w:jc w:val="center"/>
              <w:textAlignment w:val="center"/>
              <w:rPr>
                <w:color w:val="000000" w:themeColor="text1"/>
                <w:szCs w:val="21"/>
              </w:rPr>
            </w:pPr>
            <w:r>
              <w:rPr>
                <w:color w:val="000000" w:themeColor="text1"/>
                <w:kern w:val="24"/>
                <w:szCs w:val="21"/>
              </w:rPr>
              <w:t>金华</w:t>
            </w:r>
          </w:p>
        </w:tc>
        <w:tc>
          <w:tcPr>
            <w:tcW w:w="3551" w:type="dxa"/>
            <w:shd w:val="clear" w:color="auto" w:fill="auto"/>
            <w:tcMar>
              <w:top w:w="15" w:type="dxa"/>
              <w:left w:w="15" w:type="dxa"/>
              <w:bottom w:w="0" w:type="dxa"/>
              <w:right w:w="15" w:type="dxa"/>
            </w:tcMar>
            <w:vAlign w:val="bottom"/>
          </w:tcPr>
          <w:p>
            <w:pPr>
              <w:spacing w:line="300" w:lineRule="exact"/>
              <w:ind w:firstLine="480"/>
              <w:jc w:val="center"/>
              <w:textAlignment w:val="bottom"/>
              <w:rPr>
                <w:color w:val="000000" w:themeColor="text1"/>
                <w:kern w:val="24"/>
                <w:szCs w:val="21"/>
              </w:rPr>
            </w:pPr>
            <w:r>
              <w:rPr>
                <w:color w:val="000000" w:themeColor="text1"/>
                <w:kern w:val="24"/>
                <w:szCs w:val="21"/>
              </w:rPr>
              <w:t>172.180.0.0</w:t>
            </w:r>
          </w:p>
          <w:p>
            <w:pPr>
              <w:spacing w:line="300" w:lineRule="exact"/>
              <w:ind w:firstLine="480"/>
              <w:jc w:val="center"/>
              <w:textAlignment w:val="bottom"/>
              <w:rPr>
                <w:color w:val="000000" w:themeColor="text1"/>
                <w:kern w:val="24"/>
                <w:szCs w:val="21"/>
              </w:rPr>
            </w:pPr>
            <w:r>
              <w:rPr>
                <w:color w:val="000000" w:themeColor="text1"/>
                <w:kern w:val="24"/>
                <w:szCs w:val="21"/>
              </w:rPr>
              <w:t>172.181.0.0</w:t>
            </w:r>
          </w:p>
          <w:p>
            <w:pPr>
              <w:spacing w:line="300" w:lineRule="exact"/>
              <w:ind w:firstLine="480"/>
              <w:jc w:val="center"/>
              <w:textAlignment w:val="bottom"/>
              <w:rPr>
                <w:color w:val="000000" w:themeColor="text1"/>
                <w:kern w:val="24"/>
                <w:szCs w:val="21"/>
              </w:rPr>
            </w:pPr>
            <w:r>
              <w:rPr>
                <w:color w:val="000000" w:themeColor="text1"/>
                <w:kern w:val="24"/>
                <w:szCs w:val="21"/>
              </w:rPr>
              <w:t>172.182.0.0</w:t>
            </w:r>
          </w:p>
          <w:p>
            <w:pPr>
              <w:spacing w:line="300" w:lineRule="exact"/>
              <w:ind w:firstLine="480"/>
              <w:jc w:val="center"/>
              <w:textAlignment w:val="bottom"/>
              <w:rPr>
                <w:color w:val="000000" w:themeColor="text1"/>
                <w:kern w:val="24"/>
                <w:szCs w:val="21"/>
              </w:rPr>
            </w:pPr>
            <w:r>
              <w:rPr>
                <w:color w:val="000000" w:themeColor="text1"/>
                <w:kern w:val="24"/>
                <w:szCs w:val="21"/>
              </w:rPr>
              <w:t>172.183.0.0</w:t>
            </w:r>
          </w:p>
          <w:p>
            <w:pPr>
              <w:spacing w:line="300" w:lineRule="exact"/>
              <w:ind w:firstLine="480"/>
              <w:jc w:val="center"/>
              <w:textAlignment w:val="bottom"/>
              <w:rPr>
                <w:color w:val="000000" w:themeColor="text1"/>
                <w:kern w:val="24"/>
                <w:szCs w:val="21"/>
              </w:rPr>
            </w:pPr>
            <w:r>
              <w:rPr>
                <w:color w:val="000000" w:themeColor="text1"/>
                <w:kern w:val="24"/>
                <w:szCs w:val="21"/>
              </w:rPr>
              <w:t>172.191.0.0</w:t>
            </w:r>
          </w:p>
        </w:tc>
        <w:tc>
          <w:tcPr>
            <w:tcW w:w="2757" w:type="dxa"/>
            <w:shd w:val="clear" w:color="auto" w:fill="auto"/>
            <w:tcMar>
              <w:top w:w="15" w:type="dxa"/>
              <w:left w:w="15" w:type="dxa"/>
              <w:bottom w:w="0" w:type="dxa"/>
              <w:right w:w="15" w:type="dxa"/>
            </w:tcMar>
            <w:vAlign w:val="center"/>
          </w:tcPr>
          <w:p>
            <w:pPr>
              <w:spacing w:line="300" w:lineRule="exact"/>
              <w:ind w:firstLine="480"/>
              <w:jc w:val="center"/>
              <w:textAlignment w:val="bottom"/>
              <w:rPr>
                <w:color w:val="000000" w:themeColor="text1"/>
                <w:szCs w:val="21"/>
              </w:rPr>
            </w:pPr>
            <w:r>
              <w:rPr>
                <w:color w:val="000000" w:themeColor="text1"/>
                <w:kern w:val="24"/>
                <w:szCs w:val="21"/>
              </w:rPr>
              <w:t>16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20" w:hRule="atLeast"/>
          <w:jc w:val="center"/>
        </w:trPr>
        <w:tc>
          <w:tcPr>
            <w:tcW w:w="2792" w:type="dxa"/>
            <w:shd w:val="clear" w:color="auto" w:fill="auto"/>
            <w:tcMar>
              <w:top w:w="15" w:type="dxa"/>
              <w:left w:w="15" w:type="dxa"/>
              <w:bottom w:w="0" w:type="dxa"/>
              <w:right w:w="15" w:type="dxa"/>
            </w:tcMar>
            <w:vAlign w:val="center"/>
          </w:tcPr>
          <w:p>
            <w:pPr>
              <w:spacing w:line="300" w:lineRule="exact"/>
              <w:ind w:firstLine="480"/>
              <w:jc w:val="center"/>
              <w:textAlignment w:val="center"/>
              <w:rPr>
                <w:color w:val="000000" w:themeColor="text1"/>
                <w:szCs w:val="21"/>
              </w:rPr>
            </w:pPr>
            <w:r>
              <w:rPr>
                <w:color w:val="000000" w:themeColor="text1"/>
                <w:kern w:val="24"/>
                <w:szCs w:val="21"/>
              </w:rPr>
              <w:t>兰溪</w:t>
            </w:r>
          </w:p>
        </w:tc>
        <w:tc>
          <w:tcPr>
            <w:tcW w:w="3551" w:type="dxa"/>
            <w:shd w:val="clear" w:color="auto" w:fill="auto"/>
            <w:tcMar>
              <w:top w:w="15" w:type="dxa"/>
              <w:left w:w="15" w:type="dxa"/>
              <w:bottom w:w="0" w:type="dxa"/>
              <w:right w:w="15" w:type="dxa"/>
            </w:tcMar>
            <w:vAlign w:val="bottom"/>
          </w:tcPr>
          <w:p>
            <w:pPr>
              <w:spacing w:line="300" w:lineRule="exact"/>
              <w:ind w:firstLine="480"/>
              <w:jc w:val="center"/>
              <w:textAlignment w:val="bottom"/>
              <w:rPr>
                <w:color w:val="000000" w:themeColor="text1"/>
                <w:szCs w:val="21"/>
              </w:rPr>
            </w:pPr>
            <w:r>
              <w:rPr>
                <w:color w:val="000000" w:themeColor="text1"/>
                <w:kern w:val="24"/>
                <w:szCs w:val="21"/>
              </w:rPr>
              <w:t>172.184.0.0</w:t>
            </w:r>
          </w:p>
        </w:tc>
        <w:tc>
          <w:tcPr>
            <w:tcW w:w="2757" w:type="dxa"/>
            <w:shd w:val="clear" w:color="auto" w:fill="auto"/>
            <w:tcMar>
              <w:top w:w="15" w:type="dxa"/>
              <w:left w:w="15" w:type="dxa"/>
              <w:bottom w:w="0" w:type="dxa"/>
              <w:right w:w="15" w:type="dxa"/>
            </w:tcMar>
            <w:vAlign w:val="center"/>
          </w:tcPr>
          <w:p>
            <w:pPr>
              <w:spacing w:line="300" w:lineRule="exact"/>
              <w:ind w:firstLine="480"/>
              <w:jc w:val="center"/>
              <w:textAlignment w:val="bottom"/>
              <w:rPr>
                <w:color w:val="000000" w:themeColor="text1"/>
                <w:szCs w:val="21"/>
              </w:rPr>
            </w:pPr>
            <w:r>
              <w:rPr>
                <w:color w:val="000000" w:themeColor="text1"/>
                <w:kern w:val="24"/>
                <w:szCs w:val="21"/>
              </w:rPr>
              <w:t>16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20" w:hRule="atLeast"/>
          <w:jc w:val="center"/>
        </w:trPr>
        <w:tc>
          <w:tcPr>
            <w:tcW w:w="2792" w:type="dxa"/>
            <w:shd w:val="clear" w:color="auto" w:fill="auto"/>
            <w:tcMar>
              <w:top w:w="15" w:type="dxa"/>
              <w:left w:w="15" w:type="dxa"/>
              <w:bottom w:w="0" w:type="dxa"/>
              <w:right w:w="15" w:type="dxa"/>
            </w:tcMar>
            <w:vAlign w:val="center"/>
          </w:tcPr>
          <w:p>
            <w:pPr>
              <w:spacing w:line="300" w:lineRule="exact"/>
              <w:ind w:firstLine="480"/>
              <w:jc w:val="center"/>
              <w:textAlignment w:val="center"/>
              <w:rPr>
                <w:color w:val="000000" w:themeColor="text1"/>
                <w:szCs w:val="21"/>
              </w:rPr>
            </w:pPr>
            <w:r>
              <w:rPr>
                <w:color w:val="000000" w:themeColor="text1"/>
                <w:kern w:val="24"/>
                <w:szCs w:val="21"/>
              </w:rPr>
              <w:t>义乌</w:t>
            </w:r>
          </w:p>
        </w:tc>
        <w:tc>
          <w:tcPr>
            <w:tcW w:w="3551" w:type="dxa"/>
            <w:shd w:val="clear" w:color="auto" w:fill="auto"/>
            <w:tcMar>
              <w:top w:w="15" w:type="dxa"/>
              <w:left w:w="15" w:type="dxa"/>
              <w:bottom w:w="0" w:type="dxa"/>
              <w:right w:w="15" w:type="dxa"/>
            </w:tcMar>
            <w:vAlign w:val="bottom"/>
          </w:tcPr>
          <w:p>
            <w:pPr>
              <w:spacing w:line="300" w:lineRule="exact"/>
              <w:ind w:firstLine="480"/>
              <w:jc w:val="center"/>
              <w:textAlignment w:val="bottom"/>
              <w:rPr>
                <w:color w:val="000000" w:themeColor="text1"/>
                <w:szCs w:val="21"/>
              </w:rPr>
            </w:pPr>
            <w:r>
              <w:rPr>
                <w:color w:val="000000" w:themeColor="text1"/>
                <w:kern w:val="24"/>
                <w:szCs w:val="21"/>
              </w:rPr>
              <w:t>172.185.0.0</w:t>
            </w:r>
          </w:p>
        </w:tc>
        <w:tc>
          <w:tcPr>
            <w:tcW w:w="2757" w:type="dxa"/>
            <w:shd w:val="clear" w:color="auto" w:fill="auto"/>
            <w:tcMar>
              <w:top w:w="15" w:type="dxa"/>
              <w:left w:w="15" w:type="dxa"/>
              <w:bottom w:w="0" w:type="dxa"/>
              <w:right w:w="15" w:type="dxa"/>
            </w:tcMar>
            <w:vAlign w:val="center"/>
          </w:tcPr>
          <w:p>
            <w:pPr>
              <w:spacing w:line="300" w:lineRule="exact"/>
              <w:ind w:firstLine="480"/>
              <w:jc w:val="center"/>
              <w:textAlignment w:val="bottom"/>
              <w:rPr>
                <w:color w:val="000000" w:themeColor="text1"/>
                <w:szCs w:val="21"/>
              </w:rPr>
            </w:pPr>
            <w:r>
              <w:rPr>
                <w:color w:val="000000" w:themeColor="text1"/>
                <w:kern w:val="24"/>
                <w:szCs w:val="21"/>
              </w:rPr>
              <w:t>16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20" w:hRule="atLeast"/>
          <w:jc w:val="center"/>
        </w:trPr>
        <w:tc>
          <w:tcPr>
            <w:tcW w:w="2792" w:type="dxa"/>
            <w:shd w:val="clear" w:color="auto" w:fill="auto"/>
            <w:tcMar>
              <w:top w:w="15" w:type="dxa"/>
              <w:left w:w="15" w:type="dxa"/>
              <w:bottom w:w="0" w:type="dxa"/>
              <w:right w:w="15" w:type="dxa"/>
            </w:tcMar>
            <w:vAlign w:val="center"/>
          </w:tcPr>
          <w:p>
            <w:pPr>
              <w:spacing w:line="300" w:lineRule="exact"/>
              <w:ind w:firstLine="480"/>
              <w:jc w:val="center"/>
              <w:textAlignment w:val="center"/>
              <w:rPr>
                <w:color w:val="000000" w:themeColor="text1"/>
                <w:szCs w:val="21"/>
              </w:rPr>
            </w:pPr>
            <w:r>
              <w:rPr>
                <w:color w:val="000000" w:themeColor="text1"/>
                <w:kern w:val="24"/>
                <w:szCs w:val="21"/>
              </w:rPr>
              <w:t>东阳</w:t>
            </w:r>
          </w:p>
        </w:tc>
        <w:tc>
          <w:tcPr>
            <w:tcW w:w="3551" w:type="dxa"/>
            <w:shd w:val="clear" w:color="auto" w:fill="auto"/>
            <w:tcMar>
              <w:top w:w="15" w:type="dxa"/>
              <w:left w:w="15" w:type="dxa"/>
              <w:bottom w:w="0" w:type="dxa"/>
              <w:right w:w="15" w:type="dxa"/>
            </w:tcMar>
            <w:vAlign w:val="bottom"/>
          </w:tcPr>
          <w:p>
            <w:pPr>
              <w:spacing w:line="300" w:lineRule="exact"/>
              <w:ind w:firstLine="480"/>
              <w:jc w:val="center"/>
              <w:textAlignment w:val="bottom"/>
              <w:rPr>
                <w:color w:val="000000" w:themeColor="text1"/>
                <w:szCs w:val="21"/>
              </w:rPr>
            </w:pPr>
            <w:r>
              <w:rPr>
                <w:color w:val="000000" w:themeColor="text1"/>
                <w:kern w:val="24"/>
                <w:szCs w:val="21"/>
              </w:rPr>
              <w:t>172.186.0.0</w:t>
            </w:r>
          </w:p>
        </w:tc>
        <w:tc>
          <w:tcPr>
            <w:tcW w:w="2757" w:type="dxa"/>
            <w:shd w:val="clear" w:color="auto" w:fill="auto"/>
            <w:tcMar>
              <w:top w:w="15" w:type="dxa"/>
              <w:left w:w="15" w:type="dxa"/>
              <w:bottom w:w="0" w:type="dxa"/>
              <w:right w:w="15" w:type="dxa"/>
            </w:tcMar>
            <w:vAlign w:val="center"/>
          </w:tcPr>
          <w:p>
            <w:pPr>
              <w:spacing w:line="300" w:lineRule="exact"/>
              <w:ind w:firstLine="480"/>
              <w:jc w:val="center"/>
              <w:textAlignment w:val="bottom"/>
              <w:rPr>
                <w:color w:val="000000" w:themeColor="text1"/>
                <w:szCs w:val="21"/>
              </w:rPr>
            </w:pPr>
            <w:r>
              <w:rPr>
                <w:color w:val="000000" w:themeColor="text1"/>
                <w:kern w:val="24"/>
                <w:szCs w:val="21"/>
              </w:rPr>
              <w:t>16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20" w:hRule="atLeast"/>
          <w:jc w:val="center"/>
        </w:trPr>
        <w:tc>
          <w:tcPr>
            <w:tcW w:w="2792" w:type="dxa"/>
            <w:shd w:val="clear" w:color="auto" w:fill="auto"/>
            <w:tcMar>
              <w:top w:w="15" w:type="dxa"/>
              <w:left w:w="15" w:type="dxa"/>
              <w:bottom w:w="0" w:type="dxa"/>
              <w:right w:w="15" w:type="dxa"/>
            </w:tcMar>
            <w:vAlign w:val="center"/>
          </w:tcPr>
          <w:p>
            <w:pPr>
              <w:spacing w:line="300" w:lineRule="exact"/>
              <w:ind w:firstLine="480"/>
              <w:jc w:val="center"/>
              <w:textAlignment w:val="center"/>
              <w:rPr>
                <w:color w:val="000000" w:themeColor="text1"/>
                <w:szCs w:val="21"/>
              </w:rPr>
            </w:pPr>
            <w:r>
              <w:rPr>
                <w:color w:val="000000" w:themeColor="text1"/>
                <w:kern w:val="24"/>
                <w:szCs w:val="21"/>
              </w:rPr>
              <w:t>永康</w:t>
            </w:r>
          </w:p>
        </w:tc>
        <w:tc>
          <w:tcPr>
            <w:tcW w:w="3551" w:type="dxa"/>
            <w:shd w:val="clear" w:color="auto" w:fill="auto"/>
            <w:tcMar>
              <w:top w:w="15" w:type="dxa"/>
              <w:left w:w="15" w:type="dxa"/>
              <w:bottom w:w="0" w:type="dxa"/>
              <w:right w:w="15" w:type="dxa"/>
            </w:tcMar>
            <w:vAlign w:val="bottom"/>
          </w:tcPr>
          <w:p>
            <w:pPr>
              <w:spacing w:line="300" w:lineRule="exact"/>
              <w:ind w:firstLine="480"/>
              <w:jc w:val="center"/>
              <w:textAlignment w:val="bottom"/>
              <w:rPr>
                <w:color w:val="000000" w:themeColor="text1"/>
                <w:szCs w:val="21"/>
              </w:rPr>
            </w:pPr>
            <w:r>
              <w:rPr>
                <w:color w:val="000000" w:themeColor="text1"/>
                <w:kern w:val="24"/>
                <w:szCs w:val="21"/>
              </w:rPr>
              <w:t>172.187.0.0</w:t>
            </w:r>
          </w:p>
        </w:tc>
        <w:tc>
          <w:tcPr>
            <w:tcW w:w="2757" w:type="dxa"/>
            <w:shd w:val="clear" w:color="auto" w:fill="auto"/>
            <w:tcMar>
              <w:top w:w="15" w:type="dxa"/>
              <w:left w:w="15" w:type="dxa"/>
              <w:bottom w:w="0" w:type="dxa"/>
              <w:right w:w="15" w:type="dxa"/>
            </w:tcMar>
            <w:vAlign w:val="center"/>
          </w:tcPr>
          <w:p>
            <w:pPr>
              <w:spacing w:line="300" w:lineRule="exact"/>
              <w:ind w:firstLine="480"/>
              <w:jc w:val="center"/>
              <w:textAlignment w:val="bottom"/>
              <w:rPr>
                <w:color w:val="000000" w:themeColor="text1"/>
                <w:szCs w:val="21"/>
              </w:rPr>
            </w:pPr>
            <w:r>
              <w:rPr>
                <w:color w:val="000000" w:themeColor="text1"/>
                <w:kern w:val="24"/>
                <w:szCs w:val="21"/>
              </w:rPr>
              <w:t>16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20" w:hRule="atLeast"/>
          <w:jc w:val="center"/>
        </w:trPr>
        <w:tc>
          <w:tcPr>
            <w:tcW w:w="2792" w:type="dxa"/>
            <w:shd w:val="clear" w:color="auto" w:fill="auto"/>
            <w:tcMar>
              <w:top w:w="15" w:type="dxa"/>
              <w:left w:w="15" w:type="dxa"/>
              <w:bottom w:w="0" w:type="dxa"/>
              <w:right w:w="15" w:type="dxa"/>
            </w:tcMar>
            <w:vAlign w:val="center"/>
          </w:tcPr>
          <w:p>
            <w:pPr>
              <w:spacing w:line="300" w:lineRule="exact"/>
              <w:ind w:firstLine="480"/>
              <w:jc w:val="center"/>
              <w:textAlignment w:val="center"/>
              <w:rPr>
                <w:color w:val="000000" w:themeColor="text1"/>
                <w:kern w:val="24"/>
                <w:szCs w:val="21"/>
              </w:rPr>
            </w:pPr>
            <w:r>
              <w:rPr>
                <w:rFonts w:hint="eastAsia"/>
                <w:color w:val="000000" w:themeColor="text1"/>
                <w:kern w:val="24"/>
                <w:szCs w:val="21"/>
              </w:rPr>
              <w:t>武义</w:t>
            </w:r>
          </w:p>
        </w:tc>
        <w:tc>
          <w:tcPr>
            <w:tcW w:w="3551" w:type="dxa"/>
            <w:shd w:val="clear" w:color="auto" w:fill="auto"/>
            <w:tcMar>
              <w:top w:w="15" w:type="dxa"/>
              <w:left w:w="15" w:type="dxa"/>
              <w:bottom w:w="0" w:type="dxa"/>
              <w:right w:w="15" w:type="dxa"/>
            </w:tcMar>
            <w:vAlign w:val="bottom"/>
          </w:tcPr>
          <w:p>
            <w:pPr>
              <w:spacing w:line="300" w:lineRule="exact"/>
              <w:ind w:firstLine="480"/>
              <w:jc w:val="center"/>
              <w:textAlignment w:val="bottom"/>
              <w:rPr>
                <w:color w:val="000000" w:themeColor="text1"/>
                <w:kern w:val="24"/>
                <w:szCs w:val="21"/>
              </w:rPr>
            </w:pPr>
            <w:r>
              <w:rPr>
                <w:rFonts w:hint="eastAsia"/>
                <w:color w:val="000000" w:themeColor="text1"/>
                <w:kern w:val="24"/>
                <w:szCs w:val="21"/>
              </w:rPr>
              <w:t>172.188.0.0</w:t>
            </w:r>
          </w:p>
        </w:tc>
        <w:tc>
          <w:tcPr>
            <w:tcW w:w="2757" w:type="dxa"/>
            <w:shd w:val="clear" w:color="auto" w:fill="auto"/>
            <w:tcMar>
              <w:top w:w="15" w:type="dxa"/>
              <w:left w:w="15" w:type="dxa"/>
              <w:bottom w:w="0" w:type="dxa"/>
              <w:right w:w="15" w:type="dxa"/>
            </w:tcMar>
            <w:vAlign w:val="center"/>
          </w:tcPr>
          <w:p>
            <w:pPr>
              <w:spacing w:line="300" w:lineRule="exact"/>
              <w:ind w:firstLine="480"/>
              <w:jc w:val="center"/>
              <w:textAlignment w:val="bottom"/>
              <w:rPr>
                <w:color w:val="000000" w:themeColor="text1"/>
                <w:kern w:val="24"/>
                <w:szCs w:val="21"/>
              </w:rPr>
            </w:pPr>
            <w:r>
              <w:rPr>
                <w:rFonts w:hint="eastAsia"/>
                <w:color w:val="000000" w:themeColor="text1"/>
                <w:kern w:val="24"/>
                <w:szCs w:val="21"/>
              </w:rPr>
              <w:t>16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20" w:hRule="atLeast"/>
          <w:jc w:val="center"/>
        </w:trPr>
        <w:tc>
          <w:tcPr>
            <w:tcW w:w="2792" w:type="dxa"/>
            <w:shd w:val="clear" w:color="auto" w:fill="auto"/>
            <w:tcMar>
              <w:top w:w="15" w:type="dxa"/>
              <w:left w:w="15" w:type="dxa"/>
              <w:bottom w:w="0" w:type="dxa"/>
              <w:right w:w="15" w:type="dxa"/>
            </w:tcMar>
            <w:vAlign w:val="center"/>
          </w:tcPr>
          <w:p>
            <w:pPr>
              <w:spacing w:line="300" w:lineRule="exact"/>
              <w:ind w:firstLine="480"/>
              <w:jc w:val="center"/>
              <w:textAlignment w:val="center"/>
              <w:rPr>
                <w:color w:val="000000" w:themeColor="text1"/>
                <w:kern w:val="24"/>
                <w:szCs w:val="21"/>
              </w:rPr>
            </w:pPr>
            <w:r>
              <w:rPr>
                <w:rFonts w:hint="eastAsia"/>
                <w:color w:val="000000" w:themeColor="text1"/>
                <w:kern w:val="24"/>
                <w:szCs w:val="21"/>
              </w:rPr>
              <w:t>浦江</w:t>
            </w:r>
          </w:p>
        </w:tc>
        <w:tc>
          <w:tcPr>
            <w:tcW w:w="3551" w:type="dxa"/>
            <w:shd w:val="clear" w:color="auto" w:fill="auto"/>
            <w:tcMar>
              <w:top w:w="15" w:type="dxa"/>
              <w:left w:w="15" w:type="dxa"/>
              <w:bottom w:w="0" w:type="dxa"/>
              <w:right w:w="15" w:type="dxa"/>
            </w:tcMar>
            <w:vAlign w:val="bottom"/>
          </w:tcPr>
          <w:p>
            <w:pPr>
              <w:spacing w:line="300" w:lineRule="exact"/>
              <w:ind w:firstLine="480"/>
              <w:jc w:val="center"/>
              <w:textAlignment w:val="bottom"/>
              <w:rPr>
                <w:color w:val="000000" w:themeColor="text1"/>
                <w:kern w:val="24"/>
                <w:szCs w:val="21"/>
              </w:rPr>
            </w:pPr>
            <w:r>
              <w:rPr>
                <w:rFonts w:hint="eastAsia"/>
                <w:color w:val="000000" w:themeColor="text1"/>
                <w:kern w:val="24"/>
                <w:szCs w:val="21"/>
              </w:rPr>
              <w:t>172.189.0.0</w:t>
            </w:r>
          </w:p>
        </w:tc>
        <w:tc>
          <w:tcPr>
            <w:tcW w:w="2757" w:type="dxa"/>
            <w:shd w:val="clear" w:color="auto" w:fill="auto"/>
            <w:tcMar>
              <w:top w:w="15" w:type="dxa"/>
              <w:left w:w="15" w:type="dxa"/>
              <w:bottom w:w="0" w:type="dxa"/>
              <w:right w:w="15" w:type="dxa"/>
            </w:tcMar>
            <w:vAlign w:val="center"/>
          </w:tcPr>
          <w:p>
            <w:pPr>
              <w:spacing w:line="300" w:lineRule="exact"/>
              <w:ind w:firstLine="480"/>
              <w:jc w:val="center"/>
              <w:textAlignment w:val="bottom"/>
              <w:rPr>
                <w:color w:val="000000" w:themeColor="text1"/>
                <w:kern w:val="24"/>
                <w:szCs w:val="21"/>
              </w:rPr>
            </w:pPr>
            <w:r>
              <w:rPr>
                <w:rFonts w:hint="eastAsia"/>
                <w:color w:val="000000" w:themeColor="text1"/>
                <w:kern w:val="24"/>
                <w:szCs w:val="21"/>
              </w:rPr>
              <w:t>16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20" w:hRule="atLeast"/>
          <w:jc w:val="center"/>
        </w:trPr>
        <w:tc>
          <w:tcPr>
            <w:tcW w:w="2792" w:type="dxa"/>
            <w:shd w:val="clear" w:color="auto" w:fill="auto"/>
            <w:tcMar>
              <w:top w:w="15" w:type="dxa"/>
              <w:left w:w="15" w:type="dxa"/>
              <w:bottom w:w="0" w:type="dxa"/>
              <w:right w:w="15" w:type="dxa"/>
            </w:tcMar>
            <w:vAlign w:val="center"/>
          </w:tcPr>
          <w:p>
            <w:pPr>
              <w:spacing w:line="300" w:lineRule="exact"/>
              <w:ind w:firstLine="480"/>
              <w:jc w:val="center"/>
              <w:textAlignment w:val="center"/>
              <w:rPr>
                <w:color w:val="000000" w:themeColor="text1"/>
                <w:kern w:val="24"/>
                <w:szCs w:val="21"/>
              </w:rPr>
            </w:pPr>
            <w:r>
              <w:rPr>
                <w:rFonts w:hint="eastAsia"/>
                <w:color w:val="000000" w:themeColor="text1"/>
                <w:kern w:val="24"/>
                <w:szCs w:val="21"/>
              </w:rPr>
              <w:t>磐安</w:t>
            </w:r>
          </w:p>
        </w:tc>
        <w:tc>
          <w:tcPr>
            <w:tcW w:w="3551" w:type="dxa"/>
            <w:shd w:val="clear" w:color="auto" w:fill="auto"/>
            <w:tcMar>
              <w:top w:w="15" w:type="dxa"/>
              <w:left w:w="15" w:type="dxa"/>
              <w:bottom w:w="0" w:type="dxa"/>
              <w:right w:w="15" w:type="dxa"/>
            </w:tcMar>
            <w:vAlign w:val="bottom"/>
          </w:tcPr>
          <w:p>
            <w:pPr>
              <w:spacing w:line="300" w:lineRule="exact"/>
              <w:ind w:firstLine="480"/>
              <w:jc w:val="center"/>
              <w:textAlignment w:val="bottom"/>
              <w:rPr>
                <w:color w:val="000000" w:themeColor="text1"/>
                <w:kern w:val="24"/>
                <w:szCs w:val="21"/>
              </w:rPr>
            </w:pPr>
            <w:r>
              <w:rPr>
                <w:rFonts w:hint="eastAsia"/>
                <w:color w:val="000000" w:themeColor="text1"/>
                <w:kern w:val="24"/>
                <w:szCs w:val="21"/>
              </w:rPr>
              <w:t>172.190.0.0</w:t>
            </w:r>
          </w:p>
        </w:tc>
        <w:tc>
          <w:tcPr>
            <w:tcW w:w="2757" w:type="dxa"/>
            <w:shd w:val="clear" w:color="auto" w:fill="auto"/>
            <w:tcMar>
              <w:top w:w="15" w:type="dxa"/>
              <w:left w:w="15" w:type="dxa"/>
              <w:bottom w:w="0" w:type="dxa"/>
              <w:right w:w="15" w:type="dxa"/>
            </w:tcMar>
            <w:vAlign w:val="center"/>
          </w:tcPr>
          <w:p>
            <w:pPr>
              <w:spacing w:line="300" w:lineRule="exact"/>
              <w:ind w:firstLine="480"/>
              <w:jc w:val="center"/>
              <w:textAlignment w:val="bottom"/>
              <w:rPr>
                <w:color w:val="000000" w:themeColor="text1"/>
                <w:kern w:val="24"/>
                <w:szCs w:val="21"/>
              </w:rPr>
            </w:pPr>
            <w:r>
              <w:rPr>
                <w:rFonts w:hint="eastAsia"/>
                <w:color w:val="000000" w:themeColor="text1"/>
                <w:kern w:val="24"/>
                <w:szCs w:val="21"/>
              </w:rPr>
              <w:t>16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20" w:hRule="atLeast"/>
          <w:jc w:val="center"/>
        </w:trPr>
        <w:tc>
          <w:tcPr>
            <w:tcW w:w="2792" w:type="dxa"/>
            <w:shd w:val="clear" w:color="auto" w:fill="auto"/>
            <w:tcMar>
              <w:top w:w="15" w:type="dxa"/>
              <w:left w:w="15" w:type="dxa"/>
              <w:bottom w:w="0" w:type="dxa"/>
              <w:right w:w="15" w:type="dxa"/>
            </w:tcMar>
            <w:vAlign w:val="center"/>
          </w:tcPr>
          <w:p>
            <w:pPr>
              <w:spacing w:line="300" w:lineRule="exact"/>
              <w:ind w:firstLine="480"/>
              <w:jc w:val="center"/>
              <w:textAlignment w:val="bottom"/>
              <w:rPr>
                <w:color w:val="000000" w:themeColor="text1"/>
                <w:kern w:val="24"/>
                <w:szCs w:val="21"/>
              </w:rPr>
            </w:pPr>
            <w:r>
              <w:rPr>
                <w:color w:val="000000" w:themeColor="text1"/>
                <w:kern w:val="24"/>
                <w:szCs w:val="21"/>
              </w:rPr>
              <w:t>预留</w:t>
            </w:r>
          </w:p>
        </w:tc>
        <w:tc>
          <w:tcPr>
            <w:tcW w:w="3551" w:type="dxa"/>
            <w:shd w:val="clear" w:color="auto" w:fill="auto"/>
            <w:tcMar>
              <w:top w:w="15" w:type="dxa"/>
              <w:left w:w="15" w:type="dxa"/>
              <w:bottom w:w="0" w:type="dxa"/>
              <w:right w:w="15" w:type="dxa"/>
            </w:tcMar>
            <w:vAlign w:val="bottom"/>
          </w:tcPr>
          <w:p>
            <w:pPr>
              <w:spacing w:line="300" w:lineRule="exact"/>
              <w:ind w:firstLine="480"/>
              <w:jc w:val="center"/>
              <w:textAlignment w:val="bottom"/>
              <w:rPr>
                <w:color w:val="000000" w:themeColor="text1"/>
                <w:kern w:val="24"/>
                <w:szCs w:val="21"/>
              </w:rPr>
            </w:pPr>
            <w:r>
              <w:rPr>
                <w:color w:val="000000" w:themeColor="text1"/>
                <w:kern w:val="24"/>
                <w:szCs w:val="21"/>
              </w:rPr>
              <w:t>172.177.0.0</w:t>
            </w:r>
          </w:p>
          <w:p>
            <w:pPr>
              <w:spacing w:line="300" w:lineRule="exact"/>
              <w:ind w:firstLine="480"/>
              <w:jc w:val="center"/>
              <w:textAlignment w:val="bottom"/>
              <w:rPr>
                <w:color w:val="000000" w:themeColor="text1"/>
                <w:kern w:val="24"/>
                <w:szCs w:val="21"/>
              </w:rPr>
            </w:pPr>
            <w:r>
              <w:rPr>
                <w:color w:val="000000" w:themeColor="text1"/>
                <w:kern w:val="24"/>
                <w:szCs w:val="21"/>
              </w:rPr>
              <w:t>172.178.0.0</w:t>
            </w:r>
          </w:p>
          <w:p>
            <w:pPr>
              <w:spacing w:line="300" w:lineRule="exact"/>
              <w:ind w:firstLine="480"/>
              <w:jc w:val="center"/>
              <w:textAlignment w:val="bottom"/>
              <w:rPr>
                <w:color w:val="000000" w:themeColor="text1"/>
                <w:kern w:val="24"/>
                <w:szCs w:val="21"/>
              </w:rPr>
            </w:pPr>
            <w:r>
              <w:rPr>
                <w:color w:val="000000" w:themeColor="text1"/>
                <w:kern w:val="24"/>
                <w:szCs w:val="21"/>
              </w:rPr>
              <w:t>172.179.0.0</w:t>
            </w:r>
          </w:p>
        </w:tc>
        <w:tc>
          <w:tcPr>
            <w:tcW w:w="2757" w:type="dxa"/>
            <w:shd w:val="clear" w:color="auto" w:fill="auto"/>
            <w:tcMar>
              <w:top w:w="15" w:type="dxa"/>
              <w:left w:w="15" w:type="dxa"/>
              <w:bottom w:w="0" w:type="dxa"/>
              <w:right w:w="15" w:type="dxa"/>
            </w:tcMar>
            <w:vAlign w:val="center"/>
          </w:tcPr>
          <w:p>
            <w:pPr>
              <w:spacing w:line="300" w:lineRule="exact"/>
              <w:ind w:firstLine="480"/>
              <w:jc w:val="center"/>
              <w:textAlignment w:val="bottom"/>
              <w:rPr>
                <w:color w:val="000000" w:themeColor="text1"/>
                <w:kern w:val="24"/>
                <w:szCs w:val="21"/>
              </w:rPr>
            </w:pPr>
            <w:r>
              <w:rPr>
                <w:color w:val="000000" w:themeColor="text1"/>
                <w:kern w:val="24"/>
                <w:szCs w:val="21"/>
              </w:rPr>
              <w:t>16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20" w:hRule="atLeast"/>
          <w:jc w:val="center"/>
        </w:trPr>
        <w:tc>
          <w:tcPr>
            <w:tcW w:w="2792" w:type="dxa"/>
            <w:shd w:val="clear" w:color="auto" w:fill="auto"/>
            <w:tcMar>
              <w:top w:w="15" w:type="dxa"/>
              <w:left w:w="15" w:type="dxa"/>
              <w:bottom w:w="0" w:type="dxa"/>
              <w:right w:w="15" w:type="dxa"/>
            </w:tcMar>
            <w:vAlign w:val="center"/>
          </w:tcPr>
          <w:p>
            <w:pPr>
              <w:spacing w:line="300" w:lineRule="exact"/>
              <w:ind w:firstLine="480"/>
              <w:jc w:val="center"/>
              <w:textAlignment w:val="bottom"/>
              <w:rPr>
                <w:color w:val="000000" w:themeColor="text1"/>
                <w:kern w:val="24"/>
                <w:szCs w:val="21"/>
              </w:rPr>
            </w:pPr>
            <w:r>
              <w:rPr>
                <w:color w:val="000000" w:themeColor="text1"/>
                <w:kern w:val="24"/>
                <w:szCs w:val="21"/>
              </w:rPr>
              <w:t>互联地址预留</w:t>
            </w:r>
          </w:p>
        </w:tc>
        <w:tc>
          <w:tcPr>
            <w:tcW w:w="3551" w:type="dxa"/>
            <w:shd w:val="clear" w:color="auto" w:fill="auto"/>
            <w:tcMar>
              <w:top w:w="15" w:type="dxa"/>
              <w:left w:w="15" w:type="dxa"/>
              <w:bottom w:w="0" w:type="dxa"/>
              <w:right w:w="15" w:type="dxa"/>
            </w:tcMar>
            <w:vAlign w:val="bottom"/>
          </w:tcPr>
          <w:p>
            <w:pPr>
              <w:spacing w:line="300" w:lineRule="exact"/>
              <w:ind w:firstLine="480"/>
              <w:jc w:val="center"/>
              <w:textAlignment w:val="bottom"/>
              <w:rPr>
                <w:color w:val="000000" w:themeColor="text1"/>
              </w:rPr>
            </w:pPr>
            <w:r>
              <w:rPr>
                <w:color w:val="000000" w:themeColor="text1"/>
                <w:kern w:val="24"/>
                <w:szCs w:val="21"/>
              </w:rPr>
              <w:t>172.176.0.0</w:t>
            </w:r>
          </w:p>
        </w:tc>
        <w:tc>
          <w:tcPr>
            <w:tcW w:w="2757" w:type="dxa"/>
            <w:shd w:val="clear" w:color="auto" w:fill="auto"/>
            <w:tcMar>
              <w:top w:w="15" w:type="dxa"/>
              <w:left w:w="15" w:type="dxa"/>
              <w:bottom w:w="0" w:type="dxa"/>
              <w:right w:w="15" w:type="dxa"/>
            </w:tcMar>
            <w:vAlign w:val="center"/>
          </w:tcPr>
          <w:p>
            <w:pPr>
              <w:spacing w:line="300" w:lineRule="exact"/>
              <w:ind w:firstLine="480"/>
              <w:jc w:val="center"/>
              <w:textAlignment w:val="bottom"/>
              <w:rPr>
                <w:color w:val="000000" w:themeColor="text1"/>
                <w:kern w:val="24"/>
                <w:szCs w:val="21"/>
              </w:rPr>
            </w:pPr>
            <w:r>
              <w:rPr>
                <w:color w:val="000000" w:themeColor="text1"/>
                <w:kern w:val="24"/>
                <w:szCs w:val="21"/>
              </w:rPr>
              <w:t>16</w:t>
            </w:r>
          </w:p>
        </w:tc>
      </w:tr>
    </w:tbl>
    <w:p>
      <w:pPr>
        <w:ind w:left="482"/>
        <w:jc w:val="center"/>
        <w:rPr>
          <w:color w:val="000000" w:themeColor="text1"/>
        </w:rPr>
      </w:pPr>
      <w:r>
        <w:rPr>
          <w:rFonts w:hint="eastAsia" w:ascii="宋体"/>
          <w:b/>
          <w:color w:val="000000" w:themeColor="text1"/>
        </w:rPr>
        <w:t>IP规划表一</w:t>
      </w:r>
    </w:p>
    <w:p>
      <w:pPr>
        <w:pStyle w:val="28"/>
        <w:ind w:firstLine="540"/>
        <w:jc w:val="center"/>
        <w:rPr>
          <w:rFonts w:ascii="宋体"/>
          <w:b w:val="0"/>
          <w:color w:val="000000" w:themeColor="text1"/>
        </w:rPr>
      </w:pPr>
    </w:p>
    <w:tbl>
      <w:tblPr>
        <w:tblStyle w:val="53"/>
        <w:tblW w:w="9100"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3417"/>
        <w:gridCol w:w="2855"/>
        <w:gridCol w:w="282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20" w:hRule="atLeast"/>
          <w:jc w:val="center"/>
        </w:trPr>
        <w:tc>
          <w:tcPr>
            <w:tcW w:w="3417" w:type="dxa"/>
            <w:shd w:val="clear" w:color="auto" w:fill="auto"/>
            <w:tcMar>
              <w:top w:w="15" w:type="dxa"/>
              <w:left w:w="15" w:type="dxa"/>
              <w:bottom w:w="0" w:type="dxa"/>
              <w:right w:w="15" w:type="dxa"/>
            </w:tcMar>
            <w:vAlign w:val="center"/>
          </w:tcPr>
          <w:p>
            <w:pPr>
              <w:spacing w:line="300" w:lineRule="exact"/>
              <w:ind w:firstLine="482"/>
              <w:jc w:val="center"/>
              <w:textAlignment w:val="center"/>
              <w:rPr>
                <w:b/>
                <w:color w:val="000000" w:themeColor="text1"/>
                <w:kern w:val="24"/>
                <w:szCs w:val="21"/>
              </w:rPr>
            </w:pPr>
            <w:r>
              <w:rPr>
                <w:b/>
                <w:color w:val="000000" w:themeColor="text1"/>
                <w:kern w:val="24"/>
                <w:szCs w:val="21"/>
              </w:rPr>
              <w:t>平台名称</w:t>
            </w:r>
          </w:p>
        </w:tc>
        <w:tc>
          <w:tcPr>
            <w:tcW w:w="2855" w:type="dxa"/>
            <w:shd w:val="clear" w:color="auto" w:fill="auto"/>
            <w:tcMar>
              <w:top w:w="15" w:type="dxa"/>
              <w:left w:w="15" w:type="dxa"/>
              <w:bottom w:w="0" w:type="dxa"/>
              <w:right w:w="15" w:type="dxa"/>
            </w:tcMar>
            <w:vAlign w:val="center"/>
          </w:tcPr>
          <w:p>
            <w:pPr>
              <w:spacing w:line="300" w:lineRule="exact"/>
              <w:ind w:firstLine="482"/>
              <w:jc w:val="center"/>
              <w:textAlignment w:val="center"/>
              <w:rPr>
                <w:b/>
                <w:color w:val="000000" w:themeColor="text1"/>
                <w:kern w:val="24"/>
                <w:szCs w:val="21"/>
              </w:rPr>
            </w:pPr>
            <w:r>
              <w:rPr>
                <w:b/>
                <w:color w:val="000000" w:themeColor="text1"/>
                <w:kern w:val="24"/>
                <w:szCs w:val="21"/>
              </w:rPr>
              <w:t>IP规划</w:t>
            </w:r>
          </w:p>
        </w:tc>
        <w:tc>
          <w:tcPr>
            <w:tcW w:w="2828" w:type="dxa"/>
            <w:shd w:val="clear" w:color="auto" w:fill="auto"/>
            <w:tcMar>
              <w:top w:w="15" w:type="dxa"/>
              <w:left w:w="15" w:type="dxa"/>
              <w:bottom w:w="0" w:type="dxa"/>
              <w:right w:w="15" w:type="dxa"/>
            </w:tcMar>
            <w:vAlign w:val="center"/>
          </w:tcPr>
          <w:p>
            <w:pPr>
              <w:spacing w:line="300" w:lineRule="exact"/>
              <w:ind w:firstLine="482"/>
              <w:jc w:val="center"/>
              <w:textAlignment w:val="center"/>
              <w:rPr>
                <w:b/>
                <w:color w:val="000000" w:themeColor="text1"/>
                <w:kern w:val="24"/>
                <w:szCs w:val="21"/>
              </w:rPr>
            </w:pPr>
            <w:r>
              <w:rPr>
                <w:b/>
                <w:color w:val="000000" w:themeColor="text1"/>
                <w:kern w:val="24"/>
                <w:szCs w:val="21"/>
              </w:rPr>
              <w:t>子网掩码</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20" w:hRule="atLeast"/>
          <w:jc w:val="center"/>
        </w:trPr>
        <w:tc>
          <w:tcPr>
            <w:tcW w:w="3417" w:type="dxa"/>
            <w:shd w:val="clear" w:color="auto" w:fill="auto"/>
            <w:tcMar>
              <w:top w:w="15" w:type="dxa"/>
              <w:left w:w="15" w:type="dxa"/>
              <w:bottom w:w="0" w:type="dxa"/>
              <w:right w:w="15" w:type="dxa"/>
            </w:tcMar>
            <w:vAlign w:val="center"/>
          </w:tcPr>
          <w:p>
            <w:pPr>
              <w:spacing w:line="300" w:lineRule="exact"/>
              <w:ind w:firstLine="480"/>
              <w:textAlignment w:val="center"/>
              <w:rPr>
                <w:color w:val="000000" w:themeColor="text1"/>
                <w:kern w:val="24"/>
                <w:szCs w:val="21"/>
              </w:rPr>
            </w:pPr>
            <w:r>
              <w:rPr>
                <w:color w:val="000000" w:themeColor="text1"/>
                <w:kern w:val="24"/>
                <w:szCs w:val="21"/>
              </w:rPr>
              <w:t>综治社会监控资源整合平台</w:t>
            </w:r>
          </w:p>
        </w:tc>
        <w:tc>
          <w:tcPr>
            <w:tcW w:w="2855" w:type="dxa"/>
            <w:shd w:val="clear" w:color="auto" w:fill="auto"/>
            <w:tcMar>
              <w:top w:w="15" w:type="dxa"/>
              <w:left w:w="15" w:type="dxa"/>
              <w:bottom w:w="0" w:type="dxa"/>
              <w:right w:w="15" w:type="dxa"/>
            </w:tcMar>
            <w:vAlign w:val="center"/>
          </w:tcPr>
          <w:p>
            <w:pPr>
              <w:spacing w:line="300" w:lineRule="exact"/>
              <w:ind w:firstLine="480"/>
              <w:jc w:val="center"/>
              <w:textAlignment w:val="bottom"/>
              <w:rPr>
                <w:color w:val="000000" w:themeColor="text1"/>
                <w:kern w:val="24"/>
                <w:szCs w:val="21"/>
              </w:rPr>
            </w:pPr>
            <w:r>
              <w:rPr>
                <w:color w:val="000000" w:themeColor="text1"/>
                <w:kern w:val="24"/>
                <w:szCs w:val="21"/>
              </w:rPr>
              <w:t>172.X.0.0</w:t>
            </w:r>
          </w:p>
        </w:tc>
        <w:tc>
          <w:tcPr>
            <w:tcW w:w="2828" w:type="dxa"/>
            <w:shd w:val="clear" w:color="auto" w:fill="auto"/>
            <w:tcMar>
              <w:top w:w="15" w:type="dxa"/>
              <w:left w:w="15" w:type="dxa"/>
              <w:bottom w:w="0" w:type="dxa"/>
              <w:right w:w="15" w:type="dxa"/>
            </w:tcMar>
            <w:vAlign w:val="center"/>
          </w:tcPr>
          <w:p>
            <w:pPr>
              <w:spacing w:line="300" w:lineRule="exact"/>
              <w:ind w:firstLine="480"/>
              <w:jc w:val="center"/>
              <w:textAlignment w:val="bottom"/>
              <w:rPr>
                <w:color w:val="000000" w:themeColor="text1"/>
                <w:kern w:val="24"/>
                <w:szCs w:val="21"/>
              </w:rPr>
            </w:pPr>
            <w:r>
              <w:rPr>
                <w:color w:val="000000" w:themeColor="text1"/>
                <w:kern w:val="24"/>
                <w:szCs w:val="21"/>
              </w:rPr>
              <w:t>19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20" w:hRule="atLeast"/>
          <w:jc w:val="center"/>
        </w:trPr>
        <w:tc>
          <w:tcPr>
            <w:tcW w:w="3417" w:type="dxa"/>
            <w:shd w:val="clear" w:color="auto" w:fill="auto"/>
            <w:tcMar>
              <w:top w:w="15" w:type="dxa"/>
              <w:left w:w="15" w:type="dxa"/>
              <w:bottom w:w="0" w:type="dxa"/>
              <w:right w:w="15" w:type="dxa"/>
            </w:tcMar>
            <w:vAlign w:val="center"/>
          </w:tcPr>
          <w:p>
            <w:pPr>
              <w:spacing w:line="300" w:lineRule="exact"/>
              <w:ind w:firstLine="480"/>
              <w:textAlignment w:val="center"/>
              <w:rPr>
                <w:color w:val="000000" w:themeColor="text1"/>
                <w:kern w:val="24"/>
                <w:szCs w:val="21"/>
              </w:rPr>
            </w:pPr>
            <w:r>
              <w:rPr>
                <w:color w:val="000000" w:themeColor="text1"/>
                <w:kern w:val="24"/>
                <w:szCs w:val="21"/>
              </w:rPr>
              <w:t>电信</w:t>
            </w:r>
          </w:p>
        </w:tc>
        <w:tc>
          <w:tcPr>
            <w:tcW w:w="2855" w:type="dxa"/>
            <w:shd w:val="clear" w:color="auto" w:fill="auto"/>
            <w:tcMar>
              <w:top w:w="15" w:type="dxa"/>
              <w:left w:w="15" w:type="dxa"/>
              <w:bottom w:w="0" w:type="dxa"/>
              <w:right w:w="15" w:type="dxa"/>
            </w:tcMar>
            <w:vAlign w:val="center"/>
          </w:tcPr>
          <w:p>
            <w:pPr>
              <w:spacing w:line="300" w:lineRule="exact"/>
              <w:ind w:firstLine="480"/>
              <w:jc w:val="center"/>
              <w:textAlignment w:val="bottom"/>
              <w:rPr>
                <w:color w:val="000000" w:themeColor="text1"/>
                <w:kern w:val="24"/>
                <w:szCs w:val="21"/>
              </w:rPr>
            </w:pPr>
            <w:r>
              <w:rPr>
                <w:color w:val="000000" w:themeColor="text1"/>
                <w:kern w:val="24"/>
                <w:szCs w:val="21"/>
              </w:rPr>
              <w:t>172.X.32.0</w:t>
            </w:r>
          </w:p>
        </w:tc>
        <w:tc>
          <w:tcPr>
            <w:tcW w:w="2828" w:type="dxa"/>
            <w:shd w:val="clear" w:color="auto" w:fill="auto"/>
            <w:tcMar>
              <w:top w:w="15" w:type="dxa"/>
              <w:left w:w="15" w:type="dxa"/>
              <w:bottom w:w="0" w:type="dxa"/>
              <w:right w:w="15" w:type="dxa"/>
            </w:tcMar>
            <w:vAlign w:val="center"/>
          </w:tcPr>
          <w:p>
            <w:pPr>
              <w:spacing w:line="300" w:lineRule="exact"/>
              <w:ind w:firstLine="480"/>
              <w:jc w:val="center"/>
              <w:textAlignment w:val="bottom"/>
              <w:rPr>
                <w:color w:val="000000" w:themeColor="text1"/>
                <w:kern w:val="24"/>
                <w:szCs w:val="21"/>
              </w:rPr>
            </w:pPr>
            <w:r>
              <w:rPr>
                <w:color w:val="000000" w:themeColor="text1"/>
                <w:kern w:val="24"/>
                <w:szCs w:val="21"/>
              </w:rPr>
              <w:t>19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20" w:hRule="atLeast"/>
          <w:jc w:val="center"/>
        </w:trPr>
        <w:tc>
          <w:tcPr>
            <w:tcW w:w="3417" w:type="dxa"/>
            <w:shd w:val="clear" w:color="auto" w:fill="auto"/>
            <w:tcMar>
              <w:top w:w="15" w:type="dxa"/>
              <w:left w:w="15" w:type="dxa"/>
              <w:bottom w:w="0" w:type="dxa"/>
              <w:right w:w="15" w:type="dxa"/>
            </w:tcMar>
            <w:vAlign w:val="center"/>
          </w:tcPr>
          <w:p>
            <w:pPr>
              <w:spacing w:line="300" w:lineRule="exact"/>
              <w:ind w:firstLine="480"/>
              <w:textAlignment w:val="center"/>
              <w:rPr>
                <w:color w:val="000000" w:themeColor="text1"/>
                <w:kern w:val="24"/>
                <w:szCs w:val="21"/>
              </w:rPr>
            </w:pPr>
            <w:r>
              <w:rPr>
                <w:color w:val="000000" w:themeColor="text1"/>
                <w:kern w:val="24"/>
                <w:szCs w:val="21"/>
              </w:rPr>
              <w:t>移动</w:t>
            </w:r>
          </w:p>
        </w:tc>
        <w:tc>
          <w:tcPr>
            <w:tcW w:w="2855" w:type="dxa"/>
            <w:shd w:val="clear" w:color="auto" w:fill="auto"/>
            <w:tcMar>
              <w:top w:w="15" w:type="dxa"/>
              <w:left w:w="15" w:type="dxa"/>
              <w:bottom w:w="0" w:type="dxa"/>
              <w:right w:w="15" w:type="dxa"/>
            </w:tcMar>
            <w:vAlign w:val="center"/>
          </w:tcPr>
          <w:p>
            <w:pPr>
              <w:spacing w:line="300" w:lineRule="exact"/>
              <w:ind w:firstLine="480"/>
              <w:jc w:val="center"/>
              <w:textAlignment w:val="bottom"/>
              <w:rPr>
                <w:color w:val="000000" w:themeColor="text1"/>
                <w:kern w:val="24"/>
                <w:szCs w:val="21"/>
              </w:rPr>
            </w:pPr>
            <w:r>
              <w:rPr>
                <w:color w:val="000000" w:themeColor="text1"/>
                <w:kern w:val="24"/>
                <w:szCs w:val="21"/>
              </w:rPr>
              <w:t>172.X.64.0</w:t>
            </w:r>
          </w:p>
        </w:tc>
        <w:tc>
          <w:tcPr>
            <w:tcW w:w="2828" w:type="dxa"/>
            <w:shd w:val="clear" w:color="auto" w:fill="auto"/>
            <w:tcMar>
              <w:top w:w="15" w:type="dxa"/>
              <w:left w:w="15" w:type="dxa"/>
              <w:bottom w:w="0" w:type="dxa"/>
              <w:right w:w="15" w:type="dxa"/>
            </w:tcMar>
            <w:vAlign w:val="center"/>
          </w:tcPr>
          <w:p>
            <w:pPr>
              <w:spacing w:line="300" w:lineRule="exact"/>
              <w:ind w:firstLine="480"/>
              <w:jc w:val="center"/>
              <w:textAlignment w:val="bottom"/>
              <w:rPr>
                <w:color w:val="000000" w:themeColor="text1"/>
                <w:kern w:val="24"/>
                <w:szCs w:val="21"/>
              </w:rPr>
            </w:pPr>
            <w:r>
              <w:rPr>
                <w:color w:val="000000" w:themeColor="text1"/>
                <w:kern w:val="24"/>
                <w:szCs w:val="21"/>
              </w:rPr>
              <w:t>19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20" w:hRule="atLeast"/>
          <w:jc w:val="center"/>
        </w:trPr>
        <w:tc>
          <w:tcPr>
            <w:tcW w:w="3417" w:type="dxa"/>
            <w:shd w:val="clear" w:color="auto" w:fill="auto"/>
            <w:tcMar>
              <w:top w:w="15" w:type="dxa"/>
              <w:left w:w="15" w:type="dxa"/>
              <w:bottom w:w="0" w:type="dxa"/>
              <w:right w:w="15" w:type="dxa"/>
            </w:tcMar>
            <w:vAlign w:val="center"/>
          </w:tcPr>
          <w:p>
            <w:pPr>
              <w:spacing w:line="300" w:lineRule="exact"/>
              <w:ind w:firstLine="480"/>
              <w:textAlignment w:val="center"/>
              <w:rPr>
                <w:color w:val="000000" w:themeColor="text1"/>
                <w:kern w:val="24"/>
                <w:szCs w:val="21"/>
              </w:rPr>
            </w:pPr>
            <w:r>
              <w:rPr>
                <w:color w:val="000000" w:themeColor="text1"/>
                <w:kern w:val="24"/>
                <w:szCs w:val="21"/>
              </w:rPr>
              <w:t>华数</w:t>
            </w:r>
          </w:p>
        </w:tc>
        <w:tc>
          <w:tcPr>
            <w:tcW w:w="2855" w:type="dxa"/>
            <w:shd w:val="clear" w:color="auto" w:fill="auto"/>
            <w:tcMar>
              <w:top w:w="15" w:type="dxa"/>
              <w:left w:w="15" w:type="dxa"/>
              <w:bottom w:w="0" w:type="dxa"/>
              <w:right w:w="15" w:type="dxa"/>
            </w:tcMar>
            <w:vAlign w:val="center"/>
          </w:tcPr>
          <w:p>
            <w:pPr>
              <w:spacing w:line="300" w:lineRule="exact"/>
              <w:ind w:firstLine="480"/>
              <w:jc w:val="center"/>
              <w:textAlignment w:val="bottom"/>
              <w:rPr>
                <w:color w:val="000000" w:themeColor="text1"/>
                <w:kern w:val="24"/>
                <w:szCs w:val="21"/>
              </w:rPr>
            </w:pPr>
            <w:r>
              <w:rPr>
                <w:color w:val="000000" w:themeColor="text1"/>
                <w:kern w:val="24"/>
                <w:szCs w:val="21"/>
              </w:rPr>
              <w:t>172.X.96.0</w:t>
            </w:r>
          </w:p>
        </w:tc>
        <w:tc>
          <w:tcPr>
            <w:tcW w:w="2828" w:type="dxa"/>
            <w:shd w:val="clear" w:color="auto" w:fill="auto"/>
            <w:tcMar>
              <w:top w:w="15" w:type="dxa"/>
              <w:left w:w="15" w:type="dxa"/>
              <w:bottom w:w="0" w:type="dxa"/>
              <w:right w:w="15" w:type="dxa"/>
            </w:tcMar>
            <w:vAlign w:val="center"/>
          </w:tcPr>
          <w:p>
            <w:pPr>
              <w:spacing w:line="300" w:lineRule="exact"/>
              <w:ind w:firstLine="480"/>
              <w:jc w:val="center"/>
              <w:textAlignment w:val="bottom"/>
              <w:rPr>
                <w:color w:val="000000" w:themeColor="text1"/>
                <w:kern w:val="24"/>
                <w:szCs w:val="21"/>
              </w:rPr>
            </w:pPr>
            <w:r>
              <w:rPr>
                <w:color w:val="000000" w:themeColor="text1"/>
                <w:kern w:val="24"/>
                <w:szCs w:val="21"/>
              </w:rPr>
              <w:t>19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20" w:hRule="atLeast"/>
          <w:jc w:val="center"/>
        </w:trPr>
        <w:tc>
          <w:tcPr>
            <w:tcW w:w="3417" w:type="dxa"/>
            <w:shd w:val="clear" w:color="auto" w:fill="auto"/>
            <w:tcMar>
              <w:top w:w="15" w:type="dxa"/>
              <w:left w:w="15" w:type="dxa"/>
              <w:bottom w:w="0" w:type="dxa"/>
              <w:right w:w="15" w:type="dxa"/>
            </w:tcMar>
            <w:vAlign w:val="center"/>
          </w:tcPr>
          <w:p>
            <w:pPr>
              <w:spacing w:line="300" w:lineRule="exact"/>
              <w:ind w:firstLine="480"/>
              <w:textAlignment w:val="center"/>
              <w:rPr>
                <w:color w:val="000000" w:themeColor="text1"/>
                <w:kern w:val="24"/>
                <w:szCs w:val="21"/>
              </w:rPr>
            </w:pPr>
            <w:r>
              <w:rPr>
                <w:color w:val="000000" w:themeColor="text1"/>
                <w:kern w:val="24"/>
                <w:szCs w:val="21"/>
              </w:rPr>
              <w:t>联通</w:t>
            </w:r>
          </w:p>
        </w:tc>
        <w:tc>
          <w:tcPr>
            <w:tcW w:w="2855" w:type="dxa"/>
            <w:shd w:val="clear" w:color="auto" w:fill="auto"/>
            <w:tcMar>
              <w:top w:w="15" w:type="dxa"/>
              <w:left w:w="15" w:type="dxa"/>
              <w:bottom w:w="0" w:type="dxa"/>
              <w:right w:w="15" w:type="dxa"/>
            </w:tcMar>
            <w:vAlign w:val="center"/>
          </w:tcPr>
          <w:p>
            <w:pPr>
              <w:spacing w:line="300" w:lineRule="exact"/>
              <w:ind w:firstLine="480"/>
              <w:jc w:val="center"/>
              <w:textAlignment w:val="bottom"/>
              <w:rPr>
                <w:color w:val="000000" w:themeColor="text1"/>
                <w:kern w:val="24"/>
                <w:szCs w:val="21"/>
              </w:rPr>
            </w:pPr>
            <w:r>
              <w:rPr>
                <w:color w:val="000000" w:themeColor="text1"/>
                <w:kern w:val="24"/>
                <w:szCs w:val="21"/>
              </w:rPr>
              <w:t>172.X.128.0</w:t>
            </w:r>
          </w:p>
        </w:tc>
        <w:tc>
          <w:tcPr>
            <w:tcW w:w="2828" w:type="dxa"/>
            <w:shd w:val="clear" w:color="auto" w:fill="auto"/>
            <w:tcMar>
              <w:top w:w="15" w:type="dxa"/>
              <w:left w:w="15" w:type="dxa"/>
              <w:bottom w:w="0" w:type="dxa"/>
              <w:right w:w="15" w:type="dxa"/>
            </w:tcMar>
            <w:vAlign w:val="center"/>
          </w:tcPr>
          <w:p>
            <w:pPr>
              <w:spacing w:line="300" w:lineRule="exact"/>
              <w:ind w:firstLine="480"/>
              <w:jc w:val="center"/>
              <w:textAlignment w:val="bottom"/>
              <w:rPr>
                <w:color w:val="000000" w:themeColor="text1"/>
                <w:kern w:val="24"/>
                <w:szCs w:val="21"/>
              </w:rPr>
            </w:pPr>
            <w:r>
              <w:rPr>
                <w:color w:val="000000" w:themeColor="text1"/>
                <w:kern w:val="24"/>
                <w:szCs w:val="21"/>
              </w:rPr>
              <w:t>19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20" w:hRule="atLeast"/>
          <w:jc w:val="center"/>
        </w:trPr>
        <w:tc>
          <w:tcPr>
            <w:tcW w:w="3417" w:type="dxa"/>
            <w:shd w:val="clear" w:color="auto" w:fill="auto"/>
            <w:tcMar>
              <w:top w:w="15" w:type="dxa"/>
              <w:left w:w="15" w:type="dxa"/>
              <w:bottom w:w="0" w:type="dxa"/>
              <w:right w:w="15" w:type="dxa"/>
            </w:tcMar>
            <w:vAlign w:val="center"/>
          </w:tcPr>
          <w:p>
            <w:pPr>
              <w:spacing w:line="300" w:lineRule="exact"/>
              <w:ind w:firstLine="480"/>
              <w:textAlignment w:val="center"/>
              <w:rPr>
                <w:color w:val="000000" w:themeColor="text1"/>
                <w:kern w:val="24"/>
                <w:szCs w:val="21"/>
              </w:rPr>
            </w:pPr>
            <w:r>
              <w:rPr>
                <w:color w:val="000000" w:themeColor="text1"/>
                <w:kern w:val="24"/>
                <w:szCs w:val="21"/>
              </w:rPr>
              <w:t>预留</w:t>
            </w:r>
          </w:p>
        </w:tc>
        <w:tc>
          <w:tcPr>
            <w:tcW w:w="2855" w:type="dxa"/>
            <w:shd w:val="clear" w:color="auto" w:fill="auto"/>
            <w:tcMar>
              <w:top w:w="15" w:type="dxa"/>
              <w:left w:w="15" w:type="dxa"/>
              <w:bottom w:w="0" w:type="dxa"/>
              <w:right w:w="15" w:type="dxa"/>
            </w:tcMar>
            <w:vAlign w:val="center"/>
          </w:tcPr>
          <w:p>
            <w:pPr>
              <w:spacing w:line="300" w:lineRule="exact"/>
              <w:ind w:firstLine="480"/>
              <w:jc w:val="center"/>
              <w:textAlignment w:val="bottom"/>
              <w:rPr>
                <w:color w:val="000000" w:themeColor="text1"/>
                <w:kern w:val="24"/>
                <w:szCs w:val="21"/>
              </w:rPr>
            </w:pPr>
            <w:r>
              <w:rPr>
                <w:color w:val="000000" w:themeColor="text1"/>
                <w:kern w:val="24"/>
                <w:szCs w:val="21"/>
              </w:rPr>
              <w:t>172.X.160.0</w:t>
            </w:r>
          </w:p>
        </w:tc>
        <w:tc>
          <w:tcPr>
            <w:tcW w:w="2828" w:type="dxa"/>
            <w:shd w:val="clear" w:color="auto" w:fill="auto"/>
            <w:tcMar>
              <w:top w:w="15" w:type="dxa"/>
              <w:left w:w="15" w:type="dxa"/>
              <w:bottom w:w="0" w:type="dxa"/>
              <w:right w:w="15" w:type="dxa"/>
            </w:tcMar>
            <w:vAlign w:val="center"/>
          </w:tcPr>
          <w:p>
            <w:pPr>
              <w:spacing w:line="300" w:lineRule="exact"/>
              <w:ind w:firstLine="480"/>
              <w:jc w:val="center"/>
              <w:textAlignment w:val="bottom"/>
              <w:rPr>
                <w:color w:val="000000" w:themeColor="text1"/>
                <w:kern w:val="24"/>
                <w:szCs w:val="21"/>
              </w:rPr>
            </w:pPr>
            <w:r>
              <w:rPr>
                <w:color w:val="000000" w:themeColor="text1"/>
                <w:kern w:val="24"/>
                <w:szCs w:val="21"/>
              </w:rPr>
              <w:t>18</w:t>
            </w:r>
          </w:p>
        </w:tc>
      </w:tr>
    </w:tbl>
    <w:p>
      <w:pPr>
        <w:snapToGrid w:val="0"/>
        <w:ind w:firstLine="482"/>
        <w:jc w:val="center"/>
        <w:rPr>
          <w:rFonts w:ascii="宋体" w:hAnsi="宋体"/>
          <w:color w:val="000000" w:themeColor="text1"/>
        </w:rPr>
      </w:pPr>
      <w:r>
        <w:rPr>
          <w:rFonts w:hint="eastAsia" w:ascii="宋体"/>
          <w:b/>
          <w:color w:val="000000" w:themeColor="text1"/>
        </w:rPr>
        <w:t>IP规划表二</w:t>
      </w:r>
    </w:p>
    <w:p>
      <w:pPr>
        <w:pStyle w:val="5"/>
        <w:spacing w:before="120" w:after="120"/>
        <w:ind w:firstLine="480"/>
        <w:rPr>
          <w:color w:val="000000" w:themeColor="text1"/>
        </w:rPr>
      </w:pPr>
      <w:r>
        <w:rPr>
          <w:rFonts w:hint="eastAsia"/>
          <w:color w:val="000000" w:themeColor="text1"/>
        </w:rPr>
        <w:t>2.</w:t>
      </w:r>
      <w:r>
        <w:rPr>
          <w:color w:val="000000" w:themeColor="text1"/>
        </w:rPr>
        <w:t>1</w:t>
      </w:r>
      <w:r>
        <w:rPr>
          <w:rFonts w:hint="eastAsia"/>
          <w:color w:val="000000" w:themeColor="text1"/>
        </w:rPr>
        <w:t>社会视频资源</w:t>
      </w:r>
      <w:r>
        <w:rPr>
          <w:color w:val="000000" w:themeColor="text1"/>
        </w:rPr>
        <w:t>联网整合</w:t>
      </w:r>
      <w:bookmarkStart w:id="265" w:name="_Toc532520581"/>
    </w:p>
    <w:p>
      <w:pPr>
        <w:pStyle w:val="6"/>
        <w:spacing w:before="120" w:after="120"/>
        <w:ind w:firstLine="480"/>
        <w:rPr>
          <w:color w:val="000000" w:themeColor="text1"/>
        </w:rPr>
      </w:pPr>
      <w:r>
        <w:rPr>
          <w:color w:val="000000" w:themeColor="text1"/>
        </w:rPr>
        <w:t>2.1.1联网架构</w:t>
      </w:r>
      <w:bookmarkEnd w:id="265"/>
    </w:p>
    <w:p>
      <w:pPr>
        <w:ind w:firstLine="480"/>
        <w:rPr>
          <w:color w:val="000000" w:themeColor="text1"/>
        </w:rPr>
      </w:pPr>
      <w:r>
        <w:rPr>
          <w:rFonts w:hint="eastAsia"/>
          <w:color w:val="000000" w:themeColor="text1"/>
        </w:rPr>
        <w:t>新建</w:t>
      </w:r>
      <w:r>
        <w:rPr>
          <w:color w:val="000000" w:themeColor="text1"/>
        </w:rPr>
        <w:t>市本级</w:t>
      </w:r>
      <w:r>
        <w:rPr>
          <w:rFonts w:hint="eastAsia"/>
          <w:color w:val="000000" w:themeColor="text1"/>
        </w:rPr>
        <w:t>和</w:t>
      </w:r>
      <w:r>
        <w:rPr>
          <w:color w:val="000000" w:themeColor="text1"/>
        </w:rPr>
        <w:t>浦江</w:t>
      </w:r>
      <w:r>
        <w:rPr>
          <w:rFonts w:hint="eastAsia"/>
          <w:color w:val="000000" w:themeColor="text1"/>
        </w:rPr>
        <w:t>、</w:t>
      </w:r>
      <w:r>
        <w:rPr>
          <w:color w:val="000000" w:themeColor="text1"/>
        </w:rPr>
        <w:t>磐安社会面整合平台</w:t>
      </w:r>
      <w:r>
        <w:rPr>
          <w:rFonts w:hint="eastAsia"/>
          <w:color w:val="000000" w:themeColor="text1"/>
        </w:rPr>
        <w:t>，</w:t>
      </w:r>
      <w:r>
        <w:rPr>
          <w:color w:val="000000" w:themeColor="text1"/>
        </w:rPr>
        <w:t>与义乌、东阳、永康、兰溪已建社会面整合平台，实现</w:t>
      </w:r>
      <w:r>
        <w:rPr>
          <w:rFonts w:hint="eastAsia"/>
          <w:color w:val="000000" w:themeColor="text1"/>
        </w:rPr>
        <w:t>全市范围内</w:t>
      </w:r>
      <w:r>
        <w:rPr>
          <w:color w:val="000000" w:themeColor="text1"/>
        </w:rPr>
        <w:t>社会单位视频资源的可视化集中管理</w:t>
      </w:r>
      <w:r>
        <w:rPr>
          <w:rFonts w:hint="eastAsia"/>
          <w:color w:val="000000" w:themeColor="text1"/>
        </w:rPr>
        <w:t>。</w:t>
      </w:r>
      <w:r>
        <w:rPr>
          <w:color w:val="000000" w:themeColor="text1"/>
        </w:rPr>
        <w:t>市本级及各区、武义</w:t>
      </w:r>
      <w:r>
        <w:rPr>
          <w:rFonts w:hint="eastAsia"/>
          <w:color w:val="000000" w:themeColor="text1"/>
        </w:rPr>
        <w:t>社会</w:t>
      </w:r>
      <w:r>
        <w:rPr>
          <w:color w:val="000000" w:themeColor="text1"/>
        </w:rPr>
        <w:t>视频</w:t>
      </w:r>
      <w:r>
        <w:rPr>
          <w:rFonts w:hint="eastAsia"/>
          <w:color w:val="000000" w:themeColor="text1"/>
        </w:rPr>
        <w:t>资源通过</w:t>
      </w:r>
      <w:r>
        <w:rPr>
          <w:color w:val="000000" w:themeColor="text1"/>
        </w:rPr>
        <w:t>市</w:t>
      </w:r>
      <w:r>
        <w:rPr>
          <w:rFonts w:hint="eastAsia"/>
          <w:color w:val="000000" w:themeColor="text1"/>
        </w:rPr>
        <w:t>本</w:t>
      </w:r>
      <w:r>
        <w:rPr>
          <w:color w:val="000000" w:themeColor="text1"/>
        </w:rPr>
        <w:t>级社会面整合平台</w:t>
      </w:r>
      <w:r>
        <w:rPr>
          <w:rFonts w:hint="eastAsia"/>
          <w:color w:val="000000" w:themeColor="text1"/>
        </w:rPr>
        <w:t>推送</w:t>
      </w:r>
      <w:r>
        <w:rPr>
          <w:color w:val="000000" w:themeColor="text1"/>
        </w:rPr>
        <w:t>至</w:t>
      </w:r>
      <w:r>
        <w:rPr>
          <w:rFonts w:hint="eastAsia"/>
          <w:color w:val="000000" w:themeColor="text1"/>
        </w:rPr>
        <w:t>市</w:t>
      </w:r>
      <w:r>
        <w:rPr>
          <w:color w:val="000000" w:themeColor="text1"/>
        </w:rPr>
        <w:t>本级视频</w:t>
      </w:r>
      <w:r>
        <w:rPr>
          <w:rFonts w:hint="eastAsia"/>
          <w:color w:val="000000" w:themeColor="text1"/>
        </w:rPr>
        <w:t>专网</w:t>
      </w:r>
      <w:r>
        <w:rPr>
          <w:color w:val="000000" w:themeColor="text1"/>
        </w:rPr>
        <w:t>共享平台，</w:t>
      </w:r>
      <w:r>
        <w:rPr>
          <w:rFonts w:hint="eastAsia"/>
          <w:color w:val="000000" w:themeColor="text1"/>
        </w:rPr>
        <w:t>其余</w:t>
      </w:r>
      <w:r>
        <w:rPr>
          <w:color w:val="000000" w:themeColor="text1"/>
        </w:rPr>
        <w:t>各县市社会视频资源</w:t>
      </w:r>
      <w:r>
        <w:rPr>
          <w:rFonts w:hint="eastAsia"/>
          <w:color w:val="000000" w:themeColor="text1"/>
        </w:rPr>
        <w:t>通过各县市</w:t>
      </w:r>
      <w:r>
        <w:rPr>
          <w:color w:val="000000" w:themeColor="text1"/>
        </w:rPr>
        <w:t>社会面整合</w:t>
      </w:r>
      <w:r>
        <w:rPr>
          <w:rFonts w:hint="eastAsia"/>
          <w:color w:val="000000" w:themeColor="text1"/>
        </w:rPr>
        <w:t>平台</w:t>
      </w:r>
      <w:r>
        <w:rPr>
          <w:color w:val="000000" w:themeColor="text1"/>
        </w:rPr>
        <w:t>推送至</w:t>
      </w:r>
      <w:r>
        <w:rPr>
          <w:rFonts w:hint="eastAsia"/>
          <w:color w:val="000000" w:themeColor="text1"/>
        </w:rPr>
        <w:t>各</w:t>
      </w:r>
      <w:r>
        <w:rPr>
          <w:color w:val="000000" w:themeColor="text1"/>
        </w:rPr>
        <w:t>县市公安视频专网共享平台</w:t>
      </w:r>
      <w:r>
        <w:rPr>
          <w:rFonts w:hint="eastAsia"/>
          <w:color w:val="000000" w:themeColor="text1"/>
        </w:rPr>
        <w:t>，</w:t>
      </w:r>
      <w:r>
        <w:rPr>
          <w:color w:val="000000" w:themeColor="text1"/>
        </w:rPr>
        <w:t>实现全市范围视频资源联网整合。</w:t>
      </w:r>
    </w:p>
    <w:p>
      <w:pPr>
        <w:ind w:firstLine="480"/>
        <w:jc w:val="center"/>
        <w:rPr>
          <w:color w:val="000000" w:themeColor="text1"/>
        </w:rPr>
      </w:pPr>
      <w:r>
        <w:rPr>
          <w:color w:val="000000" w:themeColor="text1"/>
        </w:rPr>
        <w:pict>
          <v:shape id="_x0000_i1025" o:spt="75" type="#_x0000_t75" style="height:193.6pt;width:345.75pt;" filled="f" o:preferrelative="t" stroked="f" coordsize="21600,21600">
            <v:path/>
            <v:fill on="f" focussize="0,0"/>
            <v:stroke on="f" joinstyle="miter"/>
            <v:imagedata r:id="rId16" o:title=""/>
            <o:lock v:ext="edit" aspectratio="t"/>
            <w10:wrap type="none"/>
            <w10:anchorlock/>
          </v:shape>
        </w:pict>
      </w:r>
    </w:p>
    <w:p>
      <w:pPr>
        <w:ind w:firstLine="480"/>
        <w:jc w:val="center"/>
        <w:rPr>
          <w:color w:val="000000" w:themeColor="text1"/>
        </w:rPr>
      </w:pPr>
      <w:r>
        <w:rPr>
          <w:color w:val="000000" w:themeColor="text1"/>
        </w:rPr>
        <w:t>社会面监控资源联网架构图</w:t>
      </w:r>
    </w:p>
    <w:p>
      <w:pPr>
        <w:pStyle w:val="6"/>
        <w:spacing w:before="120" w:after="120"/>
        <w:ind w:firstLine="480"/>
        <w:rPr>
          <w:color w:val="000000" w:themeColor="text1"/>
        </w:rPr>
      </w:pPr>
      <w:bookmarkStart w:id="266" w:name="_Toc532520582"/>
      <w:r>
        <w:rPr>
          <w:color w:val="000000" w:themeColor="text1"/>
        </w:rPr>
        <w:t>2.1.2联网要求</w:t>
      </w:r>
      <w:bookmarkEnd w:id="266"/>
    </w:p>
    <w:p>
      <w:pPr>
        <w:pStyle w:val="7"/>
        <w:spacing w:before="120" w:after="120"/>
        <w:ind w:firstLine="480"/>
        <w:rPr>
          <w:color w:val="000000" w:themeColor="text1"/>
        </w:rPr>
      </w:pPr>
      <w:bookmarkStart w:id="267" w:name="_Toc521699598"/>
      <w:r>
        <w:rPr>
          <w:color w:val="000000" w:themeColor="text1"/>
        </w:rPr>
        <w:t>2.1.2.1统一标准，分类实施</w:t>
      </w:r>
      <w:bookmarkEnd w:id="267"/>
    </w:p>
    <w:p>
      <w:pPr>
        <w:ind w:firstLine="480"/>
        <w:rPr>
          <w:color w:val="000000" w:themeColor="text1"/>
        </w:rPr>
      </w:pPr>
      <w:r>
        <w:rPr>
          <w:color w:val="000000" w:themeColor="text1"/>
        </w:rPr>
        <w:t>重点行业、领域涉及公共区域二类监控资源新建，直接依托公安视频专网，不再新建独立平台，由市县两级公安视频专网共享平台分别汇聚整合。</w:t>
      </w:r>
    </w:p>
    <w:p>
      <w:pPr>
        <w:ind w:firstLine="480"/>
        <w:rPr>
          <w:color w:val="000000" w:themeColor="text1"/>
        </w:rPr>
      </w:pPr>
      <w:r>
        <w:rPr>
          <w:color w:val="000000" w:themeColor="text1"/>
        </w:rPr>
        <w:t>为加快整合速度，凡行业部门已建成视频监控统一汇聚平台，实现条线单位视频监控资源整合联网的，由行业部门汇聚平台通过平台级联与市级社会面整合平台对接。</w:t>
      </w:r>
    </w:p>
    <w:p>
      <w:pPr>
        <w:ind w:firstLine="480"/>
        <w:rPr>
          <w:color w:val="000000" w:themeColor="text1"/>
        </w:rPr>
      </w:pPr>
      <w:r>
        <w:rPr>
          <w:color w:val="000000" w:themeColor="text1"/>
        </w:rPr>
        <w:t>涉及非公共区域的二类监控资源，宜依托独立专网或VPN网建设，由社会面整合平台或运营商平台进行整合联网。涉及互联网应用的二类监控资源，设备不宜直接部署于互联网，同时互联网应用做好出口安全防控，由运营商平台进行整合联网。</w:t>
      </w:r>
    </w:p>
    <w:p>
      <w:pPr>
        <w:ind w:firstLine="480"/>
        <w:rPr>
          <w:color w:val="000000" w:themeColor="text1"/>
        </w:rPr>
      </w:pPr>
      <w:r>
        <w:rPr>
          <w:color w:val="000000" w:themeColor="text1"/>
        </w:rPr>
        <w:t>三类视频监控，采用运营商平台先行整合后，推送至社会面整合平台。</w:t>
      </w:r>
      <w:bookmarkStart w:id="268" w:name="_Toc521699599"/>
      <w:r>
        <w:rPr>
          <w:color w:val="000000" w:themeColor="text1"/>
        </w:rPr>
        <w:t>义乌、东阳、永康、兰溪推送至县市级社会面整合平台，市本级及其他县市区推送至市级社会面整合平台。</w:t>
      </w:r>
    </w:p>
    <w:p>
      <w:pPr>
        <w:pStyle w:val="7"/>
        <w:spacing w:before="120" w:after="120"/>
        <w:ind w:firstLine="480"/>
        <w:rPr>
          <w:color w:val="000000" w:themeColor="text1"/>
        </w:rPr>
      </w:pPr>
      <w:r>
        <w:rPr>
          <w:color w:val="000000" w:themeColor="text1"/>
        </w:rPr>
        <w:t>2.1.2.2安全接入，确保可靠</w:t>
      </w:r>
      <w:bookmarkEnd w:id="268"/>
    </w:p>
    <w:p>
      <w:pPr>
        <w:ind w:firstLine="480"/>
        <w:rPr>
          <w:color w:val="000000" w:themeColor="text1"/>
        </w:rPr>
      </w:pPr>
      <w:r>
        <w:rPr>
          <w:color w:val="000000" w:themeColor="text1"/>
        </w:rPr>
        <w:t>为保障公安视频专网安全，社会监控资源的接入应使用专线、VPN线路，原则上不使用互联网接入。社会面整合平台在接入公安视频专网时，应部署安全边界、安全隔离网闸等必要的安全设备。</w:t>
      </w:r>
      <w:bookmarkStart w:id="269" w:name="_Toc521699600"/>
    </w:p>
    <w:p>
      <w:pPr>
        <w:pStyle w:val="7"/>
        <w:spacing w:before="120" w:after="120"/>
        <w:ind w:firstLine="480"/>
        <w:rPr>
          <w:color w:val="000000" w:themeColor="text1"/>
        </w:rPr>
      </w:pPr>
      <w:r>
        <w:rPr>
          <w:color w:val="000000" w:themeColor="text1"/>
        </w:rPr>
        <w:t>2.1.2.3集约建设，节约投资</w:t>
      </w:r>
      <w:bookmarkEnd w:id="269"/>
    </w:p>
    <w:p>
      <w:pPr>
        <w:snapToGrid w:val="0"/>
        <w:ind w:firstLine="480"/>
        <w:rPr>
          <w:rFonts w:ascii="宋体" w:hAnsi="宋体"/>
          <w:color w:val="000000" w:themeColor="text1"/>
        </w:rPr>
      </w:pPr>
      <w:r>
        <w:rPr>
          <w:rFonts w:ascii="宋体" w:hAnsi="宋体"/>
          <w:color w:val="000000" w:themeColor="text1"/>
        </w:rPr>
        <w:t>公共安全视频监控应在城市建设项目中同步规划，集约建设。通过一杆多用、一机多用方式推进基础设施共建共享，节约投资。</w:t>
      </w:r>
    </w:p>
    <w:p>
      <w:pPr>
        <w:pStyle w:val="6"/>
        <w:spacing w:before="120" w:after="120"/>
        <w:ind w:firstLine="480"/>
        <w:rPr>
          <w:color w:val="000000" w:themeColor="text1"/>
        </w:rPr>
      </w:pPr>
      <w:bookmarkStart w:id="270" w:name="_Toc532520587"/>
      <w:r>
        <w:rPr>
          <w:color w:val="000000" w:themeColor="text1"/>
        </w:rPr>
        <w:t>2.1.3</w:t>
      </w:r>
      <w:r>
        <w:rPr>
          <w:rFonts w:hint="eastAsia"/>
          <w:color w:val="000000" w:themeColor="text1"/>
        </w:rPr>
        <w:t>各行业单位视频应用工作界面分工</w:t>
      </w:r>
      <w:bookmarkEnd w:id="270"/>
    </w:p>
    <w:p>
      <w:pPr>
        <w:ind w:firstLine="480"/>
        <w:rPr>
          <w:color w:val="000000" w:themeColor="text1"/>
        </w:rPr>
      </w:pPr>
      <w:r>
        <w:rPr>
          <w:rFonts w:hint="eastAsia"/>
          <w:color w:val="000000" w:themeColor="text1"/>
        </w:rPr>
        <w:t>平台中标人负责对点位信息的户籍化标注，对相机的区域属性、行业属性进行户籍化标注。</w:t>
      </w:r>
    </w:p>
    <w:p>
      <w:pPr>
        <w:ind w:firstLine="480"/>
        <w:rPr>
          <w:color w:val="000000" w:themeColor="text1"/>
        </w:rPr>
      </w:pPr>
      <w:r>
        <w:rPr>
          <w:rFonts w:hint="eastAsia"/>
          <w:color w:val="000000" w:themeColor="text1"/>
        </w:rPr>
        <w:t>各行业单位如有视频应用的需求，需要自己提出具体的摄像机点位，提交使用申请。</w:t>
      </w:r>
    </w:p>
    <w:p>
      <w:pPr>
        <w:ind w:firstLine="480"/>
        <w:rPr>
          <w:color w:val="000000" w:themeColor="text1"/>
        </w:rPr>
      </w:pPr>
      <w:r>
        <w:rPr>
          <w:rFonts w:hint="eastAsia"/>
          <w:color w:val="000000" w:themeColor="text1"/>
        </w:rPr>
        <w:t>使用单位没有视频监控平台的，从公安视频专网平台直接拉客户端到使用单位，产生的费用由使用单位承担。</w:t>
      </w:r>
    </w:p>
    <w:p>
      <w:pPr>
        <w:ind w:firstLine="480"/>
        <w:rPr>
          <w:color w:val="000000" w:themeColor="text1"/>
        </w:rPr>
      </w:pPr>
      <w:r>
        <w:rPr>
          <w:rFonts w:hint="eastAsia"/>
          <w:color w:val="000000" w:themeColor="text1"/>
        </w:rPr>
        <w:t>使用单位有视频监控平台的，由公安视频专网平台与使用单位的视频平台对接，产生的费用由使用单位承担。</w:t>
      </w:r>
    </w:p>
    <w:p>
      <w:pPr>
        <w:ind w:firstLine="480"/>
        <w:rPr>
          <w:color w:val="000000" w:themeColor="text1"/>
        </w:rPr>
        <w:sectPr>
          <w:headerReference r:id="rId8" w:type="first"/>
          <w:footerReference r:id="rId11" w:type="first"/>
          <w:headerReference r:id="rId6" w:type="default"/>
          <w:footerReference r:id="rId9" w:type="default"/>
          <w:headerReference r:id="rId7" w:type="even"/>
          <w:footerReference r:id="rId10" w:type="even"/>
          <w:pgSz w:w="11906" w:h="16838"/>
          <w:pgMar w:top="1418" w:right="1418" w:bottom="1418" w:left="1418" w:header="851" w:footer="992" w:gutter="0"/>
          <w:cols w:space="720" w:num="1"/>
          <w:docGrid w:linePitch="312" w:charSpace="0"/>
        </w:sectPr>
      </w:pPr>
      <w:r>
        <w:rPr>
          <w:rFonts w:hint="eastAsia"/>
          <w:color w:val="000000" w:themeColor="text1"/>
        </w:rPr>
        <w:t>使用单位的视频使用应按照公安视频管理相关制度进行管理，并增加自身平台安全系统建设，做到视频使用终端安全管理、终端准入、权限控制、审计溯源的要求。</w:t>
      </w:r>
    </w:p>
    <w:p>
      <w:pPr>
        <w:pStyle w:val="4"/>
        <w:ind w:firstLine="562"/>
        <w:rPr>
          <w:color w:val="000000" w:themeColor="text1"/>
        </w:rPr>
      </w:pPr>
      <w:bookmarkStart w:id="271" w:name="_Toc7521681"/>
      <w:bookmarkStart w:id="272" w:name="_Toc8760705"/>
      <w:r>
        <w:rPr>
          <w:rFonts w:hint="eastAsia"/>
          <w:color w:val="000000" w:themeColor="text1"/>
        </w:rPr>
        <w:t>（二）项目清单</w:t>
      </w:r>
      <w:bookmarkEnd w:id="271"/>
      <w:bookmarkEnd w:id="272"/>
    </w:p>
    <w:p>
      <w:pPr>
        <w:pStyle w:val="5"/>
        <w:spacing w:before="120" w:after="120"/>
        <w:ind w:firstLine="480"/>
        <w:rPr>
          <w:color w:val="000000" w:themeColor="text1"/>
        </w:rPr>
      </w:pPr>
      <w:r>
        <w:rPr>
          <w:rFonts w:hint="eastAsia"/>
          <w:color w:val="000000" w:themeColor="text1"/>
        </w:rPr>
        <w:t>1、综治</w:t>
      </w:r>
      <w:r>
        <w:rPr>
          <w:color w:val="000000" w:themeColor="text1"/>
        </w:rPr>
        <w:t>分平台</w:t>
      </w:r>
    </w:p>
    <w:tbl>
      <w:tblPr>
        <w:tblStyle w:val="53"/>
        <w:tblW w:w="852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9"/>
        <w:gridCol w:w="926"/>
        <w:gridCol w:w="3988"/>
        <w:gridCol w:w="791"/>
        <w:gridCol w:w="1231"/>
        <w:gridCol w:w="7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879" w:type="dxa"/>
            <w:vAlign w:val="center"/>
          </w:tcPr>
          <w:p>
            <w:pPr>
              <w:spacing w:line="300" w:lineRule="exact"/>
              <w:jc w:val="center"/>
              <w:rPr>
                <w:rFonts w:ascii="宋体" w:hAnsi="宋体"/>
                <w:b/>
                <w:bCs/>
                <w:color w:val="000000" w:themeColor="text1"/>
                <w:szCs w:val="21"/>
              </w:rPr>
            </w:pPr>
            <w:r>
              <w:rPr>
                <w:rFonts w:hint="eastAsia" w:ascii="宋体" w:hAnsi="宋体"/>
                <w:b/>
                <w:bCs/>
                <w:color w:val="000000" w:themeColor="text1"/>
                <w:szCs w:val="21"/>
              </w:rPr>
              <w:t>项目</w:t>
            </w:r>
          </w:p>
        </w:tc>
        <w:tc>
          <w:tcPr>
            <w:tcW w:w="926" w:type="dxa"/>
            <w:tcBorders>
              <w:bottom w:val="single" w:color="auto" w:sz="4" w:space="0"/>
            </w:tcBorders>
            <w:vAlign w:val="center"/>
          </w:tcPr>
          <w:p>
            <w:pPr>
              <w:spacing w:line="300" w:lineRule="exact"/>
              <w:jc w:val="center"/>
              <w:rPr>
                <w:rFonts w:ascii="宋体" w:hAnsi="宋体"/>
                <w:b/>
                <w:color w:val="000000" w:themeColor="text1"/>
                <w:szCs w:val="21"/>
                <w:u w:val="single"/>
              </w:rPr>
            </w:pPr>
            <w:r>
              <w:rPr>
                <w:rFonts w:hint="eastAsia" w:ascii="宋体" w:hAnsi="宋体"/>
                <w:b/>
                <w:bCs/>
                <w:color w:val="000000" w:themeColor="text1"/>
                <w:szCs w:val="21"/>
              </w:rPr>
              <w:t>子项目</w:t>
            </w:r>
          </w:p>
        </w:tc>
        <w:tc>
          <w:tcPr>
            <w:tcW w:w="3988" w:type="dxa"/>
            <w:tcBorders>
              <w:bottom w:val="single" w:color="auto" w:sz="4" w:space="0"/>
            </w:tcBorders>
            <w:vAlign w:val="center"/>
          </w:tcPr>
          <w:p>
            <w:pPr>
              <w:spacing w:line="300" w:lineRule="exact"/>
              <w:jc w:val="center"/>
              <w:rPr>
                <w:rFonts w:ascii="宋体" w:hAnsi="宋体"/>
                <w:b/>
                <w:color w:val="000000" w:themeColor="text1"/>
                <w:szCs w:val="21"/>
              </w:rPr>
            </w:pPr>
            <w:r>
              <w:rPr>
                <w:rFonts w:hint="eastAsia" w:ascii="宋体" w:hAnsi="宋体"/>
                <w:b/>
                <w:color w:val="000000" w:themeColor="text1"/>
                <w:szCs w:val="21"/>
              </w:rPr>
              <w:t>技术参数</w:t>
            </w:r>
          </w:p>
        </w:tc>
        <w:tc>
          <w:tcPr>
            <w:tcW w:w="791" w:type="dxa"/>
            <w:tcBorders>
              <w:bottom w:val="single" w:color="auto" w:sz="4" w:space="0"/>
            </w:tcBorders>
            <w:vAlign w:val="center"/>
          </w:tcPr>
          <w:p>
            <w:pPr>
              <w:spacing w:line="300" w:lineRule="exact"/>
              <w:jc w:val="center"/>
              <w:rPr>
                <w:rFonts w:ascii="宋体" w:hAnsi="宋体"/>
                <w:b/>
                <w:color w:val="000000" w:themeColor="text1"/>
                <w:szCs w:val="21"/>
              </w:rPr>
            </w:pPr>
            <w:r>
              <w:rPr>
                <w:rFonts w:hint="eastAsia" w:ascii="宋体" w:hAnsi="宋体"/>
                <w:b/>
                <w:color w:val="000000" w:themeColor="text1"/>
                <w:szCs w:val="21"/>
              </w:rPr>
              <w:t>数量</w:t>
            </w:r>
          </w:p>
        </w:tc>
        <w:tc>
          <w:tcPr>
            <w:tcW w:w="1231" w:type="dxa"/>
            <w:tcBorders>
              <w:bottom w:val="single" w:color="auto" w:sz="4" w:space="0"/>
            </w:tcBorders>
            <w:vAlign w:val="center"/>
          </w:tcPr>
          <w:p>
            <w:pPr>
              <w:spacing w:line="300" w:lineRule="exact"/>
              <w:jc w:val="center"/>
              <w:rPr>
                <w:rFonts w:ascii="宋体" w:hAnsi="宋体" w:cs="宋体"/>
                <w:b/>
                <w:color w:val="000000" w:themeColor="text1"/>
                <w:szCs w:val="21"/>
              </w:rPr>
            </w:pPr>
            <w:r>
              <w:rPr>
                <w:rFonts w:hint="eastAsia" w:ascii="宋体" w:hAnsi="宋体" w:cs="宋体"/>
                <w:b/>
                <w:color w:val="000000" w:themeColor="text1"/>
                <w:szCs w:val="21"/>
              </w:rPr>
              <w:t>县市区</w:t>
            </w:r>
          </w:p>
        </w:tc>
        <w:tc>
          <w:tcPr>
            <w:tcW w:w="713" w:type="dxa"/>
            <w:tcBorders>
              <w:bottom w:val="single" w:color="auto" w:sz="4" w:space="0"/>
            </w:tcBorders>
            <w:noWrap/>
            <w:vAlign w:val="center"/>
          </w:tcPr>
          <w:p>
            <w:pPr>
              <w:spacing w:line="300" w:lineRule="exact"/>
              <w:jc w:val="center"/>
              <w:rPr>
                <w:rFonts w:ascii="宋体" w:hAnsi="宋体"/>
                <w:b/>
                <w:color w:val="000000" w:themeColor="text1"/>
                <w:szCs w:val="21"/>
              </w:rPr>
            </w:pPr>
            <w:r>
              <w:rPr>
                <w:rFonts w:hint="eastAsia" w:ascii="宋体" w:hAnsi="宋体"/>
                <w:b/>
                <w:color w:val="000000" w:themeColor="text1"/>
                <w:szCs w:val="21"/>
              </w:rPr>
              <w:t>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879" w:type="dxa"/>
            <w:vMerge w:val="restart"/>
            <w:vAlign w:val="center"/>
          </w:tcPr>
          <w:p>
            <w:pPr>
              <w:spacing w:line="300" w:lineRule="exact"/>
              <w:rPr>
                <w:rFonts w:ascii="宋体" w:hAnsi="宋体"/>
                <w:b/>
                <w:bCs/>
                <w:color w:val="000000" w:themeColor="text1"/>
                <w:szCs w:val="21"/>
              </w:rPr>
            </w:pPr>
            <w:r>
              <w:rPr>
                <w:rFonts w:ascii="宋体" w:hAnsi="宋体"/>
                <w:b/>
                <w:bCs/>
                <w:color w:val="000000" w:themeColor="text1"/>
                <w:szCs w:val="21"/>
              </w:rPr>
              <w:t>综治分平台</w:t>
            </w:r>
          </w:p>
        </w:tc>
        <w:tc>
          <w:tcPr>
            <w:tcW w:w="926" w:type="dxa"/>
            <w:tcBorders>
              <w:top w:val="single" w:color="auto" w:sz="4" w:space="0"/>
            </w:tcBorders>
            <w:vAlign w:val="center"/>
          </w:tcPr>
          <w:p>
            <w:pPr>
              <w:spacing w:line="300" w:lineRule="exact"/>
              <w:rPr>
                <w:rFonts w:ascii="宋体" w:hAnsi="宋体"/>
                <w:color w:val="000000" w:themeColor="text1"/>
                <w:szCs w:val="21"/>
              </w:rPr>
            </w:pPr>
            <w:r>
              <w:rPr>
                <w:rFonts w:ascii="宋体" w:hAnsi="宋体"/>
                <w:color w:val="000000" w:themeColor="text1"/>
                <w:szCs w:val="21"/>
              </w:rPr>
              <w:t>视频应用及管理服务</w:t>
            </w:r>
            <w:r>
              <w:rPr>
                <w:rFonts w:hint="eastAsia" w:ascii="宋体" w:hAnsi="宋体"/>
                <w:color w:val="000000" w:themeColor="text1"/>
                <w:szCs w:val="21"/>
              </w:rPr>
              <w:t>1</w:t>
            </w:r>
          </w:p>
        </w:tc>
        <w:tc>
          <w:tcPr>
            <w:tcW w:w="3988" w:type="dxa"/>
            <w:tcBorders>
              <w:top w:val="single" w:color="auto" w:sz="4" w:space="0"/>
            </w:tcBorders>
            <w:vAlign w:val="center"/>
          </w:tcPr>
          <w:p>
            <w:pPr>
              <w:spacing w:line="300" w:lineRule="exact"/>
              <w:rPr>
                <w:rFonts w:ascii="宋体" w:hAnsi="宋体"/>
                <w:color w:val="000000" w:themeColor="text1"/>
                <w:szCs w:val="21"/>
              </w:rPr>
            </w:pPr>
            <w:r>
              <w:rPr>
                <w:rFonts w:hint="eastAsia"/>
                <w:color w:val="000000" w:themeColor="text1"/>
              </w:rPr>
              <w:t>★</w:t>
            </w:r>
            <w:r>
              <w:rPr>
                <w:rFonts w:ascii="宋体" w:hAnsi="宋体"/>
                <w:color w:val="000000" w:themeColor="text1"/>
                <w:szCs w:val="21"/>
              </w:rPr>
              <w:t>支持不少于10万个监控点的管理能力，600路视频转发能力。</w:t>
            </w:r>
          </w:p>
          <w:p>
            <w:pPr>
              <w:spacing w:line="300" w:lineRule="exact"/>
              <w:rPr>
                <w:rFonts w:ascii="宋体" w:hAnsi="宋体"/>
                <w:color w:val="000000" w:themeColor="text1"/>
                <w:szCs w:val="21"/>
              </w:rPr>
            </w:pPr>
            <w:r>
              <w:rPr>
                <w:rFonts w:ascii="宋体" w:hAnsi="宋体"/>
                <w:color w:val="000000" w:themeColor="text1"/>
                <w:szCs w:val="21"/>
              </w:rPr>
              <w:t>平台支持视频监控、设备管理、报表与日志、系统管理、运维监管功能。</w:t>
            </w:r>
          </w:p>
          <w:p>
            <w:pPr>
              <w:spacing w:line="300" w:lineRule="exact"/>
              <w:rPr>
                <w:rFonts w:ascii="宋体" w:hAnsi="宋体"/>
                <w:color w:val="000000" w:themeColor="text1"/>
                <w:szCs w:val="21"/>
              </w:rPr>
            </w:pPr>
            <w:r>
              <w:rPr>
                <w:rFonts w:ascii="宋体" w:hAnsi="宋体"/>
                <w:color w:val="000000" w:themeColor="text1"/>
                <w:szCs w:val="21"/>
              </w:rPr>
              <w:t>平台要求支持GB/T 28181-2016等联网标准协议，支持不少于10万个监控点的管理和展示。</w:t>
            </w:r>
          </w:p>
          <w:p>
            <w:pPr>
              <w:spacing w:line="300" w:lineRule="exact"/>
              <w:rPr>
                <w:rFonts w:ascii="宋体" w:hAnsi="宋体"/>
                <w:color w:val="000000" w:themeColor="text1"/>
                <w:szCs w:val="21"/>
              </w:rPr>
            </w:pPr>
            <w:r>
              <w:rPr>
                <w:rFonts w:hint="eastAsia" w:ascii="宋体" w:hAnsi="宋体"/>
                <w:color w:val="000000" w:themeColor="text1"/>
                <w:szCs w:val="21"/>
              </w:rPr>
              <w:t>（部署</w:t>
            </w:r>
            <w:r>
              <w:rPr>
                <w:rFonts w:ascii="宋体" w:hAnsi="宋体"/>
                <w:color w:val="000000" w:themeColor="text1"/>
                <w:szCs w:val="21"/>
              </w:rPr>
              <w:t>在</w:t>
            </w:r>
            <w:r>
              <w:rPr>
                <w:rFonts w:hint="eastAsia" w:ascii="宋体" w:hAnsi="宋体"/>
                <w:color w:val="000000" w:themeColor="text1"/>
                <w:szCs w:val="21"/>
              </w:rPr>
              <w:t>4台</w:t>
            </w:r>
            <w:r>
              <w:rPr>
                <w:rFonts w:ascii="宋体" w:hAnsi="宋体"/>
                <w:color w:val="000000" w:themeColor="text1"/>
                <w:szCs w:val="21"/>
              </w:rPr>
              <w:t>服务器上</w:t>
            </w:r>
            <w:r>
              <w:rPr>
                <w:rFonts w:hint="eastAsia" w:ascii="宋体" w:hAnsi="宋体"/>
                <w:color w:val="000000" w:themeColor="text1"/>
                <w:szCs w:val="21"/>
              </w:rPr>
              <w:t>，</w:t>
            </w:r>
            <w:r>
              <w:rPr>
                <w:rFonts w:ascii="宋体" w:hAnsi="宋体"/>
                <w:color w:val="000000" w:themeColor="text1"/>
                <w:szCs w:val="21"/>
              </w:rPr>
              <w:t>单台要求支持150路以上4M码流转发</w:t>
            </w:r>
            <w:r>
              <w:rPr>
                <w:rFonts w:hint="eastAsia" w:ascii="宋体" w:hAnsi="宋体"/>
                <w:color w:val="000000" w:themeColor="text1"/>
                <w:szCs w:val="21"/>
              </w:rPr>
              <w:t>）。</w:t>
            </w:r>
          </w:p>
        </w:tc>
        <w:tc>
          <w:tcPr>
            <w:tcW w:w="791" w:type="dxa"/>
            <w:tcBorders>
              <w:top w:val="single" w:color="auto" w:sz="4" w:space="0"/>
            </w:tcBorders>
            <w:vAlign w:val="center"/>
          </w:tcPr>
          <w:p>
            <w:pPr>
              <w:spacing w:line="300" w:lineRule="exact"/>
              <w:jc w:val="center"/>
              <w:rPr>
                <w:rFonts w:ascii="宋体" w:hAnsi="宋体"/>
                <w:color w:val="000000" w:themeColor="text1"/>
                <w:szCs w:val="21"/>
              </w:rPr>
            </w:pPr>
            <w:r>
              <w:rPr>
                <w:rFonts w:ascii="宋体" w:hAnsi="宋体"/>
                <w:color w:val="000000" w:themeColor="text1"/>
                <w:szCs w:val="21"/>
              </w:rPr>
              <w:t>1</w:t>
            </w:r>
          </w:p>
        </w:tc>
        <w:tc>
          <w:tcPr>
            <w:tcW w:w="1231" w:type="dxa"/>
            <w:tcBorders>
              <w:top w:val="single" w:color="auto" w:sz="4" w:space="0"/>
            </w:tcBorders>
            <w:vAlign w:val="center"/>
          </w:tcPr>
          <w:p>
            <w:pPr>
              <w:spacing w:line="300" w:lineRule="exact"/>
              <w:jc w:val="center"/>
              <w:rPr>
                <w:rFonts w:ascii="宋体" w:hAnsi="宋体"/>
                <w:color w:val="000000" w:themeColor="text1"/>
                <w:szCs w:val="21"/>
              </w:rPr>
            </w:pPr>
          </w:p>
        </w:tc>
        <w:tc>
          <w:tcPr>
            <w:tcW w:w="713" w:type="dxa"/>
            <w:tcBorders>
              <w:top w:val="single" w:color="auto" w:sz="4" w:space="0"/>
            </w:tcBorders>
            <w:noWrap/>
            <w:vAlign w:val="center"/>
          </w:tcPr>
          <w:p>
            <w:pPr>
              <w:spacing w:line="300" w:lineRule="exact"/>
              <w:jc w:val="center"/>
              <w:rPr>
                <w:rFonts w:ascii="宋体" w:hAnsi="宋体"/>
                <w:color w:val="000000" w:themeColor="text1"/>
                <w:szCs w:val="21"/>
              </w:rPr>
            </w:pPr>
            <w:r>
              <w:rPr>
                <w:rFonts w:ascii="宋体" w:hAnsi="宋体"/>
                <w:color w:val="000000" w:themeColor="text1"/>
                <w:szCs w:val="21"/>
              </w:rPr>
              <w:t>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879" w:type="dxa"/>
            <w:vMerge w:val="continue"/>
            <w:vAlign w:val="center"/>
          </w:tcPr>
          <w:p>
            <w:pPr>
              <w:spacing w:line="300" w:lineRule="exact"/>
              <w:rPr>
                <w:rFonts w:ascii="宋体" w:hAnsi="宋体"/>
                <w:b/>
                <w:bCs/>
                <w:color w:val="000000" w:themeColor="text1"/>
                <w:szCs w:val="21"/>
              </w:rPr>
            </w:pPr>
          </w:p>
        </w:tc>
        <w:tc>
          <w:tcPr>
            <w:tcW w:w="926" w:type="dxa"/>
            <w:tcBorders>
              <w:top w:val="single" w:color="auto" w:sz="4" w:space="0"/>
            </w:tcBorders>
            <w:vAlign w:val="center"/>
          </w:tcPr>
          <w:p>
            <w:pPr>
              <w:spacing w:line="300" w:lineRule="exact"/>
              <w:rPr>
                <w:rFonts w:ascii="宋体" w:hAnsi="宋体"/>
                <w:color w:val="000000" w:themeColor="text1"/>
                <w:szCs w:val="21"/>
              </w:rPr>
            </w:pPr>
            <w:r>
              <w:rPr>
                <w:rFonts w:ascii="宋体" w:hAnsi="宋体"/>
                <w:color w:val="000000" w:themeColor="text1"/>
                <w:szCs w:val="21"/>
              </w:rPr>
              <w:t>视频应用及管理服务</w:t>
            </w:r>
            <w:r>
              <w:rPr>
                <w:rFonts w:hint="eastAsia" w:ascii="宋体" w:hAnsi="宋体"/>
                <w:color w:val="000000" w:themeColor="text1"/>
                <w:szCs w:val="21"/>
              </w:rPr>
              <w:t>2</w:t>
            </w:r>
          </w:p>
        </w:tc>
        <w:tc>
          <w:tcPr>
            <w:tcW w:w="3988" w:type="dxa"/>
            <w:tcBorders>
              <w:top w:val="single" w:color="auto" w:sz="4" w:space="0"/>
            </w:tcBorders>
            <w:vAlign w:val="center"/>
          </w:tcPr>
          <w:p>
            <w:pPr>
              <w:spacing w:line="300" w:lineRule="exact"/>
              <w:rPr>
                <w:rFonts w:ascii="宋体" w:hAnsi="宋体"/>
                <w:color w:val="000000" w:themeColor="text1"/>
                <w:szCs w:val="21"/>
              </w:rPr>
            </w:pPr>
            <w:r>
              <w:rPr>
                <w:rFonts w:hint="eastAsia"/>
                <w:color w:val="000000" w:themeColor="text1"/>
              </w:rPr>
              <w:t>★</w:t>
            </w:r>
            <w:r>
              <w:rPr>
                <w:rFonts w:ascii="宋体" w:hAnsi="宋体"/>
                <w:color w:val="000000" w:themeColor="text1"/>
                <w:szCs w:val="21"/>
              </w:rPr>
              <w:t>支持不少于5万个监控点的管理能力，300路视频转发能力。</w:t>
            </w:r>
          </w:p>
          <w:p>
            <w:pPr>
              <w:spacing w:line="300" w:lineRule="exact"/>
              <w:rPr>
                <w:rFonts w:ascii="宋体" w:hAnsi="宋体"/>
                <w:color w:val="000000" w:themeColor="text1"/>
                <w:szCs w:val="21"/>
              </w:rPr>
            </w:pPr>
            <w:r>
              <w:rPr>
                <w:rFonts w:ascii="宋体" w:hAnsi="宋体"/>
                <w:color w:val="000000" w:themeColor="text1"/>
                <w:szCs w:val="21"/>
              </w:rPr>
              <w:t>平台支持视频监控、设备管理、报表与日志、系统管理、运维监管功能。</w:t>
            </w:r>
          </w:p>
          <w:p>
            <w:pPr>
              <w:spacing w:line="300" w:lineRule="exact"/>
              <w:rPr>
                <w:rFonts w:ascii="宋体" w:hAnsi="宋体"/>
                <w:color w:val="000000" w:themeColor="text1"/>
                <w:szCs w:val="21"/>
              </w:rPr>
            </w:pPr>
            <w:r>
              <w:rPr>
                <w:rFonts w:ascii="宋体" w:hAnsi="宋体"/>
                <w:color w:val="000000" w:themeColor="text1"/>
                <w:szCs w:val="21"/>
              </w:rPr>
              <w:t>平台要求支持GB/T 28181-2016等联网标准协议，支持不少于5万个监控点的管理和展示。</w:t>
            </w:r>
          </w:p>
          <w:p>
            <w:pPr>
              <w:spacing w:line="300" w:lineRule="exact"/>
              <w:rPr>
                <w:rFonts w:ascii="宋体" w:hAnsi="宋体"/>
                <w:color w:val="000000" w:themeColor="text1"/>
                <w:szCs w:val="21"/>
              </w:rPr>
            </w:pPr>
            <w:r>
              <w:rPr>
                <w:rFonts w:hint="eastAsia" w:ascii="宋体" w:hAnsi="宋体"/>
                <w:color w:val="000000" w:themeColor="text1"/>
                <w:szCs w:val="21"/>
              </w:rPr>
              <w:t>（部署</w:t>
            </w:r>
            <w:r>
              <w:rPr>
                <w:rFonts w:ascii="宋体" w:hAnsi="宋体"/>
                <w:color w:val="000000" w:themeColor="text1"/>
                <w:szCs w:val="21"/>
              </w:rPr>
              <w:t>在2</w:t>
            </w:r>
            <w:r>
              <w:rPr>
                <w:rFonts w:hint="eastAsia" w:ascii="宋体" w:hAnsi="宋体"/>
                <w:color w:val="000000" w:themeColor="text1"/>
                <w:szCs w:val="21"/>
              </w:rPr>
              <w:t>台</w:t>
            </w:r>
            <w:r>
              <w:rPr>
                <w:rFonts w:ascii="宋体" w:hAnsi="宋体"/>
                <w:color w:val="000000" w:themeColor="text1"/>
                <w:szCs w:val="21"/>
              </w:rPr>
              <w:t>服务器上</w:t>
            </w:r>
            <w:r>
              <w:rPr>
                <w:rFonts w:hint="eastAsia" w:ascii="宋体" w:hAnsi="宋体"/>
                <w:color w:val="000000" w:themeColor="text1"/>
                <w:szCs w:val="21"/>
              </w:rPr>
              <w:t>，</w:t>
            </w:r>
            <w:r>
              <w:rPr>
                <w:rFonts w:ascii="宋体" w:hAnsi="宋体"/>
                <w:color w:val="000000" w:themeColor="text1"/>
                <w:szCs w:val="21"/>
              </w:rPr>
              <w:t>单台要求支持150路以上4M码流转发</w:t>
            </w:r>
            <w:r>
              <w:rPr>
                <w:rFonts w:hint="eastAsia" w:ascii="宋体" w:hAnsi="宋体"/>
                <w:color w:val="000000" w:themeColor="text1"/>
                <w:szCs w:val="21"/>
              </w:rPr>
              <w:t>）。</w:t>
            </w:r>
          </w:p>
        </w:tc>
        <w:tc>
          <w:tcPr>
            <w:tcW w:w="791" w:type="dxa"/>
            <w:tcBorders>
              <w:top w:val="single" w:color="auto" w:sz="4" w:space="0"/>
            </w:tcBorders>
            <w:vAlign w:val="center"/>
          </w:tcPr>
          <w:p>
            <w:pPr>
              <w:spacing w:line="300" w:lineRule="exact"/>
              <w:jc w:val="center"/>
              <w:rPr>
                <w:rFonts w:ascii="宋体" w:hAnsi="宋体"/>
                <w:color w:val="000000" w:themeColor="text1"/>
                <w:szCs w:val="21"/>
              </w:rPr>
            </w:pPr>
            <w:r>
              <w:rPr>
                <w:rFonts w:ascii="宋体" w:hAnsi="宋体"/>
                <w:color w:val="000000" w:themeColor="text1"/>
                <w:szCs w:val="21"/>
              </w:rPr>
              <w:t>2</w:t>
            </w:r>
          </w:p>
        </w:tc>
        <w:tc>
          <w:tcPr>
            <w:tcW w:w="1231" w:type="dxa"/>
            <w:tcBorders>
              <w:top w:val="single" w:color="auto" w:sz="4" w:space="0"/>
            </w:tcBorders>
            <w:vAlign w:val="center"/>
          </w:tcPr>
          <w:p>
            <w:pPr>
              <w:spacing w:line="300" w:lineRule="exact"/>
              <w:jc w:val="center"/>
              <w:rPr>
                <w:rFonts w:ascii="宋体" w:hAnsi="宋体"/>
                <w:color w:val="000000" w:themeColor="text1"/>
                <w:szCs w:val="21"/>
              </w:rPr>
            </w:pPr>
          </w:p>
        </w:tc>
        <w:tc>
          <w:tcPr>
            <w:tcW w:w="713" w:type="dxa"/>
            <w:tcBorders>
              <w:top w:val="single" w:color="auto" w:sz="4" w:space="0"/>
            </w:tcBorders>
            <w:noWrap/>
            <w:vAlign w:val="center"/>
          </w:tcPr>
          <w:p>
            <w:pPr>
              <w:spacing w:line="300" w:lineRule="exact"/>
              <w:jc w:val="center"/>
              <w:rPr>
                <w:rFonts w:ascii="宋体" w:hAnsi="宋体"/>
                <w:color w:val="000000" w:themeColor="text1"/>
                <w:szCs w:val="21"/>
              </w:rPr>
            </w:pPr>
            <w:r>
              <w:rPr>
                <w:rFonts w:ascii="宋体" w:hAnsi="宋体"/>
                <w:color w:val="000000" w:themeColor="text1"/>
                <w:szCs w:val="21"/>
              </w:rPr>
              <w:t>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879" w:type="dxa"/>
            <w:vMerge w:val="continue"/>
            <w:vAlign w:val="center"/>
          </w:tcPr>
          <w:p>
            <w:pPr>
              <w:spacing w:line="300" w:lineRule="exact"/>
              <w:rPr>
                <w:rFonts w:ascii="宋体" w:hAnsi="宋体"/>
                <w:b/>
                <w:bCs/>
                <w:color w:val="000000" w:themeColor="text1"/>
                <w:szCs w:val="21"/>
              </w:rPr>
            </w:pPr>
          </w:p>
        </w:tc>
        <w:tc>
          <w:tcPr>
            <w:tcW w:w="926" w:type="dxa"/>
            <w:vAlign w:val="center"/>
          </w:tcPr>
          <w:p>
            <w:pPr>
              <w:spacing w:line="300" w:lineRule="exact"/>
              <w:rPr>
                <w:rFonts w:ascii="宋体" w:hAnsi="宋体"/>
                <w:color w:val="000000" w:themeColor="text1"/>
                <w:szCs w:val="21"/>
              </w:rPr>
            </w:pPr>
            <w:r>
              <w:rPr>
                <w:rFonts w:ascii="宋体" w:hAnsi="宋体"/>
                <w:color w:val="000000" w:themeColor="text1"/>
                <w:szCs w:val="21"/>
              </w:rPr>
              <w:t>基础视频运维服务</w:t>
            </w:r>
          </w:p>
        </w:tc>
        <w:tc>
          <w:tcPr>
            <w:tcW w:w="3988" w:type="dxa"/>
            <w:vAlign w:val="center"/>
          </w:tcPr>
          <w:p>
            <w:pPr>
              <w:spacing w:line="300" w:lineRule="exact"/>
              <w:rPr>
                <w:rFonts w:ascii="宋体" w:hAnsi="宋体"/>
                <w:color w:val="000000" w:themeColor="text1"/>
                <w:szCs w:val="21"/>
              </w:rPr>
            </w:pPr>
            <w:r>
              <w:rPr>
                <w:rFonts w:ascii="宋体" w:hAnsi="宋体"/>
                <w:color w:val="000000" w:themeColor="text1"/>
                <w:szCs w:val="21"/>
              </w:rPr>
              <w:t>对视频监控系统内接入的视频设备在线率检测、数据报表、在线派单、维护跟踪等运维监控应用，运维信息要求与同级视频专网平台信息同步</w:t>
            </w:r>
          </w:p>
        </w:tc>
        <w:tc>
          <w:tcPr>
            <w:tcW w:w="791" w:type="dxa"/>
            <w:vAlign w:val="center"/>
          </w:tcPr>
          <w:p>
            <w:pPr>
              <w:spacing w:line="300" w:lineRule="exact"/>
              <w:jc w:val="center"/>
              <w:rPr>
                <w:rFonts w:ascii="宋体" w:hAnsi="宋体"/>
                <w:color w:val="000000" w:themeColor="text1"/>
                <w:szCs w:val="21"/>
              </w:rPr>
            </w:pPr>
            <w:r>
              <w:rPr>
                <w:rFonts w:ascii="宋体" w:hAnsi="宋体"/>
                <w:color w:val="000000" w:themeColor="text1"/>
                <w:szCs w:val="21"/>
              </w:rPr>
              <w:t>3</w:t>
            </w:r>
          </w:p>
        </w:tc>
        <w:tc>
          <w:tcPr>
            <w:tcW w:w="1231" w:type="dxa"/>
            <w:vAlign w:val="center"/>
          </w:tcPr>
          <w:p>
            <w:pPr>
              <w:spacing w:line="300" w:lineRule="exact"/>
              <w:rPr>
                <w:rFonts w:ascii="宋体" w:hAnsi="宋体"/>
                <w:color w:val="000000" w:themeColor="text1"/>
                <w:szCs w:val="21"/>
              </w:rPr>
            </w:pPr>
          </w:p>
        </w:tc>
        <w:tc>
          <w:tcPr>
            <w:tcW w:w="713" w:type="dxa"/>
            <w:noWrap/>
            <w:vAlign w:val="center"/>
          </w:tcPr>
          <w:p>
            <w:pPr>
              <w:spacing w:line="300" w:lineRule="exact"/>
              <w:jc w:val="center"/>
              <w:rPr>
                <w:rFonts w:ascii="宋体" w:hAnsi="宋体"/>
                <w:color w:val="000000" w:themeColor="text1"/>
                <w:szCs w:val="21"/>
              </w:rPr>
            </w:pPr>
            <w:r>
              <w:rPr>
                <w:rFonts w:ascii="宋体" w:hAnsi="宋体"/>
                <w:color w:val="000000" w:themeColor="text1"/>
                <w:szCs w:val="21"/>
              </w:rPr>
              <w:t>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879" w:type="dxa"/>
            <w:vMerge w:val="continue"/>
            <w:vAlign w:val="center"/>
          </w:tcPr>
          <w:p>
            <w:pPr>
              <w:spacing w:line="300" w:lineRule="exact"/>
              <w:rPr>
                <w:rFonts w:ascii="宋体" w:hAnsi="宋体"/>
                <w:b/>
                <w:bCs/>
                <w:color w:val="000000" w:themeColor="text1"/>
                <w:szCs w:val="21"/>
              </w:rPr>
            </w:pPr>
          </w:p>
        </w:tc>
        <w:tc>
          <w:tcPr>
            <w:tcW w:w="926" w:type="dxa"/>
            <w:vAlign w:val="center"/>
          </w:tcPr>
          <w:p>
            <w:pPr>
              <w:spacing w:line="300" w:lineRule="exact"/>
              <w:rPr>
                <w:rFonts w:ascii="宋体" w:hAnsi="宋体"/>
                <w:color w:val="000000" w:themeColor="text1"/>
                <w:szCs w:val="21"/>
              </w:rPr>
            </w:pPr>
            <w:r>
              <w:rPr>
                <w:rFonts w:ascii="宋体" w:hAnsi="宋体"/>
                <w:color w:val="000000" w:themeColor="text1"/>
                <w:szCs w:val="21"/>
              </w:rPr>
              <w:t>中心管理服务器</w:t>
            </w:r>
          </w:p>
        </w:tc>
        <w:tc>
          <w:tcPr>
            <w:tcW w:w="3988" w:type="dxa"/>
            <w:vAlign w:val="center"/>
          </w:tcPr>
          <w:p>
            <w:pPr>
              <w:spacing w:line="300" w:lineRule="exact"/>
              <w:rPr>
                <w:rFonts w:ascii="仿宋_GB2312" w:hAnsi="宋体"/>
                <w:color w:val="000000" w:themeColor="text1"/>
                <w:szCs w:val="21"/>
              </w:rPr>
            </w:pPr>
            <w:r>
              <w:rPr>
                <w:rFonts w:hint="eastAsia" w:ascii="仿宋_GB2312"/>
                <w:color w:val="000000" w:themeColor="text1"/>
              </w:rPr>
              <w:t>★</w:t>
            </w:r>
            <w:r>
              <w:rPr>
                <w:rFonts w:hint="eastAsia" w:ascii="仿宋_GB2312" w:hAnsi="宋体"/>
                <w:color w:val="000000" w:themeColor="text1"/>
                <w:szCs w:val="21"/>
              </w:rPr>
              <w:t>Cpu：Intel Xeon (≥12核，≥2.3GHz)×1/</w:t>
            </w:r>
          </w:p>
          <w:p>
            <w:pPr>
              <w:spacing w:line="300" w:lineRule="exact"/>
              <w:rPr>
                <w:rFonts w:ascii="仿宋_GB2312" w:hAnsi="宋体"/>
                <w:color w:val="000000" w:themeColor="text1"/>
                <w:szCs w:val="21"/>
              </w:rPr>
            </w:pPr>
            <w:r>
              <w:rPr>
                <w:rFonts w:hint="eastAsia" w:ascii="仿宋_GB2312" w:hAnsi="宋体"/>
                <w:color w:val="000000" w:themeColor="text1"/>
                <w:szCs w:val="21"/>
              </w:rPr>
              <w:t>★内存：≥16GB DDR4×4/</w:t>
            </w:r>
          </w:p>
          <w:p>
            <w:pPr>
              <w:spacing w:line="300" w:lineRule="exact"/>
              <w:rPr>
                <w:rFonts w:ascii="仿宋_GB2312" w:hAnsi="宋体"/>
                <w:color w:val="000000" w:themeColor="text1"/>
                <w:szCs w:val="21"/>
              </w:rPr>
            </w:pPr>
            <w:r>
              <w:rPr>
                <w:rFonts w:hint="eastAsia" w:ascii="仿宋_GB2312" w:hAnsi="宋体"/>
                <w:color w:val="000000" w:themeColor="text1"/>
                <w:szCs w:val="21"/>
              </w:rPr>
              <w:t>★硬盘：≥600GB SAS×2/</w:t>
            </w:r>
          </w:p>
          <w:p>
            <w:pPr>
              <w:spacing w:line="300" w:lineRule="exact"/>
              <w:rPr>
                <w:rFonts w:ascii="仿宋_GB2312" w:hAnsi="宋体"/>
                <w:color w:val="000000" w:themeColor="text1"/>
                <w:szCs w:val="21"/>
              </w:rPr>
            </w:pPr>
            <w:r>
              <w:rPr>
                <w:rFonts w:hint="eastAsia" w:ascii="仿宋_GB2312" w:hAnsi="宋体"/>
                <w:color w:val="000000" w:themeColor="text1"/>
                <w:szCs w:val="21"/>
              </w:rPr>
              <w:t>★网口：≥1GbE×4（光口）</w:t>
            </w:r>
          </w:p>
          <w:p>
            <w:pPr>
              <w:spacing w:line="300" w:lineRule="exact"/>
              <w:rPr>
                <w:rFonts w:ascii="仿宋_GB2312" w:hAnsi="宋体"/>
                <w:color w:val="000000" w:themeColor="text1"/>
                <w:szCs w:val="21"/>
              </w:rPr>
            </w:pPr>
            <w:r>
              <w:rPr>
                <w:rFonts w:hint="eastAsia" w:ascii="仿宋_GB2312" w:hAnsi="宋体"/>
                <w:color w:val="000000" w:themeColor="text1"/>
                <w:szCs w:val="21"/>
              </w:rPr>
              <w:t>2个热插拔冗余电源，冗余风扇</w:t>
            </w:r>
          </w:p>
          <w:p>
            <w:pPr>
              <w:spacing w:line="300" w:lineRule="exact"/>
              <w:rPr>
                <w:rFonts w:ascii="仿宋_GB2312" w:hAnsi="宋体"/>
                <w:color w:val="000000" w:themeColor="text1"/>
                <w:szCs w:val="21"/>
              </w:rPr>
            </w:pPr>
            <w:r>
              <w:rPr>
                <w:rFonts w:hint="eastAsia" w:ascii="仿宋_GB2312" w:hAnsi="宋体"/>
                <w:color w:val="000000" w:themeColor="text1"/>
                <w:szCs w:val="21"/>
              </w:rPr>
              <w:t>工作温度:支持最高5-40°C标准工作温度</w:t>
            </w:r>
          </w:p>
          <w:p>
            <w:pPr>
              <w:spacing w:line="300" w:lineRule="exact"/>
              <w:rPr>
                <w:rFonts w:ascii="仿宋_GB2312" w:hAnsi="宋体"/>
                <w:color w:val="000000" w:themeColor="text1"/>
                <w:szCs w:val="21"/>
              </w:rPr>
            </w:pPr>
            <w:r>
              <w:rPr>
                <w:rFonts w:hint="eastAsia" w:ascii="仿宋_GB2312" w:hAnsi="宋体"/>
                <w:color w:val="000000" w:themeColor="text1"/>
                <w:szCs w:val="21"/>
              </w:rPr>
              <w:t>网络带宽:支持多种网络带宽；</w:t>
            </w:r>
          </w:p>
          <w:p>
            <w:pPr>
              <w:spacing w:line="300" w:lineRule="exact"/>
              <w:rPr>
                <w:rFonts w:ascii="仿宋_GB2312" w:hAnsi="宋体"/>
                <w:color w:val="000000" w:themeColor="text1"/>
                <w:szCs w:val="21"/>
              </w:rPr>
            </w:pPr>
            <w:r>
              <w:rPr>
                <w:rFonts w:hint="eastAsia" w:ascii="仿宋_GB2312" w:hAnsi="宋体"/>
                <w:color w:val="000000" w:themeColor="text1"/>
                <w:szCs w:val="21"/>
              </w:rPr>
              <w:t>配置≥1Gb独立的远程管理控制端口；</w:t>
            </w:r>
          </w:p>
          <w:p>
            <w:pPr>
              <w:spacing w:line="300" w:lineRule="exact"/>
              <w:rPr>
                <w:rFonts w:ascii="仿宋_GB2312" w:hAnsi="宋体"/>
                <w:color w:val="000000" w:themeColor="text1"/>
                <w:szCs w:val="21"/>
              </w:rPr>
            </w:pPr>
            <w:r>
              <w:rPr>
                <w:rFonts w:hint="eastAsia" w:ascii="仿宋_GB2312" w:hAnsi="宋体"/>
                <w:color w:val="000000" w:themeColor="text1"/>
                <w:szCs w:val="21"/>
              </w:rPr>
              <w:t>阵列控制器:≥1个标配RAID阵列卡。</w:t>
            </w:r>
          </w:p>
        </w:tc>
        <w:tc>
          <w:tcPr>
            <w:tcW w:w="791" w:type="dxa"/>
            <w:vAlign w:val="center"/>
          </w:tcPr>
          <w:p>
            <w:pPr>
              <w:spacing w:line="300" w:lineRule="exact"/>
              <w:jc w:val="center"/>
              <w:rPr>
                <w:rFonts w:ascii="宋体" w:hAnsi="宋体"/>
                <w:color w:val="000000" w:themeColor="text1"/>
                <w:szCs w:val="21"/>
              </w:rPr>
            </w:pPr>
            <w:r>
              <w:rPr>
                <w:rFonts w:ascii="宋体" w:hAnsi="宋体"/>
                <w:color w:val="000000" w:themeColor="text1"/>
                <w:szCs w:val="21"/>
              </w:rPr>
              <w:t>3</w:t>
            </w:r>
          </w:p>
        </w:tc>
        <w:tc>
          <w:tcPr>
            <w:tcW w:w="1231" w:type="dxa"/>
            <w:vAlign w:val="center"/>
          </w:tcPr>
          <w:p>
            <w:pPr>
              <w:spacing w:line="300" w:lineRule="exact"/>
              <w:rPr>
                <w:rFonts w:ascii="宋体" w:hAnsi="宋体"/>
                <w:color w:val="000000" w:themeColor="text1"/>
                <w:szCs w:val="21"/>
              </w:rPr>
            </w:pPr>
            <w:r>
              <w:rPr>
                <w:rFonts w:hint="eastAsia" w:ascii="宋体" w:hAnsi="宋体"/>
                <w:color w:val="000000" w:themeColor="text1"/>
                <w:szCs w:val="21"/>
              </w:rPr>
              <w:t>市</w:t>
            </w:r>
            <w:r>
              <w:rPr>
                <w:rFonts w:ascii="宋体" w:hAnsi="宋体"/>
                <w:color w:val="000000" w:themeColor="text1"/>
                <w:szCs w:val="21"/>
              </w:rPr>
              <w:t>本级</w:t>
            </w:r>
            <w:r>
              <w:rPr>
                <w:rFonts w:hint="eastAsia" w:ascii="宋体" w:hAnsi="宋体"/>
                <w:color w:val="000000" w:themeColor="text1"/>
                <w:szCs w:val="21"/>
              </w:rPr>
              <w:t>、</w:t>
            </w:r>
            <w:r>
              <w:rPr>
                <w:rFonts w:ascii="宋体" w:hAnsi="宋体"/>
                <w:color w:val="000000" w:themeColor="text1"/>
                <w:szCs w:val="21"/>
              </w:rPr>
              <w:t>浦江、磐安各</w:t>
            </w:r>
            <w:r>
              <w:rPr>
                <w:rFonts w:hint="eastAsia" w:ascii="宋体" w:hAnsi="宋体"/>
                <w:color w:val="000000" w:themeColor="text1"/>
                <w:szCs w:val="21"/>
              </w:rPr>
              <w:t>1</w:t>
            </w:r>
            <w:r>
              <w:rPr>
                <w:rFonts w:ascii="宋体" w:hAnsi="宋体"/>
                <w:color w:val="000000" w:themeColor="text1"/>
                <w:szCs w:val="21"/>
              </w:rPr>
              <w:t>台</w:t>
            </w:r>
          </w:p>
        </w:tc>
        <w:tc>
          <w:tcPr>
            <w:tcW w:w="713" w:type="dxa"/>
            <w:noWrap/>
            <w:vAlign w:val="center"/>
          </w:tcPr>
          <w:p>
            <w:pPr>
              <w:spacing w:line="300" w:lineRule="exact"/>
              <w:jc w:val="center"/>
              <w:rPr>
                <w:rFonts w:ascii="宋体" w:hAnsi="宋体"/>
                <w:color w:val="000000" w:themeColor="text1"/>
                <w:szCs w:val="21"/>
              </w:rPr>
            </w:pPr>
            <w:r>
              <w:rPr>
                <w:rFonts w:ascii="宋体" w:hAnsi="宋体"/>
                <w:color w:val="000000" w:themeColor="text1"/>
                <w:szCs w:val="21"/>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879" w:type="dxa"/>
            <w:vMerge w:val="continue"/>
            <w:vAlign w:val="center"/>
          </w:tcPr>
          <w:p>
            <w:pPr>
              <w:spacing w:line="300" w:lineRule="exact"/>
              <w:rPr>
                <w:rFonts w:ascii="宋体" w:hAnsi="宋体"/>
                <w:b/>
                <w:bCs/>
                <w:color w:val="000000" w:themeColor="text1"/>
                <w:szCs w:val="21"/>
              </w:rPr>
            </w:pPr>
          </w:p>
        </w:tc>
        <w:tc>
          <w:tcPr>
            <w:tcW w:w="926" w:type="dxa"/>
            <w:vAlign w:val="center"/>
          </w:tcPr>
          <w:p>
            <w:pPr>
              <w:spacing w:line="300" w:lineRule="exact"/>
              <w:rPr>
                <w:rFonts w:ascii="宋体" w:hAnsi="宋体"/>
                <w:color w:val="000000" w:themeColor="text1"/>
                <w:szCs w:val="21"/>
              </w:rPr>
            </w:pPr>
            <w:r>
              <w:rPr>
                <w:rFonts w:ascii="宋体" w:hAnsi="宋体"/>
                <w:color w:val="000000" w:themeColor="text1"/>
                <w:szCs w:val="21"/>
              </w:rPr>
              <w:t>数据库服务器</w:t>
            </w:r>
          </w:p>
        </w:tc>
        <w:tc>
          <w:tcPr>
            <w:tcW w:w="3988" w:type="dxa"/>
            <w:vAlign w:val="center"/>
          </w:tcPr>
          <w:p>
            <w:pPr>
              <w:spacing w:line="300" w:lineRule="exact"/>
              <w:rPr>
                <w:rFonts w:ascii="仿宋_GB2312"/>
                <w:color w:val="000000" w:themeColor="text1"/>
              </w:rPr>
            </w:pPr>
            <w:r>
              <w:rPr>
                <w:rFonts w:hint="eastAsia" w:ascii="仿宋_GB2312"/>
                <w:color w:val="000000" w:themeColor="text1"/>
              </w:rPr>
              <w:t>★</w:t>
            </w:r>
            <w:r>
              <w:rPr>
                <w:rFonts w:ascii="仿宋_GB2312"/>
                <w:color w:val="000000" w:themeColor="text1"/>
              </w:rPr>
              <w:t>Cpu：Intel Xeon (≥12核</w:t>
            </w:r>
            <w:r>
              <w:rPr>
                <w:rFonts w:hint="eastAsia" w:ascii="仿宋_GB2312"/>
                <w:color w:val="000000" w:themeColor="text1"/>
              </w:rPr>
              <w:t>，</w:t>
            </w:r>
            <w:r>
              <w:rPr>
                <w:rFonts w:ascii="仿宋_GB2312"/>
                <w:color w:val="000000" w:themeColor="text1"/>
              </w:rPr>
              <w:t>≥2.3GHz)×1/</w:t>
            </w:r>
          </w:p>
          <w:p>
            <w:pPr>
              <w:spacing w:line="300" w:lineRule="exact"/>
              <w:rPr>
                <w:rFonts w:ascii="仿宋_GB2312"/>
                <w:color w:val="000000" w:themeColor="text1"/>
              </w:rPr>
            </w:pPr>
            <w:r>
              <w:rPr>
                <w:rFonts w:hint="eastAsia" w:ascii="仿宋_GB2312"/>
                <w:color w:val="000000" w:themeColor="text1"/>
              </w:rPr>
              <w:t>★内存</w:t>
            </w:r>
            <w:r>
              <w:rPr>
                <w:rFonts w:ascii="仿宋_GB2312"/>
                <w:color w:val="000000" w:themeColor="text1"/>
              </w:rPr>
              <w:t>：≥16GB DDR4×4/</w:t>
            </w:r>
          </w:p>
          <w:p>
            <w:pPr>
              <w:spacing w:line="300" w:lineRule="exact"/>
              <w:rPr>
                <w:rFonts w:ascii="仿宋_GB2312"/>
                <w:color w:val="000000" w:themeColor="text1"/>
              </w:rPr>
            </w:pPr>
            <w:r>
              <w:rPr>
                <w:rFonts w:hint="eastAsia" w:ascii="仿宋_GB2312"/>
                <w:color w:val="000000" w:themeColor="text1"/>
              </w:rPr>
              <w:t>★硬盘</w:t>
            </w:r>
            <w:r>
              <w:rPr>
                <w:rFonts w:ascii="仿宋_GB2312"/>
                <w:color w:val="000000" w:themeColor="text1"/>
              </w:rPr>
              <w:t>：≥600GB SAS×2/</w:t>
            </w:r>
          </w:p>
          <w:p>
            <w:pPr>
              <w:spacing w:line="300" w:lineRule="exact"/>
              <w:rPr>
                <w:rFonts w:ascii="仿宋_GB2312"/>
                <w:color w:val="000000" w:themeColor="text1"/>
              </w:rPr>
            </w:pPr>
            <w:r>
              <w:rPr>
                <w:rFonts w:hint="eastAsia" w:ascii="仿宋_GB2312"/>
                <w:color w:val="000000" w:themeColor="text1"/>
              </w:rPr>
              <w:t>★网口</w:t>
            </w:r>
            <w:r>
              <w:rPr>
                <w:rFonts w:ascii="仿宋_GB2312"/>
                <w:color w:val="000000" w:themeColor="text1"/>
              </w:rPr>
              <w:t>：≥1GbE×4</w:t>
            </w:r>
            <w:r>
              <w:rPr>
                <w:rFonts w:hint="eastAsia" w:ascii="仿宋_GB2312"/>
                <w:color w:val="000000" w:themeColor="text1"/>
              </w:rPr>
              <w:t>（光口）</w:t>
            </w:r>
          </w:p>
          <w:p>
            <w:pPr>
              <w:spacing w:line="300" w:lineRule="exact"/>
              <w:rPr>
                <w:rFonts w:ascii="仿宋_GB2312"/>
                <w:color w:val="000000" w:themeColor="text1"/>
              </w:rPr>
            </w:pPr>
            <w:r>
              <w:rPr>
                <w:rFonts w:ascii="仿宋_GB2312"/>
                <w:color w:val="000000" w:themeColor="text1"/>
              </w:rPr>
              <w:t>2</w:t>
            </w:r>
            <w:r>
              <w:rPr>
                <w:rFonts w:hint="eastAsia" w:ascii="仿宋_GB2312"/>
                <w:color w:val="000000" w:themeColor="text1"/>
              </w:rPr>
              <w:t>个热插拔冗余电源，冗余风扇</w:t>
            </w:r>
          </w:p>
          <w:p>
            <w:pPr>
              <w:spacing w:line="300" w:lineRule="exact"/>
              <w:rPr>
                <w:rFonts w:ascii="仿宋_GB2312"/>
                <w:color w:val="000000" w:themeColor="text1"/>
              </w:rPr>
            </w:pPr>
            <w:r>
              <w:rPr>
                <w:rFonts w:hint="eastAsia" w:ascii="仿宋_GB2312"/>
                <w:color w:val="000000" w:themeColor="text1"/>
              </w:rPr>
              <w:t>工作温度</w:t>
            </w:r>
            <w:r>
              <w:rPr>
                <w:rFonts w:ascii="仿宋_GB2312"/>
                <w:color w:val="000000" w:themeColor="text1"/>
              </w:rPr>
              <w:t>:</w:t>
            </w:r>
            <w:r>
              <w:rPr>
                <w:rFonts w:hint="eastAsia" w:ascii="仿宋_GB2312"/>
                <w:color w:val="000000" w:themeColor="text1"/>
              </w:rPr>
              <w:t>支持最高</w:t>
            </w:r>
            <w:r>
              <w:rPr>
                <w:rFonts w:ascii="仿宋_GB2312"/>
                <w:color w:val="000000" w:themeColor="text1"/>
              </w:rPr>
              <w:t>5-40</w:t>
            </w:r>
            <w:r>
              <w:rPr>
                <w:rFonts w:hint="eastAsia" w:ascii="仿宋_GB2312"/>
                <w:color w:val="000000" w:themeColor="text1"/>
              </w:rPr>
              <w:t>°</w:t>
            </w:r>
            <w:r>
              <w:rPr>
                <w:rFonts w:ascii="仿宋_GB2312"/>
                <w:color w:val="000000" w:themeColor="text1"/>
              </w:rPr>
              <w:t>C</w:t>
            </w:r>
            <w:r>
              <w:rPr>
                <w:rFonts w:hint="eastAsia" w:ascii="仿宋_GB2312"/>
                <w:color w:val="000000" w:themeColor="text1"/>
              </w:rPr>
              <w:t>标准工作温度</w:t>
            </w:r>
          </w:p>
          <w:p>
            <w:pPr>
              <w:spacing w:line="300" w:lineRule="exact"/>
              <w:rPr>
                <w:rFonts w:ascii="仿宋_GB2312"/>
                <w:color w:val="000000" w:themeColor="text1"/>
              </w:rPr>
            </w:pPr>
            <w:r>
              <w:rPr>
                <w:rFonts w:hint="eastAsia" w:ascii="仿宋_GB2312"/>
                <w:color w:val="000000" w:themeColor="text1"/>
              </w:rPr>
              <w:t>网络带宽</w:t>
            </w:r>
            <w:r>
              <w:rPr>
                <w:rFonts w:ascii="仿宋_GB2312"/>
                <w:color w:val="000000" w:themeColor="text1"/>
              </w:rPr>
              <w:t>:</w:t>
            </w:r>
            <w:r>
              <w:rPr>
                <w:rFonts w:hint="eastAsia" w:ascii="仿宋_GB2312"/>
                <w:color w:val="000000" w:themeColor="text1"/>
              </w:rPr>
              <w:t>支持多种网络带宽；</w:t>
            </w:r>
          </w:p>
          <w:p>
            <w:pPr>
              <w:spacing w:line="300" w:lineRule="exact"/>
              <w:rPr>
                <w:rFonts w:ascii="仿宋_GB2312"/>
                <w:color w:val="000000" w:themeColor="text1"/>
              </w:rPr>
            </w:pPr>
            <w:r>
              <w:rPr>
                <w:rFonts w:hint="eastAsia" w:ascii="仿宋_GB2312"/>
                <w:color w:val="000000" w:themeColor="text1"/>
              </w:rPr>
              <w:t>配置≥</w:t>
            </w:r>
            <w:r>
              <w:rPr>
                <w:rFonts w:ascii="仿宋_GB2312"/>
                <w:color w:val="000000" w:themeColor="text1"/>
              </w:rPr>
              <w:t>1Gb</w:t>
            </w:r>
            <w:r>
              <w:rPr>
                <w:rFonts w:hint="eastAsia" w:ascii="仿宋_GB2312"/>
                <w:color w:val="000000" w:themeColor="text1"/>
              </w:rPr>
              <w:t>独立的远程管理控制端口；</w:t>
            </w:r>
          </w:p>
          <w:p>
            <w:pPr>
              <w:spacing w:line="300" w:lineRule="exact"/>
              <w:rPr>
                <w:rFonts w:ascii="仿宋_GB2312"/>
                <w:color w:val="000000" w:themeColor="text1"/>
              </w:rPr>
            </w:pPr>
            <w:r>
              <w:rPr>
                <w:rFonts w:hint="eastAsia" w:ascii="仿宋_GB2312"/>
                <w:color w:val="000000" w:themeColor="text1"/>
              </w:rPr>
              <w:t>阵列控制器</w:t>
            </w:r>
            <w:r>
              <w:rPr>
                <w:rFonts w:ascii="仿宋_GB2312"/>
                <w:color w:val="000000" w:themeColor="text1"/>
              </w:rPr>
              <w:t>:</w:t>
            </w:r>
            <w:r>
              <w:rPr>
                <w:rFonts w:hint="eastAsia" w:ascii="仿宋_GB2312"/>
                <w:color w:val="000000" w:themeColor="text1"/>
              </w:rPr>
              <w:t>≥</w:t>
            </w:r>
            <w:r>
              <w:rPr>
                <w:rFonts w:ascii="仿宋_GB2312"/>
                <w:color w:val="000000" w:themeColor="text1"/>
              </w:rPr>
              <w:t>1</w:t>
            </w:r>
            <w:r>
              <w:rPr>
                <w:rFonts w:hint="eastAsia" w:ascii="仿宋_GB2312"/>
                <w:color w:val="000000" w:themeColor="text1"/>
              </w:rPr>
              <w:t>个标配</w:t>
            </w:r>
            <w:r>
              <w:rPr>
                <w:rFonts w:ascii="仿宋_GB2312"/>
                <w:color w:val="000000" w:themeColor="text1"/>
              </w:rPr>
              <w:t>RAID</w:t>
            </w:r>
            <w:r>
              <w:rPr>
                <w:rFonts w:hint="eastAsia" w:ascii="仿宋_GB2312"/>
                <w:color w:val="000000" w:themeColor="text1"/>
              </w:rPr>
              <w:t>阵列卡。</w:t>
            </w:r>
          </w:p>
        </w:tc>
        <w:tc>
          <w:tcPr>
            <w:tcW w:w="791" w:type="dxa"/>
            <w:vAlign w:val="center"/>
          </w:tcPr>
          <w:p>
            <w:pPr>
              <w:spacing w:line="300" w:lineRule="exact"/>
              <w:jc w:val="center"/>
              <w:rPr>
                <w:rFonts w:ascii="宋体" w:hAnsi="宋体"/>
                <w:color w:val="000000" w:themeColor="text1"/>
                <w:szCs w:val="21"/>
              </w:rPr>
            </w:pPr>
            <w:r>
              <w:rPr>
                <w:rFonts w:ascii="宋体" w:hAnsi="宋体"/>
                <w:color w:val="000000" w:themeColor="text1"/>
                <w:szCs w:val="21"/>
              </w:rPr>
              <w:t>3</w:t>
            </w:r>
          </w:p>
        </w:tc>
        <w:tc>
          <w:tcPr>
            <w:tcW w:w="1231" w:type="dxa"/>
            <w:vAlign w:val="center"/>
          </w:tcPr>
          <w:p>
            <w:pPr>
              <w:spacing w:line="300" w:lineRule="exact"/>
              <w:rPr>
                <w:rFonts w:ascii="宋体" w:hAnsi="宋体"/>
                <w:color w:val="000000" w:themeColor="text1"/>
                <w:szCs w:val="21"/>
              </w:rPr>
            </w:pPr>
            <w:r>
              <w:rPr>
                <w:rFonts w:hint="eastAsia" w:ascii="宋体" w:hAnsi="宋体"/>
                <w:color w:val="000000" w:themeColor="text1"/>
                <w:szCs w:val="21"/>
              </w:rPr>
              <w:t>市</w:t>
            </w:r>
            <w:r>
              <w:rPr>
                <w:rFonts w:ascii="宋体" w:hAnsi="宋体"/>
                <w:color w:val="000000" w:themeColor="text1"/>
                <w:szCs w:val="21"/>
              </w:rPr>
              <w:t>本级</w:t>
            </w:r>
            <w:r>
              <w:rPr>
                <w:rFonts w:hint="eastAsia" w:ascii="宋体" w:hAnsi="宋体"/>
                <w:color w:val="000000" w:themeColor="text1"/>
                <w:szCs w:val="21"/>
              </w:rPr>
              <w:t>、</w:t>
            </w:r>
            <w:r>
              <w:rPr>
                <w:rFonts w:ascii="宋体" w:hAnsi="宋体"/>
                <w:color w:val="000000" w:themeColor="text1"/>
                <w:szCs w:val="21"/>
              </w:rPr>
              <w:t>浦江、磐安各</w:t>
            </w:r>
            <w:r>
              <w:rPr>
                <w:rFonts w:hint="eastAsia" w:ascii="宋体" w:hAnsi="宋体"/>
                <w:color w:val="000000" w:themeColor="text1"/>
                <w:szCs w:val="21"/>
              </w:rPr>
              <w:t>1</w:t>
            </w:r>
            <w:r>
              <w:rPr>
                <w:rFonts w:ascii="宋体" w:hAnsi="宋体"/>
                <w:color w:val="000000" w:themeColor="text1"/>
                <w:szCs w:val="21"/>
              </w:rPr>
              <w:t>台</w:t>
            </w:r>
          </w:p>
        </w:tc>
        <w:tc>
          <w:tcPr>
            <w:tcW w:w="713" w:type="dxa"/>
            <w:noWrap/>
            <w:vAlign w:val="center"/>
          </w:tcPr>
          <w:p>
            <w:pPr>
              <w:spacing w:line="300" w:lineRule="exact"/>
              <w:jc w:val="center"/>
              <w:rPr>
                <w:rFonts w:ascii="宋体" w:hAnsi="宋体"/>
                <w:color w:val="000000" w:themeColor="text1"/>
                <w:szCs w:val="21"/>
              </w:rPr>
            </w:pPr>
            <w:r>
              <w:rPr>
                <w:rFonts w:ascii="宋体" w:hAnsi="宋体"/>
                <w:color w:val="000000" w:themeColor="text1"/>
                <w:szCs w:val="21"/>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879" w:type="dxa"/>
            <w:vMerge w:val="continue"/>
            <w:vAlign w:val="center"/>
          </w:tcPr>
          <w:p>
            <w:pPr>
              <w:spacing w:line="300" w:lineRule="exact"/>
              <w:rPr>
                <w:rFonts w:ascii="宋体" w:hAnsi="宋体"/>
                <w:b/>
                <w:bCs/>
                <w:color w:val="000000" w:themeColor="text1"/>
                <w:szCs w:val="21"/>
              </w:rPr>
            </w:pPr>
          </w:p>
        </w:tc>
        <w:tc>
          <w:tcPr>
            <w:tcW w:w="926" w:type="dxa"/>
            <w:vAlign w:val="center"/>
          </w:tcPr>
          <w:p>
            <w:pPr>
              <w:spacing w:line="300" w:lineRule="exact"/>
              <w:rPr>
                <w:rFonts w:ascii="宋体" w:hAnsi="宋体"/>
                <w:color w:val="000000" w:themeColor="text1"/>
                <w:szCs w:val="21"/>
              </w:rPr>
            </w:pPr>
            <w:r>
              <w:rPr>
                <w:rFonts w:ascii="宋体" w:hAnsi="宋体"/>
                <w:color w:val="000000" w:themeColor="text1"/>
                <w:szCs w:val="21"/>
              </w:rPr>
              <w:t>流媒体服务器</w:t>
            </w:r>
          </w:p>
        </w:tc>
        <w:tc>
          <w:tcPr>
            <w:tcW w:w="3988" w:type="dxa"/>
            <w:vAlign w:val="center"/>
          </w:tcPr>
          <w:p>
            <w:pPr>
              <w:spacing w:line="300" w:lineRule="exact"/>
              <w:rPr>
                <w:rFonts w:ascii="仿宋_GB2312"/>
                <w:color w:val="000000" w:themeColor="text1"/>
              </w:rPr>
            </w:pPr>
            <w:r>
              <w:rPr>
                <w:rFonts w:hint="eastAsia"/>
                <w:color w:val="000000" w:themeColor="text1"/>
              </w:rPr>
              <w:t>★</w:t>
            </w:r>
            <w:r>
              <w:rPr>
                <w:rFonts w:ascii="仿宋_GB2312"/>
                <w:color w:val="000000" w:themeColor="text1"/>
              </w:rPr>
              <w:t>Cpu：Intel Xeon (≥12核</w:t>
            </w:r>
            <w:r>
              <w:rPr>
                <w:rFonts w:hint="eastAsia" w:ascii="仿宋_GB2312"/>
                <w:color w:val="000000" w:themeColor="text1"/>
              </w:rPr>
              <w:t>，</w:t>
            </w:r>
            <w:r>
              <w:rPr>
                <w:rFonts w:ascii="仿宋_GB2312"/>
                <w:color w:val="000000" w:themeColor="text1"/>
              </w:rPr>
              <w:t>≥2.3GHz)×1/</w:t>
            </w:r>
          </w:p>
          <w:p>
            <w:pPr>
              <w:spacing w:line="300" w:lineRule="exact"/>
              <w:rPr>
                <w:rFonts w:ascii="仿宋_GB2312"/>
                <w:color w:val="000000" w:themeColor="text1"/>
              </w:rPr>
            </w:pPr>
            <w:r>
              <w:rPr>
                <w:rFonts w:hint="eastAsia" w:ascii="仿宋_GB2312"/>
                <w:color w:val="000000" w:themeColor="text1"/>
              </w:rPr>
              <w:t>★内存</w:t>
            </w:r>
            <w:r>
              <w:rPr>
                <w:rFonts w:ascii="仿宋_GB2312"/>
                <w:color w:val="000000" w:themeColor="text1"/>
              </w:rPr>
              <w:t>：≥16GB DDR4×4/</w:t>
            </w:r>
          </w:p>
          <w:p>
            <w:pPr>
              <w:spacing w:line="300" w:lineRule="exact"/>
              <w:rPr>
                <w:rFonts w:ascii="仿宋_GB2312"/>
                <w:color w:val="000000" w:themeColor="text1"/>
              </w:rPr>
            </w:pPr>
            <w:r>
              <w:rPr>
                <w:rFonts w:hint="eastAsia" w:ascii="仿宋_GB2312"/>
                <w:color w:val="000000" w:themeColor="text1"/>
              </w:rPr>
              <w:t>★硬盘</w:t>
            </w:r>
            <w:r>
              <w:rPr>
                <w:rFonts w:ascii="仿宋_GB2312"/>
                <w:color w:val="000000" w:themeColor="text1"/>
              </w:rPr>
              <w:t>：≥600GB SAS×2/</w:t>
            </w:r>
          </w:p>
          <w:p>
            <w:pPr>
              <w:spacing w:line="300" w:lineRule="exact"/>
              <w:rPr>
                <w:rFonts w:ascii="仿宋_GB2312"/>
                <w:color w:val="000000" w:themeColor="text1"/>
              </w:rPr>
            </w:pPr>
            <w:r>
              <w:rPr>
                <w:rFonts w:hint="eastAsia" w:ascii="仿宋_GB2312"/>
                <w:color w:val="000000" w:themeColor="text1"/>
              </w:rPr>
              <w:t>★网口</w:t>
            </w:r>
            <w:r>
              <w:rPr>
                <w:rFonts w:ascii="仿宋_GB2312"/>
                <w:color w:val="000000" w:themeColor="text1"/>
              </w:rPr>
              <w:t>：≥1GbE×4</w:t>
            </w:r>
            <w:r>
              <w:rPr>
                <w:rFonts w:hint="eastAsia" w:ascii="仿宋_GB2312"/>
                <w:color w:val="000000" w:themeColor="text1"/>
              </w:rPr>
              <w:t>（光口）</w:t>
            </w:r>
          </w:p>
          <w:p>
            <w:pPr>
              <w:spacing w:line="300" w:lineRule="exact"/>
              <w:rPr>
                <w:rFonts w:ascii="仿宋_GB2312"/>
                <w:color w:val="000000" w:themeColor="text1"/>
              </w:rPr>
            </w:pPr>
            <w:r>
              <w:rPr>
                <w:rFonts w:ascii="仿宋_GB2312"/>
                <w:color w:val="000000" w:themeColor="text1"/>
              </w:rPr>
              <w:t>2</w:t>
            </w:r>
            <w:r>
              <w:rPr>
                <w:rFonts w:hint="eastAsia" w:ascii="仿宋_GB2312"/>
                <w:color w:val="000000" w:themeColor="text1"/>
              </w:rPr>
              <w:t>个热插拔冗余电源，冗余风扇</w:t>
            </w:r>
          </w:p>
          <w:p>
            <w:pPr>
              <w:spacing w:line="300" w:lineRule="exact"/>
              <w:rPr>
                <w:rFonts w:ascii="仿宋_GB2312"/>
                <w:color w:val="000000" w:themeColor="text1"/>
              </w:rPr>
            </w:pPr>
            <w:r>
              <w:rPr>
                <w:rFonts w:hint="eastAsia" w:ascii="仿宋_GB2312"/>
                <w:color w:val="000000" w:themeColor="text1"/>
              </w:rPr>
              <w:t>工作温度</w:t>
            </w:r>
            <w:r>
              <w:rPr>
                <w:rFonts w:ascii="仿宋_GB2312"/>
                <w:color w:val="000000" w:themeColor="text1"/>
              </w:rPr>
              <w:t>:</w:t>
            </w:r>
            <w:r>
              <w:rPr>
                <w:rFonts w:hint="eastAsia" w:ascii="仿宋_GB2312"/>
                <w:color w:val="000000" w:themeColor="text1"/>
              </w:rPr>
              <w:t>支持最高</w:t>
            </w:r>
            <w:r>
              <w:rPr>
                <w:rFonts w:ascii="仿宋_GB2312"/>
                <w:color w:val="000000" w:themeColor="text1"/>
              </w:rPr>
              <w:t>5-40</w:t>
            </w:r>
            <w:r>
              <w:rPr>
                <w:rFonts w:hint="eastAsia" w:ascii="仿宋_GB2312"/>
                <w:color w:val="000000" w:themeColor="text1"/>
              </w:rPr>
              <w:t>°</w:t>
            </w:r>
            <w:r>
              <w:rPr>
                <w:rFonts w:ascii="仿宋_GB2312"/>
                <w:color w:val="000000" w:themeColor="text1"/>
              </w:rPr>
              <w:t>C</w:t>
            </w:r>
            <w:r>
              <w:rPr>
                <w:rFonts w:hint="eastAsia" w:ascii="仿宋_GB2312"/>
                <w:color w:val="000000" w:themeColor="text1"/>
              </w:rPr>
              <w:t>标准工作温度</w:t>
            </w:r>
          </w:p>
          <w:p>
            <w:pPr>
              <w:spacing w:line="300" w:lineRule="exact"/>
              <w:rPr>
                <w:rFonts w:ascii="仿宋_GB2312"/>
                <w:color w:val="000000" w:themeColor="text1"/>
              </w:rPr>
            </w:pPr>
            <w:r>
              <w:rPr>
                <w:rFonts w:hint="eastAsia" w:ascii="仿宋_GB2312"/>
                <w:color w:val="000000" w:themeColor="text1"/>
              </w:rPr>
              <w:t>网络带宽</w:t>
            </w:r>
            <w:r>
              <w:rPr>
                <w:rFonts w:ascii="仿宋_GB2312"/>
                <w:color w:val="000000" w:themeColor="text1"/>
              </w:rPr>
              <w:t>:</w:t>
            </w:r>
            <w:r>
              <w:rPr>
                <w:rFonts w:hint="eastAsia" w:ascii="仿宋_GB2312"/>
                <w:color w:val="000000" w:themeColor="text1"/>
              </w:rPr>
              <w:t>支持多种网络带宽；</w:t>
            </w:r>
          </w:p>
          <w:p>
            <w:pPr>
              <w:spacing w:line="300" w:lineRule="exact"/>
              <w:rPr>
                <w:rFonts w:ascii="仿宋_GB2312"/>
                <w:color w:val="000000" w:themeColor="text1"/>
              </w:rPr>
            </w:pPr>
            <w:r>
              <w:rPr>
                <w:rFonts w:hint="eastAsia" w:ascii="仿宋_GB2312"/>
                <w:color w:val="000000" w:themeColor="text1"/>
              </w:rPr>
              <w:t>配置≥</w:t>
            </w:r>
            <w:r>
              <w:rPr>
                <w:rFonts w:ascii="仿宋_GB2312"/>
                <w:color w:val="000000" w:themeColor="text1"/>
              </w:rPr>
              <w:t>1Gb</w:t>
            </w:r>
            <w:r>
              <w:rPr>
                <w:rFonts w:hint="eastAsia" w:ascii="仿宋_GB2312"/>
                <w:color w:val="000000" w:themeColor="text1"/>
              </w:rPr>
              <w:t>独立的远程管理控制端口；</w:t>
            </w:r>
          </w:p>
          <w:p>
            <w:pPr>
              <w:spacing w:line="300" w:lineRule="exact"/>
              <w:rPr>
                <w:rFonts w:ascii="宋体" w:hAnsi="宋体"/>
                <w:color w:val="000000" w:themeColor="text1"/>
                <w:szCs w:val="21"/>
              </w:rPr>
            </w:pPr>
            <w:r>
              <w:rPr>
                <w:rFonts w:hint="eastAsia" w:ascii="仿宋_GB2312"/>
                <w:color w:val="000000" w:themeColor="text1"/>
              </w:rPr>
              <w:t>阵列控制器</w:t>
            </w:r>
            <w:r>
              <w:rPr>
                <w:rFonts w:ascii="仿宋_GB2312"/>
                <w:color w:val="000000" w:themeColor="text1"/>
              </w:rPr>
              <w:t>:</w:t>
            </w:r>
            <w:r>
              <w:rPr>
                <w:rFonts w:hint="eastAsia" w:ascii="仿宋_GB2312"/>
                <w:color w:val="000000" w:themeColor="text1"/>
              </w:rPr>
              <w:t>≥</w:t>
            </w:r>
            <w:r>
              <w:rPr>
                <w:rFonts w:ascii="仿宋_GB2312"/>
                <w:color w:val="000000" w:themeColor="text1"/>
              </w:rPr>
              <w:t>1</w:t>
            </w:r>
            <w:r>
              <w:rPr>
                <w:rFonts w:hint="eastAsia" w:ascii="仿宋_GB2312"/>
                <w:color w:val="000000" w:themeColor="text1"/>
              </w:rPr>
              <w:t>个标配</w:t>
            </w:r>
            <w:r>
              <w:rPr>
                <w:rFonts w:ascii="仿宋_GB2312"/>
                <w:color w:val="000000" w:themeColor="text1"/>
              </w:rPr>
              <w:t>RAID</w:t>
            </w:r>
            <w:r>
              <w:rPr>
                <w:rFonts w:hint="eastAsia" w:ascii="仿宋_GB2312"/>
                <w:color w:val="000000" w:themeColor="text1"/>
              </w:rPr>
              <w:t>阵列卡。</w:t>
            </w:r>
          </w:p>
        </w:tc>
        <w:tc>
          <w:tcPr>
            <w:tcW w:w="791" w:type="dxa"/>
            <w:vAlign w:val="center"/>
          </w:tcPr>
          <w:p>
            <w:pPr>
              <w:spacing w:line="300" w:lineRule="exact"/>
              <w:jc w:val="center"/>
              <w:rPr>
                <w:rFonts w:ascii="宋体" w:hAnsi="宋体"/>
                <w:color w:val="000000" w:themeColor="text1"/>
                <w:szCs w:val="21"/>
              </w:rPr>
            </w:pPr>
            <w:r>
              <w:rPr>
                <w:rFonts w:ascii="宋体" w:hAnsi="宋体"/>
                <w:color w:val="000000" w:themeColor="text1"/>
                <w:szCs w:val="21"/>
              </w:rPr>
              <w:t>8</w:t>
            </w:r>
          </w:p>
        </w:tc>
        <w:tc>
          <w:tcPr>
            <w:tcW w:w="1231" w:type="dxa"/>
            <w:vAlign w:val="center"/>
          </w:tcPr>
          <w:p>
            <w:pPr>
              <w:spacing w:line="300" w:lineRule="exact"/>
              <w:rPr>
                <w:rFonts w:ascii="宋体" w:hAnsi="宋体"/>
                <w:color w:val="000000" w:themeColor="text1"/>
                <w:szCs w:val="21"/>
              </w:rPr>
            </w:pPr>
            <w:r>
              <w:rPr>
                <w:rFonts w:hint="eastAsia" w:ascii="宋体" w:hAnsi="宋体"/>
                <w:color w:val="000000" w:themeColor="text1"/>
                <w:szCs w:val="21"/>
              </w:rPr>
              <w:t>市本级4台</w:t>
            </w:r>
            <w:r>
              <w:rPr>
                <w:rFonts w:ascii="宋体" w:hAnsi="宋体"/>
                <w:color w:val="000000" w:themeColor="text1"/>
                <w:szCs w:val="21"/>
              </w:rPr>
              <w:t>、</w:t>
            </w:r>
            <w:r>
              <w:rPr>
                <w:rFonts w:hint="eastAsia" w:ascii="宋体" w:hAnsi="宋体"/>
                <w:color w:val="000000" w:themeColor="text1"/>
                <w:szCs w:val="21"/>
              </w:rPr>
              <w:t>浦江</w:t>
            </w:r>
            <w:r>
              <w:rPr>
                <w:rFonts w:ascii="宋体" w:hAnsi="宋体"/>
                <w:color w:val="000000" w:themeColor="text1"/>
                <w:szCs w:val="21"/>
              </w:rPr>
              <w:t>、磐安</w:t>
            </w:r>
            <w:r>
              <w:rPr>
                <w:rFonts w:hint="eastAsia" w:ascii="宋体" w:hAnsi="宋体"/>
                <w:color w:val="000000" w:themeColor="text1"/>
                <w:szCs w:val="21"/>
              </w:rPr>
              <w:t>各</w:t>
            </w:r>
            <w:r>
              <w:rPr>
                <w:rFonts w:ascii="宋体" w:hAnsi="宋体"/>
                <w:color w:val="000000" w:themeColor="text1"/>
                <w:szCs w:val="21"/>
              </w:rPr>
              <w:t>2台</w:t>
            </w:r>
          </w:p>
        </w:tc>
        <w:tc>
          <w:tcPr>
            <w:tcW w:w="713" w:type="dxa"/>
            <w:noWrap/>
            <w:vAlign w:val="center"/>
          </w:tcPr>
          <w:p>
            <w:pPr>
              <w:spacing w:line="300" w:lineRule="exact"/>
              <w:jc w:val="center"/>
              <w:rPr>
                <w:rFonts w:ascii="宋体" w:hAnsi="宋体"/>
                <w:color w:val="000000" w:themeColor="text1"/>
                <w:szCs w:val="21"/>
              </w:rPr>
            </w:pPr>
            <w:r>
              <w:rPr>
                <w:rFonts w:ascii="宋体" w:hAnsi="宋体"/>
                <w:color w:val="000000" w:themeColor="text1"/>
                <w:szCs w:val="21"/>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jc w:val="center"/>
        </w:trPr>
        <w:tc>
          <w:tcPr>
            <w:tcW w:w="879" w:type="dxa"/>
            <w:vMerge w:val="continue"/>
            <w:vAlign w:val="center"/>
          </w:tcPr>
          <w:p>
            <w:pPr>
              <w:spacing w:line="300" w:lineRule="exact"/>
              <w:rPr>
                <w:rFonts w:ascii="宋体" w:hAnsi="宋体"/>
                <w:b/>
                <w:bCs/>
                <w:color w:val="000000" w:themeColor="text1"/>
                <w:szCs w:val="21"/>
              </w:rPr>
            </w:pPr>
          </w:p>
        </w:tc>
        <w:tc>
          <w:tcPr>
            <w:tcW w:w="926" w:type="dxa"/>
            <w:vAlign w:val="center"/>
          </w:tcPr>
          <w:p>
            <w:pPr>
              <w:spacing w:line="300" w:lineRule="exact"/>
              <w:rPr>
                <w:rFonts w:ascii="宋体" w:hAnsi="宋体"/>
                <w:color w:val="000000" w:themeColor="text1"/>
                <w:szCs w:val="21"/>
              </w:rPr>
            </w:pPr>
            <w:r>
              <w:rPr>
                <w:rFonts w:ascii="宋体" w:hAnsi="宋体"/>
                <w:color w:val="000000" w:themeColor="text1"/>
                <w:szCs w:val="21"/>
              </w:rPr>
              <w:t>平台联网网关（</w:t>
            </w:r>
            <w:r>
              <w:rPr>
                <w:rFonts w:hint="eastAsia" w:ascii="宋体" w:hAnsi="宋体"/>
                <w:color w:val="000000" w:themeColor="text1"/>
                <w:szCs w:val="21"/>
              </w:rPr>
              <w:t>一体机</w:t>
            </w:r>
            <w:r>
              <w:rPr>
                <w:rFonts w:ascii="宋体" w:hAnsi="宋体"/>
                <w:color w:val="000000" w:themeColor="text1"/>
                <w:szCs w:val="21"/>
              </w:rPr>
              <w:t>）</w:t>
            </w:r>
          </w:p>
        </w:tc>
        <w:tc>
          <w:tcPr>
            <w:tcW w:w="3988" w:type="dxa"/>
            <w:vAlign w:val="center"/>
          </w:tcPr>
          <w:p>
            <w:pPr>
              <w:spacing w:line="300" w:lineRule="exact"/>
              <w:rPr>
                <w:rFonts w:ascii="仿宋_GB2312"/>
                <w:color w:val="000000" w:themeColor="text1"/>
              </w:rPr>
            </w:pPr>
            <w:r>
              <w:rPr>
                <w:rFonts w:hint="eastAsia"/>
                <w:color w:val="000000" w:themeColor="text1"/>
              </w:rPr>
              <w:t>★</w:t>
            </w:r>
            <w:r>
              <w:rPr>
                <w:rFonts w:ascii="仿宋_GB2312"/>
                <w:color w:val="000000" w:themeColor="text1"/>
              </w:rPr>
              <w:t>Cpu：Intel Xeon (≥12核</w:t>
            </w:r>
            <w:r>
              <w:rPr>
                <w:rFonts w:hint="eastAsia" w:ascii="仿宋_GB2312"/>
                <w:color w:val="000000" w:themeColor="text1"/>
              </w:rPr>
              <w:t>，</w:t>
            </w:r>
            <w:r>
              <w:rPr>
                <w:rFonts w:ascii="仿宋_GB2312"/>
                <w:color w:val="000000" w:themeColor="text1"/>
              </w:rPr>
              <w:t>≥2.3GHz)×1/</w:t>
            </w:r>
          </w:p>
          <w:p>
            <w:pPr>
              <w:spacing w:line="300" w:lineRule="exact"/>
              <w:rPr>
                <w:rFonts w:ascii="仿宋_GB2312"/>
                <w:color w:val="000000" w:themeColor="text1"/>
              </w:rPr>
            </w:pPr>
            <w:r>
              <w:rPr>
                <w:rFonts w:hint="eastAsia" w:ascii="仿宋_GB2312"/>
                <w:color w:val="000000" w:themeColor="text1"/>
              </w:rPr>
              <w:t>★内存</w:t>
            </w:r>
            <w:r>
              <w:rPr>
                <w:rFonts w:ascii="仿宋_GB2312"/>
                <w:color w:val="000000" w:themeColor="text1"/>
              </w:rPr>
              <w:t>：≥16GB DDR4×4/</w:t>
            </w:r>
          </w:p>
          <w:p>
            <w:pPr>
              <w:spacing w:line="300" w:lineRule="exact"/>
              <w:rPr>
                <w:rFonts w:ascii="仿宋_GB2312"/>
                <w:color w:val="000000" w:themeColor="text1"/>
              </w:rPr>
            </w:pPr>
            <w:r>
              <w:rPr>
                <w:rFonts w:hint="eastAsia" w:ascii="仿宋_GB2312"/>
                <w:color w:val="000000" w:themeColor="text1"/>
              </w:rPr>
              <w:t>★硬盘</w:t>
            </w:r>
            <w:r>
              <w:rPr>
                <w:rFonts w:ascii="仿宋_GB2312"/>
                <w:color w:val="000000" w:themeColor="text1"/>
              </w:rPr>
              <w:t>：≥600GB SAS×2/</w:t>
            </w:r>
          </w:p>
          <w:p>
            <w:pPr>
              <w:spacing w:line="300" w:lineRule="exact"/>
              <w:rPr>
                <w:rFonts w:ascii="仿宋_GB2312"/>
                <w:color w:val="000000" w:themeColor="text1"/>
              </w:rPr>
            </w:pPr>
            <w:r>
              <w:rPr>
                <w:rFonts w:hint="eastAsia" w:ascii="仿宋_GB2312"/>
                <w:color w:val="000000" w:themeColor="text1"/>
              </w:rPr>
              <w:t>★网口</w:t>
            </w:r>
            <w:r>
              <w:rPr>
                <w:rFonts w:ascii="仿宋_GB2312"/>
                <w:color w:val="000000" w:themeColor="text1"/>
              </w:rPr>
              <w:t>：≥1GbE×4</w:t>
            </w:r>
            <w:r>
              <w:rPr>
                <w:rFonts w:hint="eastAsia" w:ascii="仿宋_GB2312"/>
                <w:color w:val="000000" w:themeColor="text1"/>
              </w:rPr>
              <w:t>（光口）</w:t>
            </w:r>
          </w:p>
          <w:p>
            <w:pPr>
              <w:spacing w:line="300" w:lineRule="exact"/>
              <w:rPr>
                <w:rFonts w:ascii="仿宋_GB2312"/>
                <w:color w:val="000000" w:themeColor="text1"/>
              </w:rPr>
            </w:pPr>
            <w:r>
              <w:rPr>
                <w:rFonts w:ascii="仿宋_GB2312"/>
                <w:color w:val="000000" w:themeColor="text1"/>
              </w:rPr>
              <w:t>2</w:t>
            </w:r>
            <w:r>
              <w:rPr>
                <w:rFonts w:hint="eastAsia" w:ascii="仿宋_GB2312"/>
                <w:color w:val="000000" w:themeColor="text1"/>
              </w:rPr>
              <w:t>个热插拔冗余电源，冗余风扇</w:t>
            </w:r>
          </w:p>
          <w:p>
            <w:pPr>
              <w:spacing w:line="300" w:lineRule="exact"/>
              <w:rPr>
                <w:rFonts w:ascii="仿宋_GB2312"/>
                <w:color w:val="000000" w:themeColor="text1"/>
              </w:rPr>
            </w:pPr>
            <w:r>
              <w:rPr>
                <w:rFonts w:hint="eastAsia" w:ascii="仿宋_GB2312"/>
                <w:color w:val="000000" w:themeColor="text1"/>
              </w:rPr>
              <w:t>工作温度</w:t>
            </w:r>
            <w:r>
              <w:rPr>
                <w:rFonts w:ascii="仿宋_GB2312"/>
                <w:color w:val="000000" w:themeColor="text1"/>
              </w:rPr>
              <w:t>:</w:t>
            </w:r>
            <w:r>
              <w:rPr>
                <w:rFonts w:hint="eastAsia" w:ascii="仿宋_GB2312"/>
                <w:color w:val="000000" w:themeColor="text1"/>
              </w:rPr>
              <w:t>支持最高</w:t>
            </w:r>
            <w:r>
              <w:rPr>
                <w:rFonts w:ascii="仿宋_GB2312"/>
                <w:color w:val="000000" w:themeColor="text1"/>
              </w:rPr>
              <w:t>5-40</w:t>
            </w:r>
            <w:r>
              <w:rPr>
                <w:rFonts w:hint="eastAsia" w:ascii="仿宋_GB2312"/>
                <w:color w:val="000000" w:themeColor="text1"/>
              </w:rPr>
              <w:t>°</w:t>
            </w:r>
            <w:r>
              <w:rPr>
                <w:rFonts w:ascii="仿宋_GB2312"/>
                <w:color w:val="000000" w:themeColor="text1"/>
              </w:rPr>
              <w:t>C</w:t>
            </w:r>
            <w:r>
              <w:rPr>
                <w:rFonts w:hint="eastAsia" w:ascii="仿宋_GB2312"/>
                <w:color w:val="000000" w:themeColor="text1"/>
              </w:rPr>
              <w:t>标准工作温度</w:t>
            </w:r>
          </w:p>
          <w:p>
            <w:pPr>
              <w:spacing w:line="300" w:lineRule="exact"/>
              <w:rPr>
                <w:rFonts w:ascii="仿宋_GB2312"/>
                <w:color w:val="000000" w:themeColor="text1"/>
              </w:rPr>
            </w:pPr>
            <w:r>
              <w:rPr>
                <w:rFonts w:hint="eastAsia" w:ascii="仿宋_GB2312"/>
                <w:color w:val="000000" w:themeColor="text1"/>
              </w:rPr>
              <w:t>网络带宽</w:t>
            </w:r>
            <w:r>
              <w:rPr>
                <w:rFonts w:ascii="仿宋_GB2312"/>
                <w:color w:val="000000" w:themeColor="text1"/>
              </w:rPr>
              <w:t>:</w:t>
            </w:r>
            <w:r>
              <w:rPr>
                <w:rFonts w:hint="eastAsia" w:ascii="仿宋_GB2312"/>
                <w:color w:val="000000" w:themeColor="text1"/>
              </w:rPr>
              <w:t>支持多种网络带宽；</w:t>
            </w:r>
          </w:p>
          <w:p>
            <w:pPr>
              <w:spacing w:line="300" w:lineRule="exact"/>
              <w:rPr>
                <w:rFonts w:ascii="仿宋_GB2312"/>
                <w:color w:val="000000" w:themeColor="text1"/>
              </w:rPr>
            </w:pPr>
            <w:r>
              <w:rPr>
                <w:rFonts w:hint="eastAsia" w:ascii="仿宋_GB2312"/>
                <w:color w:val="000000" w:themeColor="text1"/>
              </w:rPr>
              <w:t>配置≥</w:t>
            </w:r>
            <w:r>
              <w:rPr>
                <w:rFonts w:ascii="仿宋_GB2312"/>
                <w:color w:val="000000" w:themeColor="text1"/>
              </w:rPr>
              <w:t>1Gb</w:t>
            </w:r>
            <w:r>
              <w:rPr>
                <w:rFonts w:hint="eastAsia" w:ascii="仿宋_GB2312"/>
                <w:color w:val="000000" w:themeColor="text1"/>
              </w:rPr>
              <w:t>独立的远程管理控制端口；</w:t>
            </w:r>
          </w:p>
          <w:p>
            <w:pPr>
              <w:spacing w:line="300" w:lineRule="exact"/>
              <w:rPr>
                <w:rFonts w:ascii="宋体" w:hAnsi="宋体"/>
                <w:color w:val="000000" w:themeColor="text1"/>
                <w:szCs w:val="21"/>
              </w:rPr>
            </w:pPr>
            <w:r>
              <w:rPr>
                <w:rFonts w:hint="eastAsia" w:ascii="仿宋_GB2312"/>
                <w:color w:val="000000" w:themeColor="text1"/>
              </w:rPr>
              <w:t>阵列控制器</w:t>
            </w:r>
            <w:r>
              <w:rPr>
                <w:rFonts w:ascii="仿宋_GB2312"/>
                <w:color w:val="000000" w:themeColor="text1"/>
              </w:rPr>
              <w:t>:</w:t>
            </w:r>
            <w:r>
              <w:rPr>
                <w:rFonts w:hint="eastAsia" w:ascii="仿宋_GB2312"/>
                <w:color w:val="000000" w:themeColor="text1"/>
              </w:rPr>
              <w:t>≥</w:t>
            </w:r>
            <w:r>
              <w:rPr>
                <w:rFonts w:ascii="仿宋_GB2312"/>
                <w:color w:val="000000" w:themeColor="text1"/>
              </w:rPr>
              <w:t>1</w:t>
            </w:r>
            <w:r>
              <w:rPr>
                <w:rFonts w:hint="eastAsia" w:ascii="仿宋_GB2312"/>
                <w:color w:val="000000" w:themeColor="text1"/>
              </w:rPr>
              <w:t>个标配</w:t>
            </w:r>
            <w:r>
              <w:rPr>
                <w:rFonts w:ascii="仿宋_GB2312"/>
                <w:color w:val="000000" w:themeColor="text1"/>
              </w:rPr>
              <w:t>RAID</w:t>
            </w:r>
            <w:r>
              <w:rPr>
                <w:rFonts w:hint="eastAsia" w:ascii="仿宋_GB2312"/>
                <w:color w:val="000000" w:themeColor="text1"/>
              </w:rPr>
              <w:t>阵列卡。</w:t>
            </w:r>
            <w:r>
              <w:rPr>
                <w:rFonts w:ascii="仿宋_GB2312"/>
                <w:color w:val="000000" w:themeColor="text1"/>
              </w:rPr>
              <w:t>平台级联网关要求支持GB/T 28181-2016等联网标准协议，实现对接上级平台和接入下级平台的能力；可同时接入多个异构平台，实现转码、转发功能；支持主流监控平台接入，支持对非标数字平台实现标准改造。</w:t>
            </w:r>
          </w:p>
        </w:tc>
        <w:tc>
          <w:tcPr>
            <w:tcW w:w="791" w:type="dxa"/>
            <w:vAlign w:val="center"/>
          </w:tcPr>
          <w:p>
            <w:pPr>
              <w:spacing w:line="300" w:lineRule="exact"/>
              <w:jc w:val="center"/>
              <w:rPr>
                <w:rFonts w:ascii="宋体" w:hAnsi="宋体"/>
                <w:color w:val="000000" w:themeColor="text1"/>
                <w:szCs w:val="21"/>
              </w:rPr>
            </w:pPr>
            <w:r>
              <w:rPr>
                <w:rFonts w:ascii="宋体" w:hAnsi="宋体"/>
                <w:color w:val="000000" w:themeColor="text1"/>
                <w:szCs w:val="21"/>
              </w:rPr>
              <w:t>10</w:t>
            </w:r>
          </w:p>
        </w:tc>
        <w:tc>
          <w:tcPr>
            <w:tcW w:w="1231" w:type="dxa"/>
            <w:vAlign w:val="center"/>
          </w:tcPr>
          <w:p>
            <w:pPr>
              <w:spacing w:line="300" w:lineRule="exact"/>
              <w:rPr>
                <w:rFonts w:ascii="宋体" w:hAnsi="宋体"/>
                <w:color w:val="000000" w:themeColor="text1"/>
                <w:szCs w:val="21"/>
              </w:rPr>
            </w:pPr>
            <w:r>
              <w:rPr>
                <w:rFonts w:hint="eastAsia" w:ascii="宋体" w:hAnsi="宋体"/>
                <w:color w:val="000000" w:themeColor="text1"/>
                <w:szCs w:val="21"/>
              </w:rPr>
              <w:t>市本级6（平台侧2台</w:t>
            </w:r>
            <w:r>
              <w:rPr>
                <w:rFonts w:ascii="宋体" w:hAnsi="宋体"/>
                <w:color w:val="000000" w:themeColor="text1"/>
                <w:szCs w:val="21"/>
              </w:rPr>
              <w:t>，运营商侧</w:t>
            </w:r>
            <w:r>
              <w:rPr>
                <w:rFonts w:hint="eastAsia" w:ascii="宋体" w:hAnsi="宋体"/>
                <w:color w:val="000000" w:themeColor="text1"/>
                <w:szCs w:val="21"/>
              </w:rPr>
              <w:t>4台），浦江</w:t>
            </w:r>
            <w:r>
              <w:rPr>
                <w:rFonts w:ascii="宋体" w:hAnsi="宋体"/>
                <w:color w:val="000000" w:themeColor="text1"/>
                <w:szCs w:val="21"/>
              </w:rPr>
              <w:t>、磐安</w:t>
            </w:r>
            <w:r>
              <w:rPr>
                <w:rFonts w:hint="eastAsia" w:ascii="宋体" w:hAnsi="宋体"/>
                <w:color w:val="000000" w:themeColor="text1"/>
                <w:szCs w:val="21"/>
              </w:rPr>
              <w:t>各</w:t>
            </w:r>
            <w:r>
              <w:rPr>
                <w:rFonts w:ascii="宋体" w:hAnsi="宋体"/>
                <w:color w:val="000000" w:themeColor="text1"/>
                <w:szCs w:val="21"/>
              </w:rPr>
              <w:t>2台</w:t>
            </w:r>
          </w:p>
        </w:tc>
        <w:tc>
          <w:tcPr>
            <w:tcW w:w="713" w:type="dxa"/>
            <w:noWrap/>
            <w:vAlign w:val="center"/>
          </w:tcPr>
          <w:p>
            <w:pPr>
              <w:spacing w:line="300" w:lineRule="exact"/>
              <w:jc w:val="center"/>
              <w:rPr>
                <w:rFonts w:ascii="宋体" w:hAnsi="宋体"/>
                <w:color w:val="000000" w:themeColor="text1"/>
                <w:szCs w:val="21"/>
              </w:rPr>
            </w:pPr>
            <w:r>
              <w:rPr>
                <w:rFonts w:ascii="宋体" w:hAnsi="宋体"/>
                <w:color w:val="000000" w:themeColor="text1"/>
                <w:szCs w:val="21"/>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00" w:hRule="atLeast"/>
          <w:jc w:val="center"/>
        </w:trPr>
        <w:tc>
          <w:tcPr>
            <w:tcW w:w="879" w:type="dxa"/>
            <w:vMerge w:val="continue"/>
            <w:vAlign w:val="center"/>
          </w:tcPr>
          <w:p>
            <w:pPr>
              <w:spacing w:line="300" w:lineRule="exact"/>
              <w:rPr>
                <w:rFonts w:ascii="宋体" w:hAnsi="宋体"/>
                <w:b/>
                <w:bCs/>
                <w:color w:val="000000" w:themeColor="text1"/>
                <w:szCs w:val="21"/>
              </w:rPr>
            </w:pPr>
          </w:p>
        </w:tc>
        <w:tc>
          <w:tcPr>
            <w:tcW w:w="926" w:type="dxa"/>
            <w:vAlign w:val="center"/>
          </w:tcPr>
          <w:p>
            <w:pPr>
              <w:spacing w:line="300" w:lineRule="exact"/>
              <w:rPr>
                <w:rFonts w:ascii="宋体" w:hAnsi="宋体"/>
                <w:color w:val="000000" w:themeColor="text1"/>
                <w:szCs w:val="21"/>
              </w:rPr>
            </w:pPr>
            <w:r>
              <w:rPr>
                <w:rFonts w:ascii="宋体" w:hAnsi="宋体"/>
                <w:color w:val="000000" w:themeColor="text1"/>
                <w:szCs w:val="21"/>
              </w:rPr>
              <w:t>出口交换机</w:t>
            </w:r>
          </w:p>
        </w:tc>
        <w:tc>
          <w:tcPr>
            <w:tcW w:w="3988" w:type="dxa"/>
            <w:vAlign w:val="center"/>
          </w:tcPr>
          <w:p>
            <w:pPr>
              <w:spacing w:line="300" w:lineRule="exact"/>
              <w:rPr>
                <w:rFonts w:ascii="宋体" w:hAnsi="宋体"/>
                <w:color w:val="000000" w:themeColor="text1"/>
                <w:szCs w:val="21"/>
              </w:rPr>
            </w:pPr>
            <w:r>
              <w:rPr>
                <w:rFonts w:hint="eastAsia"/>
                <w:color w:val="000000" w:themeColor="text1"/>
              </w:rPr>
              <w:t>★</w:t>
            </w:r>
            <w:r>
              <w:rPr>
                <w:rFonts w:ascii="宋体" w:hAnsi="宋体"/>
                <w:color w:val="000000" w:themeColor="text1"/>
                <w:szCs w:val="21"/>
              </w:rPr>
              <w:t>配置双主控及冗余电源；</w:t>
            </w:r>
            <w:r>
              <w:rPr>
                <w:rFonts w:ascii="宋体" w:hAnsi="宋体"/>
                <w:color w:val="000000" w:themeColor="text1"/>
                <w:szCs w:val="21"/>
              </w:rPr>
              <w:br w:type="textWrapping"/>
            </w:r>
            <w:r>
              <w:rPr>
                <w:rFonts w:hint="eastAsia"/>
                <w:color w:val="000000" w:themeColor="text1"/>
              </w:rPr>
              <w:t>★</w:t>
            </w:r>
            <w:r>
              <w:rPr>
                <w:rFonts w:hint="eastAsia" w:ascii="宋体" w:hAnsi="宋体"/>
                <w:color w:val="000000" w:themeColor="text1"/>
                <w:szCs w:val="21"/>
              </w:rPr>
              <w:t>交换</w:t>
            </w:r>
            <w:r>
              <w:rPr>
                <w:rFonts w:ascii="宋体" w:hAnsi="宋体"/>
                <w:color w:val="000000" w:themeColor="text1"/>
                <w:szCs w:val="21"/>
              </w:rPr>
              <w:t>容量≥19.2Tbps；（以官网参数斜线前数值为准）</w:t>
            </w:r>
            <w:r>
              <w:rPr>
                <w:rFonts w:hint="eastAsia" w:ascii="仿宋_GB2312" w:hAnsi="宋体" w:cs="宋体"/>
                <w:color w:val="000000" w:themeColor="text1"/>
              </w:rPr>
              <w:t>（提供官网截图）</w:t>
            </w:r>
            <w:r>
              <w:rPr>
                <w:rFonts w:ascii="宋体" w:hAnsi="宋体"/>
                <w:color w:val="000000" w:themeColor="text1"/>
                <w:szCs w:val="21"/>
              </w:rPr>
              <w:br w:type="textWrapping"/>
            </w:r>
            <w:r>
              <w:rPr>
                <w:rFonts w:hint="eastAsia"/>
                <w:color w:val="000000" w:themeColor="text1"/>
              </w:rPr>
              <w:t>★</w:t>
            </w:r>
            <w:r>
              <w:rPr>
                <w:rFonts w:ascii="宋体" w:hAnsi="宋体"/>
                <w:color w:val="000000" w:themeColor="text1"/>
                <w:szCs w:val="21"/>
              </w:rPr>
              <w:t>包转发率≥2880Mpps；（以官网参数斜线前数值为准）</w:t>
            </w:r>
            <w:r>
              <w:rPr>
                <w:rFonts w:hint="eastAsia" w:ascii="仿宋_GB2312" w:hAnsi="宋体" w:cs="宋体"/>
                <w:color w:val="000000" w:themeColor="text1"/>
              </w:rPr>
              <w:t>（提供官网截图）</w:t>
            </w:r>
            <w:r>
              <w:rPr>
                <w:rFonts w:ascii="宋体" w:hAnsi="宋体"/>
                <w:color w:val="000000" w:themeColor="text1"/>
                <w:szCs w:val="21"/>
              </w:rPr>
              <w:br w:type="textWrapping"/>
            </w:r>
            <w:r>
              <w:rPr>
                <w:rFonts w:ascii="宋体" w:hAnsi="宋体"/>
                <w:color w:val="000000" w:themeColor="text1"/>
                <w:szCs w:val="21"/>
              </w:rPr>
              <w:t>业务槽位数≥6；</w:t>
            </w:r>
            <w:r>
              <w:rPr>
                <w:rFonts w:ascii="宋体" w:hAnsi="宋体"/>
                <w:color w:val="000000" w:themeColor="text1"/>
                <w:szCs w:val="21"/>
              </w:rPr>
              <w:br w:type="textWrapping"/>
            </w:r>
            <w:r>
              <w:rPr>
                <w:rFonts w:ascii="宋体" w:hAnsi="宋体"/>
                <w:color w:val="000000" w:themeColor="text1"/>
                <w:szCs w:val="21"/>
              </w:rPr>
              <w:t>可支持接口类型：GE（光/电）、10GE（光）；</w:t>
            </w:r>
            <w:r>
              <w:rPr>
                <w:rFonts w:ascii="宋体" w:hAnsi="宋体"/>
                <w:color w:val="000000" w:themeColor="text1"/>
                <w:szCs w:val="21"/>
              </w:rPr>
              <w:br w:type="textWrapping"/>
            </w:r>
            <w:r>
              <w:rPr>
                <w:rFonts w:hint="eastAsia"/>
                <w:color w:val="000000" w:themeColor="text1"/>
              </w:rPr>
              <w:t>★</w:t>
            </w:r>
            <w:r>
              <w:rPr>
                <w:rFonts w:ascii="宋体" w:hAnsi="宋体"/>
                <w:color w:val="000000" w:themeColor="text1"/>
                <w:szCs w:val="21"/>
              </w:rPr>
              <w:t>端口配置：10GE光口≥4，千兆光口≥20，千兆电口≥20（满配单模10KM光模块）；</w:t>
            </w:r>
            <w:r>
              <w:rPr>
                <w:rFonts w:ascii="宋体" w:hAnsi="宋体"/>
                <w:color w:val="000000" w:themeColor="text1"/>
                <w:szCs w:val="21"/>
              </w:rPr>
              <w:br w:type="textWrapping"/>
            </w:r>
            <w:r>
              <w:rPr>
                <w:rFonts w:ascii="宋体" w:hAnsi="宋体"/>
                <w:color w:val="000000" w:themeColor="text1"/>
                <w:szCs w:val="21"/>
              </w:rPr>
              <w:t>路由特性：交换机要求支持静态路由、RIP、OSPF、IS-IS、BGP4等路由协议；</w:t>
            </w:r>
            <w:r>
              <w:rPr>
                <w:rFonts w:ascii="宋体" w:hAnsi="宋体"/>
                <w:color w:val="000000" w:themeColor="text1"/>
                <w:szCs w:val="21"/>
              </w:rPr>
              <w:br w:type="textWrapping"/>
            </w:r>
            <w:r>
              <w:rPr>
                <w:rFonts w:ascii="宋体" w:hAnsi="宋体"/>
                <w:color w:val="000000" w:themeColor="text1"/>
                <w:szCs w:val="21"/>
              </w:rPr>
              <w:t>支持IPv4/IPv6；支持组播；支持OPENFLOW 1.3标准；支持L3 MPLS VPN；支持L2 VPN: VLL (Martini, Kompella)；支持FTP、TFTP</w:t>
            </w:r>
            <w:r>
              <w:rPr>
                <w:rFonts w:ascii="宋体" w:hAnsi="宋体"/>
                <w:color w:val="000000" w:themeColor="text1"/>
                <w:szCs w:val="21"/>
              </w:rPr>
              <w:br w:type="textWrapping"/>
            </w:r>
            <w:r>
              <w:rPr>
                <w:rFonts w:ascii="宋体" w:hAnsi="宋体"/>
                <w:color w:val="000000" w:themeColor="text1"/>
                <w:szCs w:val="21"/>
              </w:rPr>
              <w:t>支持SNMP v1/v2/v3</w:t>
            </w:r>
          </w:p>
        </w:tc>
        <w:tc>
          <w:tcPr>
            <w:tcW w:w="791" w:type="dxa"/>
            <w:vAlign w:val="center"/>
          </w:tcPr>
          <w:p>
            <w:pPr>
              <w:spacing w:line="300" w:lineRule="exact"/>
              <w:jc w:val="center"/>
              <w:rPr>
                <w:rFonts w:ascii="宋体" w:hAnsi="宋体"/>
                <w:color w:val="000000" w:themeColor="text1"/>
                <w:szCs w:val="21"/>
              </w:rPr>
            </w:pPr>
            <w:r>
              <w:rPr>
                <w:rFonts w:ascii="宋体" w:hAnsi="宋体"/>
                <w:color w:val="000000" w:themeColor="text1"/>
                <w:szCs w:val="21"/>
              </w:rPr>
              <w:t>1</w:t>
            </w:r>
          </w:p>
        </w:tc>
        <w:tc>
          <w:tcPr>
            <w:tcW w:w="1231" w:type="dxa"/>
            <w:vAlign w:val="center"/>
          </w:tcPr>
          <w:p>
            <w:pPr>
              <w:spacing w:line="300" w:lineRule="exact"/>
              <w:rPr>
                <w:rFonts w:ascii="宋体" w:hAnsi="宋体"/>
                <w:color w:val="000000" w:themeColor="text1"/>
                <w:szCs w:val="21"/>
              </w:rPr>
            </w:pPr>
            <w:r>
              <w:rPr>
                <w:rFonts w:hint="eastAsia" w:ascii="宋体" w:hAnsi="宋体"/>
                <w:color w:val="000000" w:themeColor="text1"/>
                <w:szCs w:val="21"/>
              </w:rPr>
              <w:t>市本级1台</w:t>
            </w:r>
          </w:p>
        </w:tc>
        <w:tc>
          <w:tcPr>
            <w:tcW w:w="713" w:type="dxa"/>
            <w:noWrap/>
            <w:vAlign w:val="center"/>
          </w:tcPr>
          <w:p>
            <w:pPr>
              <w:spacing w:line="300" w:lineRule="exact"/>
              <w:jc w:val="center"/>
              <w:rPr>
                <w:rFonts w:ascii="宋体" w:hAnsi="宋体"/>
                <w:color w:val="000000" w:themeColor="text1"/>
                <w:szCs w:val="21"/>
              </w:rPr>
            </w:pPr>
            <w:r>
              <w:rPr>
                <w:rFonts w:ascii="宋体" w:hAnsi="宋体"/>
                <w:color w:val="000000" w:themeColor="text1"/>
                <w:szCs w:val="21"/>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0" w:hRule="atLeast"/>
          <w:jc w:val="center"/>
        </w:trPr>
        <w:tc>
          <w:tcPr>
            <w:tcW w:w="879" w:type="dxa"/>
            <w:vMerge w:val="continue"/>
            <w:vAlign w:val="center"/>
          </w:tcPr>
          <w:p>
            <w:pPr>
              <w:spacing w:line="300" w:lineRule="exact"/>
              <w:rPr>
                <w:rFonts w:ascii="宋体" w:hAnsi="宋体"/>
                <w:b/>
                <w:bCs/>
                <w:color w:val="000000" w:themeColor="text1"/>
                <w:szCs w:val="21"/>
              </w:rPr>
            </w:pPr>
          </w:p>
        </w:tc>
        <w:tc>
          <w:tcPr>
            <w:tcW w:w="926" w:type="dxa"/>
            <w:vAlign w:val="center"/>
          </w:tcPr>
          <w:p>
            <w:pPr>
              <w:spacing w:line="300" w:lineRule="exact"/>
              <w:rPr>
                <w:rFonts w:ascii="宋体" w:hAnsi="宋体"/>
                <w:color w:val="000000" w:themeColor="text1"/>
                <w:szCs w:val="21"/>
              </w:rPr>
            </w:pPr>
            <w:r>
              <w:rPr>
                <w:rFonts w:ascii="宋体" w:hAnsi="宋体"/>
                <w:color w:val="000000" w:themeColor="text1"/>
                <w:szCs w:val="21"/>
              </w:rPr>
              <w:t>万兆视频</w:t>
            </w:r>
            <w:r>
              <w:rPr>
                <w:rFonts w:hint="eastAsia" w:ascii="宋体" w:hAnsi="宋体"/>
                <w:color w:val="000000" w:themeColor="text1"/>
                <w:szCs w:val="21"/>
              </w:rPr>
              <w:t>网闸</w:t>
            </w:r>
          </w:p>
        </w:tc>
        <w:tc>
          <w:tcPr>
            <w:tcW w:w="3988" w:type="dxa"/>
            <w:vAlign w:val="center"/>
          </w:tcPr>
          <w:p>
            <w:pPr>
              <w:spacing w:line="300" w:lineRule="exact"/>
              <w:rPr>
                <w:rFonts w:ascii="宋体" w:hAnsi="宋体"/>
                <w:color w:val="000000" w:themeColor="text1"/>
                <w:szCs w:val="21"/>
              </w:rPr>
            </w:pPr>
            <w:r>
              <w:rPr>
                <w:rFonts w:hint="eastAsia" w:ascii="宋体" w:hAnsi="宋体"/>
                <w:color w:val="000000" w:themeColor="text1"/>
                <w:szCs w:val="21"/>
              </w:rPr>
              <w:t>1、采用“2+1”架构，即由两个主机系统和一个隔离交换专用硬件组成；</w:t>
            </w:r>
          </w:p>
          <w:p>
            <w:pPr>
              <w:spacing w:line="300" w:lineRule="exact"/>
              <w:rPr>
                <w:rFonts w:ascii="宋体" w:hAnsi="宋体"/>
                <w:color w:val="000000" w:themeColor="text1"/>
                <w:szCs w:val="21"/>
              </w:rPr>
            </w:pPr>
            <w:r>
              <w:rPr>
                <w:rFonts w:hint="eastAsia"/>
                <w:color w:val="000000" w:themeColor="text1"/>
              </w:rPr>
              <w:t>★</w:t>
            </w:r>
            <w:r>
              <w:rPr>
                <w:rFonts w:hint="eastAsia" w:ascii="宋体" w:hAnsi="宋体"/>
                <w:color w:val="000000" w:themeColor="text1"/>
                <w:szCs w:val="21"/>
              </w:rPr>
              <w:t>2、设备端口：配置≥6个千兆以太网络接口，配置≥4个万兆光纤接口（含光模块）；</w:t>
            </w:r>
          </w:p>
          <w:p>
            <w:pPr>
              <w:spacing w:line="300" w:lineRule="exact"/>
              <w:rPr>
                <w:rFonts w:ascii="宋体" w:hAnsi="宋体"/>
                <w:color w:val="000000" w:themeColor="text1"/>
                <w:szCs w:val="21"/>
              </w:rPr>
            </w:pPr>
            <w:r>
              <w:rPr>
                <w:rFonts w:hint="eastAsia" w:ascii="宋体" w:hAnsi="宋体"/>
                <w:color w:val="000000" w:themeColor="text1"/>
                <w:szCs w:val="21"/>
              </w:rPr>
              <w:t>3、稳定性运行时间(MTBF)≥50000小时；</w:t>
            </w:r>
          </w:p>
          <w:p>
            <w:pPr>
              <w:spacing w:line="300" w:lineRule="exact"/>
              <w:rPr>
                <w:rFonts w:ascii="宋体" w:hAnsi="宋体"/>
                <w:color w:val="000000" w:themeColor="text1"/>
                <w:szCs w:val="21"/>
              </w:rPr>
            </w:pPr>
            <w:r>
              <w:rPr>
                <w:rFonts w:hint="eastAsia"/>
                <w:color w:val="000000" w:themeColor="text1"/>
              </w:rPr>
              <w:t>★</w:t>
            </w:r>
            <w:r>
              <w:rPr>
                <w:rFonts w:hint="eastAsia" w:ascii="宋体" w:hAnsi="宋体"/>
                <w:color w:val="000000" w:themeColor="text1"/>
                <w:szCs w:val="21"/>
              </w:rPr>
              <w:t>4、系统吞吐量≥4Gbps；</w:t>
            </w:r>
          </w:p>
          <w:p>
            <w:pPr>
              <w:spacing w:line="300" w:lineRule="exact"/>
              <w:rPr>
                <w:rFonts w:ascii="宋体" w:hAnsi="宋体"/>
                <w:color w:val="000000" w:themeColor="text1"/>
                <w:szCs w:val="21"/>
              </w:rPr>
            </w:pPr>
            <w:r>
              <w:rPr>
                <w:rFonts w:hint="eastAsia"/>
                <w:color w:val="000000" w:themeColor="text1"/>
              </w:rPr>
              <w:t>★</w:t>
            </w:r>
            <w:r>
              <w:rPr>
                <w:rFonts w:hint="eastAsia" w:ascii="宋体" w:hAnsi="宋体"/>
                <w:color w:val="000000" w:themeColor="text1"/>
                <w:szCs w:val="21"/>
              </w:rPr>
              <w:t>5、并发吞吐量≥4000Mbps，支持2000路D1码流同时并发；</w:t>
            </w:r>
          </w:p>
          <w:p>
            <w:pPr>
              <w:spacing w:line="300" w:lineRule="exact"/>
              <w:rPr>
                <w:rFonts w:ascii="宋体" w:hAnsi="宋体"/>
                <w:color w:val="000000" w:themeColor="text1"/>
                <w:szCs w:val="21"/>
              </w:rPr>
            </w:pPr>
            <w:r>
              <w:rPr>
                <w:rFonts w:hint="eastAsia"/>
                <w:color w:val="000000" w:themeColor="text1"/>
              </w:rPr>
              <w:t>★</w:t>
            </w:r>
            <w:r>
              <w:rPr>
                <w:rFonts w:hint="eastAsia" w:ascii="宋体" w:hAnsi="宋体"/>
                <w:color w:val="000000" w:themeColor="text1"/>
                <w:szCs w:val="21"/>
              </w:rPr>
              <w:t>6、延时＜15ms；</w:t>
            </w:r>
          </w:p>
          <w:p>
            <w:pPr>
              <w:spacing w:line="300" w:lineRule="exact"/>
              <w:rPr>
                <w:rFonts w:ascii="宋体" w:hAnsi="宋体"/>
                <w:color w:val="000000" w:themeColor="text1"/>
                <w:szCs w:val="21"/>
              </w:rPr>
            </w:pPr>
            <w:r>
              <w:rPr>
                <w:rFonts w:hint="eastAsia" w:ascii="宋体" w:hAnsi="宋体"/>
                <w:color w:val="000000" w:themeColor="text1"/>
                <w:szCs w:val="21"/>
              </w:rPr>
              <w:t>7、能直接支持海康、大华、宇视、科达 、互信互通、华为、先进视讯、天视、博康、博路、贝尔等40多种视频协议；</w:t>
            </w:r>
          </w:p>
          <w:p>
            <w:pPr>
              <w:spacing w:line="300" w:lineRule="exact"/>
              <w:rPr>
                <w:rFonts w:ascii="宋体" w:hAnsi="宋体"/>
                <w:color w:val="000000" w:themeColor="text1"/>
                <w:szCs w:val="21"/>
              </w:rPr>
            </w:pPr>
            <w:r>
              <w:rPr>
                <w:rFonts w:hint="eastAsia" w:ascii="宋体" w:hAnsi="宋体"/>
                <w:color w:val="000000" w:themeColor="text1"/>
                <w:szCs w:val="21"/>
              </w:rPr>
              <w:t>8、能够直接识别各种主流的视频格式，仅允许合法的视频数据通过；</w:t>
            </w:r>
          </w:p>
          <w:p>
            <w:pPr>
              <w:spacing w:line="300" w:lineRule="exact"/>
              <w:rPr>
                <w:rFonts w:ascii="宋体" w:hAnsi="宋体"/>
                <w:color w:val="000000" w:themeColor="text1"/>
                <w:szCs w:val="21"/>
              </w:rPr>
            </w:pPr>
            <w:r>
              <w:rPr>
                <w:rFonts w:hint="eastAsia" w:ascii="宋体" w:hAnsi="宋体"/>
                <w:color w:val="000000" w:themeColor="text1"/>
                <w:szCs w:val="21"/>
              </w:rPr>
              <w:t>9、支持基于IP地址的视频客户端流量控制管理功能，可设置客户端访问视频的最大带宽；</w:t>
            </w:r>
          </w:p>
          <w:p>
            <w:pPr>
              <w:spacing w:line="300" w:lineRule="exact"/>
              <w:rPr>
                <w:rFonts w:ascii="宋体" w:hAnsi="宋体"/>
                <w:color w:val="000000" w:themeColor="text1"/>
                <w:szCs w:val="21"/>
              </w:rPr>
            </w:pPr>
            <w:r>
              <w:rPr>
                <w:rFonts w:hint="eastAsia" w:ascii="宋体" w:hAnsi="宋体"/>
                <w:color w:val="000000" w:themeColor="text1"/>
                <w:szCs w:val="21"/>
              </w:rPr>
              <w:t>10、可针对视频控制信令SIP RTSP以及视频流格式RTP等配置白名单过滤条件，支持正则表达式；</w:t>
            </w:r>
          </w:p>
          <w:p>
            <w:pPr>
              <w:spacing w:line="300" w:lineRule="exact"/>
              <w:rPr>
                <w:rFonts w:ascii="宋体" w:hAnsi="宋体"/>
                <w:color w:val="000000" w:themeColor="text1"/>
                <w:szCs w:val="21"/>
              </w:rPr>
            </w:pPr>
            <w:r>
              <w:rPr>
                <w:rFonts w:hint="eastAsia" w:ascii="宋体" w:hAnsi="宋体"/>
                <w:color w:val="000000" w:themeColor="text1"/>
                <w:szCs w:val="21"/>
              </w:rPr>
              <w:t>11、可扩展支持公安数字集群系统（PDT）协议等音频协议，可满足海能达、承联、优能等基于标准PDT协议的公安数字集群厂家系统安全接入,支持单呼、组呼、紧急呼叫、广播呼叫、全呼、调度台互连呼叫等业务；</w:t>
            </w:r>
          </w:p>
          <w:p>
            <w:pPr>
              <w:spacing w:line="300" w:lineRule="exact"/>
              <w:rPr>
                <w:rFonts w:ascii="宋体" w:hAnsi="宋体"/>
                <w:color w:val="000000" w:themeColor="text1"/>
                <w:szCs w:val="21"/>
              </w:rPr>
            </w:pPr>
            <w:r>
              <w:rPr>
                <w:rFonts w:hint="eastAsia" w:ascii="宋体" w:hAnsi="宋体"/>
                <w:color w:val="000000" w:themeColor="text1"/>
                <w:szCs w:val="21"/>
              </w:rPr>
              <w:t>12、要求对用户行为进行审计，包括正常登录，非法登录，非法请求，退出等；</w:t>
            </w:r>
          </w:p>
        </w:tc>
        <w:tc>
          <w:tcPr>
            <w:tcW w:w="791" w:type="dxa"/>
            <w:vAlign w:val="center"/>
          </w:tcPr>
          <w:p>
            <w:pPr>
              <w:spacing w:line="300" w:lineRule="exact"/>
              <w:jc w:val="center"/>
              <w:rPr>
                <w:rFonts w:ascii="宋体" w:hAnsi="宋体"/>
                <w:color w:val="000000" w:themeColor="text1"/>
                <w:szCs w:val="21"/>
              </w:rPr>
            </w:pPr>
            <w:r>
              <w:rPr>
                <w:rFonts w:ascii="宋体" w:hAnsi="宋体"/>
                <w:color w:val="000000" w:themeColor="text1"/>
                <w:szCs w:val="21"/>
              </w:rPr>
              <w:t>1</w:t>
            </w:r>
          </w:p>
        </w:tc>
        <w:tc>
          <w:tcPr>
            <w:tcW w:w="1231" w:type="dxa"/>
            <w:vAlign w:val="center"/>
          </w:tcPr>
          <w:p>
            <w:pPr>
              <w:spacing w:line="300" w:lineRule="exact"/>
              <w:rPr>
                <w:rFonts w:ascii="宋体" w:hAnsi="宋体"/>
                <w:color w:val="000000" w:themeColor="text1"/>
                <w:szCs w:val="21"/>
              </w:rPr>
            </w:pPr>
            <w:r>
              <w:rPr>
                <w:rFonts w:hint="eastAsia" w:ascii="宋体" w:hAnsi="宋体"/>
                <w:color w:val="000000" w:themeColor="text1"/>
                <w:szCs w:val="21"/>
              </w:rPr>
              <w:t>市本级</w:t>
            </w:r>
          </w:p>
        </w:tc>
        <w:tc>
          <w:tcPr>
            <w:tcW w:w="713" w:type="dxa"/>
            <w:noWrap/>
            <w:vAlign w:val="center"/>
          </w:tcPr>
          <w:p>
            <w:pPr>
              <w:spacing w:line="300" w:lineRule="exact"/>
              <w:jc w:val="center"/>
              <w:rPr>
                <w:rFonts w:ascii="宋体" w:hAnsi="宋体"/>
                <w:color w:val="000000" w:themeColor="text1"/>
                <w:szCs w:val="21"/>
              </w:rPr>
            </w:pPr>
            <w:r>
              <w:rPr>
                <w:rFonts w:ascii="宋体" w:hAnsi="宋体"/>
                <w:color w:val="000000" w:themeColor="text1"/>
                <w:szCs w:val="21"/>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40" w:hRule="atLeast"/>
          <w:jc w:val="center"/>
        </w:trPr>
        <w:tc>
          <w:tcPr>
            <w:tcW w:w="879" w:type="dxa"/>
            <w:vMerge w:val="continue"/>
            <w:vAlign w:val="center"/>
          </w:tcPr>
          <w:p>
            <w:pPr>
              <w:spacing w:line="300" w:lineRule="exact"/>
              <w:rPr>
                <w:rFonts w:ascii="宋体" w:hAnsi="宋体"/>
                <w:b/>
                <w:bCs/>
                <w:color w:val="000000" w:themeColor="text1"/>
                <w:szCs w:val="21"/>
              </w:rPr>
            </w:pPr>
          </w:p>
        </w:tc>
        <w:tc>
          <w:tcPr>
            <w:tcW w:w="926" w:type="dxa"/>
            <w:vAlign w:val="center"/>
          </w:tcPr>
          <w:p>
            <w:pPr>
              <w:spacing w:line="300" w:lineRule="exact"/>
              <w:rPr>
                <w:rFonts w:ascii="宋体" w:hAnsi="宋体"/>
                <w:color w:val="000000" w:themeColor="text1"/>
                <w:szCs w:val="21"/>
              </w:rPr>
            </w:pPr>
            <w:r>
              <w:rPr>
                <w:rFonts w:ascii="宋体" w:hAnsi="宋体"/>
                <w:color w:val="000000" w:themeColor="text1"/>
                <w:szCs w:val="21"/>
              </w:rPr>
              <w:t>万兆防火墙</w:t>
            </w:r>
          </w:p>
        </w:tc>
        <w:tc>
          <w:tcPr>
            <w:tcW w:w="3988" w:type="dxa"/>
            <w:vAlign w:val="center"/>
          </w:tcPr>
          <w:p>
            <w:pPr>
              <w:spacing w:line="300" w:lineRule="exact"/>
              <w:rPr>
                <w:rFonts w:ascii="宋体" w:hAnsi="宋体"/>
                <w:color w:val="000000" w:themeColor="text1"/>
                <w:szCs w:val="21"/>
              </w:rPr>
            </w:pPr>
            <w:r>
              <w:rPr>
                <w:rFonts w:hint="eastAsia"/>
                <w:color w:val="000000" w:themeColor="text1"/>
              </w:rPr>
              <w:t>★</w:t>
            </w:r>
            <w:r>
              <w:rPr>
                <w:rFonts w:ascii="宋体" w:hAnsi="宋体"/>
                <w:color w:val="000000" w:themeColor="text1"/>
                <w:szCs w:val="21"/>
              </w:rPr>
              <w:t>1、万兆光口≥4，千兆电口≥4，千兆光口≥4，交流双电源； SSL VPN并发用户≥100；IPSec VPN隧道≥15000；虚拟防火墙数量≥900；≥600G硬盘；3年IPS，AV，URL过滤特性库升级；</w:t>
            </w:r>
            <w:r>
              <w:rPr>
                <w:rFonts w:ascii="宋体" w:hAnsi="宋体"/>
                <w:color w:val="000000" w:themeColor="text1"/>
                <w:szCs w:val="21"/>
              </w:rPr>
              <w:br w:type="textWrapping"/>
            </w:r>
            <w:r>
              <w:rPr>
                <w:rFonts w:hint="eastAsia"/>
                <w:color w:val="000000" w:themeColor="text1"/>
              </w:rPr>
              <w:t>★</w:t>
            </w:r>
            <w:r>
              <w:rPr>
                <w:rFonts w:ascii="宋体" w:hAnsi="宋体"/>
                <w:color w:val="000000" w:themeColor="text1"/>
                <w:szCs w:val="21"/>
              </w:rPr>
              <w:t>2、吞吐量≥25Gbps，并发连接数≥800万，每秒新建连接≥30万，IPS吞吐量≥8Gbps，SSL解密性能≥1.2Gbps；</w:t>
            </w:r>
            <w:r>
              <w:rPr>
                <w:rFonts w:ascii="宋体" w:hAnsi="宋体"/>
                <w:color w:val="000000" w:themeColor="text1"/>
                <w:szCs w:val="21"/>
              </w:rPr>
              <w:br w:type="textWrapping"/>
            </w:r>
            <w:r>
              <w:rPr>
                <w:rFonts w:ascii="宋体" w:hAnsi="宋体"/>
                <w:color w:val="000000" w:themeColor="text1"/>
                <w:szCs w:val="21"/>
              </w:rPr>
              <w:t>3、支持硬件电口Bypass卡，支持≥1.1T硬盘，进行日志存储和安全分析扩展，支持双硬盘做RAID，提高设备可靠性；</w:t>
            </w:r>
            <w:r>
              <w:rPr>
                <w:rFonts w:ascii="宋体" w:hAnsi="宋体"/>
                <w:color w:val="000000" w:themeColor="text1"/>
                <w:szCs w:val="21"/>
              </w:rPr>
              <w:br w:type="textWrapping"/>
            </w:r>
            <w:r>
              <w:rPr>
                <w:rFonts w:ascii="宋体" w:hAnsi="宋体"/>
                <w:color w:val="000000" w:themeColor="text1"/>
                <w:szCs w:val="21"/>
              </w:rPr>
              <w:t>4、能够基于时间、用户/用户组/安全组、应用层协议、地理位置、IP地址、端口、域名组、URL分类、接入类型、终端类型、设备组、内容安全统一界面进行安全策略配置；</w:t>
            </w:r>
            <w:r>
              <w:rPr>
                <w:rFonts w:ascii="宋体" w:hAnsi="宋体"/>
                <w:color w:val="000000" w:themeColor="text1"/>
                <w:szCs w:val="21"/>
              </w:rPr>
              <w:br w:type="textWrapping"/>
            </w:r>
            <w:r>
              <w:rPr>
                <w:rFonts w:ascii="宋体" w:hAnsi="宋体"/>
                <w:color w:val="000000" w:themeColor="text1"/>
                <w:szCs w:val="21"/>
              </w:rPr>
              <w:t>5、可识别应用层协议数量≥5000种；</w:t>
            </w:r>
            <w:r>
              <w:rPr>
                <w:rFonts w:ascii="宋体" w:hAnsi="宋体"/>
                <w:color w:val="000000" w:themeColor="text1"/>
                <w:szCs w:val="21"/>
              </w:rPr>
              <w:br w:type="textWrapping"/>
            </w:r>
            <w:r>
              <w:rPr>
                <w:rFonts w:ascii="宋体" w:hAnsi="宋体"/>
                <w:color w:val="000000" w:themeColor="text1"/>
                <w:szCs w:val="21"/>
              </w:rPr>
              <w:t>6、可支持基于应用层协议设置流控策略，包括设置最大带宽、保证带宽、协议流量优先级等；</w:t>
            </w:r>
            <w:r>
              <w:rPr>
                <w:rFonts w:ascii="宋体" w:hAnsi="宋体"/>
                <w:color w:val="000000" w:themeColor="text1"/>
                <w:szCs w:val="21"/>
              </w:rPr>
              <w:br w:type="textWrapping"/>
            </w:r>
            <w:r>
              <w:rPr>
                <w:rFonts w:ascii="宋体" w:hAnsi="宋体"/>
                <w:color w:val="000000" w:themeColor="text1"/>
                <w:szCs w:val="21"/>
              </w:rPr>
              <w:t>7、支持HTTP、HTTPS、DNS、SIP等应用层Flood攻击，支持流量自学习功能，可设置自学习时间，并自动生成DDoS防范策略；</w:t>
            </w:r>
            <w:r>
              <w:rPr>
                <w:rFonts w:ascii="宋体" w:hAnsi="宋体"/>
                <w:color w:val="000000" w:themeColor="text1"/>
                <w:szCs w:val="21"/>
              </w:rPr>
              <w:br w:type="textWrapping"/>
            </w:r>
            <w:r>
              <w:rPr>
                <w:rFonts w:ascii="宋体" w:hAnsi="宋体"/>
                <w:color w:val="000000" w:themeColor="text1"/>
                <w:szCs w:val="21"/>
              </w:rPr>
              <w:t>8、基于特征检测，支持超过5000种特征的攻击检测和防御，支持对常见应用服务（HTTP、FTP、SSH、SMTP、IMAP）和数据库软件（MySQL、Oracle、MSSQL）的口令暴力破解防护功能，可以支持HTTP、FTP、SMTP、POP3、IMAP、NFS等协议的病毒防护；</w:t>
            </w:r>
            <w:r>
              <w:rPr>
                <w:rFonts w:ascii="宋体" w:hAnsi="宋体"/>
                <w:color w:val="000000" w:themeColor="text1"/>
                <w:szCs w:val="21"/>
              </w:rPr>
              <w:br w:type="textWrapping"/>
            </w:r>
            <w:r>
              <w:rPr>
                <w:rFonts w:ascii="宋体" w:hAnsi="宋体"/>
                <w:color w:val="000000" w:themeColor="text1"/>
                <w:szCs w:val="21"/>
              </w:rPr>
              <w:t>9、支持对HTTPS，POP3S，SMTPS,IMAPS加密流量代理解密后，并进行内容过滤，审计，安全防护；</w:t>
            </w:r>
          </w:p>
        </w:tc>
        <w:tc>
          <w:tcPr>
            <w:tcW w:w="791" w:type="dxa"/>
            <w:vAlign w:val="center"/>
          </w:tcPr>
          <w:p>
            <w:pPr>
              <w:spacing w:line="300" w:lineRule="exact"/>
              <w:jc w:val="center"/>
              <w:rPr>
                <w:rFonts w:ascii="宋体" w:hAnsi="宋体"/>
                <w:color w:val="000000" w:themeColor="text1"/>
                <w:szCs w:val="21"/>
              </w:rPr>
            </w:pPr>
            <w:r>
              <w:rPr>
                <w:rFonts w:ascii="宋体" w:hAnsi="宋体"/>
                <w:color w:val="000000" w:themeColor="text1"/>
                <w:szCs w:val="21"/>
              </w:rPr>
              <w:t>1</w:t>
            </w:r>
          </w:p>
        </w:tc>
        <w:tc>
          <w:tcPr>
            <w:tcW w:w="1231" w:type="dxa"/>
            <w:vAlign w:val="center"/>
          </w:tcPr>
          <w:p>
            <w:pPr>
              <w:spacing w:line="300" w:lineRule="exact"/>
              <w:jc w:val="center"/>
              <w:rPr>
                <w:rFonts w:ascii="宋体" w:hAnsi="宋体"/>
                <w:color w:val="000000" w:themeColor="text1"/>
                <w:szCs w:val="21"/>
              </w:rPr>
            </w:pPr>
            <w:r>
              <w:rPr>
                <w:rFonts w:hint="eastAsia" w:ascii="宋体" w:hAnsi="宋体"/>
                <w:color w:val="000000" w:themeColor="text1"/>
                <w:szCs w:val="21"/>
              </w:rPr>
              <w:t>市本级</w:t>
            </w:r>
          </w:p>
        </w:tc>
        <w:tc>
          <w:tcPr>
            <w:tcW w:w="713" w:type="dxa"/>
            <w:noWrap/>
            <w:vAlign w:val="center"/>
          </w:tcPr>
          <w:p>
            <w:pPr>
              <w:spacing w:line="300" w:lineRule="exact"/>
              <w:jc w:val="center"/>
              <w:rPr>
                <w:rFonts w:ascii="宋体" w:hAnsi="宋体"/>
                <w:color w:val="000000" w:themeColor="text1"/>
                <w:szCs w:val="21"/>
              </w:rPr>
            </w:pPr>
            <w:r>
              <w:rPr>
                <w:rFonts w:ascii="宋体" w:hAnsi="宋体"/>
                <w:color w:val="000000" w:themeColor="text1"/>
                <w:szCs w:val="21"/>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jc w:val="center"/>
        </w:trPr>
        <w:tc>
          <w:tcPr>
            <w:tcW w:w="879" w:type="dxa"/>
            <w:vMerge w:val="continue"/>
            <w:vAlign w:val="center"/>
          </w:tcPr>
          <w:p>
            <w:pPr>
              <w:spacing w:line="300" w:lineRule="exact"/>
              <w:rPr>
                <w:rFonts w:ascii="宋体" w:hAnsi="宋体"/>
                <w:b/>
                <w:bCs/>
                <w:color w:val="000000" w:themeColor="text1"/>
                <w:szCs w:val="21"/>
              </w:rPr>
            </w:pPr>
          </w:p>
        </w:tc>
        <w:tc>
          <w:tcPr>
            <w:tcW w:w="926" w:type="dxa"/>
            <w:vAlign w:val="center"/>
          </w:tcPr>
          <w:p>
            <w:pPr>
              <w:spacing w:line="300" w:lineRule="exact"/>
              <w:rPr>
                <w:rFonts w:ascii="宋体" w:hAnsi="宋体"/>
                <w:color w:val="000000" w:themeColor="text1"/>
                <w:szCs w:val="21"/>
              </w:rPr>
            </w:pPr>
            <w:r>
              <w:rPr>
                <w:rFonts w:ascii="宋体" w:hAnsi="宋体"/>
                <w:color w:val="000000" w:themeColor="text1"/>
                <w:szCs w:val="21"/>
              </w:rPr>
              <w:t>千兆光纤租费</w:t>
            </w:r>
          </w:p>
        </w:tc>
        <w:tc>
          <w:tcPr>
            <w:tcW w:w="3988" w:type="dxa"/>
            <w:vAlign w:val="center"/>
          </w:tcPr>
          <w:p>
            <w:pPr>
              <w:spacing w:line="300" w:lineRule="exact"/>
              <w:rPr>
                <w:rFonts w:ascii="宋体" w:hAnsi="宋体"/>
                <w:color w:val="000000" w:themeColor="text1"/>
                <w:szCs w:val="21"/>
              </w:rPr>
            </w:pPr>
            <w:r>
              <w:rPr>
                <w:rFonts w:ascii="宋体" w:hAnsi="宋体"/>
                <w:color w:val="000000" w:themeColor="text1"/>
                <w:szCs w:val="21"/>
              </w:rPr>
              <w:t>市综治平台至4运营商平台链路（千兆光纤链路1500元/月，按5年计）</w:t>
            </w:r>
          </w:p>
        </w:tc>
        <w:tc>
          <w:tcPr>
            <w:tcW w:w="791" w:type="dxa"/>
            <w:vAlign w:val="center"/>
          </w:tcPr>
          <w:p>
            <w:pPr>
              <w:spacing w:line="300" w:lineRule="exact"/>
              <w:jc w:val="center"/>
              <w:rPr>
                <w:rFonts w:ascii="宋体" w:hAnsi="宋体"/>
                <w:color w:val="000000" w:themeColor="text1"/>
                <w:szCs w:val="21"/>
              </w:rPr>
            </w:pPr>
            <w:r>
              <w:rPr>
                <w:rFonts w:ascii="宋体" w:hAnsi="宋体"/>
                <w:color w:val="000000" w:themeColor="text1"/>
                <w:szCs w:val="21"/>
              </w:rPr>
              <w:t>6</w:t>
            </w:r>
          </w:p>
        </w:tc>
        <w:tc>
          <w:tcPr>
            <w:tcW w:w="1231" w:type="dxa"/>
            <w:vAlign w:val="center"/>
          </w:tcPr>
          <w:p>
            <w:pPr>
              <w:spacing w:line="300" w:lineRule="exact"/>
              <w:jc w:val="center"/>
              <w:rPr>
                <w:rFonts w:ascii="宋体" w:hAnsi="宋体"/>
                <w:color w:val="000000" w:themeColor="text1"/>
                <w:szCs w:val="21"/>
              </w:rPr>
            </w:pPr>
            <w:r>
              <w:rPr>
                <w:rFonts w:hint="eastAsia" w:ascii="宋体" w:hAnsi="宋体"/>
                <w:color w:val="000000" w:themeColor="text1"/>
                <w:szCs w:val="21"/>
              </w:rPr>
              <w:t>市本级4条</w:t>
            </w:r>
            <w:r>
              <w:rPr>
                <w:rFonts w:ascii="宋体" w:hAnsi="宋体"/>
                <w:color w:val="000000" w:themeColor="text1"/>
                <w:szCs w:val="21"/>
              </w:rPr>
              <w:t>，浦江、磐安各</w:t>
            </w:r>
            <w:r>
              <w:rPr>
                <w:rFonts w:hint="eastAsia" w:ascii="宋体" w:hAnsi="宋体"/>
                <w:color w:val="000000" w:themeColor="text1"/>
                <w:szCs w:val="21"/>
              </w:rPr>
              <w:t>1条</w:t>
            </w:r>
          </w:p>
        </w:tc>
        <w:tc>
          <w:tcPr>
            <w:tcW w:w="713" w:type="dxa"/>
            <w:noWrap/>
            <w:vAlign w:val="center"/>
          </w:tcPr>
          <w:p>
            <w:pPr>
              <w:spacing w:line="300" w:lineRule="exact"/>
              <w:jc w:val="center"/>
              <w:rPr>
                <w:rFonts w:ascii="宋体" w:hAnsi="宋体"/>
                <w:color w:val="000000" w:themeColor="text1"/>
                <w:szCs w:val="21"/>
              </w:rPr>
            </w:pPr>
            <w:r>
              <w:rPr>
                <w:rFonts w:ascii="宋体" w:hAnsi="宋体"/>
                <w:color w:val="000000" w:themeColor="text1"/>
                <w:szCs w:val="21"/>
              </w:rPr>
              <w:t>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879" w:type="dxa"/>
            <w:shd w:val="clear" w:color="auto" w:fill="auto"/>
            <w:vAlign w:val="center"/>
          </w:tcPr>
          <w:p>
            <w:pPr>
              <w:ind w:right="-103" w:rightChars="-49"/>
              <w:rPr>
                <w:rFonts w:ascii="宋体" w:hAnsi="宋体"/>
                <w:color w:val="000000" w:themeColor="text1"/>
                <w:szCs w:val="21"/>
              </w:rPr>
            </w:pPr>
            <w:r>
              <w:rPr>
                <w:rFonts w:ascii="宋体" w:hAnsi="宋体"/>
                <w:color w:val="000000" w:themeColor="text1"/>
                <w:szCs w:val="21"/>
              </w:rPr>
              <w:t>县综治分平台扩容</w:t>
            </w:r>
          </w:p>
        </w:tc>
        <w:tc>
          <w:tcPr>
            <w:tcW w:w="926" w:type="dxa"/>
            <w:shd w:val="clear" w:color="auto" w:fill="auto"/>
            <w:vAlign w:val="center"/>
          </w:tcPr>
          <w:p>
            <w:pPr>
              <w:rPr>
                <w:rFonts w:ascii="宋体" w:hAnsi="宋体"/>
                <w:color w:val="000000" w:themeColor="text1"/>
                <w:szCs w:val="21"/>
              </w:rPr>
            </w:pPr>
            <w:r>
              <w:rPr>
                <w:rFonts w:ascii="宋体" w:hAnsi="宋体"/>
                <w:color w:val="000000" w:themeColor="text1"/>
                <w:szCs w:val="21"/>
              </w:rPr>
              <w:t>千兆防火墙（义乌、永康）</w:t>
            </w:r>
          </w:p>
        </w:tc>
        <w:tc>
          <w:tcPr>
            <w:tcW w:w="3988" w:type="dxa"/>
            <w:shd w:val="clear" w:color="auto" w:fill="auto"/>
            <w:vAlign w:val="center"/>
          </w:tcPr>
          <w:p>
            <w:pPr>
              <w:spacing w:line="300" w:lineRule="exact"/>
              <w:rPr>
                <w:rFonts w:ascii="宋体" w:hAnsi="宋体"/>
                <w:color w:val="000000" w:themeColor="text1"/>
                <w:szCs w:val="21"/>
              </w:rPr>
            </w:pPr>
            <w:r>
              <w:rPr>
                <w:rFonts w:hint="eastAsia"/>
                <w:color w:val="000000" w:themeColor="text1"/>
              </w:rPr>
              <w:t>★</w:t>
            </w:r>
            <w:r>
              <w:rPr>
                <w:rFonts w:ascii="宋体" w:hAnsi="宋体"/>
                <w:color w:val="000000" w:themeColor="text1"/>
                <w:szCs w:val="21"/>
              </w:rPr>
              <w:t>1、千兆电口≥8，千兆光口≥4，整机吞吐量≥10Gb，并发连接数≥200万，支持BYPASS，并含≥2个高速USB2.0接口，≥1个RJ45串口；</w:t>
            </w:r>
            <w:r>
              <w:rPr>
                <w:rFonts w:ascii="宋体" w:hAnsi="宋体"/>
                <w:color w:val="000000" w:themeColor="text1"/>
                <w:szCs w:val="21"/>
              </w:rPr>
              <w:br w:type="textWrapping"/>
            </w:r>
            <w:r>
              <w:rPr>
                <w:rFonts w:ascii="宋体" w:hAnsi="宋体"/>
                <w:color w:val="000000" w:themeColor="text1"/>
                <w:szCs w:val="21"/>
              </w:rPr>
              <w:t>2、支持路由，网桥，单臂，旁路，虚拟网线以及混合部署方式；</w:t>
            </w:r>
            <w:r>
              <w:rPr>
                <w:rFonts w:ascii="宋体" w:hAnsi="宋体"/>
                <w:color w:val="000000" w:themeColor="text1"/>
                <w:szCs w:val="21"/>
              </w:rPr>
              <w:br w:type="textWrapping"/>
            </w:r>
            <w:r>
              <w:rPr>
                <w:rFonts w:ascii="宋体" w:hAnsi="宋体"/>
                <w:color w:val="000000" w:themeColor="text1"/>
                <w:szCs w:val="21"/>
              </w:rPr>
              <w:t>3、访问控制规则支持基于源／目的IP，源端口，源／目的区域，用户（组），应用/服务类型，时间组的细化控制方式；</w:t>
            </w:r>
            <w:r>
              <w:rPr>
                <w:rFonts w:ascii="宋体" w:hAnsi="宋体"/>
                <w:color w:val="000000" w:themeColor="text1"/>
                <w:szCs w:val="21"/>
              </w:rPr>
              <w:br w:type="textWrapping"/>
            </w:r>
            <w:r>
              <w:rPr>
                <w:rFonts w:ascii="宋体" w:hAnsi="宋体"/>
                <w:color w:val="000000" w:themeColor="text1"/>
                <w:szCs w:val="21"/>
              </w:rPr>
              <w:t>4、内置病毒样本数量超过200万；支持URL过滤和文件过滤功能，URL过滤支持GET，POST请求过滤和HTTPS网站过滤，文件过滤支持文件上传和下载过滤</w:t>
            </w:r>
            <w:r>
              <w:rPr>
                <w:rFonts w:ascii="宋体" w:hAnsi="宋体"/>
                <w:color w:val="000000" w:themeColor="text1"/>
                <w:szCs w:val="21"/>
              </w:rPr>
              <w:br w:type="textWrapping"/>
            </w:r>
            <w:r>
              <w:rPr>
                <w:rFonts w:ascii="宋体" w:hAnsi="宋体"/>
                <w:color w:val="000000" w:themeColor="text1"/>
                <w:szCs w:val="21"/>
              </w:rPr>
              <w:t xml:space="preserve">5、设备具备独立的入侵防护漏洞规则特征库，特征总数在5000条以上； </w:t>
            </w:r>
            <w:r>
              <w:rPr>
                <w:rFonts w:ascii="宋体" w:hAnsi="宋体"/>
                <w:color w:val="000000" w:themeColor="text1"/>
                <w:szCs w:val="21"/>
              </w:rPr>
              <w:br w:type="textWrapping"/>
            </w:r>
            <w:r>
              <w:rPr>
                <w:rFonts w:ascii="宋体" w:hAnsi="宋体"/>
                <w:color w:val="000000" w:themeColor="text1"/>
                <w:szCs w:val="21"/>
              </w:rPr>
              <w:t>支持对常见应用服务（HTTP、FTP、SSH、SMTP、IMAP、POP3、 RDP、Rlogin、SMB、Telne、Weblogic、VNC）和数据库软件（MySQL、Oracle、MSSQL）的口令暴力破解防护功能；</w:t>
            </w:r>
            <w:r>
              <w:rPr>
                <w:rFonts w:ascii="宋体" w:hAnsi="宋体"/>
                <w:color w:val="000000" w:themeColor="text1"/>
                <w:szCs w:val="21"/>
              </w:rPr>
              <w:br w:type="textWrapping"/>
            </w:r>
            <w:r>
              <w:rPr>
                <w:rFonts w:ascii="宋体" w:hAnsi="宋体"/>
                <w:color w:val="000000" w:themeColor="text1"/>
                <w:szCs w:val="21"/>
              </w:rPr>
              <w:t>6、支持HTTP，HTTPS协议的安全威胁检测；支持服务器资产自动识别；支持抵御SQL注入、XSS、系统命令等注入型攻击；支持CC攻击、CSRF攻击、COOKIE攻击等攻击防护功能；支持关联上下文，webshell脚本上传动作进行语法，语义匹配和过滤；</w:t>
            </w:r>
            <w:r>
              <w:rPr>
                <w:rFonts w:ascii="宋体" w:hAnsi="宋体"/>
                <w:color w:val="000000" w:themeColor="text1"/>
                <w:szCs w:val="21"/>
              </w:rPr>
              <w:br w:type="textWrapping"/>
            </w:r>
            <w:r>
              <w:rPr>
                <w:rFonts w:ascii="宋体" w:hAnsi="宋体"/>
                <w:color w:val="000000" w:themeColor="text1"/>
                <w:szCs w:val="21"/>
              </w:rPr>
              <w:t>7、设备具备独立的僵尸网络识别库，特征总数在40万条以上。</w:t>
            </w:r>
          </w:p>
        </w:tc>
        <w:tc>
          <w:tcPr>
            <w:tcW w:w="791" w:type="dxa"/>
            <w:shd w:val="clear" w:color="auto" w:fill="auto"/>
            <w:vAlign w:val="center"/>
          </w:tcPr>
          <w:p>
            <w:pPr>
              <w:jc w:val="center"/>
              <w:rPr>
                <w:rFonts w:ascii="宋体" w:hAnsi="宋体"/>
                <w:color w:val="000000" w:themeColor="text1"/>
                <w:szCs w:val="21"/>
              </w:rPr>
            </w:pPr>
            <w:r>
              <w:rPr>
                <w:rFonts w:ascii="宋体" w:hAnsi="宋体"/>
                <w:color w:val="000000" w:themeColor="text1"/>
                <w:szCs w:val="21"/>
              </w:rPr>
              <w:t>2</w:t>
            </w:r>
          </w:p>
        </w:tc>
        <w:tc>
          <w:tcPr>
            <w:tcW w:w="1231" w:type="dxa"/>
            <w:shd w:val="clear" w:color="auto" w:fill="auto"/>
            <w:vAlign w:val="center"/>
          </w:tcPr>
          <w:p>
            <w:pPr>
              <w:rPr>
                <w:rFonts w:ascii="宋体" w:hAnsi="宋体"/>
                <w:color w:val="000000" w:themeColor="text1"/>
                <w:szCs w:val="21"/>
              </w:rPr>
            </w:pPr>
            <w:r>
              <w:rPr>
                <w:rFonts w:ascii="宋体" w:hAnsi="宋体"/>
                <w:color w:val="000000" w:themeColor="text1"/>
                <w:szCs w:val="21"/>
              </w:rPr>
              <w:t>义乌、永康</w:t>
            </w:r>
            <w:r>
              <w:rPr>
                <w:rFonts w:hint="eastAsia" w:ascii="宋体" w:hAnsi="宋体"/>
                <w:color w:val="000000" w:themeColor="text1"/>
                <w:szCs w:val="21"/>
              </w:rPr>
              <w:t>各1台</w:t>
            </w:r>
          </w:p>
        </w:tc>
        <w:tc>
          <w:tcPr>
            <w:tcW w:w="713" w:type="dxa"/>
            <w:shd w:val="clear" w:color="auto" w:fill="auto"/>
            <w:noWrap/>
            <w:vAlign w:val="center"/>
          </w:tcPr>
          <w:p>
            <w:pPr>
              <w:jc w:val="center"/>
              <w:rPr>
                <w:rFonts w:ascii="宋体" w:hAnsi="宋体"/>
                <w:color w:val="000000" w:themeColor="text1"/>
                <w:szCs w:val="21"/>
              </w:rPr>
            </w:pPr>
            <w:r>
              <w:rPr>
                <w:rFonts w:ascii="宋体" w:hAnsi="宋体"/>
                <w:color w:val="000000" w:themeColor="text1"/>
                <w:szCs w:val="21"/>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40" w:hRule="atLeast"/>
          <w:jc w:val="center"/>
        </w:trPr>
        <w:tc>
          <w:tcPr>
            <w:tcW w:w="879" w:type="dxa"/>
            <w:shd w:val="clear" w:color="auto" w:fill="auto"/>
            <w:vAlign w:val="center"/>
          </w:tcPr>
          <w:p>
            <w:pPr>
              <w:rPr>
                <w:rFonts w:ascii="宋体" w:hAnsi="宋体"/>
                <w:color w:val="000000" w:themeColor="text1"/>
                <w:szCs w:val="21"/>
              </w:rPr>
            </w:pPr>
          </w:p>
        </w:tc>
        <w:tc>
          <w:tcPr>
            <w:tcW w:w="926" w:type="dxa"/>
            <w:shd w:val="clear" w:color="auto" w:fill="auto"/>
            <w:vAlign w:val="center"/>
          </w:tcPr>
          <w:p>
            <w:pPr>
              <w:rPr>
                <w:rFonts w:ascii="宋体" w:hAnsi="宋体"/>
                <w:color w:val="000000" w:themeColor="text1"/>
                <w:szCs w:val="21"/>
              </w:rPr>
            </w:pPr>
            <w:r>
              <w:rPr>
                <w:rFonts w:ascii="宋体" w:hAnsi="宋体"/>
                <w:color w:val="000000" w:themeColor="text1"/>
                <w:szCs w:val="21"/>
              </w:rPr>
              <w:t>万兆防火墙（东阳）</w:t>
            </w:r>
          </w:p>
        </w:tc>
        <w:tc>
          <w:tcPr>
            <w:tcW w:w="3988" w:type="dxa"/>
            <w:shd w:val="clear" w:color="auto" w:fill="auto"/>
            <w:vAlign w:val="center"/>
          </w:tcPr>
          <w:p>
            <w:pPr>
              <w:spacing w:line="300" w:lineRule="exact"/>
              <w:rPr>
                <w:rFonts w:ascii="宋体" w:hAnsi="宋体"/>
                <w:color w:val="000000" w:themeColor="text1"/>
                <w:szCs w:val="21"/>
              </w:rPr>
            </w:pPr>
            <w:r>
              <w:rPr>
                <w:rFonts w:hint="eastAsia"/>
                <w:color w:val="000000" w:themeColor="text1"/>
              </w:rPr>
              <w:t>★</w:t>
            </w:r>
            <w:r>
              <w:rPr>
                <w:rFonts w:ascii="宋体" w:hAnsi="宋体"/>
                <w:color w:val="000000" w:themeColor="text1"/>
                <w:szCs w:val="21"/>
              </w:rPr>
              <w:t>1、万兆光口≥4，千兆电口≥4，千兆光口≥4，交流双电源； SSL VPN并发用户≥100；IPSec VPN隧道≥15000；虚拟防火墙数量≥900；≥600G硬盘；3年IPS，AV，URL过滤特性库升级；</w:t>
            </w:r>
            <w:r>
              <w:rPr>
                <w:rFonts w:ascii="宋体" w:hAnsi="宋体"/>
                <w:color w:val="000000" w:themeColor="text1"/>
                <w:szCs w:val="21"/>
              </w:rPr>
              <w:br w:type="textWrapping"/>
            </w:r>
            <w:r>
              <w:rPr>
                <w:rFonts w:hint="eastAsia"/>
                <w:color w:val="000000" w:themeColor="text1"/>
              </w:rPr>
              <w:t>★</w:t>
            </w:r>
            <w:r>
              <w:rPr>
                <w:rFonts w:ascii="宋体" w:hAnsi="宋体"/>
                <w:color w:val="000000" w:themeColor="text1"/>
                <w:szCs w:val="21"/>
              </w:rPr>
              <w:t>2、吞吐量≥25Gbps，并发连接数≥800万，每秒新建连接≥30万，IPS吞吐量≥8Gbps，SSL解密性能≥1.2Gbps；</w:t>
            </w:r>
            <w:r>
              <w:rPr>
                <w:rFonts w:ascii="宋体" w:hAnsi="宋体"/>
                <w:color w:val="000000" w:themeColor="text1"/>
                <w:szCs w:val="21"/>
              </w:rPr>
              <w:br w:type="textWrapping"/>
            </w:r>
            <w:r>
              <w:rPr>
                <w:rFonts w:ascii="宋体" w:hAnsi="宋体"/>
                <w:color w:val="000000" w:themeColor="text1"/>
                <w:szCs w:val="21"/>
              </w:rPr>
              <w:t>3、支持硬件电口Bypass卡，支持≥1.1T硬盘，进行日志存储和安全分析扩展，支持双硬盘做RAID，提高设备可靠性；</w:t>
            </w:r>
            <w:r>
              <w:rPr>
                <w:rFonts w:ascii="宋体" w:hAnsi="宋体"/>
                <w:color w:val="000000" w:themeColor="text1"/>
                <w:szCs w:val="21"/>
              </w:rPr>
              <w:br w:type="textWrapping"/>
            </w:r>
            <w:r>
              <w:rPr>
                <w:rFonts w:ascii="宋体" w:hAnsi="宋体"/>
                <w:color w:val="000000" w:themeColor="text1"/>
                <w:szCs w:val="21"/>
              </w:rPr>
              <w:t>4、能够基于时间、用户/用户组/安全组、应用层协议、地理位置、IP地址、端口、域名组、URL分类、接入类型、终端类型、设备组、内容安全统一界面进行安全策略配置；</w:t>
            </w:r>
            <w:r>
              <w:rPr>
                <w:rFonts w:ascii="宋体" w:hAnsi="宋体"/>
                <w:color w:val="000000" w:themeColor="text1"/>
                <w:szCs w:val="21"/>
              </w:rPr>
              <w:br w:type="textWrapping"/>
            </w:r>
            <w:r>
              <w:rPr>
                <w:rFonts w:ascii="宋体" w:hAnsi="宋体"/>
                <w:color w:val="000000" w:themeColor="text1"/>
                <w:szCs w:val="21"/>
              </w:rPr>
              <w:t>5、可识别应用层协议数量≥5000种；</w:t>
            </w:r>
            <w:r>
              <w:rPr>
                <w:rFonts w:ascii="宋体" w:hAnsi="宋体"/>
                <w:color w:val="000000" w:themeColor="text1"/>
                <w:szCs w:val="21"/>
              </w:rPr>
              <w:br w:type="textWrapping"/>
            </w:r>
            <w:r>
              <w:rPr>
                <w:rFonts w:ascii="宋体" w:hAnsi="宋体"/>
                <w:color w:val="000000" w:themeColor="text1"/>
                <w:szCs w:val="21"/>
              </w:rPr>
              <w:t>6、可支持基于应用层协议设置流控策略，包括设置最大带宽、保证带宽、协议流量优先级等；</w:t>
            </w:r>
            <w:r>
              <w:rPr>
                <w:rFonts w:ascii="宋体" w:hAnsi="宋体"/>
                <w:color w:val="000000" w:themeColor="text1"/>
                <w:szCs w:val="21"/>
              </w:rPr>
              <w:br w:type="textWrapping"/>
            </w:r>
            <w:r>
              <w:rPr>
                <w:rFonts w:ascii="宋体" w:hAnsi="宋体"/>
                <w:color w:val="000000" w:themeColor="text1"/>
                <w:szCs w:val="21"/>
              </w:rPr>
              <w:t>7、支持HTTP、HTTPS、DNS、SIP等应用层Flood攻击，支持流量自学习功能，可设置自学习时间，并自动生成DDoS防范策略；</w:t>
            </w:r>
            <w:r>
              <w:rPr>
                <w:rFonts w:ascii="宋体" w:hAnsi="宋体"/>
                <w:color w:val="000000" w:themeColor="text1"/>
                <w:szCs w:val="21"/>
              </w:rPr>
              <w:br w:type="textWrapping"/>
            </w:r>
            <w:r>
              <w:rPr>
                <w:rFonts w:ascii="宋体" w:hAnsi="宋体"/>
                <w:color w:val="000000" w:themeColor="text1"/>
                <w:szCs w:val="21"/>
              </w:rPr>
              <w:t>8、基于特征检测，支持超过5000种特征的攻击检测和防御，支持对常见应用服务（HTTP、FTP、SSH、SMTP、IMAP）和数据库软件（MySQL、Oracle、MSSQL）的口令暴力破解防护功能，可以支持HTTP、FTP、SMTP、POP3、IMAP、NFS等协议的病毒防护；</w:t>
            </w:r>
            <w:r>
              <w:rPr>
                <w:rFonts w:ascii="宋体" w:hAnsi="宋体"/>
                <w:color w:val="000000" w:themeColor="text1"/>
                <w:szCs w:val="21"/>
              </w:rPr>
              <w:br w:type="textWrapping"/>
            </w:r>
            <w:r>
              <w:rPr>
                <w:rFonts w:ascii="宋体" w:hAnsi="宋体"/>
                <w:color w:val="000000" w:themeColor="text1"/>
                <w:szCs w:val="21"/>
              </w:rPr>
              <w:t>9、支持对HTTPS，POP3S，SMTPS,IMAPS加密流量代理解密后，并进行内容过滤，审计，安全防护；</w:t>
            </w:r>
          </w:p>
        </w:tc>
        <w:tc>
          <w:tcPr>
            <w:tcW w:w="791" w:type="dxa"/>
            <w:shd w:val="clear" w:color="auto" w:fill="auto"/>
            <w:vAlign w:val="center"/>
          </w:tcPr>
          <w:p>
            <w:pPr>
              <w:jc w:val="center"/>
              <w:rPr>
                <w:rFonts w:ascii="宋体" w:hAnsi="宋体"/>
                <w:color w:val="000000" w:themeColor="text1"/>
                <w:szCs w:val="21"/>
              </w:rPr>
            </w:pPr>
            <w:r>
              <w:rPr>
                <w:rFonts w:ascii="宋体" w:hAnsi="宋体"/>
                <w:color w:val="000000" w:themeColor="text1"/>
                <w:szCs w:val="21"/>
              </w:rPr>
              <w:t>1</w:t>
            </w:r>
          </w:p>
        </w:tc>
        <w:tc>
          <w:tcPr>
            <w:tcW w:w="1231" w:type="dxa"/>
            <w:shd w:val="clear" w:color="auto" w:fill="auto"/>
            <w:vAlign w:val="center"/>
          </w:tcPr>
          <w:p>
            <w:pPr>
              <w:rPr>
                <w:rFonts w:ascii="宋体" w:hAnsi="宋体"/>
                <w:color w:val="000000" w:themeColor="text1"/>
                <w:szCs w:val="21"/>
              </w:rPr>
            </w:pPr>
            <w:r>
              <w:rPr>
                <w:rFonts w:ascii="宋体" w:hAnsi="宋体"/>
                <w:color w:val="000000" w:themeColor="text1"/>
                <w:szCs w:val="21"/>
              </w:rPr>
              <w:t>东阳</w:t>
            </w:r>
          </w:p>
        </w:tc>
        <w:tc>
          <w:tcPr>
            <w:tcW w:w="713" w:type="dxa"/>
            <w:shd w:val="clear" w:color="auto" w:fill="auto"/>
            <w:noWrap/>
            <w:vAlign w:val="center"/>
          </w:tcPr>
          <w:p>
            <w:pPr>
              <w:jc w:val="center"/>
              <w:rPr>
                <w:rFonts w:ascii="宋体" w:hAnsi="宋体"/>
                <w:color w:val="000000" w:themeColor="text1"/>
                <w:szCs w:val="21"/>
              </w:rPr>
            </w:pPr>
            <w:r>
              <w:rPr>
                <w:rFonts w:ascii="宋体" w:hAnsi="宋体"/>
                <w:color w:val="000000" w:themeColor="text1"/>
                <w:szCs w:val="21"/>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jc w:val="center"/>
        </w:trPr>
        <w:tc>
          <w:tcPr>
            <w:tcW w:w="879" w:type="dxa"/>
            <w:vMerge w:val="restart"/>
            <w:shd w:val="clear" w:color="auto" w:fill="auto"/>
            <w:vAlign w:val="center"/>
          </w:tcPr>
          <w:p>
            <w:pPr>
              <w:rPr>
                <w:rFonts w:ascii="宋体" w:hAnsi="宋体"/>
                <w:color w:val="000000" w:themeColor="text1"/>
                <w:szCs w:val="21"/>
              </w:rPr>
            </w:pPr>
          </w:p>
        </w:tc>
        <w:tc>
          <w:tcPr>
            <w:tcW w:w="926" w:type="dxa"/>
            <w:shd w:val="clear" w:color="auto" w:fill="auto"/>
            <w:vAlign w:val="center"/>
          </w:tcPr>
          <w:p>
            <w:pPr>
              <w:rPr>
                <w:rFonts w:ascii="宋体" w:hAnsi="宋体"/>
                <w:color w:val="000000" w:themeColor="text1"/>
                <w:szCs w:val="21"/>
              </w:rPr>
            </w:pPr>
            <w:r>
              <w:rPr>
                <w:rFonts w:ascii="宋体" w:hAnsi="宋体"/>
                <w:color w:val="000000" w:themeColor="text1"/>
                <w:szCs w:val="21"/>
              </w:rPr>
              <w:t>社会面接入交换机（武义、浦江、磐安）</w:t>
            </w:r>
          </w:p>
        </w:tc>
        <w:tc>
          <w:tcPr>
            <w:tcW w:w="3988" w:type="dxa"/>
            <w:shd w:val="clear" w:color="auto" w:fill="auto"/>
            <w:vAlign w:val="center"/>
          </w:tcPr>
          <w:p>
            <w:pPr>
              <w:spacing w:line="300" w:lineRule="exact"/>
              <w:rPr>
                <w:rFonts w:ascii="宋体" w:hAnsi="宋体"/>
                <w:color w:val="000000" w:themeColor="text1"/>
                <w:szCs w:val="21"/>
              </w:rPr>
            </w:pPr>
            <w:r>
              <w:rPr>
                <w:rFonts w:hint="eastAsia"/>
                <w:color w:val="000000" w:themeColor="text1"/>
              </w:rPr>
              <w:t>★</w:t>
            </w:r>
            <w:r>
              <w:rPr>
                <w:rFonts w:ascii="宋体" w:hAnsi="宋体"/>
                <w:color w:val="000000" w:themeColor="text1"/>
                <w:szCs w:val="21"/>
              </w:rPr>
              <w:t>三层交换机，万兆光口≥4，千兆光口≥24，含光模块，冗余电源</w:t>
            </w:r>
          </w:p>
        </w:tc>
        <w:tc>
          <w:tcPr>
            <w:tcW w:w="791" w:type="dxa"/>
            <w:shd w:val="clear" w:color="auto" w:fill="auto"/>
            <w:vAlign w:val="center"/>
          </w:tcPr>
          <w:p>
            <w:pPr>
              <w:jc w:val="center"/>
              <w:rPr>
                <w:rFonts w:ascii="宋体" w:hAnsi="宋体"/>
                <w:color w:val="000000" w:themeColor="text1"/>
                <w:szCs w:val="21"/>
              </w:rPr>
            </w:pPr>
            <w:r>
              <w:rPr>
                <w:rFonts w:ascii="宋体" w:hAnsi="宋体"/>
                <w:color w:val="000000" w:themeColor="text1"/>
                <w:szCs w:val="21"/>
              </w:rPr>
              <w:t>3</w:t>
            </w:r>
          </w:p>
        </w:tc>
        <w:tc>
          <w:tcPr>
            <w:tcW w:w="1231" w:type="dxa"/>
            <w:shd w:val="clear" w:color="auto" w:fill="auto"/>
            <w:vAlign w:val="center"/>
          </w:tcPr>
          <w:p>
            <w:pPr>
              <w:rPr>
                <w:rFonts w:ascii="宋体" w:hAnsi="宋体"/>
                <w:color w:val="000000" w:themeColor="text1"/>
                <w:szCs w:val="21"/>
              </w:rPr>
            </w:pPr>
            <w:r>
              <w:rPr>
                <w:rFonts w:ascii="宋体" w:hAnsi="宋体"/>
                <w:color w:val="000000" w:themeColor="text1"/>
                <w:szCs w:val="21"/>
              </w:rPr>
              <w:t>武义、浦江、磐安</w:t>
            </w:r>
            <w:r>
              <w:rPr>
                <w:rFonts w:hint="eastAsia" w:ascii="宋体" w:hAnsi="宋体"/>
                <w:color w:val="000000" w:themeColor="text1"/>
                <w:szCs w:val="21"/>
              </w:rPr>
              <w:t>各1</w:t>
            </w:r>
            <w:r>
              <w:rPr>
                <w:rFonts w:ascii="宋体" w:hAnsi="宋体"/>
                <w:color w:val="000000" w:themeColor="text1"/>
                <w:szCs w:val="21"/>
              </w:rPr>
              <w:t>台</w:t>
            </w:r>
          </w:p>
        </w:tc>
        <w:tc>
          <w:tcPr>
            <w:tcW w:w="713" w:type="dxa"/>
            <w:shd w:val="clear" w:color="auto" w:fill="auto"/>
            <w:noWrap/>
            <w:vAlign w:val="center"/>
          </w:tcPr>
          <w:p>
            <w:pPr>
              <w:jc w:val="center"/>
              <w:rPr>
                <w:rFonts w:ascii="宋体" w:hAnsi="宋体"/>
                <w:color w:val="000000" w:themeColor="text1"/>
                <w:szCs w:val="21"/>
              </w:rPr>
            </w:pPr>
            <w:r>
              <w:rPr>
                <w:rFonts w:ascii="宋体" w:hAnsi="宋体"/>
                <w:color w:val="000000" w:themeColor="text1"/>
                <w:szCs w:val="21"/>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jc w:val="center"/>
        </w:trPr>
        <w:tc>
          <w:tcPr>
            <w:tcW w:w="879" w:type="dxa"/>
            <w:vMerge w:val="continue"/>
            <w:shd w:val="clear" w:color="auto" w:fill="auto"/>
            <w:vAlign w:val="center"/>
          </w:tcPr>
          <w:p>
            <w:pPr>
              <w:rPr>
                <w:rFonts w:ascii="宋体" w:hAnsi="宋体"/>
                <w:color w:val="000000" w:themeColor="text1"/>
                <w:szCs w:val="21"/>
              </w:rPr>
            </w:pPr>
          </w:p>
        </w:tc>
        <w:tc>
          <w:tcPr>
            <w:tcW w:w="926" w:type="dxa"/>
            <w:shd w:val="clear" w:color="auto" w:fill="auto"/>
            <w:vAlign w:val="center"/>
          </w:tcPr>
          <w:p>
            <w:pPr>
              <w:spacing w:line="300" w:lineRule="exact"/>
              <w:rPr>
                <w:rFonts w:ascii="宋体" w:hAnsi="宋体"/>
                <w:color w:val="000000" w:themeColor="text1"/>
                <w:szCs w:val="21"/>
              </w:rPr>
            </w:pPr>
            <w:r>
              <w:rPr>
                <w:rFonts w:ascii="宋体" w:hAnsi="宋体"/>
                <w:color w:val="000000" w:themeColor="text1"/>
                <w:szCs w:val="21"/>
              </w:rPr>
              <w:t>千兆光纤租费</w:t>
            </w:r>
          </w:p>
        </w:tc>
        <w:tc>
          <w:tcPr>
            <w:tcW w:w="3988" w:type="dxa"/>
            <w:shd w:val="clear" w:color="auto" w:fill="auto"/>
            <w:vAlign w:val="center"/>
          </w:tcPr>
          <w:p>
            <w:pPr>
              <w:spacing w:line="300" w:lineRule="exact"/>
              <w:rPr>
                <w:rFonts w:ascii="宋体" w:hAnsi="宋体"/>
                <w:color w:val="000000" w:themeColor="text1"/>
                <w:szCs w:val="21"/>
              </w:rPr>
            </w:pPr>
            <w:r>
              <w:rPr>
                <w:rFonts w:ascii="宋体" w:hAnsi="宋体"/>
                <w:color w:val="000000" w:themeColor="text1"/>
                <w:szCs w:val="21"/>
              </w:rPr>
              <w:t>县社会面接入交换机至市综治分平台（市县千兆光纤链路2000元/月，按5年计）</w:t>
            </w:r>
          </w:p>
        </w:tc>
        <w:tc>
          <w:tcPr>
            <w:tcW w:w="791" w:type="dxa"/>
            <w:shd w:val="clear" w:color="auto" w:fill="auto"/>
            <w:vAlign w:val="center"/>
          </w:tcPr>
          <w:p>
            <w:pPr>
              <w:jc w:val="center"/>
              <w:rPr>
                <w:rFonts w:ascii="宋体" w:hAnsi="宋体"/>
                <w:color w:val="000000" w:themeColor="text1"/>
                <w:szCs w:val="21"/>
              </w:rPr>
            </w:pPr>
            <w:r>
              <w:rPr>
                <w:rFonts w:ascii="宋体" w:hAnsi="宋体"/>
                <w:color w:val="000000" w:themeColor="text1"/>
                <w:szCs w:val="21"/>
              </w:rPr>
              <w:t>1</w:t>
            </w:r>
          </w:p>
        </w:tc>
        <w:tc>
          <w:tcPr>
            <w:tcW w:w="1231" w:type="dxa"/>
            <w:shd w:val="clear" w:color="auto" w:fill="auto"/>
            <w:vAlign w:val="center"/>
          </w:tcPr>
          <w:p>
            <w:pPr>
              <w:rPr>
                <w:rFonts w:ascii="宋体" w:hAnsi="宋体"/>
                <w:color w:val="000000" w:themeColor="text1"/>
                <w:szCs w:val="21"/>
              </w:rPr>
            </w:pPr>
            <w:r>
              <w:rPr>
                <w:rFonts w:hint="eastAsia" w:ascii="宋体" w:hAnsi="宋体"/>
                <w:color w:val="000000" w:themeColor="text1"/>
                <w:szCs w:val="21"/>
              </w:rPr>
              <w:t>武义1条</w:t>
            </w:r>
          </w:p>
        </w:tc>
        <w:tc>
          <w:tcPr>
            <w:tcW w:w="713" w:type="dxa"/>
            <w:shd w:val="clear" w:color="auto" w:fill="auto"/>
            <w:noWrap/>
            <w:vAlign w:val="center"/>
          </w:tcPr>
          <w:p>
            <w:pPr>
              <w:jc w:val="center"/>
              <w:rPr>
                <w:rFonts w:ascii="宋体" w:hAnsi="宋体"/>
                <w:color w:val="000000" w:themeColor="text1"/>
                <w:szCs w:val="21"/>
              </w:rPr>
            </w:pPr>
            <w:r>
              <w:rPr>
                <w:rFonts w:ascii="宋体" w:hAnsi="宋体"/>
                <w:color w:val="000000" w:themeColor="text1"/>
                <w:szCs w:val="21"/>
              </w:rPr>
              <w:t>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879" w:type="dxa"/>
            <w:vMerge w:val="continue"/>
            <w:shd w:val="clear" w:color="auto" w:fill="auto"/>
            <w:vAlign w:val="center"/>
          </w:tcPr>
          <w:p>
            <w:pPr>
              <w:rPr>
                <w:rFonts w:ascii="宋体" w:hAnsi="宋体"/>
                <w:color w:val="000000" w:themeColor="text1"/>
                <w:szCs w:val="21"/>
              </w:rPr>
            </w:pPr>
          </w:p>
        </w:tc>
        <w:tc>
          <w:tcPr>
            <w:tcW w:w="926" w:type="dxa"/>
            <w:shd w:val="clear" w:color="auto" w:fill="auto"/>
            <w:vAlign w:val="center"/>
          </w:tcPr>
          <w:p>
            <w:pPr>
              <w:rPr>
                <w:rFonts w:ascii="宋体" w:hAnsi="宋体"/>
                <w:color w:val="000000" w:themeColor="text1"/>
                <w:szCs w:val="21"/>
              </w:rPr>
            </w:pPr>
            <w:r>
              <w:rPr>
                <w:rFonts w:ascii="宋体" w:hAnsi="宋体"/>
                <w:color w:val="000000" w:themeColor="text1"/>
                <w:szCs w:val="21"/>
              </w:rPr>
              <w:t>流媒体服务器</w:t>
            </w:r>
          </w:p>
        </w:tc>
        <w:tc>
          <w:tcPr>
            <w:tcW w:w="3988" w:type="dxa"/>
            <w:shd w:val="clear" w:color="auto" w:fill="auto"/>
            <w:vAlign w:val="center"/>
          </w:tcPr>
          <w:p>
            <w:pPr>
              <w:spacing w:line="300" w:lineRule="exact"/>
              <w:rPr>
                <w:rFonts w:ascii="仿宋_GB2312"/>
                <w:color w:val="000000" w:themeColor="text1"/>
              </w:rPr>
            </w:pPr>
            <w:r>
              <w:rPr>
                <w:rFonts w:hint="eastAsia" w:ascii="仿宋_GB2312"/>
                <w:color w:val="000000" w:themeColor="text1"/>
              </w:rPr>
              <w:t>★</w:t>
            </w:r>
            <w:r>
              <w:rPr>
                <w:rFonts w:ascii="仿宋_GB2312"/>
                <w:color w:val="000000" w:themeColor="text1"/>
              </w:rPr>
              <w:t>Cpu：Intel Xeon (≥8核</w:t>
            </w:r>
            <w:r>
              <w:rPr>
                <w:rFonts w:hint="eastAsia" w:ascii="仿宋_GB2312"/>
                <w:color w:val="000000" w:themeColor="text1"/>
              </w:rPr>
              <w:t>，</w:t>
            </w:r>
            <w:r>
              <w:rPr>
                <w:rFonts w:ascii="仿宋_GB2312"/>
                <w:color w:val="000000" w:themeColor="text1"/>
              </w:rPr>
              <w:t>≥2.1GHz)×1/</w:t>
            </w:r>
          </w:p>
          <w:p>
            <w:pPr>
              <w:spacing w:line="300" w:lineRule="exact"/>
              <w:rPr>
                <w:rFonts w:ascii="仿宋_GB2312"/>
                <w:color w:val="000000" w:themeColor="text1"/>
              </w:rPr>
            </w:pPr>
            <w:r>
              <w:rPr>
                <w:rFonts w:hint="eastAsia" w:ascii="仿宋_GB2312"/>
                <w:color w:val="000000" w:themeColor="text1"/>
              </w:rPr>
              <w:t>★内存</w:t>
            </w:r>
            <w:r>
              <w:rPr>
                <w:rFonts w:ascii="仿宋_GB2312"/>
                <w:color w:val="000000" w:themeColor="text1"/>
              </w:rPr>
              <w:t>：≥16GB DDR4×1/</w:t>
            </w:r>
          </w:p>
          <w:p>
            <w:pPr>
              <w:spacing w:line="300" w:lineRule="exact"/>
              <w:rPr>
                <w:rFonts w:ascii="仿宋_GB2312"/>
                <w:color w:val="000000" w:themeColor="text1"/>
              </w:rPr>
            </w:pPr>
            <w:r>
              <w:rPr>
                <w:rFonts w:hint="eastAsia" w:ascii="仿宋_GB2312"/>
                <w:color w:val="000000" w:themeColor="text1"/>
              </w:rPr>
              <w:t>★硬盘</w:t>
            </w:r>
            <w:r>
              <w:rPr>
                <w:rFonts w:ascii="仿宋_GB2312"/>
                <w:color w:val="000000" w:themeColor="text1"/>
              </w:rPr>
              <w:t>：≥1TB SATA×2</w:t>
            </w:r>
          </w:p>
          <w:p>
            <w:pPr>
              <w:spacing w:line="300" w:lineRule="exact"/>
              <w:rPr>
                <w:rFonts w:ascii="仿宋_GB2312"/>
                <w:color w:val="000000" w:themeColor="text1"/>
              </w:rPr>
            </w:pPr>
            <w:r>
              <w:rPr>
                <w:rFonts w:hint="eastAsia" w:ascii="仿宋_GB2312"/>
                <w:color w:val="000000" w:themeColor="text1"/>
              </w:rPr>
              <w:t>★网口</w:t>
            </w:r>
            <w:r>
              <w:rPr>
                <w:rFonts w:ascii="仿宋_GB2312"/>
                <w:color w:val="000000" w:themeColor="text1"/>
              </w:rPr>
              <w:t>：≥1GbE×4</w:t>
            </w:r>
            <w:r>
              <w:rPr>
                <w:rFonts w:hint="eastAsia" w:ascii="仿宋_GB2312"/>
                <w:color w:val="000000" w:themeColor="text1"/>
              </w:rPr>
              <w:t>（电口）</w:t>
            </w:r>
          </w:p>
          <w:p>
            <w:pPr>
              <w:spacing w:line="300" w:lineRule="exact"/>
              <w:rPr>
                <w:rFonts w:ascii="仿宋_GB2312"/>
                <w:color w:val="000000" w:themeColor="text1"/>
              </w:rPr>
            </w:pPr>
            <w:r>
              <w:rPr>
                <w:rFonts w:ascii="仿宋_GB2312"/>
                <w:color w:val="000000" w:themeColor="text1"/>
              </w:rPr>
              <w:t>2</w:t>
            </w:r>
            <w:r>
              <w:rPr>
                <w:rFonts w:hint="eastAsia" w:ascii="仿宋_GB2312"/>
                <w:color w:val="000000" w:themeColor="text1"/>
              </w:rPr>
              <w:t>个热插拔冗余电源，冗余风扇</w:t>
            </w:r>
          </w:p>
          <w:p>
            <w:pPr>
              <w:spacing w:line="300" w:lineRule="exact"/>
              <w:rPr>
                <w:rFonts w:ascii="仿宋_GB2312"/>
                <w:color w:val="000000" w:themeColor="text1"/>
              </w:rPr>
            </w:pPr>
            <w:r>
              <w:rPr>
                <w:rFonts w:hint="eastAsia" w:ascii="仿宋_GB2312"/>
                <w:color w:val="000000" w:themeColor="text1"/>
              </w:rPr>
              <w:t>工作温度</w:t>
            </w:r>
            <w:r>
              <w:rPr>
                <w:rFonts w:ascii="仿宋_GB2312"/>
                <w:color w:val="000000" w:themeColor="text1"/>
              </w:rPr>
              <w:t>:</w:t>
            </w:r>
            <w:r>
              <w:rPr>
                <w:rFonts w:hint="eastAsia" w:ascii="仿宋_GB2312"/>
                <w:color w:val="000000" w:themeColor="text1"/>
              </w:rPr>
              <w:t>支持最高</w:t>
            </w:r>
            <w:r>
              <w:rPr>
                <w:rFonts w:ascii="仿宋_GB2312"/>
                <w:color w:val="000000" w:themeColor="text1"/>
              </w:rPr>
              <w:t>5-40</w:t>
            </w:r>
            <w:r>
              <w:rPr>
                <w:rFonts w:hint="eastAsia" w:ascii="仿宋_GB2312"/>
                <w:color w:val="000000" w:themeColor="text1"/>
              </w:rPr>
              <w:t>°</w:t>
            </w:r>
            <w:r>
              <w:rPr>
                <w:rFonts w:ascii="仿宋_GB2312"/>
                <w:color w:val="000000" w:themeColor="text1"/>
              </w:rPr>
              <w:t>C</w:t>
            </w:r>
            <w:r>
              <w:rPr>
                <w:rFonts w:hint="eastAsia" w:ascii="仿宋_GB2312"/>
                <w:color w:val="000000" w:themeColor="text1"/>
              </w:rPr>
              <w:t>标准工作温度</w:t>
            </w:r>
          </w:p>
          <w:p>
            <w:pPr>
              <w:spacing w:line="300" w:lineRule="exact"/>
              <w:rPr>
                <w:rFonts w:ascii="仿宋_GB2312"/>
                <w:color w:val="000000" w:themeColor="text1"/>
              </w:rPr>
            </w:pPr>
            <w:r>
              <w:rPr>
                <w:rFonts w:hint="eastAsia" w:ascii="仿宋_GB2312"/>
                <w:color w:val="000000" w:themeColor="text1"/>
              </w:rPr>
              <w:t>网络带宽</w:t>
            </w:r>
            <w:r>
              <w:rPr>
                <w:rFonts w:ascii="仿宋_GB2312"/>
                <w:color w:val="000000" w:themeColor="text1"/>
              </w:rPr>
              <w:t>:</w:t>
            </w:r>
            <w:r>
              <w:rPr>
                <w:rFonts w:hint="eastAsia" w:ascii="仿宋_GB2312"/>
                <w:color w:val="000000" w:themeColor="text1"/>
              </w:rPr>
              <w:t>支持多种网络带宽；</w:t>
            </w:r>
          </w:p>
          <w:p>
            <w:pPr>
              <w:spacing w:line="300" w:lineRule="exact"/>
              <w:rPr>
                <w:rFonts w:ascii="仿宋_GB2312"/>
                <w:color w:val="000000" w:themeColor="text1"/>
              </w:rPr>
            </w:pPr>
            <w:r>
              <w:rPr>
                <w:rFonts w:hint="eastAsia" w:ascii="仿宋_GB2312"/>
                <w:color w:val="000000" w:themeColor="text1"/>
              </w:rPr>
              <w:t>配置≥</w:t>
            </w:r>
            <w:r>
              <w:rPr>
                <w:rFonts w:ascii="仿宋_GB2312"/>
                <w:color w:val="000000" w:themeColor="text1"/>
              </w:rPr>
              <w:t>1Gb</w:t>
            </w:r>
            <w:r>
              <w:rPr>
                <w:rFonts w:hint="eastAsia" w:ascii="仿宋_GB2312"/>
                <w:color w:val="000000" w:themeColor="text1"/>
              </w:rPr>
              <w:t>独立的远程管理控制端口；</w:t>
            </w:r>
          </w:p>
          <w:p>
            <w:pPr>
              <w:spacing w:line="300" w:lineRule="exact"/>
              <w:rPr>
                <w:rFonts w:ascii="宋体" w:hAnsi="宋体"/>
                <w:color w:val="000000" w:themeColor="text1"/>
                <w:szCs w:val="21"/>
              </w:rPr>
            </w:pPr>
            <w:r>
              <w:rPr>
                <w:rFonts w:hint="eastAsia" w:ascii="仿宋_GB2312"/>
                <w:color w:val="000000" w:themeColor="text1"/>
              </w:rPr>
              <w:t>阵列控制器</w:t>
            </w:r>
            <w:r>
              <w:rPr>
                <w:rFonts w:ascii="仿宋_GB2312"/>
                <w:color w:val="000000" w:themeColor="text1"/>
              </w:rPr>
              <w:t>:</w:t>
            </w:r>
            <w:r>
              <w:rPr>
                <w:rFonts w:hint="eastAsia" w:ascii="仿宋_GB2312"/>
                <w:color w:val="000000" w:themeColor="text1"/>
              </w:rPr>
              <w:t>≥</w:t>
            </w:r>
            <w:r>
              <w:rPr>
                <w:rFonts w:ascii="仿宋_GB2312"/>
                <w:color w:val="000000" w:themeColor="text1"/>
              </w:rPr>
              <w:t>1</w:t>
            </w:r>
            <w:r>
              <w:rPr>
                <w:rFonts w:hint="eastAsia" w:ascii="仿宋_GB2312"/>
                <w:color w:val="000000" w:themeColor="text1"/>
              </w:rPr>
              <w:t>个标配</w:t>
            </w:r>
            <w:r>
              <w:rPr>
                <w:rFonts w:ascii="仿宋_GB2312"/>
                <w:color w:val="000000" w:themeColor="text1"/>
              </w:rPr>
              <w:t>RAID</w:t>
            </w:r>
            <w:r>
              <w:rPr>
                <w:rFonts w:hint="eastAsia" w:ascii="仿宋_GB2312"/>
                <w:color w:val="000000" w:themeColor="text1"/>
              </w:rPr>
              <w:t>阵列卡。</w:t>
            </w:r>
          </w:p>
        </w:tc>
        <w:tc>
          <w:tcPr>
            <w:tcW w:w="791" w:type="dxa"/>
            <w:shd w:val="clear" w:color="auto" w:fill="auto"/>
            <w:vAlign w:val="center"/>
          </w:tcPr>
          <w:p>
            <w:pPr>
              <w:jc w:val="center"/>
              <w:rPr>
                <w:rFonts w:ascii="宋体" w:hAnsi="宋体"/>
                <w:color w:val="000000" w:themeColor="text1"/>
                <w:szCs w:val="21"/>
              </w:rPr>
            </w:pPr>
            <w:r>
              <w:rPr>
                <w:rFonts w:ascii="宋体" w:hAnsi="宋体"/>
                <w:color w:val="000000" w:themeColor="text1"/>
                <w:szCs w:val="21"/>
              </w:rPr>
              <w:t>3</w:t>
            </w:r>
          </w:p>
        </w:tc>
        <w:tc>
          <w:tcPr>
            <w:tcW w:w="1231" w:type="dxa"/>
            <w:shd w:val="clear" w:color="auto" w:fill="auto"/>
            <w:vAlign w:val="center"/>
          </w:tcPr>
          <w:p>
            <w:pPr>
              <w:rPr>
                <w:rFonts w:ascii="宋体" w:hAnsi="宋体"/>
                <w:color w:val="000000" w:themeColor="text1"/>
                <w:szCs w:val="21"/>
              </w:rPr>
            </w:pPr>
            <w:r>
              <w:rPr>
                <w:rFonts w:hint="eastAsia" w:ascii="宋体" w:hAnsi="宋体"/>
                <w:color w:val="000000" w:themeColor="text1"/>
                <w:szCs w:val="21"/>
              </w:rPr>
              <w:t>永康3台</w:t>
            </w:r>
          </w:p>
        </w:tc>
        <w:tc>
          <w:tcPr>
            <w:tcW w:w="713" w:type="dxa"/>
            <w:shd w:val="clear" w:color="auto" w:fill="auto"/>
            <w:noWrap/>
            <w:vAlign w:val="center"/>
          </w:tcPr>
          <w:p>
            <w:pPr>
              <w:jc w:val="center"/>
              <w:rPr>
                <w:rFonts w:ascii="宋体" w:hAnsi="宋体"/>
                <w:color w:val="000000" w:themeColor="text1"/>
                <w:szCs w:val="21"/>
              </w:rPr>
            </w:pPr>
            <w:r>
              <w:rPr>
                <w:rFonts w:ascii="宋体" w:hAnsi="宋体"/>
                <w:color w:val="000000" w:themeColor="text1"/>
                <w:szCs w:val="21"/>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879" w:type="dxa"/>
            <w:vMerge w:val="continue"/>
            <w:shd w:val="clear" w:color="auto" w:fill="auto"/>
            <w:vAlign w:val="center"/>
          </w:tcPr>
          <w:p>
            <w:pPr>
              <w:rPr>
                <w:rFonts w:ascii="宋体" w:hAnsi="宋体"/>
                <w:color w:val="000000" w:themeColor="text1"/>
                <w:szCs w:val="21"/>
              </w:rPr>
            </w:pPr>
          </w:p>
        </w:tc>
        <w:tc>
          <w:tcPr>
            <w:tcW w:w="926" w:type="dxa"/>
            <w:shd w:val="clear" w:color="auto" w:fill="auto"/>
            <w:vAlign w:val="center"/>
          </w:tcPr>
          <w:p>
            <w:pPr>
              <w:rPr>
                <w:rFonts w:ascii="宋体" w:hAnsi="宋体"/>
                <w:color w:val="000000" w:themeColor="text1"/>
                <w:szCs w:val="21"/>
              </w:rPr>
            </w:pPr>
            <w:r>
              <w:rPr>
                <w:rFonts w:ascii="宋体" w:hAnsi="宋体"/>
                <w:color w:val="000000" w:themeColor="text1"/>
                <w:szCs w:val="21"/>
              </w:rPr>
              <w:t>平台服务器</w:t>
            </w:r>
          </w:p>
        </w:tc>
        <w:tc>
          <w:tcPr>
            <w:tcW w:w="3988" w:type="dxa"/>
            <w:shd w:val="clear" w:color="auto" w:fill="auto"/>
            <w:vAlign w:val="center"/>
          </w:tcPr>
          <w:p>
            <w:pPr>
              <w:spacing w:line="300" w:lineRule="exact"/>
              <w:rPr>
                <w:rFonts w:ascii="仿宋_GB2312"/>
                <w:color w:val="000000" w:themeColor="text1"/>
              </w:rPr>
            </w:pPr>
            <w:r>
              <w:rPr>
                <w:rFonts w:hint="eastAsia" w:ascii="仿宋_GB2312"/>
                <w:color w:val="000000" w:themeColor="text1"/>
              </w:rPr>
              <w:t>★</w:t>
            </w:r>
            <w:r>
              <w:rPr>
                <w:rFonts w:ascii="仿宋_GB2312"/>
                <w:color w:val="000000" w:themeColor="text1"/>
              </w:rPr>
              <w:t>Cpu：Intel Xeon (≥8核</w:t>
            </w:r>
            <w:r>
              <w:rPr>
                <w:rFonts w:hint="eastAsia" w:ascii="仿宋_GB2312"/>
                <w:color w:val="000000" w:themeColor="text1"/>
              </w:rPr>
              <w:t>，</w:t>
            </w:r>
            <w:r>
              <w:rPr>
                <w:rFonts w:ascii="仿宋_GB2312"/>
                <w:color w:val="000000" w:themeColor="text1"/>
              </w:rPr>
              <w:t>≥2.1GHz)×2</w:t>
            </w:r>
          </w:p>
          <w:p>
            <w:pPr>
              <w:spacing w:line="300" w:lineRule="exact"/>
              <w:rPr>
                <w:rFonts w:ascii="仿宋_GB2312"/>
                <w:color w:val="000000" w:themeColor="text1"/>
              </w:rPr>
            </w:pPr>
            <w:r>
              <w:rPr>
                <w:rFonts w:hint="eastAsia" w:ascii="仿宋_GB2312"/>
                <w:color w:val="000000" w:themeColor="text1"/>
              </w:rPr>
              <w:t>★内存</w:t>
            </w:r>
            <w:r>
              <w:rPr>
                <w:rFonts w:ascii="仿宋_GB2312"/>
                <w:color w:val="000000" w:themeColor="text1"/>
              </w:rPr>
              <w:t>：≥16GB DDR4×2</w:t>
            </w:r>
          </w:p>
          <w:p>
            <w:pPr>
              <w:spacing w:line="300" w:lineRule="exact"/>
              <w:rPr>
                <w:rFonts w:ascii="仿宋_GB2312"/>
                <w:color w:val="000000" w:themeColor="text1"/>
              </w:rPr>
            </w:pPr>
            <w:r>
              <w:rPr>
                <w:rFonts w:hint="eastAsia" w:ascii="仿宋_GB2312"/>
                <w:color w:val="000000" w:themeColor="text1"/>
              </w:rPr>
              <w:t>★硬盘</w:t>
            </w:r>
            <w:r>
              <w:rPr>
                <w:rFonts w:ascii="仿宋_GB2312"/>
                <w:color w:val="000000" w:themeColor="text1"/>
              </w:rPr>
              <w:t>：≥1TB SATA×2</w:t>
            </w:r>
          </w:p>
          <w:p>
            <w:pPr>
              <w:spacing w:line="300" w:lineRule="exact"/>
              <w:rPr>
                <w:rFonts w:ascii="仿宋_GB2312"/>
                <w:color w:val="000000" w:themeColor="text1"/>
              </w:rPr>
            </w:pPr>
            <w:r>
              <w:rPr>
                <w:rFonts w:hint="eastAsia" w:ascii="仿宋_GB2312"/>
                <w:color w:val="000000" w:themeColor="text1"/>
              </w:rPr>
              <w:t>★网口</w:t>
            </w:r>
            <w:r>
              <w:rPr>
                <w:rFonts w:ascii="仿宋_GB2312"/>
                <w:color w:val="000000" w:themeColor="text1"/>
              </w:rPr>
              <w:t>：≥1GbE×4</w:t>
            </w:r>
            <w:r>
              <w:rPr>
                <w:rFonts w:hint="eastAsia" w:ascii="仿宋_GB2312"/>
                <w:color w:val="000000" w:themeColor="text1"/>
              </w:rPr>
              <w:t>（电口）</w:t>
            </w:r>
          </w:p>
          <w:p>
            <w:pPr>
              <w:spacing w:line="300" w:lineRule="exact"/>
              <w:rPr>
                <w:rFonts w:ascii="仿宋_GB2312"/>
                <w:color w:val="000000" w:themeColor="text1"/>
              </w:rPr>
            </w:pPr>
            <w:r>
              <w:rPr>
                <w:rFonts w:ascii="仿宋_GB2312"/>
                <w:color w:val="000000" w:themeColor="text1"/>
              </w:rPr>
              <w:t>2</w:t>
            </w:r>
            <w:r>
              <w:rPr>
                <w:rFonts w:hint="eastAsia" w:ascii="仿宋_GB2312"/>
                <w:color w:val="000000" w:themeColor="text1"/>
              </w:rPr>
              <w:t>个热插拔冗余电源，冗余风扇</w:t>
            </w:r>
          </w:p>
          <w:p>
            <w:pPr>
              <w:spacing w:line="300" w:lineRule="exact"/>
              <w:rPr>
                <w:rFonts w:ascii="仿宋_GB2312"/>
                <w:color w:val="000000" w:themeColor="text1"/>
              </w:rPr>
            </w:pPr>
            <w:r>
              <w:rPr>
                <w:rFonts w:hint="eastAsia" w:ascii="仿宋_GB2312"/>
                <w:color w:val="000000" w:themeColor="text1"/>
              </w:rPr>
              <w:t>工作温度</w:t>
            </w:r>
            <w:r>
              <w:rPr>
                <w:rFonts w:ascii="仿宋_GB2312"/>
                <w:color w:val="000000" w:themeColor="text1"/>
              </w:rPr>
              <w:t>:</w:t>
            </w:r>
            <w:r>
              <w:rPr>
                <w:rFonts w:hint="eastAsia" w:ascii="仿宋_GB2312"/>
                <w:color w:val="000000" w:themeColor="text1"/>
              </w:rPr>
              <w:t>支持最高</w:t>
            </w:r>
            <w:r>
              <w:rPr>
                <w:rFonts w:ascii="仿宋_GB2312"/>
                <w:color w:val="000000" w:themeColor="text1"/>
              </w:rPr>
              <w:t>5-40</w:t>
            </w:r>
            <w:r>
              <w:rPr>
                <w:rFonts w:hint="eastAsia" w:ascii="仿宋_GB2312"/>
                <w:color w:val="000000" w:themeColor="text1"/>
              </w:rPr>
              <w:t>°</w:t>
            </w:r>
            <w:r>
              <w:rPr>
                <w:rFonts w:ascii="仿宋_GB2312"/>
                <w:color w:val="000000" w:themeColor="text1"/>
              </w:rPr>
              <w:t>C</w:t>
            </w:r>
            <w:r>
              <w:rPr>
                <w:rFonts w:hint="eastAsia" w:ascii="仿宋_GB2312"/>
                <w:color w:val="000000" w:themeColor="text1"/>
              </w:rPr>
              <w:t>标准工作温度</w:t>
            </w:r>
          </w:p>
          <w:p>
            <w:pPr>
              <w:spacing w:line="300" w:lineRule="exact"/>
              <w:rPr>
                <w:rFonts w:ascii="仿宋_GB2312"/>
                <w:color w:val="000000" w:themeColor="text1"/>
              </w:rPr>
            </w:pPr>
            <w:r>
              <w:rPr>
                <w:rFonts w:hint="eastAsia" w:ascii="仿宋_GB2312"/>
                <w:color w:val="000000" w:themeColor="text1"/>
              </w:rPr>
              <w:t>网络带宽</w:t>
            </w:r>
            <w:r>
              <w:rPr>
                <w:rFonts w:ascii="仿宋_GB2312"/>
                <w:color w:val="000000" w:themeColor="text1"/>
              </w:rPr>
              <w:t>:</w:t>
            </w:r>
            <w:r>
              <w:rPr>
                <w:rFonts w:hint="eastAsia" w:ascii="仿宋_GB2312"/>
                <w:color w:val="000000" w:themeColor="text1"/>
              </w:rPr>
              <w:t>支持多种网络带宽；</w:t>
            </w:r>
          </w:p>
          <w:p>
            <w:pPr>
              <w:spacing w:line="300" w:lineRule="exact"/>
              <w:rPr>
                <w:rFonts w:ascii="仿宋_GB2312"/>
                <w:color w:val="000000" w:themeColor="text1"/>
              </w:rPr>
            </w:pPr>
            <w:r>
              <w:rPr>
                <w:rFonts w:hint="eastAsia" w:ascii="仿宋_GB2312"/>
                <w:color w:val="000000" w:themeColor="text1"/>
              </w:rPr>
              <w:t>配置≥</w:t>
            </w:r>
            <w:r>
              <w:rPr>
                <w:rFonts w:ascii="仿宋_GB2312"/>
                <w:color w:val="000000" w:themeColor="text1"/>
              </w:rPr>
              <w:t>1Gb</w:t>
            </w:r>
            <w:r>
              <w:rPr>
                <w:rFonts w:hint="eastAsia" w:ascii="仿宋_GB2312"/>
                <w:color w:val="000000" w:themeColor="text1"/>
              </w:rPr>
              <w:t>独立的远程管理控制端口；</w:t>
            </w:r>
          </w:p>
          <w:p>
            <w:pPr>
              <w:spacing w:line="300" w:lineRule="exact"/>
              <w:rPr>
                <w:rFonts w:ascii="仿宋_GB2312"/>
                <w:color w:val="000000" w:themeColor="text1"/>
              </w:rPr>
            </w:pPr>
            <w:r>
              <w:rPr>
                <w:rFonts w:hint="eastAsia" w:ascii="仿宋_GB2312"/>
                <w:color w:val="000000" w:themeColor="text1"/>
              </w:rPr>
              <w:t>阵列控制器</w:t>
            </w:r>
            <w:r>
              <w:rPr>
                <w:rFonts w:ascii="仿宋_GB2312"/>
                <w:color w:val="000000" w:themeColor="text1"/>
              </w:rPr>
              <w:t>:</w:t>
            </w:r>
            <w:r>
              <w:rPr>
                <w:rFonts w:hint="eastAsia" w:ascii="仿宋_GB2312"/>
                <w:color w:val="000000" w:themeColor="text1"/>
              </w:rPr>
              <w:t>≥</w:t>
            </w:r>
            <w:r>
              <w:rPr>
                <w:rFonts w:ascii="仿宋_GB2312"/>
                <w:color w:val="000000" w:themeColor="text1"/>
              </w:rPr>
              <w:t>1</w:t>
            </w:r>
            <w:r>
              <w:rPr>
                <w:rFonts w:hint="eastAsia" w:ascii="仿宋_GB2312"/>
                <w:color w:val="000000" w:themeColor="text1"/>
              </w:rPr>
              <w:t>个标配</w:t>
            </w:r>
            <w:r>
              <w:rPr>
                <w:rFonts w:ascii="仿宋_GB2312"/>
                <w:color w:val="000000" w:themeColor="text1"/>
              </w:rPr>
              <w:t>RAID</w:t>
            </w:r>
            <w:r>
              <w:rPr>
                <w:rFonts w:hint="eastAsia" w:ascii="仿宋_GB2312"/>
                <w:color w:val="000000" w:themeColor="text1"/>
              </w:rPr>
              <w:t>阵列卡。</w:t>
            </w:r>
            <w:r>
              <w:rPr>
                <w:rFonts w:ascii="仿宋_GB2312"/>
                <w:color w:val="000000" w:themeColor="text1"/>
              </w:rPr>
              <w:t>（含软件：带视频模块、级联模块、及300路视频接入授权）</w:t>
            </w:r>
          </w:p>
        </w:tc>
        <w:tc>
          <w:tcPr>
            <w:tcW w:w="791" w:type="dxa"/>
            <w:shd w:val="clear" w:color="auto" w:fill="auto"/>
            <w:vAlign w:val="center"/>
          </w:tcPr>
          <w:p>
            <w:pPr>
              <w:jc w:val="center"/>
              <w:rPr>
                <w:rFonts w:ascii="宋体" w:hAnsi="宋体"/>
                <w:color w:val="000000" w:themeColor="text1"/>
                <w:szCs w:val="21"/>
              </w:rPr>
            </w:pPr>
            <w:r>
              <w:rPr>
                <w:rFonts w:ascii="宋体" w:hAnsi="宋体"/>
                <w:color w:val="000000" w:themeColor="text1"/>
                <w:szCs w:val="21"/>
              </w:rPr>
              <w:t>1</w:t>
            </w:r>
          </w:p>
        </w:tc>
        <w:tc>
          <w:tcPr>
            <w:tcW w:w="1231" w:type="dxa"/>
            <w:shd w:val="clear" w:color="auto" w:fill="auto"/>
            <w:vAlign w:val="center"/>
          </w:tcPr>
          <w:p>
            <w:pPr>
              <w:rPr>
                <w:rFonts w:ascii="宋体" w:hAnsi="宋体"/>
                <w:color w:val="000000" w:themeColor="text1"/>
                <w:szCs w:val="21"/>
              </w:rPr>
            </w:pPr>
            <w:r>
              <w:rPr>
                <w:rFonts w:hint="eastAsia" w:ascii="宋体" w:hAnsi="宋体"/>
                <w:color w:val="000000" w:themeColor="text1"/>
                <w:szCs w:val="21"/>
              </w:rPr>
              <w:t>永康1台</w:t>
            </w:r>
          </w:p>
        </w:tc>
        <w:tc>
          <w:tcPr>
            <w:tcW w:w="713" w:type="dxa"/>
            <w:shd w:val="clear" w:color="auto" w:fill="auto"/>
            <w:noWrap/>
            <w:vAlign w:val="center"/>
          </w:tcPr>
          <w:p>
            <w:pPr>
              <w:jc w:val="center"/>
              <w:rPr>
                <w:rFonts w:ascii="宋体" w:hAnsi="宋体"/>
                <w:color w:val="000000" w:themeColor="text1"/>
                <w:szCs w:val="21"/>
              </w:rPr>
            </w:pPr>
            <w:r>
              <w:rPr>
                <w:rFonts w:ascii="宋体" w:hAnsi="宋体"/>
                <w:color w:val="000000" w:themeColor="text1"/>
                <w:szCs w:val="21"/>
              </w:rPr>
              <w:t>项</w:t>
            </w:r>
          </w:p>
        </w:tc>
      </w:tr>
    </w:tbl>
    <w:p>
      <w:pPr>
        <w:snapToGrid w:val="0"/>
        <w:ind w:firstLine="480"/>
        <w:rPr>
          <w:rFonts w:ascii="宋体" w:hAnsi="宋体"/>
          <w:color w:val="000000" w:themeColor="text1"/>
        </w:rPr>
      </w:pPr>
    </w:p>
    <w:p>
      <w:pPr>
        <w:snapToGrid w:val="0"/>
        <w:ind w:firstLine="482"/>
        <w:rPr>
          <w:rFonts w:ascii="宋体" w:hAnsi="宋体"/>
          <w:b/>
          <w:color w:val="000000" w:themeColor="text1"/>
        </w:rPr>
      </w:pPr>
      <w:r>
        <w:rPr>
          <w:rFonts w:ascii="宋体" w:hAnsi="宋体"/>
          <w:b/>
          <w:color w:val="000000" w:themeColor="text1"/>
        </w:rPr>
        <w:t>2</w:t>
      </w:r>
      <w:r>
        <w:rPr>
          <w:rFonts w:hint="eastAsia" w:ascii="宋体" w:hAnsi="宋体"/>
          <w:b/>
          <w:color w:val="000000" w:themeColor="text1"/>
        </w:rPr>
        <w:t>、社会视频</w:t>
      </w:r>
      <w:r>
        <w:rPr>
          <w:rFonts w:ascii="宋体" w:hAnsi="宋体"/>
          <w:b/>
          <w:color w:val="000000" w:themeColor="text1"/>
        </w:rPr>
        <w:t>资源</w:t>
      </w:r>
      <w:r>
        <w:rPr>
          <w:rFonts w:hint="eastAsia" w:ascii="宋体" w:hAnsi="宋体"/>
          <w:b/>
          <w:color w:val="000000" w:themeColor="text1"/>
        </w:rPr>
        <w:t>联网</w:t>
      </w:r>
      <w:r>
        <w:rPr>
          <w:rFonts w:ascii="宋体" w:hAnsi="宋体"/>
          <w:b/>
          <w:color w:val="000000" w:themeColor="text1"/>
        </w:rPr>
        <w:t>整合</w:t>
      </w:r>
    </w:p>
    <w:tbl>
      <w:tblPr>
        <w:tblStyle w:val="53"/>
        <w:tblW w:w="8593" w:type="dxa"/>
        <w:tblInd w:w="-34"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4"/>
        <w:gridCol w:w="913"/>
        <w:gridCol w:w="3643"/>
        <w:gridCol w:w="650"/>
        <w:gridCol w:w="1693"/>
        <w:gridCol w:w="7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914" w:type="dxa"/>
            <w:vAlign w:val="center"/>
          </w:tcPr>
          <w:p>
            <w:pPr>
              <w:spacing w:line="300" w:lineRule="exact"/>
              <w:jc w:val="center"/>
              <w:rPr>
                <w:rFonts w:ascii="宋体" w:hAnsi="宋体"/>
                <w:b/>
                <w:bCs/>
                <w:color w:val="000000" w:themeColor="text1"/>
                <w:szCs w:val="21"/>
              </w:rPr>
            </w:pPr>
            <w:r>
              <w:rPr>
                <w:rFonts w:hint="eastAsia" w:ascii="宋体" w:hAnsi="宋体"/>
                <w:b/>
                <w:bCs/>
                <w:color w:val="000000" w:themeColor="text1"/>
                <w:szCs w:val="21"/>
              </w:rPr>
              <w:t>项目</w:t>
            </w:r>
          </w:p>
        </w:tc>
        <w:tc>
          <w:tcPr>
            <w:tcW w:w="913" w:type="dxa"/>
            <w:vAlign w:val="center"/>
          </w:tcPr>
          <w:p>
            <w:pPr>
              <w:spacing w:line="300" w:lineRule="exact"/>
              <w:jc w:val="center"/>
              <w:rPr>
                <w:rFonts w:ascii="宋体" w:hAnsi="宋体"/>
                <w:color w:val="000000" w:themeColor="text1"/>
                <w:szCs w:val="21"/>
                <w:u w:val="single"/>
              </w:rPr>
            </w:pPr>
            <w:r>
              <w:rPr>
                <w:rFonts w:hint="eastAsia" w:ascii="宋体" w:hAnsi="宋体"/>
                <w:b/>
                <w:bCs/>
                <w:color w:val="000000" w:themeColor="text1"/>
                <w:szCs w:val="21"/>
              </w:rPr>
              <w:t>子项目</w:t>
            </w:r>
          </w:p>
        </w:tc>
        <w:tc>
          <w:tcPr>
            <w:tcW w:w="3643" w:type="dxa"/>
            <w:vAlign w:val="center"/>
          </w:tcPr>
          <w:p>
            <w:pPr>
              <w:spacing w:line="300" w:lineRule="exact"/>
              <w:jc w:val="center"/>
              <w:rPr>
                <w:rFonts w:ascii="宋体" w:hAnsi="宋体"/>
                <w:color w:val="000000" w:themeColor="text1"/>
                <w:szCs w:val="21"/>
              </w:rPr>
            </w:pPr>
            <w:r>
              <w:rPr>
                <w:rFonts w:hint="eastAsia" w:ascii="宋体" w:hAnsi="宋体"/>
                <w:color w:val="000000" w:themeColor="text1"/>
                <w:szCs w:val="21"/>
              </w:rPr>
              <w:t>技术参数</w:t>
            </w:r>
          </w:p>
        </w:tc>
        <w:tc>
          <w:tcPr>
            <w:tcW w:w="650" w:type="dxa"/>
            <w:vAlign w:val="center"/>
          </w:tcPr>
          <w:p>
            <w:pPr>
              <w:spacing w:line="300" w:lineRule="exact"/>
              <w:jc w:val="center"/>
              <w:rPr>
                <w:rFonts w:ascii="宋体" w:hAnsi="宋体"/>
                <w:color w:val="000000" w:themeColor="text1"/>
                <w:szCs w:val="21"/>
              </w:rPr>
            </w:pPr>
            <w:r>
              <w:rPr>
                <w:rFonts w:hint="eastAsia" w:ascii="宋体" w:hAnsi="宋体"/>
                <w:color w:val="000000" w:themeColor="text1"/>
                <w:szCs w:val="21"/>
              </w:rPr>
              <w:t>数量</w:t>
            </w:r>
          </w:p>
        </w:tc>
        <w:tc>
          <w:tcPr>
            <w:tcW w:w="1693" w:type="dxa"/>
            <w:vAlign w:val="center"/>
          </w:tcPr>
          <w:p>
            <w:pPr>
              <w:spacing w:line="300" w:lineRule="exact"/>
              <w:jc w:val="center"/>
              <w:rPr>
                <w:rFonts w:ascii="宋体" w:hAnsi="宋体" w:cs="宋体"/>
                <w:color w:val="000000" w:themeColor="text1"/>
                <w:szCs w:val="21"/>
              </w:rPr>
            </w:pPr>
            <w:r>
              <w:rPr>
                <w:rFonts w:hint="eastAsia" w:ascii="宋体" w:hAnsi="宋体" w:cs="宋体"/>
                <w:color w:val="000000" w:themeColor="text1"/>
                <w:szCs w:val="21"/>
              </w:rPr>
              <w:t>县市区</w:t>
            </w:r>
          </w:p>
        </w:tc>
        <w:tc>
          <w:tcPr>
            <w:tcW w:w="780" w:type="dxa"/>
            <w:noWrap/>
            <w:vAlign w:val="center"/>
          </w:tcPr>
          <w:p>
            <w:pPr>
              <w:spacing w:line="300" w:lineRule="exact"/>
              <w:jc w:val="center"/>
              <w:rPr>
                <w:rFonts w:ascii="宋体" w:hAnsi="宋体"/>
                <w:color w:val="000000" w:themeColor="text1"/>
                <w:szCs w:val="21"/>
              </w:rPr>
            </w:pPr>
            <w:r>
              <w:rPr>
                <w:rFonts w:hint="eastAsia" w:ascii="宋体" w:hAnsi="宋体"/>
                <w:color w:val="000000" w:themeColor="text1"/>
                <w:szCs w:val="21"/>
              </w:rPr>
              <w:t>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914" w:type="dxa"/>
            <w:vMerge w:val="restart"/>
            <w:vAlign w:val="center"/>
          </w:tcPr>
          <w:p>
            <w:pPr>
              <w:spacing w:line="300" w:lineRule="exact"/>
              <w:rPr>
                <w:rFonts w:ascii="宋体" w:hAnsi="宋体"/>
                <w:b/>
                <w:bCs/>
                <w:color w:val="000000" w:themeColor="text1"/>
                <w:szCs w:val="21"/>
              </w:rPr>
            </w:pPr>
            <w:r>
              <w:rPr>
                <w:rFonts w:hint="eastAsia" w:ascii="宋体" w:hAnsi="宋体"/>
                <w:b/>
                <w:color w:val="000000" w:themeColor="text1"/>
              </w:rPr>
              <w:t>社会视频</w:t>
            </w:r>
            <w:r>
              <w:rPr>
                <w:rFonts w:ascii="宋体" w:hAnsi="宋体"/>
                <w:b/>
                <w:color w:val="000000" w:themeColor="text1"/>
              </w:rPr>
              <w:t>资源</w:t>
            </w:r>
            <w:r>
              <w:rPr>
                <w:rFonts w:hint="eastAsia" w:ascii="宋体" w:hAnsi="宋体"/>
                <w:b/>
                <w:color w:val="000000" w:themeColor="text1"/>
              </w:rPr>
              <w:t>联网</w:t>
            </w:r>
            <w:r>
              <w:rPr>
                <w:rFonts w:ascii="宋体" w:hAnsi="宋体"/>
                <w:b/>
                <w:color w:val="000000" w:themeColor="text1"/>
              </w:rPr>
              <w:t>整合</w:t>
            </w:r>
          </w:p>
        </w:tc>
        <w:tc>
          <w:tcPr>
            <w:tcW w:w="913" w:type="dxa"/>
            <w:vAlign w:val="center"/>
          </w:tcPr>
          <w:p>
            <w:pPr>
              <w:spacing w:line="300" w:lineRule="exact"/>
              <w:rPr>
                <w:rFonts w:ascii="宋体" w:hAnsi="宋体"/>
                <w:color w:val="000000" w:themeColor="text1"/>
                <w:szCs w:val="21"/>
              </w:rPr>
            </w:pPr>
            <w:r>
              <w:rPr>
                <w:rFonts w:hint="eastAsia" w:ascii="宋体" w:hAnsi="宋体"/>
                <w:color w:val="000000" w:themeColor="text1"/>
                <w:szCs w:val="21"/>
              </w:rPr>
              <w:t>百</w:t>
            </w:r>
            <w:r>
              <w:rPr>
                <w:rFonts w:ascii="宋体" w:hAnsi="宋体"/>
                <w:color w:val="000000" w:themeColor="text1"/>
                <w:szCs w:val="21"/>
              </w:rPr>
              <w:t>兆</w:t>
            </w:r>
            <w:r>
              <w:rPr>
                <w:rFonts w:hint="eastAsia" w:ascii="宋体" w:hAnsi="宋体"/>
                <w:color w:val="000000" w:themeColor="text1"/>
                <w:szCs w:val="21"/>
              </w:rPr>
              <w:t>链路数（条）</w:t>
            </w:r>
          </w:p>
        </w:tc>
        <w:tc>
          <w:tcPr>
            <w:tcW w:w="3643" w:type="dxa"/>
            <w:vAlign w:val="center"/>
          </w:tcPr>
          <w:p>
            <w:pPr>
              <w:spacing w:line="300" w:lineRule="exact"/>
              <w:rPr>
                <w:rFonts w:ascii="宋体" w:hAnsi="宋体"/>
                <w:color w:val="000000" w:themeColor="text1"/>
                <w:szCs w:val="21"/>
              </w:rPr>
            </w:pPr>
            <w:r>
              <w:rPr>
                <w:rFonts w:hint="eastAsia" w:ascii="宋体" w:hAnsi="宋体"/>
                <w:color w:val="000000" w:themeColor="text1"/>
                <w:szCs w:val="21"/>
              </w:rPr>
              <w:t>百兆</w:t>
            </w:r>
            <w:r>
              <w:rPr>
                <w:rFonts w:ascii="宋体" w:hAnsi="宋体"/>
                <w:color w:val="000000" w:themeColor="text1"/>
                <w:szCs w:val="21"/>
              </w:rPr>
              <w:t>光纤</w:t>
            </w:r>
          </w:p>
        </w:tc>
        <w:tc>
          <w:tcPr>
            <w:tcW w:w="650" w:type="dxa"/>
            <w:vAlign w:val="center"/>
          </w:tcPr>
          <w:p>
            <w:pPr>
              <w:spacing w:line="300" w:lineRule="exact"/>
              <w:jc w:val="center"/>
              <w:rPr>
                <w:rFonts w:ascii="宋体" w:hAnsi="宋体"/>
                <w:color w:val="000000" w:themeColor="text1"/>
                <w:szCs w:val="21"/>
              </w:rPr>
            </w:pPr>
            <w:r>
              <w:rPr>
                <w:rFonts w:ascii="宋体" w:hAnsi="宋体"/>
                <w:color w:val="000000" w:themeColor="text1"/>
                <w:szCs w:val="21"/>
              </w:rPr>
              <w:t xml:space="preserve">999 </w:t>
            </w:r>
          </w:p>
        </w:tc>
        <w:tc>
          <w:tcPr>
            <w:tcW w:w="1693" w:type="dxa"/>
            <w:vAlign w:val="center"/>
          </w:tcPr>
          <w:p>
            <w:pPr>
              <w:spacing w:line="300" w:lineRule="exact"/>
              <w:rPr>
                <w:rFonts w:ascii="宋体" w:hAnsi="宋体"/>
                <w:color w:val="000000" w:themeColor="text1"/>
                <w:szCs w:val="21"/>
              </w:rPr>
            </w:pPr>
            <w:r>
              <w:rPr>
                <w:rFonts w:hint="eastAsia" w:ascii="宋体" w:hAnsi="宋体"/>
                <w:color w:val="000000" w:themeColor="text1"/>
                <w:szCs w:val="21"/>
              </w:rPr>
              <w:t>婺城区</w:t>
            </w:r>
            <w:r>
              <w:rPr>
                <w:rFonts w:ascii="宋体" w:hAnsi="宋体"/>
                <w:color w:val="000000" w:themeColor="text1"/>
                <w:szCs w:val="21"/>
              </w:rPr>
              <w:tab/>
            </w:r>
            <w:r>
              <w:rPr>
                <w:rFonts w:ascii="宋体" w:hAnsi="宋体"/>
                <w:color w:val="000000" w:themeColor="text1"/>
                <w:szCs w:val="21"/>
              </w:rPr>
              <w:t>230</w:t>
            </w:r>
          </w:p>
          <w:p>
            <w:pPr>
              <w:spacing w:line="300" w:lineRule="exact"/>
              <w:rPr>
                <w:rFonts w:ascii="宋体" w:hAnsi="宋体"/>
                <w:color w:val="000000" w:themeColor="text1"/>
                <w:szCs w:val="21"/>
              </w:rPr>
            </w:pPr>
            <w:r>
              <w:rPr>
                <w:rFonts w:hint="eastAsia" w:ascii="宋体" w:hAnsi="宋体"/>
                <w:color w:val="000000" w:themeColor="text1"/>
                <w:szCs w:val="21"/>
              </w:rPr>
              <w:t>开发区</w:t>
            </w:r>
            <w:r>
              <w:rPr>
                <w:rFonts w:ascii="宋体" w:hAnsi="宋体"/>
                <w:color w:val="000000" w:themeColor="text1"/>
                <w:szCs w:val="21"/>
              </w:rPr>
              <w:tab/>
            </w:r>
            <w:r>
              <w:rPr>
                <w:rFonts w:ascii="宋体" w:hAnsi="宋体"/>
                <w:color w:val="000000" w:themeColor="text1"/>
                <w:szCs w:val="21"/>
              </w:rPr>
              <w:t>65</w:t>
            </w:r>
          </w:p>
          <w:p>
            <w:pPr>
              <w:spacing w:line="300" w:lineRule="exact"/>
              <w:rPr>
                <w:rFonts w:ascii="宋体" w:hAnsi="宋体"/>
                <w:color w:val="000000" w:themeColor="text1"/>
                <w:szCs w:val="21"/>
              </w:rPr>
            </w:pPr>
            <w:r>
              <w:rPr>
                <w:rFonts w:hint="eastAsia" w:ascii="宋体" w:hAnsi="宋体"/>
                <w:color w:val="000000" w:themeColor="text1"/>
                <w:szCs w:val="21"/>
              </w:rPr>
              <w:t>金东区</w:t>
            </w:r>
            <w:r>
              <w:rPr>
                <w:rFonts w:ascii="宋体" w:hAnsi="宋体"/>
                <w:color w:val="000000" w:themeColor="text1"/>
                <w:szCs w:val="21"/>
              </w:rPr>
              <w:tab/>
            </w:r>
            <w:r>
              <w:rPr>
                <w:rFonts w:ascii="宋体" w:hAnsi="宋体"/>
                <w:color w:val="000000" w:themeColor="text1"/>
                <w:szCs w:val="21"/>
              </w:rPr>
              <w:t>70</w:t>
            </w:r>
          </w:p>
          <w:p>
            <w:pPr>
              <w:spacing w:line="300" w:lineRule="exact"/>
              <w:rPr>
                <w:rFonts w:ascii="宋体" w:hAnsi="宋体"/>
                <w:color w:val="000000" w:themeColor="text1"/>
                <w:szCs w:val="21"/>
              </w:rPr>
            </w:pPr>
            <w:r>
              <w:rPr>
                <w:rFonts w:hint="eastAsia" w:ascii="宋体" w:hAnsi="宋体"/>
                <w:color w:val="000000" w:themeColor="text1"/>
                <w:szCs w:val="21"/>
              </w:rPr>
              <w:t>金义都</w:t>
            </w:r>
            <w:r>
              <w:rPr>
                <w:rFonts w:ascii="宋体" w:hAnsi="宋体"/>
                <w:color w:val="000000" w:themeColor="text1"/>
                <w:szCs w:val="21"/>
              </w:rPr>
              <w:tab/>
            </w:r>
            <w:r>
              <w:rPr>
                <w:rFonts w:ascii="宋体" w:hAnsi="宋体"/>
                <w:color w:val="000000" w:themeColor="text1"/>
                <w:szCs w:val="21"/>
              </w:rPr>
              <w:t>27</w:t>
            </w:r>
          </w:p>
          <w:p>
            <w:pPr>
              <w:spacing w:line="300" w:lineRule="exact"/>
              <w:rPr>
                <w:rFonts w:ascii="宋体" w:hAnsi="宋体"/>
                <w:color w:val="000000" w:themeColor="text1"/>
                <w:szCs w:val="21"/>
              </w:rPr>
            </w:pPr>
            <w:r>
              <w:rPr>
                <w:rFonts w:hint="eastAsia" w:ascii="宋体" w:hAnsi="宋体"/>
                <w:color w:val="000000" w:themeColor="text1"/>
                <w:szCs w:val="21"/>
              </w:rPr>
              <w:t>兰溪</w:t>
            </w:r>
            <w:r>
              <w:rPr>
                <w:rFonts w:ascii="宋体" w:hAnsi="宋体"/>
                <w:color w:val="000000" w:themeColor="text1"/>
                <w:szCs w:val="21"/>
              </w:rPr>
              <w:tab/>
            </w:r>
            <w:r>
              <w:rPr>
                <w:rFonts w:ascii="宋体" w:hAnsi="宋体"/>
                <w:color w:val="000000" w:themeColor="text1"/>
                <w:szCs w:val="21"/>
              </w:rPr>
              <w:t>400</w:t>
            </w:r>
          </w:p>
          <w:p>
            <w:pPr>
              <w:spacing w:line="300" w:lineRule="exact"/>
              <w:rPr>
                <w:rFonts w:ascii="宋体" w:hAnsi="宋体"/>
                <w:color w:val="000000" w:themeColor="text1"/>
                <w:szCs w:val="21"/>
              </w:rPr>
            </w:pPr>
            <w:r>
              <w:rPr>
                <w:rFonts w:hint="eastAsia" w:ascii="宋体" w:hAnsi="宋体"/>
                <w:color w:val="000000" w:themeColor="text1"/>
                <w:szCs w:val="21"/>
              </w:rPr>
              <w:t>义乌</w:t>
            </w:r>
            <w:r>
              <w:rPr>
                <w:rFonts w:ascii="宋体" w:hAnsi="宋体"/>
                <w:color w:val="000000" w:themeColor="text1"/>
                <w:szCs w:val="21"/>
              </w:rPr>
              <w:tab/>
            </w:r>
            <w:r>
              <w:rPr>
                <w:rFonts w:ascii="宋体" w:hAnsi="宋体"/>
                <w:color w:val="000000" w:themeColor="text1"/>
                <w:szCs w:val="21"/>
              </w:rPr>
              <w:t>25</w:t>
            </w:r>
          </w:p>
          <w:p>
            <w:pPr>
              <w:spacing w:line="300" w:lineRule="exact"/>
              <w:rPr>
                <w:rFonts w:ascii="宋体" w:hAnsi="宋体"/>
                <w:color w:val="000000" w:themeColor="text1"/>
                <w:szCs w:val="21"/>
              </w:rPr>
            </w:pPr>
            <w:r>
              <w:rPr>
                <w:rFonts w:hint="eastAsia" w:ascii="宋体" w:hAnsi="宋体"/>
                <w:color w:val="000000" w:themeColor="text1"/>
                <w:szCs w:val="21"/>
              </w:rPr>
              <w:t>东阳</w:t>
            </w:r>
            <w:r>
              <w:rPr>
                <w:rFonts w:ascii="宋体" w:hAnsi="宋体"/>
                <w:color w:val="000000" w:themeColor="text1"/>
                <w:szCs w:val="21"/>
              </w:rPr>
              <w:tab/>
            </w:r>
            <w:r>
              <w:rPr>
                <w:rFonts w:ascii="宋体" w:hAnsi="宋体"/>
                <w:color w:val="000000" w:themeColor="text1"/>
                <w:szCs w:val="21"/>
              </w:rPr>
              <w:t>9</w:t>
            </w:r>
          </w:p>
          <w:p>
            <w:pPr>
              <w:spacing w:line="300" w:lineRule="exact"/>
              <w:rPr>
                <w:rFonts w:ascii="宋体" w:hAnsi="宋体"/>
                <w:color w:val="000000" w:themeColor="text1"/>
                <w:szCs w:val="21"/>
              </w:rPr>
            </w:pPr>
            <w:r>
              <w:rPr>
                <w:rFonts w:hint="eastAsia" w:ascii="宋体" w:hAnsi="宋体"/>
                <w:color w:val="000000" w:themeColor="text1"/>
                <w:szCs w:val="21"/>
              </w:rPr>
              <w:t>永康</w:t>
            </w:r>
            <w:r>
              <w:rPr>
                <w:rFonts w:ascii="宋体" w:hAnsi="宋体"/>
                <w:color w:val="000000" w:themeColor="text1"/>
                <w:szCs w:val="21"/>
              </w:rPr>
              <w:tab/>
            </w:r>
            <w:r>
              <w:rPr>
                <w:rFonts w:ascii="宋体" w:hAnsi="宋体"/>
                <w:color w:val="000000" w:themeColor="text1"/>
                <w:szCs w:val="21"/>
              </w:rPr>
              <w:t>1</w:t>
            </w:r>
          </w:p>
          <w:p>
            <w:pPr>
              <w:spacing w:line="300" w:lineRule="exact"/>
              <w:rPr>
                <w:rFonts w:ascii="宋体" w:hAnsi="宋体"/>
                <w:color w:val="000000" w:themeColor="text1"/>
                <w:szCs w:val="21"/>
              </w:rPr>
            </w:pPr>
            <w:r>
              <w:rPr>
                <w:rFonts w:hint="eastAsia" w:ascii="宋体" w:hAnsi="宋体"/>
                <w:color w:val="000000" w:themeColor="text1"/>
                <w:szCs w:val="21"/>
              </w:rPr>
              <w:t>浦江</w:t>
            </w:r>
            <w:r>
              <w:rPr>
                <w:rFonts w:ascii="宋体" w:hAnsi="宋体"/>
                <w:color w:val="000000" w:themeColor="text1"/>
                <w:szCs w:val="21"/>
              </w:rPr>
              <w:tab/>
            </w:r>
            <w:r>
              <w:rPr>
                <w:rFonts w:ascii="宋体" w:hAnsi="宋体"/>
                <w:color w:val="000000" w:themeColor="text1"/>
                <w:szCs w:val="21"/>
              </w:rPr>
              <w:t>162</w:t>
            </w:r>
          </w:p>
          <w:p>
            <w:pPr>
              <w:spacing w:line="300" w:lineRule="exact"/>
              <w:rPr>
                <w:rFonts w:ascii="宋体" w:hAnsi="宋体"/>
                <w:color w:val="000000" w:themeColor="text1"/>
                <w:szCs w:val="21"/>
              </w:rPr>
            </w:pPr>
            <w:r>
              <w:rPr>
                <w:rFonts w:hint="eastAsia" w:ascii="宋体" w:hAnsi="宋体"/>
                <w:color w:val="000000" w:themeColor="text1"/>
                <w:szCs w:val="21"/>
              </w:rPr>
              <w:t>磐安</w:t>
            </w:r>
            <w:r>
              <w:rPr>
                <w:rFonts w:ascii="宋体" w:hAnsi="宋体"/>
                <w:color w:val="000000" w:themeColor="text1"/>
                <w:szCs w:val="21"/>
              </w:rPr>
              <w:tab/>
            </w:r>
            <w:r>
              <w:rPr>
                <w:rFonts w:ascii="宋体" w:hAnsi="宋体"/>
                <w:color w:val="000000" w:themeColor="text1"/>
                <w:szCs w:val="21"/>
              </w:rPr>
              <w:t>10</w:t>
            </w:r>
          </w:p>
        </w:tc>
        <w:tc>
          <w:tcPr>
            <w:tcW w:w="780" w:type="dxa"/>
            <w:noWrap/>
            <w:vAlign w:val="center"/>
          </w:tcPr>
          <w:p>
            <w:pPr>
              <w:spacing w:line="300" w:lineRule="exact"/>
              <w:jc w:val="center"/>
              <w:rPr>
                <w:rFonts w:ascii="宋体" w:hAnsi="宋体"/>
                <w:color w:val="000000" w:themeColor="text1"/>
                <w:szCs w:val="21"/>
              </w:rPr>
            </w:pPr>
            <w:r>
              <w:rPr>
                <w:rFonts w:hint="eastAsia" w:ascii="宋体" w:hAnsi="宋体"/>
                <w:color w:val="000000" w:themeColor="text1"/>
                <w:szCs w:val="21"/>
              </w:rPr>
              <w:t>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914" w:type="dxa"/>
            <w:vMerge w:val="continue"/>
            <w:vAlign w:val="center"/>
          </w:tcPr>
          <w:p>
            <w:pPr>
              <w:spacing w:line="300" w:lineRule="exact"/>
              <w:rPr>
                <w:rFonts w:ascii="宋体" w:hAnsi="宋体"/>
                <w:b/>
                <w:color w:val="000000" w:themeColor="text1"/>
              </w:rPr>
            </w:pPr>
          </w:p>
        </w:tc>
        <w:tc>
          <w:tcPr>
            <w:tcW w:w="913" w:type="dxa"/>
            <w:vAlign w:val="center"/>
          </w:tcPr>
          <w:p>
            <w:pPr>
              <w:spacing w:line="300" w:lineRule="exact"/>
              <w:rPr>
                <w:rFonts w:ascii="宋体" w:hAnsi="宋体"/>
                <w:color w:val="000000" w:themeColor="text1"/>
                <w:szCs w:val="21"/>
              </w:rPr>
            </w:pPr>
            <w:bookmarkStart w:id="273" w:name="OLE_LINK1"/>
            <w:r>
              <w:rPr>
                <w:rFonts w:hint="eastAsia" w:ascii="宋体" w:hAnsi="宋体"/>
                <w:color w:val="000000" w:themeColor="text1"/>
                <w:szCs w:val="21"/>
              </w:rPr>
              <w:t>平台级联网关</w:t>
            </w:r>
            <w:bookmarkEnd w:id="273"/>
          </w:p>
        </w:tc>
        <w:tc>
          <w:tcPr>
            <w:tcW w:w="3643" w:type="dxa"/>
            <w:vAlign w:val="center"/>
          </w:tcPr>
          <w:p>
            <w:pPr>
              <w:spacing w:line="300" w:lineRule="exact"/>
              <w:rPr>
                <w:rFonts w:ascii="仿宋_GB2312"/>
                <w:color w:val="000000" w:themeColor="text1"/>
              </w:rPr>
            </w:pPr>
            <w:r>
              <w:rPr>
                <w:rFonts w:hint="eastAsia" w:ascii="仿宋_GB2312"/>
                <w:color w:val="000000" w:themeColor="text1"/>
              </w:rPr>
              <w:t>★</w:t>
            </w:r>
            <w:r>
              <w:rPr>
                <w:rFonts w:ascii="仿宋_GB2312"/>
                <w:color w:val="000000" w:themeColor="text1"/>
              </w:rPr>
              <w:t>Cpu：Intel Xeon(≥8核</w:t>
            </w:r>
            <w:r>
              <w:rPr>
                <w:rFonts w:hint="eastAsia" w:ascii="仿宋_GB2312"/>
                <w:color w:val="000000" w:themeColor="text1"/>
              </w:rPr>
              <w:t>，</w:t>
            </w:r>
            <w:r>
              <w:rPr>
                <w:rFonts w:ascii="仿宋_GB2312"/>
                <w:color w:val="000000" w:themeColor="text1"/>
              </w:rPr>
              <w:t>≥2.1GHz)×1/</w:t>
            </w:r>
          </w:p>
          <w:p>
            <w:pPr>
              <w:spacing w:line="300" w:lineRule="exact"/>
              <w:rPr>
                <w:rFonts w:ascii="仿宋_GB2312"/>
                <w:color w:val="000000" w:themeColor="text1"/>
              </w:rPr>
            </w:pPr>
            <w:r>
              <w:rPr>
                <w:rFonts w:hint="eastAsia" w:ascii="仿宋_GB2312"/>
                <w:color w:val="000000" w:themeColor="text1"/>
              </w:rPr>
              <w:t>★内存</w:t>
            </w:r>
            <w:r>
              <w:rPr>
                <w:rFonts w:ascii="仿宋_GB2312"/>
                <w:color w:val="000000" w:themeColor="text1"/>
              </w:rPr>
              <w:t>：≥16GB DDR4×2/</w:t>
            </w:r>
          </w:p>
          <w:p>
            <w:pPr>
              <w:spacing w:line="300" w:lineRule="exact"/>
              <w:rPr>
                <w:rFonts w:ascii="仿宋_GB2312"/>
                <w:color w:val="000000" w:themeColor="text1"/>
              </w:rPr>
            </w:pPr>
            <w:r>
              <w:rPr>
                <w:rFonts w:hint="eastAsia" w:ascii="仿宋_GB2312"/>
                <w:color w:val="000000" w:themeColor="text1"/>
              </w:rPr>
              <w:t>★硬盘</w:t>
            </w:r>
            <w:r>
              <w:rPr>
                <w:rFonts w:ascii="仿宋_GB2312"/>
                <w:color w:val="000000" w:themeColor="text1"/>
              </w:rPr>
              <w:t>：≥600GB SAS×2/</w:t>
            </w:r>
          </w:p>
          <w:p>
            <w:pPr>
              <w:spacing w:line="300" w:lineRule="exact"/>
              <w:rPr>
                <w:rFonts w:ascii="仿宋_GB2312"/>
                <w:color w:val="000000" w:themeColor="text1"/>
              </w:rPr>
            </w:pPr>
            <w:r>
              <w:rPr>
                <w:rFonts w:hint="eastAsia" w:ascii="仿宋_GB2312"/>
                <w:color w:val="000000" w:themeColor="text1"/>
              </w:rPr>
              <w:t>★网口</w:t>
            </w:r>
            <w:r>
              <w:rPr>
                <w:rFonts w:ascii="仿宋_GB2312"/>
                <w:color w:val="000000" w:themeColor="text1"/>
              </w:rPr>
              <w:t>：≥1GbE×4</w:t>
            </w:r>
            <w:r>
              <w:rPr>
                <w:rFonts w:hint="eastAsia" w:ascii="仿宋_GB2312"/>
                <w:color w:val="000000" w:themeColor="text1"/>
              </w:rPr>
              <w:t>（光口）</w:t>
            </w:r>
          </w:p>
          <w:p>
            <w:pPr>
              <w:spacing w:line="300" w:lineRule="exact"/>
              <w:rPr>
                <w:rFonts w:ascii="仿宋_GB2312"/>
                <w:color w:val="000000" w:themeColor="text1"/>
              </w:rPr>
            </w:pPr>
            <w:r>
              <w:rPr>
                <w:rFonts w:ascii="仿宋_GB2312"/>
                <w:color w:val="000000" w:themeColor="text1"/>
              </w:rPr>
              <w:t>2</w:t>
            </w:r>
            <w:r>
              <w:rPr>
                <w:rFonts w:hint="eastAsia" w:ascii="仿宋_GB2312"/>
                <w:color w:val="000000" w:themeColor="text1"/>
              </w:rPr>
              <w:t>个热插拔冗余电源，冗余风扇</w:t>
            </w:r>
          </w:p>
          <w:p>
            <w:pPr>
              <w:spacing w:line="300" w:lineRule="exact"/>
              <w:rPr>
                <w:rFonts w:ascii="仿宋_GB2312"/>
                <w:color w:val="000000" w:themeColor="text1"/>
              </w:rPr>
            </w:pPr>
            <w:r>
              <w:rPr>
                <w:rFonts w:hint="eastAsia" w:ascii="仿宋_GB2312"/>
                <w:color w:val="000000" w:themeColor="text1"/>
              </w:rPr>
              <w:t>工作温度</w:t>
            </w:r>
            <w:r>
              <w:rPr>
                <w:rFonts w:ascii="仿宋_GB2312"/>
                <w:color w:val="000000" w:themeColor="text1"/>
              </w:rPr>
              <w:t>:</w:t>
            </w:r>
            <w:r>
              <w:rPr>
                <w:rFonts w:hint="eastAsia" w:ascii="仿宋_GB2312"/>
                <w:color w:val="000000" w:themeColor="text1"/>
              </w:rPr>
              <w:t>支持最高</w:t>
            </w:r>
            <w:r>
              <w:rPr>
                <w:rFonts w:ascii="仿宋_GB2312"/>
                <w:color w:val="000000" w:themeColor="text1"/>
              </w:rPr>
              <w:t>5-40</w:t>
            </w:r>
            <w:r>
              <w:rPr>
                <w:rFonts w:hint="eastAsia" w:ascii="仿宋_GB2312"/>
                <w:color w:val="000000" w:themeColor="text1"/>
              </w:rPr>
              <w:t>°</w:t>
            </w:r>
            <w:r>
              <w:rPr>
                <w:rFonts w:ascii="仿宋_GB2312"/>
                <w:color w:val="000000" w:themeColor="text1"/>
              </w:rPr>
              <w:t>C</w:t>
            </w:r>
            <w:r>
              <w:rPr>
                <w:rFonts w:hint="eastAsia" w:ascii="仿宋_GB2312"/>
                <w:color w:val="000000" w:themeColor="text1"/>
              </w:rPr>
              <w:t>标准工作温度</w:t>
            </w:r>
          </w:p>
          <w:p>
            <w:pPr>
              <w:spacing w:line="300" w:lineRule="exact"/>
              <w:rPr>
                <w:rFonts w:ascii="仿宋_GB2312"/>
                <w:color w:val="000000" w:themeColor="text1"/>
              </w:rPr>
            </w:pPr>
            <w:r>
              <w:rPr>
                <w:rFonts w:hint="eastAsia" w:ascii="仿宋_GB2312"/>
                <w:color w:val="000000" w:themeColor="text1"/>
              </w:rPr>
              <w:t>网络带宽</w:t>
            </w:r>
            <w:r>
              <w:rPr>
                <w:rFonts w:ascii="仿宋_GB2312"/>
                <w:color w:val="000000" w:themeColor="text1"/>
              </w:rPr>
              <w:t>:</w:t>
            </w:r>
            <w:r>
              <w:rPr>
                <w:rFonts w:hint="eastAsia" w:ascii="仿宋_GB2312"/>
                <w:color w:val="000000" w:themeColor="text1"/>
              </w:rPr>
              <w:t>支持多种网络带宽；</w:t>
            </w:r>
          </w:p>
          <w:p>
            <w:pPr>
              <w:spacing w:line="300" w:lineRule="exact"/>
              <w:rPr>
                <w:rFonts w:ascii="仿宋_GB2312"/>
                <w:color w:val="000000" w:themeColor="text1"/>
              </w:rPr>
            </w:pPr>
            <w:r>
              <w:rPr>
                <w:rFonts w:hint="eastAsia" w:ascii="仿宋_GB2312"/>
                <w:color w:val="000000" w:themeColor="text1"/>
              </w:rPr>
              <w:t>配置≥</w:t>
            </w:r>
            <w:r>
              <w:rPr>
                <w:rFonts w:ascii="仿宋_GB2312"/>
                <w:color w:val="000000" w:themeColor="text1"/>
              </w:rPr>
              <w:t>1Gb</w:t>
            </w:r>
            <w:r>
              <w:rPr>
                <w:rFonts w:hint="eastAsia" w:ascii="仿宋_GB2312"/>
                <w:color w:val="000000" w:themeColor="text1"/>
              </w:rPr>
              <w:t>独立的远程管理控制端口；</w:t>
            </w:r>
          </w:p>
          <w:p>
            <w:pPr>
              <w:spacing w:line="300" w:lineRule="exact"/>
              <w:rPr>
                <w:rFonts w:ascii="仿宋_GB2312"/>
                <w:color w:val="000000" w:themeColor="text1"/>
              </w:rPr>
            </w:pPr>
            <w:r>
              <w:rPr>
                <w:rFonts w:hint="eastAsia" w:ascii="仿宋_GB2312"/>
                <w:color w:val="000000" w:themeColor="text1"/>
              </w:rPr>
              <w:t>阵列控制器</w:t>
            </w:r>
            <w:r>
              <w:rPr>
                <w:rFonts w:ascii="仿宋_GB2312"/>
                <w:color w:val="000000" w:themeColor="text1"/>
              </w:rPr>
              <w:t>:</w:t>
            </w:r>
            <w:r>
              <w:rPr>
                <w:rFonts w:hint="eastAsia" w:ascii="仿宋_GB2312"/>
                <w:color w:val="000000" w:themeColor="text1"/>
              </w:rPr>
              <w:t>≥</w:t>
            </w:r>
            <w:r>
              <w:rPr>
                <w:rFonts w:ascii="仿宋_GB2312"/>
                <w:color w:val="000000" w:themeColor="text1"/>
              </w:rPr>
              <w:t>1</w:t>
            </w:r>
            <w:r>
              <w:rPr>
                <w:rFonts w:hint="eastAsia" w:ascii="仿宋_GB2312"/>
                <w:color w:val="000000" w:themeColor="text1"/>
              </w:rPr>
              <w:t>个标配</w:t>
            </w:r>
            <w:r>
              <w:rPr>
                <w:rFonts w:ascii="仿宋_GB2312"/>
                <w:color w:val="000000" w:themeColor="text1"/>
              </w:rPr>
              <w:t>RAID</w:t>
            </w:r>
            <w:r>
              <w:rPr>
                <w:rFonts w:hint="eastAsia" w:ascii="仿宋_GB2312"/>
                <w:color w:val="000000" w:themeColor="text1"/>
              </w:rPr>
              <w:t>阵列卡。</w:t>
            </w:r>
          </w:p>
          <w:p>
            <w:pPr>
              <w:spacing w:line="300" w:lineRule="exact"/>
              <w:rPr>
                <w:rFonts w:ascii="仿宋_GB2312"/>
                <w:color w:val="000000" w:themeColor="text1"/>
              </w:rPr>
            </w:pPr>
            <w:r>
              <w:rPr>
                <w:rFonts w:ascii="仿宋_GB2312"/>
                <w:color w:val="000000" w:themeColor="text1"/>
              </w:rPr>
              <w:t>平台级联网关要求支持GB/T 28181-2016等联网标准协议，实现对接上级平台和接入下级平台的能力；可同时接入多个异构平台，实现转码、转发功能；支持主流监控平台接入，支持对非标数字平台实现标准改造。</w:t>
            </w:r>
          </w:p>
        </w:tc>
        <w:tc>
          <w:tcPr>
            <w:tcW w:w="650" w:type="dxa"/>
            <w:vAlign w:val="center"/>
          </w:tcPr>
          <w:p>
            <w:pPr>
              <w:spacing w:line="300" w:lineRule="exact"/>
              <w:jc w:val="center"/>
              <w:rPr>
                <w:rFonts w:ascii="宋体" w:hAnsi="宋体"/>
                <w:color w:val="000000" w:themeColor="text1"/>
                <w:szCs w:val="21"/>
              </w:rPr>
            </w:pPr>
            <w:r>
              <w:rPr>
                <w:rFonts w:hint="eastAsia" w:ascii="宋体" w:hAnsi="宋体"/>
                <w:color w:val="000000" w:themeColor="text1"/>
                <w:szCs w:val="21"/>
              </w:rPr>
              <w:t>7</w:t>
            </w:r>
          </w:p>
        </w:tc>
        <w:tc>
          <w:tcPr>
            <w:tcW w:w="1693" w:type="dxa"/>
            <w:vAlign w:val="center"/>
          </w:tcPr>
          <w:p>
            <w:pPr>
              <w:spacing w:line="300" w:lineRule="exact"/>
              <w:rPr>
                <w:rFonts w:ascii="宋体" w:hAnsi="宋体"/>
                <w:color w:val="000000" w:themeColor="text1"/>
                <w:szCs w:val="21"/>
              </w:rPr>
            </w:pPr>
            <w:r>
              <w:rPr>
                <w:rFonts w:hint="eastAsia" w:ascii="宋体" w:hAnsi="宋体"/>
                <w:color w:val="000000" w:themeColor="text1"/>
                <w:szCs w:val="21"/>
              </w:rPr>
              <w:t>婺城区</w:t>
            </w:r>
            <w:r>
              <w:rPr>
                <w:rFonts w:ascii="宋体" w:hAnsi="宋体"/>
                <w:color w:val="000000" w:themeColor="text1"/>
                <w:szCs w:val="21"/>
              </w:rPr>
              <w:tab/>
            </w:r>
            <w:r>
              <w:rPr>
                <w:rFonts w:ascii="宋体" w:hAnsi="宋体"/>
                <w:color w:val="000000" w:themeColor="text1"/>
                <w:szCs w:val="21"/>
              </w:rPr>
              <w:t>1</w:t>
            </w:r>
          </w:p>
          <w:p>
            <w:pPr>
              <w:spacing w:line="300" w:lineRule="exact"/>
              <w:rPr>
                <w:rFonts w:ascii="宋体" w:hAnsi="宋体"/>
                <w:color w:val="000000" w:themeColor="text1"/>
                <w:szCs w:val="21"/>
              </w:rPr>
            </w:pPr>
            <w:r>
              <w:rPr>
                <w:rFonts w:hint="eastAsia" w:ascii="宋体" w:hAnsi="宋体"/>
                <w:color w:val="000000" w:themeColor="text1"/>
                <w:szCs w:val="21"/>
              </w:rPr>
              <w:t>开发区</w:t>
            </w:r>
            <w:r>
              <w:rPr>
                <w:rFonts w:ascii="宋体" w:hAnsi="宋体"/>
                <w:color w:val="000000" w:themeColor="text1"/>
                <w:szCs w:val="21"/>
              </w:rPr>
              <w:tab/>
            </w:r>
            <w:r>
              <w:rPr>
                <w:rFonts w:ascii="宋体" w:hAnsi="宋体"/>
                <w:color w:val="000000" w:themeColor="text1"/>
                <w:szCs w:val="21"/>
              </w:rPr>
              <w:t>1</w:t>
            </w:r>
          </w:p>
          <w:p>
            <w:pPr>
              <w:spacing w:line="300" w:lineRule="exact"/>
              <w:rPr>
                <w:rFonts w:ascii="宋体" w:hAnsi="宋体"/>
                <w:color w:val="000000" w:themeColor="text1"/>
                <w:szCs w:val="21"/>
              </w:rPr>
            </w:pPr>
            <w:r>
              <w:rPr>
                <w:rFonts w:hint="eastAsia" w:ascii="宋体" w:hAnsi="宋体"/>
                <w:color w:val="000000" w:themeColor="text1"/>
                <w:szCs w:val="21"/>
              </w:rPr>
              <w:t>金东区</w:t>
            </w:r>
            <w:r>
              <w:rPr>
                <w:rFonts w:ascii="宋体" w:hAnsi="宋体"/>
                <w:color w:val="000000" w:themeColor="text1"/>
                <w:szCs w:val="21"/>
              </w:rPr>
              <w:tab/>
            </w:r>
            <w:r>
              <w:rPr>
                <w:rFonts w:ascii="宋体" w:hAnsi="宋体"/>
                <w:color w:val="000000" w:themeColor="text1"/>
                <w:szCs w:val="21"/>
              </w:rPr>
              <w:t>1</w:t>
            </w:r>
          </w:p>
          <w:p>
            <w:pPr>
              <w:spacing w:line="300" w:lineRule="exact"/>
              <w:rPr>
                <w:rFonts w:ascii="宋体" w:hAnsi="宋体"/>
                <w:color w:val="000000" w:themeColor="text1"/>
                <w:szCs w:val="21"/>
              </w:rPr>
            </w:pPr>
            <w:r>
              <w:rPr>
                <w:rFonts w:hint="eastAsia" w:ascii="宋体" w:hAnsi="宋体"/>
                <w:color w:val="000000" w:themeColor="text1"/>
                <w:szCs w:val="21"/>
              </w:rPr>
              <w:t>义乌</w:t>
            </w:r>
            <w:r>
              <w:rPr>
                <w:rFonts w:ascii="宋体" w:hAnsi="宋体"/>
                <w:color w:val="000000" w:themeColor="text1"/>
                <w:szCs w:val="21"/>
              </w:rPr>
              <w:tab/>
            </w:r>
            <w:r>
              <w:rPr>
                <w:rFonts w:ascii="宋体" w:hAnsi="宋体"/>
                <w:color w:val="000000" w:themeColor="text1"/>
                <w:szCs w:val="21"/>
              </w:rPr>
              <w:t>3</w:t>
            </w:r>
          </w:p>
          <w:p>
            <w:pPr>
              <w:spacing w:line="300" w:lineRule="exact"/>
              <w:rPr>
                <w:rFonts w:ascii="宋体" w:hAnsi="宋体"/>
                <w:color w:val="000000" w:themeColor="text1"/>
                <w:szCs w:val="21"/>
              </w:rPr>
            </w:pPr>
            <w:r>
              <w:rPr>
                <w:rFonts w:hint="eastAsia" w:ascii="宋体" w:hAnsi="宋体"/>
                <w:color w:val="000000" w:themeColor="text1"/>
                <w:szCs w:val="21"/>
              </w:rPr>
              <w:t>磐安</w:t>
            </w:r>
            <w:r>
              <w:rPr>
                <w:rFonts w:ascii="宋体" w:hAnsi="宋体"/>
                <w:color w:val="000000" w:themeColor="text1"/>
                <w:szCs w:val="21"/>
              </w:rPr>
              <w:tab/>
            </w:r>
            <w:r>
              <w:rPr>
                <w:rFonts w:ascii="宋体" w:hAnsi="宋体"/>
                <w:color w:val="000000" w:themeColor="text1"/>
                <w:szCs w:val="21"/>
              </w:rPr>
              <w:t>1</w:t>
            </w:r>
          </w:p>
        </w:tc>
        <w:tc>
          <w:tcPr>
            <w:tcW w:w="780" w:type="dxa"/>
            <w:noWrap/>
            <w:vAlign w:val="center"/>
          </w:tcPr>
          <w:p>
            <w:pPr>
              <w:spacing w:line="300" w:lineRule="exact"/>
              <w:jc w:val="center"/>
              <w:rPr>
                <w:rFonts w:ascii="宋体" w:hAnsi="宋体"/>
                <w:color w:val="000000" w:themeColor="text1"/>
                <w:szCs w:val="21"/>
              </w:rPr>
            </w:pPr>
            <w:r>
              <w:rPr>
                <w:rFonts w:hint="eastAsia" w:ascii="宋体" w:hAnsi="宋体"/>
                <w:color w:val="000000" w:themeColor="text1"/>
                <w:szCs w:val="21"/>
              </w:rPr>
              <w:t>台</w:t>
            </w:r>
          </w:p>
        </w:tc>
      </w:tr>
    </w:tbl>
    <w:p>
      <w:pPr>
        <w:snapToGrid w:val="0"/>
        <w:rPr>
          <w:rFonts w:ascii="宋体" w:hAnsi="宋体"/>
          <w:color w:val="000000" w:themeColor="text1"/>
        </w:rPr>
      </w:pPr>
      <w:r>
        <w:rPr>
          <w:rFonts w:ascii="宋体" w:hAnsi="宋体"/>
          <w:color w:val="000000" w:themeColor="text1"/>
        </w:rPr>
        <w:br w:type="page"/>
      </w:r>
    </w:p>
    <w:p>
      <w:pPr>
        <w:pStyle w:val="3"/>
        <w:spacing w:before="120" w:after="120"/>
        <w:ind w:firstLine="562"/>
        <w:rPr>
          <w:rFonts w:ascii="宋体" w:hAnsi="宋体"/>
          <w:b w:val="0"/>
          <w:color w:val="000000" w:themeColor="text1"/>
          <w:sz w:val="24"/>
        </w:rPr>
      </w:pPr>
      <w:bookmarkStart w:id="274" w:name="_Toc7521682"/>
      <w:bookmarkStart w:id="275" w:name="_Toc8760706"/>
      <w:r>
        <w:rPr>
          <w:rFonts w:hint="eastAsia" w:ascii="黑体" w:hAnsi="宋体"/>
          <w:bCs w:val="0"/>
          <w:color w:val="000000" w:themeColor="text1"/>
          <w:szCs w:val="30"/>
        </w:rPr>
        <w:t>二、网络系统</w:t>
      </w:r>
      <w:bookmarkEnd w:id="274"/>
      <w:bookmarkEnd w:id="275"/>
    </w:p>
    <w:p>
      <w:pPr>
        <w:pStyle w:val="4"/>
        <w:ind w:firstLine="562"/>
        <w:rPr>
          <w:color w:val="000000" w:themeColor="text1"/>
        </w:rPr>
      </w:pPr>
      <w:bookmarkStart w:id="276" w:name="_Toc8760707"/>
      <w:bookmarkStart w:id="277" w:name="_Toc7521683"/>
      <w:bookmarkStart w:id="278" w:name="_Toc532520592"/>
      <w:r>
        <w:rPr>
          <w:rFonts w:hint="eastAsia"/>
          <w:color w:val="000000" w:themeColor="text1"/>
        </w:rPr>
        <w:t>（一）</w:t>
      </w:r>
      <w:r>
        <w:rPr>
          <w:color w:val="000000" w:themeColor="text1"/>
        </w:rPr>
        <w:t>项目</w:t>
      </w:r>
      <w:r>
        <w:rPr>
          <w:rFonts w:hint="eastAsia"/>
          <w:color w:val="000000" w:themeColor="text1"/>
        </w:rPr>
        <w:t>内容</w:t>
      </w:r>
      <w:bookmarkEnd w:id="276"/>
      <w:bookmarkEnd w:id="277"/>
    </w:p>
    <w:p>
      <w:pPr>
        <w:pStyle w:val="5"/>
        <w:spacing w:before="120" w:after="120"/>
        <w:ind w:firstLine="480"/>
        <w:rPr>
          <w:color w:val="000000" w:themeColor="text1"/>
        </w:rPr>
      </w:pPr>
      <w:r>
        <w:rPr>
          <w:rFonts w:hint="eastAsia"/>
          <w:color w:val="000000" w:themeColor="text1"/>
        </w:rPr>
        <w:t>1.1</w:t>
      </w:r>
      <w:bookmarkEnd w:id="278"/>
      <w:r>
        <w:rPr>
          <w:rFonts w:hint="eastAsia"/>
          <w:color w:val="000000" w:themeColor="text1"/>
        </w:rPr>
        <w:t>网络架构设计</w:t>
      </w:r>
    </w:p>
    <w:p>
      <w:pPr>
        <w:keepNext/>
        <w:ind w:left="360" w:firstLine="480"/>
        <w:rPr>
          <w:color w:val="000000" w:themeColor="text1"/>
        </w:rPr>
      </w:pPr>
      <w:r>
        <w:rPr>
          <w:color w:val="000000" w:themeColor="text1"/>
        </w:rPr>
        <w:pict>
          <v:shape id="_x0000_i1026" o:spt="75" type="#_x0000_t75" style="height:215.3pt;width:415pt;" filled="f" o:preferrelative="t" stroked="f" coordsize="21600,21600">
            <v:path/>
            <v:fill on="f" focussize="0,0"/>
            <v:stroke on="f" joinstyle="miter"/>
            <v:imagedata r:id="rId17" o:title=""/>
            <o:lock v:ext="edit" aspectratio="t"/>
            <w10:wrap type="none"/>
            <w10:anchorlock/>
          </v:shape>
        </w:pict>
      </w:r>
    </w:p>
    <w:p>
      <w:pPr>
        <w:snapToGrid w:val="0"/>
        <w:ind w:firstLine="480"/>
        <w:jc w:val="center"/>
        <w:rPr>
          <w:rFonts w:ascii="宋体" w:hAnsi="宋体"/>
          <w:color w:val="000000" w:themeColor="text1"/>
        </w:rPr>
      </w:pPr>
      <w:r>
        <w:rPr>
          <w:rFonts w:ascii="宋体" w:hAnsi="宋体"/>
          <w:color w:val="000000" w:themeColor="text1"/>
        </w:rPr>
        <w:t>图</w:t>
      </w:r>
      <w:r>
        <w:rPr>
          <w:rFonts w:hint="eastAsia" w:ascii="宋体" w:hAnsi="宋体"/>
          <w:color w:val="000000" w:themeColor="text1"/>
        </w:rPr>
        <w:t xml:space="preserve">1   </w:t>
      </w:r>
      <w:r>
        <w:rPr>
          <w:rFonts w:ascii="宋体" w:hAnsi="宋体"/>
          <w:color w:val="000000" w:themeColor="text1"/>
        </w:rPr>
        <w:t>公安视频专网目标拓扑图</w:t>
      </w:r>
    </w:p>
    <w:p>
      <w:pPr>
        <w:ind w:firstLine="480"/>
        <w:rPr>
          <w:color w:val="000000" w:themeColor="text1"/>
        </w:rPr>
      </w:pPr>
      <w:r>
        <w:rPr>
          <w:color w:val="000000" w:themeColor="text1"/>
        </w:rPr>
        <w:t>本方案维持各县（市、区）和市本级公安视频专网四级网架构不变，搭建公安视频专网各县（市、区）到市本级的专用链路，同时</w:t>
      </w:r>
      <w:r>
        <w:rPr>
          <w:rFonts w:hint="eastAsia"/>
          <w:color w:val="000000" w:themeColor="text1"/>
        </w:rPr>
        <w:t>根据各县（市、区）视频专网现状和交换机的高可靠性分析，市本级新增2台视频专网专用的核心交换机并进行虚拟化配置，</w:t>
      </w:r>
      <w:r>
        <w:rPr>
          <w:color w:val="000000" w:themeColor="text1"/>
        </w:rPr>
        <w:t>各县（市、区）新增</w:t>
      </w:r>
      <w:r>
        <w:rPr>
          <w:rFonts w:hint="eastAsia"/>
          <w:color w:val="000000" w:themeColor="text1"/>
        </w:rPr>
        <w:t>1台</w:t>
      </w:r>
      <w:r>
        <w:rPr>
          <w:color w:val="000000" w:themeColor="text1"/>
        </w:rPr>
        <w:t>公安视频专网专用的核心交换机</w:t>
      </w:r>
      <w:r>
        <w:rPr>
          <w:rFonts w:hint="eastAsia"/>
          <w:color w:val="000000" w:themeColor="text1"/>
        </w:rPr>
        <w:t>。为保证各县（市、区）视频专网上行链路的可靠性，</w:t>
      </w:r>
      <w:r>
        <w:rPr>
          <w:color w:val="000000" w:themeColor="text1"/>
        </w:rPr>
        <w:t>市本级以及各县（市、区）核心设备通过双运营商上</w:t>
      </w:r>
      <w:r>
        <w:rPr>
          <w:rFonts w:hint="eastAsia"/>
          <w:color w:val="000000" w:themeColor="text1"/>
        </w:rPr>
        <w:t>联</w:t>
      </w:r>
      <w:r>
        <w:rPr>
          <w:color w:val="000000" w:themeColor="text1"/>
        </w:rPr>
        <w:t>公安视频专网核心交换机。</w:t>
      </w:r>
    </w:p>
    <w:p>
      <w:pPr>
        <w:keepNext/>
        <w:ind w:left="360" w:firstLine="480"/>
        <w:jc w:val="center"/>
        <w:rPr>
          <w:color w:val="000000" w:themeColor="text1"/>
        </w:rPr>
      </w:pPr>
      <w:r>
        <w:rPr>
          <w:color w:val="000000" w:themeColor="text1"/>
        </w:rPr>
        <w:object>
          <v:shape id="_x0000_i1027" o:spt="75" type="#_x0000_t75" style="height:138.55pt;width:158.25pt;" o:ole="t" filled="f" o:preferrelative="t" stroked="f" coordsize="21600,21600">
            <v:path/>
            <v:fill on="f" focussize="0,0"/>
            <v:stroke on="f" joinstyle="miter"/>
            <v:imagedata r:id="rId19" o:title=""/>
            <o:lock v:ext="edit" aspectratio="t"/>
            <w10:wrap type="none"/>
            <w10:anchorlock/>
          </v:shape>
          <o:OLEObject Type="Embed" ProgID="Visio.Drawing.11" ShapeID="_x0000_i1027" DrawAspect="Content" ObjectID="_1468075725" r:id="rId18">
            <o:LockedField>false</o:LockedField>
          </o:OLEObject>
        </w:object>
      </w:r>
    </w:p>
    <w:p>
      <w:pPr>
        <w:snapToGrid w:val="0"/>
        <w:ind w:firstLine="480"/>
        <w:jc w:val="center"/>
        <w:rPr>
          <w:rFonts w:ascii="宋体" w:hAnsi="宋体"/>
          <w:color w:val="000000" w:themeColor="text1"/>
        </w:rPr>
      </w:pPr>
      <w:r>
        <w:rPr>
          <w:rFonts w:ascii="宋体" w:hAnsi="宋体"/>
          <w:color w:val="000000" w:themeColor="text1"/>
        </w:rPr>
        <w:t>图</w:t>
      </w:r>
      <w:r>
        <w:rPr>
          <w:rFonts w:ascii="宋体" w:hAnsi="宋体"/>
          <w:color w:val="000000" w:themeColor="text1"/>
        </w:rPr>
        <w:fldChar w:fldCharType="begin"/>
      </w:r>
      <w:r>
        <w:rPr>
          <w:rFonts w:ascii="宋体" w:hAnsi="宋体"/>
          <w:color w:val="000000" w:themeColor="text1"/>
        </w:rPr>
        <w:instrText xml:space="preserve"> SEQ 图 \* ARABIC \s 2 </w:instrText>
      </w:r>
      <w:r>
        <w:rPr>
          <w:rFonts w:ascii="宋体" w:hAnsi="宋体"/>
          <w:color w:val="000000" w:themeColor="text1"/>
        </w:rPr>
        <w:fldChar w:fldCharType="separate"/>
      </w:r>
      <w:r>
        <w:rPr>
          <w:rFonts w:ascii="宋体" w:hAnsi="宋体"/>
          <w:color w:val="000000" w:themeColor="text1"/>
        </w:rPr>
        <w:t>1</w:t>
      </w:r>
      <w:r>
        <w:rPr>
          <w:rFonts w:ascii="宋体" w:hAnsi="宋体"/>
          <w:color w:val="000000" w:themeColor="text1"/>
        </w:rPr>
        <w:fldChar w:fldCharType="end"/>
      </w:r>
      <w:r>
        <w:rPr>
          <w:rFonts w:hint="eastAsia" w:ascii="宋体" w:hAnsi="宋体"/>
          <w:color w:val="000000" w:themeColor="text1"/>
        </w:rPr>
        <w:t xml:space="preserve">  市县两级互联</w:t>
      </w:r>
      <w:r>
        <w:rPr>
          <w:rFonts w:ascii="宋体" w:hAnsi="宋体"/>
          <w:color w:val="000000" w:themeColor="text1"/>
        </w:rPr>
        <w:t>拓扑图</w:t>
      </w:r>
    </w:p>
    <w:p>
      <w:pPr>
        <w:ind w:firstLine="480"/>
        <w:rPr>
          <w:color w:val="000000" w:themeColor="text1"/>
        </w:rPr>
      </w:pPr>
      <w:r>
        <w:rPr>
          <w:color w:val="000000" w:themeColor="text1"/>
        </w:rPr>
        <w:t>根据各县（市、区）需求和调研情况，市本级新增1台公安汇聚交换机，兰溪公安、义乌公安</w:t>
      </w:r>
      <w:r>
        <w:rPr>
          <w:rFonts w:hint="eastAsia"/>
          <w:color w:val="000000" w:themeColor="text1"/>
        </w:rPr>
        <w:t>、</w:t>
      </w:r>
      <w:r>
        <w:rPr>
          <w:color w:val="000000" w:themeColor="text1"/>
        </w:rPr>
        <w:t>东阳公安、永康交警、武义公安和</w:t>
      </w:r>
      <w:r>
        <w:rPr>
          <w:rFonts w:hint="eastAsia"/>
          <w:color w:val="000000" w:themeColor="text1"/>
        </w:rPr>
        <w:t>武义</w:t>
      </w:r>
      <w:r>
        <w:rPr>
          <w:color w:val="000000" w:themeColor="text1"/>
        </w:rPr>
        <w:t>交警以及浦江公安这些公安视频专网汇聚交换机存在使用时间过长的情况，考虑在本次项目中替换，磐安公安需要新增一台公安视频专网汇聚交换机，与原先的汇聚交换机做主备，新增和替换的汇聚交换机共</w:t>
      </w:r>
      <w:r>
        <w:rPr>
          <w:rFonts w:hint="eastAsia"/>
          <w:color w:val="000000" w:themeColor="text1"/>
        </w:rPr>
        <w:t>8</w:t>
      </w:r>
      <w:r>
        <w:rPr>
          <w:color w:val="000000" w:themeColor="text1"/>
        </w:rPr>
        <w:t>台。此外，解析中心需要新增2台核心交换机并进行虚拟化配置。</w:t>
      </w:r>
    </w:p>
    <w:p>
      <w:pPr>
        <w:pStyle w:val="5"/>
        <w:spacing w:before="120" w:after="120"/>
        <w:ind w:firstLine="480"/>
        <w:rPr>
          <w:color w:val="000000" w:themeColor="text1"/>
        </w:rPr>
      </w:pPr>
      <w:r>
        <w:rPr>
          <w:rFonts w:hint="eastAsia"/>
          <w:color w:val="000000" w:themeColor="text1"/>
        </w:rPr>
        <w:t>1.2</w:t>
      </w:r>
      <w:r>
        <w:rPr>
          <w:color w:val="000000" w:themeColor="text1"/>
        </w:rPr>
        <w:t>链路设计</w:t>
      </w:r>
    </w:p>
    <w:p>
      <w:pPr>
        <w:ind w:firstLine="480"/>
        <w:rPr>
          <w:color w:val="000000" w:themeColor="text1"/>
        </w:rPr>
      </w:pPr>
      <w:r>
        <w:rPr>
          <w:color w:val="000000" w:themeColor="text1"/>
        </w:rPr>
        <w:t>根据流量测算的结果，可得出如下结论：市县之间的链路带宽需求为2*10GE，市级核心设备与解析中心之间的带宽需求为2*40GE。</w:t>
      </w:r>
    </w:p>
    <w:p>
      <w:pPr>
        <w:ind w:firstLine="480"/>
        <w:rPr>
          <w:color w:val="000000" w:themeColor="text1"/>
        </w:rPr>
      </w:pPr>
      <w:r>
        <w:rPr>
          <w:color w:val="000000" w:themeColor="text1"/>
        </w:rPr>
        <w:t>为了保证链路的冗余和可靠，各县（市、区）核心设备需要分别通</w:t>
      </w:r>
      <w:r>
        <w:rPr>
          <w:rFonts w:hint="eastAsia"/>
          <w:color w:val="000000" w:themeColor="text1"/>
        </w:rPr>
        <w:t>过</w:t>
      </w:r>
      <w:r>
        <w:rPr>
          <w:color w:val="000000" w:themeColor="text1"/>
        </w:rPr>
        <w:t>双运营商链路上连至市级公安视频专网核心设备。</w:t>
      </w:r>
    </w:p>
    <w:p>
      <w:pPr>
        <w:pStyle w:val="5"/>
        <w:spacing w:before="120" w:after="120"/>
        <w:ind w:firstLine="480"/>
        <w:rPr>
          <w:color w:val="000000" w:themeColor="text1"/>
        </w:rPr>
      </w:pPr>
      <w:r>
        <w:rPr>
          <w:rFonts w:hint="eastAsia"/>
          <w:color w:val="000000" w:themeColor="text1"/>
        </w:rPr>
        <w:t>1.3</w:t>
      </w:r>
      <w:r>
        <w:rPr>
          <w:color w:val="000000" w:themeColor="text1"/>
        </w:rPr>
        <w:t>技术路线</w:t>
      </w:r>
    </w:p>
    <w:p>
      <w:pPr>
        <w:ind w:firstLine="480"/>
        <w:rPr>
          <w:color w:val="000000" w:themeColor="text1"/>
        </w:rPr>
      </w:pPr>
      <w:r>
        <w:rPr>
          <w:color w:val="000000" w:themeColor="text1"/>
        </w:rPr>
        <w:t>（1）县市</w:t>
      </w:r>
      <w:r>
        <w:rPr>
          <w:rFonts w:hint="eastAsia"/>
          <w:color w:val="000000" w:themeColor="text1"/>
        </w:rPr>
        <w:t>核心</w:t>
      </w:r>
      <w:r>
        <w:rPr>
          <w:color w:val="000000" w:themeColor="text1"/>
        </w:rPr>
        <w:t>设备选择</w:t>
      </w:r>
    </w:p>
    <w:p>
      <w:pPr>
        <w:ind w:firstLine="480"/>
        <w:rPr>
          <w:color w:val="000000" w:themeColor="text1"/>
        </w:rPr>
      </w:pPr>
      <w:r>
        <w:rPr>
          <w:color w:val="000000" w:themeColor="text1"/>
        </w:rPr>
        <w:t>县市核心设备有路由器和交换机两种选择。路由器主要用于层次复杂的网络，它能在多网络互联环境中，建立灵活的连接，可用完全不同的数据分组和介质访问方法连接各种子网，功能比交换机更强大。交换机用于简单的数据交换，不具有路由器那样丰富的功能，但价格较路由器便宜。</w:t>
      </w:r>
    </w:p>
    <w:p>
      <w:pPr>
        <w:ind w:firstLine="480"/>
        <w:rPr>
          <w:color w:val="000000" w:themeColor="text1"/>
        </w:rPr>
      </w:pPr>
      <w:r>
        <w:rPr>
          <w:color w:val="000000" w:themeColor="text1"/>
        </w:rPr>
        <w:t>在公安视频专网中，业务需求只有数据的转发，因此建议市县级</w:t>
      </w:r>
      <w:r>
        <w:rPr>
          <w:rFonts w:hint="eastAsia"/>
          <w:color w:val="000000" w:themeColor="text1"/>
        </w:rPr>
        <w:t>核心</w:t>
      </w:r>
      <w:r>
        <w:rPr>
          <w:color w:val="000000" w:themeColor="text1"/>
        </w:rPr>
        <w:t>设备选择交换机较为合适。</w:t>
      </w:r>
    </w:p>
    <w:p>
      <w:pPr>
        <w:ind w:firstLine="480"/>
        <w:rPr>
          <w:color w:val="000000" w:themeColor="text1"/>
        </w:rPr>
      </w:pPr>
      <w:r>
        <w:rPr>
          <w:color w:val="000000" w:themeColor="text1"/>
        </w:rPr>
        <w:t>（2）虚拟化技术和主备方案</w:t>
      </w:r>
    </w:p>
    <w:p>
      <w:pPr>
        <w:ind w:firstLine="480"/>
        <w:rPr>
          <w:color w:val="000000" w:themeColor="text1"/>
        </w:rPr>
      </w:pPr>
      <w:r>
        <w:rPr>
          <w:color w:val="000000" w:themeColor="text1"/>
        </w:rPr>
        <w:t>虚拟化：核心设备虚拟化将多台设备虚拟成一台，提供设备冗余，所有流量在多台虚拟化设备上完全实现负载均衡。</w:t>
      </w:r>
    </w:p>
    <w:p>
      <w:pPr>
        <w:ind w:firstLine="480"/>
        <w:rPr>
          <w:color w:val="000000" w:themeColor="text1"/>
        </w:rPr>
      </w:pPr>
      <w:r>
        <w:rPr>
          <w:color w:val="000000" w:themeColor="text1"/>
        </w:rPr>
        <w:t>主备方式：核心设备主备方式可以实现不同流量选择不同的主设备和备份设备，可实现不同核心转发不同类型的数据流量实现主备。</w:t>
      </w:r>
    </w:p>
    <w:p>
      <w:pPr>
        <w:ind w:firstLine="480"/>
        <w:rPr>
          <w:color w:val="000000" w:themeColor="text1"/>
        </w:rPr>
      </w:pPr>
      <w:r>
        <w:rPr>
          <w:color w:val="000000" w:themeColor="text1"/>
        </w:rPr>
        <w:t>在公安视频专网中，市本级公安视频专网核心设备由于流量较大，采用虚拟化方式进行负载均衡较为合适。</w:t>
      </w:r>
    </w:p>
    <w:p>
      <w:pPr>
        <w:pStyle w:val="5"/>
        <w:spacing w:before="120" w:after="120"/>
        <w:ind w:firstLine="480"/>
        <w:rPr>
          <w:color w:val="000000" w:themeColor="text1"/>
        </w:rPr>
      </w:pPr>
      <w:r>
        <w:rPr>
          <w:rFonts w:hint="eastAsia"/>
          <w:color w:val="000000" w:themeColor="text1"/>
        </w:rPr>
        <w:t>1.4</w:t>
      </w:r>
      <w:r>
        <w:rPr>
          <w:color w:val="000000" w:themeColor="text1"/>
        </w:rPr>
        <w:t>市县两级</w:t>
      </w:r>
      <w:r>
        <w:rPr>
          <w:rFonts w:hint="eastAsia"/>
          <w:color w:val="000000" w:themeColor="text1"/>
        </w:rPr>
        <w:t>设计</w:t>
      </w:r>
    </w:p>
    <w:p>
      <w:pPr>
        <w:pStyle w:val="6"/>
        <w:spacing w:before="120" w:after="120"/>
        <w:ind w:firstLine="480"/>
        <w:rPr>
          <w:color w:val="000000" w:themeColor="text1"/>
        </w:rPr>
      </w:pPr>
      <w:r>
        <w:rPr>
          <w:rFonts w:hint="eastAsia"/>
          <w:color w:val="000000" w:themeColor="text1"/>
        </w:rPr>
        <w:t>1.4.1</w:t>
      </w:r>
      <w:r>
        <w:rPr>
          <w:color w:val="000000" w:themeColor="text1"/>
        </w:rPr>
        <w:t>市级网络</w:t>
      </w:r>
      <w:r>
        <w:rPr>
          <w:rFonts w:hint="eastAsia"/>
          <w:color w:val="000000" w:themeColor="text1"/>
        </w:rPr>
        <w:t>设计</w:t>
      </w:r>
    </w:p>
    <w:p>
      <w:pPr>
        <w:ind w:firstLine="480"/>
        <w:rPr>
          <w:color w:val="000000" w:themeColor="text1"/>
        </w:rPr>
      </w:pPr>
      <w:r>
        <w:rPr>
          <w:rFonts w:hint="eastAsia"/>
          <w:color w:val="000000" w:themeColor="text1"/>
        </w:rPr>
        <w:t>1、</w:t>
      </w:r>
      <w:r>
        <w:rPr>
          <w:color w:val="000000" w:themeColor="text1"/>
        </w:rPr>
        <w:t>本次项目公安视频专网</w:t>
      </w:r>
      <w:r>
        <w:rPr>
          <w:rFonts w:hint="eastAsia"/>
          <w:color w:val="000000" w:themeColor="text1"/>
        </w:rPr>
        <w:t>需要</w:t>
      </w:r>
      <w:r>
        <w:rPr>
          <w:color w:val="000000" w:themeColor="text1"/>
        </w:rPr>
        <w:t>新增两台新的核心设备。</w:t>
      </w:r>
    </w:p>
    <w:p>
      <w:pPr>
        <w:ind w:firstLine="480"/>
        <w:rPr>
          <w:color w:val="000000" w:themeColor="text1"/>
        </w:rPr>
      </w:pPr>
      <w:r>
        <w:rPr>
          <w:rFonts w:hint="eastAsia"/>
          <w:color w:val="000000" w:themeColor="text1"/>
        </w:rPr>
        <w:t>2、</w:t>
      </w:r>
      <w:r>
        <w:rPr>
          <w:color w:val="000000" w:themeColor="text1"/>
        </w:rPr>
        <w:t>市局大楼内还需购买1台汇聚交换机进行替换使用时间过长的华为9306交换机，用于大楼内公安视频专网服务器接入</w:t>
      </w:r>
    </w:p>
    <w:p>
      <w:pPr>
        <w:pStyle w:val="6"/>
        <w:spacing w:before="120" w:after="120"/>
        <w:ind w:firstLine="480"/>
        <w:rPr>
          <w:color w:val="000000" w:themeColor="text1"/>
        </w:rPr>
      </w:pPr>
      <w:r>
        <w:rPr>
          <w:rFonts w:hint="eastAsia"/>
          <w:color w:val="000000" w:themeColor="text1"/>
        </w:rPr>
        <w:t>1.4.2</w:t>
      </w:r>
      <w:r>
        <w:rPr>
          <w:color w:val="000000" w:themeColor="text1"/>
        </w:rPr>
        <w:t>县级网络</w:t>
      </w:r>
      <w:r>
        <w:rPr>
          <w:rFonts w:hint="eastAsia"/>
          <w:color w:val="000000" w:themeColor="text1"/>
        </w:rPr>
        <w:t>设计</w:t>
      </w:r>
    </w:p>
    <w:p>
      <w:pPr>
        <w:ind w:firstLine="480"/>
        <w:rPr>
          <w:color w:val="000000" w:themeColor="text1"/>
        </w:rPr>
      </w:pPr>
      <w:r>
        <w:rPr>
          <w:rFonts w:hint="eastAsia"/>
          <w:color w:val="000000" w:themeColor="text1"/>
        </w:rPr>
        <w:t>1、县（市、区）视频专网核心交换机</w:t>
      </w:r>
    </w:p>
    <w:p>
      <w:pPr>
        <w:ind w:firstLine="480"/>
        <w:rPr>
          <w:color w:val="000000" w:themeColor="text1"/>
        </w:rPr>
      </w:pPr>
      <w:r>
        <w:rPr>
          <w:color w:val="000000" w:themeColor="text1"/>
        </w:rPr>
        <w:t>本项目金华下属7个市县公安视频专网规划独立新增新的核心交换机连接市本级核心设备，共7台</w:t>
      </w:r>
      <w:r>
        <w:rPr>
          <w:rFonts w:hint="eastAsia"/>
          <w:color w:val="000000" w:themeColor="text1"/>
        </w:rPr>
        <w:t>，</w:t>
      </w:r>
      <w:r>
        <w:rPr>
          <w:color w:val="000000" w:themeColor="text1"/>
        </w:rPr>
        <w:t>另新增1台</w:t>
      </w:r>
      <w:r>
        <w:rPr>
          <w:rFonts w:hint="eastAsia"/>
          <w:color w:val="000000" w:themeColor="text1"/>
        </w:rPr>
        <w:t>冷</w:t>
      </w:r>
      <w:r>
        <w:rPr>
          <w:color w:val="000000" w:themeColor="text1"/>
        </w:rPr>
        <w:t>备</w:t>
      </w:r>
      <w:r>
        <w:rPr>
          <w:rFonts w:hint="eastAsia"/>
          <w:color w:val="000000" w:themeColor="text1"/>
        </w:rPr>
        <w:t>。</w:t>
      </w:r>
    </w:p>
    <w:p>
      <w:pPr>
        <w:ind w:firstLine="480"/>
        <w:rPr>
          <w:color w:val="000000" w:themeColor="text1"/>
        </w:rPr>
      </w:pPr>
      <w:r>
        <w:rPr>
          <w:rFonts w:hint="eastAsia"/>
          <w:color w:val="000000" w:themeColor="text1"/>
        </w:rPr>
        <w:t>2、县（市、区）视频专网汇聚交换机</w:t>
      </w:r>
    </w:p>
    <w:p>
      <w:pPr>
        <w:ind w:firstLine="480"/>
        <w:rPr>
          <w:color w:val="000000" w:themeColor="text1"/>
        </w:rPr>
      </w:pPr>
      <w:r>
        <w:rPr>
          <w:rFonts w:hint="eastAsia"/>
          <w:color w:val="000000" w:themeColor="text1"/>
        </w:rPr>
        <w:t>1）义乌公安、兰溪公安、永康交警、武义公安、武义交警、浦江公安、</w:t>
      </w:r>
      <w:r>
        <w:rPr>
          <w:color w:val="000000" w:themeColor="text1"/>
        </w:rPr>
        <w:t>东阳公安汇聚设备存在使用时间过长的情况，本项目考虑替换，共7台</w:t>
      </w:r>
    </w:p>
    <w:p>
      <w:pPr>
        <w:ind w:firstLine="480"/>
        <w:rPr>
          <w:color w:val="000000" w:themeColor="text1"/>
        </w:rPr>
      </w:pPr>
      <w:r>
        <w:rPr>
          <w:rFonts w:hint="eastAsia"/>
          <w:color w:val="000000" w:themeColor="text1"/>
        </w:rPr>
        <w:t>2）</w:t>
      </w:r>
      <w:r>
        <w:rPr>
          <w:color w:val="000000" w:themeColor="text1"/>
        </w:rPr>
        <w:t>磐安</w:t>
      </w:r>
      <w:r>
        <w:rPr>
          <w:rFonts w:hint="eastAsia"/>
          <w:color w:val="000000" w:themeColor="text1"/>
        </w:rPr>
        <w:t>公安</w:t>
      </w:r>
      <w:r>
        <w:rPr>
          <w:color w:val="000000" w:themeColor="text1"/>
        </w:rPr>
        <w:t>需要新增</w:t>
      </w:r>
      <w:r>
        <w:rPr>
          <w:rFonts w:hint="eastAsia"/>
          <w:color w:val="000000" w:themeColor="text1"/>
        </w:rPr>
        <w:t>1</w:t>
      </w:r>
      <w:r>
        <w:rPr>
          <w:color w:val="000000" w:themeColor="text1"/>
        </w:rPr>
        <w:t>台汇聚交换机</w:t>
      </w:r>
    </w:p>
    <w:p>
      <w:pPr>
        <w:ind w:firstLine="480"/>
        <w:rPr>
          <w:color w:val="000000" w:themeColor="text1"/>
        </w:rPr>
      </w:pPr>
      <w:r>
        <w:rPr>
          <w:rFonts w:hint="eastAsia"/>
          <w:color w:val="000000" w:themeColor="text1"/>
        </w:rPr>
        <w:t>3、解析中心核心交换机</w:t>
      </w:r>
    </w:p>
    <w:p>
      <w:pPr>
        <w:ind w:firstLine="480"/>
        <w:rPr>
          <w:color w:val="000000" w:themeColor="text1"/>
        </w:rPr>
      </w:pPr>
      <w:r>
        <w:rPr>
          <w:color w:val="000000" w:themeColor="text1"/>
        </w:rPr>
        <w:t>解析中心需新增</w:t>
      </w:r>
      <w:r>
        <w:rPr>
          <w:rFonts w:hint="eastAsia"/>
          <w:color w:val="000000" w:themeColor="text1"/>
        </w:rPr>
        <w:t>2</w:t>
      </w:r>
      <w:r>
        <w:rPr>
          <w:color w:val="000000" w:themeColor="text1"/>
        </w:rPr>
        <w:t>台核心交换机</w:t>
      </w:r>
    </w:p>
    <w:p>
      <w:pPr>
        <w:pStyle w:val="5"/>
        <w:spacing w:before="120" w:after="120"/>
        <w:ind w:firstLine="480"/>
        <w:rPr>
          <w:color w:val="000000" w:themeColor="text1"/>
        </w:rPr>
      </w:pPr>
      <w:r>
        <w:rPr>
          <w:rFonts w:hint="eastAsia"/>
          <w:color w:val="000000" w:themeColor="text1"/>
        </w:rPr>
        <w:t>1.5</w:t>
      </w:r>
      <w:r>
        <w:rPr>
          <w:color w:val="000000" w:themeColor="text1"/>
        </w:rPr>
        <w:t>解析中心组网设计</w:t>
      </w:r>
    </w:p>
    <w:p>
      <w:pPr>
        <w:pStyle w:val="6"/>
        <w:spacing w:before="120" w:after="120"/>
        <w:ind w:firstLine="480"/>
        <w:rPr>
          <w:color w:val="000000" w:themeColor="text1"/>
        </w:rPr>
      </w:pPr>
      <w:r>
        <w:rPr>
          <w:rFonts w:hint="eastAsia"/>
          <w:color w:val="000000" w:themeColor="text1"/>
        </w:rPr>
        <w:t>1.5.1</w:t>
      </w:r>
      <w:r>
        <w:rPr>
          <w:color w:val="000000" w:themeColor="text1"/>
        </w:rPr>
        <w:t>网络设计原则</w:t>
      </w:r>
    </w:p>
    <w:p>
      <w:pPr>
        <w:ind w:firstLine="480"/>
        <w:rPr>
          <w:color w:val="000000" w:themeColor="text1"/>
        </w:rPr>
      </w:pPr>
      <w:r>
        <w:rPr>
          <w:color w:val="000000" w:themeColor="text1"/>
        </w:rPr>
        <w:t>考虑到解析中心的高安全性、高扩展</w:t>
      </w:r>
      <w:r>
        <w:rPr>
          <w:rFonts w:hint="eastAsia"/>
          <w:color w:val="000000" w:themeColor="text1"/>
        </w:rPr>
        <w:t>性</w:t>
      </w:r>
      <w:r>
        <w:rPr>
          <w:color w:val="000000" w:themeColor="text1"/>
        </w:rPr>
        <w:t>和可管理性的业务需求，遵循“分区+分层+分平面+安全”的设计理念，实现网络层次更加清楚、功能更加明确，提高承载业务系统的可扩展性、安全性和可管理</w:t>
      </w:r>
      <w:r>
        <w:rPr>
          <w:rFonts w:hint="eastAsia"/>
          <w:color w:val="000000" w:themeColor="text1"/>
        </w:rPr>
        <w:t>性</w:t>
      </w:r>
      <w:r>
        <w:rPr>
          <w:color w:val="000000" w:themeColor="text1"/>
        </w:rPr>
        <w:t>。</w:t>
      </w:r>
    </w:p>
    <w:p>
      <w:pPr>
        <w:ind w:firstLine="480"/>
        <w:rPr>
          <w:color w:val="000000" w:themeColor="text1"/>
        </w:rPr>
      </w:pPr>
      <w:r>
        <w:rPr>
          <w:color w:val="000000" w:themeColor="text1"/>
        </w:rPr>
        <w:t>第一，结构化：结构化设计便于上层协议的部署和网络的管理，提高网络的收敛速度，实现高可靠。解析中心网络结构化设计体现在适当的冗余性和网络的对称性两个方面，一般采用双节点双归属的架构实现网络结构的冗余和对称，可以使得网络设备的配置简化、拓扑直观，也有助于协议设计分析。</w:t>
      </w:r>
    </w:p>
    <w:p>
      <w:pPr>
        <w:ind w:firstLine="480"/>
        <w:rPr>
          <w:color w:val="000000" w:themeColor="text1"/>
        </w:rPr>
      </w:pPr>
      <w:r>
        <w:rPr>
          <w:color w:val="000000" w:themeColor="text1"/>
        </w:rPr>
        <w:t>第二，模块化：模块化的设计方法，将解析中心划分为不同的功能区域，核心区用于承接各区域之间的数据交换，是解析中心的核心枢纽，各接入区用于不同类应用的分类接入。服务器根据应用功能、用户访问特性、安全等级等要求部署多个区域，使整个解析中心的架构具备伸缩性和灵活性，同时也便于安全域的划分和安全防护的设计实施。</w:t>
      </w:r>
    </w:p>
    <w:p>
      <w:pPr>
        <w:ind w:firstLine="480"/>
        <w:rPr>
          <w:color w:val="000000" w:themeColor="text1"/>
        </w:rPr>
      </w:pPr>
      <w:r>
        <w:rPr>
          <w:color w:val="000000" w:themeColor="text1"/>
        </w:rPr>
        <w:t>第三，层次化：随着接入交换机性能和密度的提升，以及服务器虚拟化的广泛使用，网络结构设计可采取两层扁平结构，分为核心层和接入层。通过分层部署可以使网络具有很好的扩展性，无需干扰其它区域就能根据需要增加接入容量，提升网络的可用性，隔离故障域，降低故障对网络的影响范围，简化网络的管理。</w:t>
      </w:r>
    </w:p>
    <w:p>
      <w:pPr>
        <w:ind w:firstLine="480"/>
        <w:rPr>
          <w:color w:val="000000" w:themeColor="text1"/>
        </w:rPr>
      </w:pPr>
      <w:r>
        <w:rPr>
          <w:color w:val="000000" w:themeColor="text1"/>
        </w:rPr>
        <w:t>组网拓扑图</w:t>
      </w:r>
    </w:p>
    <w:p>
      <w:pPr>
        <w:ind w:firstLine="480"/>
        <w:rPr>
          <w:color w:val="000000" w:themeColor="text1"/>
        </w:rPr>
      </w:pPr>
      <w:r>
        <w:rPr>
          <w:rFonts w:hint="eastAsia"/>
          <w:color w:val="000000" w:themeColor="text1"/>
        </w:rPr>
        <w:t>1、</w:t>
      </w:r>
      <w:r>
        <w:rPr>
          <w:color w:val="000000" w:themeColor="text1"/>
        </w:rPr>
        <w:t>网络总体逻辑架构如下图所示：</w:t>
      </w:r>
    </w:p>
    <w:p>
      <w:pPr>
        <w:keepNext/>
        <w:ind w:firstLine="210" w:firstLineChars="100"/>
        <w:jc w:val="center"/>
        <w:rPr>
          <w:color w:val="000000" w:themeColor="text1"/>
        </w:rPr>
      </w:pPr>
      <w:r>
        <w:rPr>
          <w:color w:val="000000" w:themeColor="text1"/>
        </w:rPr>
        <w:object>
          <v:shape id="_x0000_i1028" o:spt="75" type="#_x0000_t75" style="height:254.05pt;width:419.1pt;" o:ole="t" filled="f" o:preferrelative="t" stroked="f" coordsize="21600,21600">
            <v:path/>
            <v:fill on="f" focussize="0,0"/>
            <v:stroke on="f" joinstyle="miter"/>
            <v:imagedata r:id="rId21" o:title=""/>
            <o:lock v:ext="edit" aspectratio="t"/>
            <w10:wrap type="none"/>
            <w10:anchorlock/>
          </v:shape>
          <o:OLEObject Type="Embed" ProgID="Visio.Drawing.11" ShapeID="_x0000_i1028" DrawAspect="Content" ObjectID="_1468075726" r:id="rId20">
            <o:LockedField>false</o:LockedField>
          </o:OLEObject>
        </w:object>
      </w:r>
    </w:p>
    <w:p>
      <w:pPr>
        <w:snapToGrid w:val="0"/>
        <w:ind w:firstLine="480"/>
        <w:jc w:val="center"/>
        <w:rPr>
          <w:rFonts w:ascii="宋体" w:hAnsi="宋体"/>
          <w:color w:val="000000" w:themeColor="text1"/>
        </w:rPr>
      </w:pPr>
      <w:r>
        <w:rPr>
          <w:rFonts w:ascii="宋体" w:hAnsi="宋体"/>
          <w:color w:val="000000" w:themeColor="text1"/>
        </w:rPr>
        <w:t>图</w:t>
      </w:r>
      <w:r>
        <w:rPr>
          <w:rFonts w:ascii="宋体" w:hAnsi="宋体"/>
          <w:color w:val="000000" w:themeColor="text1"/>
        </w:rPr>
        <w:fldChar w:fldCharType="begin"/>
      </w:r>
      <w:r>
        <w:rPr>
          <w:rFonts w:ascii="宋体" w:hAnsi="宋体"/>
          <w:color w:val="000000" w:themeColor="text1"/>
        </w:rPr>
        <w:instrText xml:space="preserve"> SEQ 图 \* ARABIC \s 2 </w:instrText>
      </w:r>
      <w:r>
        <w:rPr>
          <w:rFonts w:ascii="宋体" w:hAnsi="宋体"/>
          <w:color w:val="000000" w:themeColor="text1"/>
        </w:rPr>
        <w:fldChar w:fldCharType="separate"/>
      </w:r>
      <w:r>
        <w:rPr>
          <w:rFonts w:ascii="宋体" w:hAnsi="宋体"/>
          <w:color w:val="000000" w:themeColor="text1"/>
        </w:rPr>
        <w:t>2</w:t>
      </w:r>
      <w:r>
        <w:rPr>
          <w:rFonts w:ascii="宋体" w:hAnsi="宋体"/>
          <w:color w:val="000000" w:themeColor="text1"/>
        </w:rPr>
        <w:fldChar w:fldCharType="end"/>
      </w:r>
      <w:r>
        <w:rPr>
          <w:rFonts w:ascii="宋体" w:hAnsi="宋体"/>
          <w:color w:val="000000" w:themeColor="text1"/>
        </w:rPr>
        <w:t>网络总体逻辑架构图</w:t>
      </w:r>
    </w:p>
    <w:p>
      <w:pPr>
        <w:ind w:firstLine="480"/>
        <w:rPr>
          <w:color w:val="000000" w:themeColor="text1"/>
        </w:rPr>
      </w:pPr>
      <w:r>
        <w:rPr>
          <w:color w:val="000000" w:themeColor="text1"/>
        </w:rPr>
        <w:t>核心层：2台核心交换机采用虚拟集群技术，通</w:t>
      </w:r>
    </w:p>
    <w:p>
      <w:pPr>
        <w:ind w:firstLine="480"/>
        <w:rPr>
          <w:color w:val="000000" w:themeColor="text1"/>
        </w:rPr>
      </w:pPr>
      <w:r>
        <w:rPr>
          <w:color w:val="000000" w:themeColor="text1"/>
        </w:rPr>
        <w:t>过4*10G链路互联，下行链路选择10G链路捆绑技术与接入交换机互联，增加带宽的同时也提高了网络链路的可靠性，费用由网络系统列支。核心交换机</w:t>
      </w:r>
      <w:r>
        <w:rPr>
          <w:rFonts w:hint="eastAsia"/>
          <w:color w:val="000000" w:themeColor="text1"/>
        </w:rPr>
        <w:t>旁路部署</w:t>
      </w:r>
      <w:r>
        <w:rPr>
          <w:color w:val="000000" w:themeColor="text1"/>
        </w:rPr>
        <w:t>两台</w:t>
      </w:r>
      <w:r>
        <w:rPr>
          <w:rFonts w:hint="eastAsia"/>
          <w:color w:val="000000" w:themeColor="text1"/>
        </w:rPr>
        <w:t>下一代</w:t>
      </w:r>
      <w:r>
        <w:rPr>
          <w:color w:val="000000" w:themeColor="text1"/>
        </w:rPr>
        <w:t>防火墙</w:t>
      </w:r>
      <w:r>
        <w:rPr>
          <w:rFonts w:hint="eastAsia"/>
          <w:color w:val="000000" w:themeColor="text1"/>
        </w:rPr>
        <w:t>，</w:t>
      </w:r>
      <w:r>
        <w:rPr>
          <w:color w:val="000000" w:themeColor="text1"/>
        </w:rPr>
        <w:t>实现解析中心的安全防护，费用由安全</w:t>
      </w:r>
      <w:r>
        <w:rPr>
          <w:rFonts w:hint="eastAsia"/>
          <w:color w:val="000000" w:themeColor="text1"/>
        </w:rPr>
        <w:t>系统</w:t>
      </w:r>
      <w:r>
        <w:rPr>
          <w:color w:val="000000" w:themeColor="text1"/>
        </w:rPr>
        <w:t>列支。</w:t>
      </w:r>
    </w:p>
    <w:p>
      <w:pPr>
        <w:ind w:firstLine="480"/>
        <w:rPr>
          <w:color w:val="000000" w:themeColor="text1"/>
        </w:rPr>
      </w:pPr>
      <w:r>
        <w:rPr>
          <w:color w:val="000000" w:themeColor="text1"/>
        </w:rPr>
        <w:t>接入层：2台接入交换机采用堆叠技术，通过4*10G/4*GE链路堆叠，下行链路根据服务器的物理端口选择GE或10GE链路，万兆接入交换机4*10G链路上联到2台核心交换机，千兆接入交换机2*10G链路上联到2台核心交换机，增加带宽的同时也提高了网络链路的可靠性。</w:t>
      </w:r>
    </w:p>
    <w:p>
      <w:pPr>
        <w:ind w:firstLine="480"/>
        <w:rPr>
          <w:color w:val="000000" w:themeColor="text1"/>
        </w:rPr>
      </w:pPr>
      <w:r>
        <w:rPr>
          <w:rFonts w:hint="eastAsia"/>
          <w:color w:val="000000" w:themeColor="text1"/>
        </w:rPr>
        <w:t>2、组网技术设计</w:t>
      </w:r>
    </w:p>
    <w:p>
      <w:pPr>
        <w:ind w:firstLine="480"/>
        <w:rPr>
          <w:color w:val="000000" w:themeColor="text1"/>
        </w:rPr>
      </w:pPr>
      <w:r>
        <w:rPr>
          <w:color w:val="000000" w:themeColor="text1"/>
        </w:rPr>
        <w:drawing>
          <wp:inline distT="0" distB="0" distL="0" distR="0">
            <wp:extent cx="4000500" cy="2209800"/>
            <wp:effectExtent l="19050" t="0" r="0" b="0"/>
            <wp:docPr id="6" name="图片 686" descr="说明: 图片包含 文字, 地图  已生成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86" descr="说明: 图片包含 文字, 地图  已生成高可信度的说明"/>
                    <pic:cNvPicPr>
                      <a:picLocks noChangeAspect="1" noChangeArrowheads="1"/>
                    </pic:cNvPicPr>
                  </pic:nvPicPr>
                  <pic:blipFill>
                    <a:blip r:embed="rId22"/>
                    <a:srcRect/>
                    <a:stretch>
                      <a:fillRect/>
                    </a:stretch>
                  </pic:blipFill>
                  <pic:spPr>
                    <a:xfrm>
                      <a:off x="0" y="0"/>
                      <a:ext cx="4000500" cy="2209800"/>
                    </a:xfrm>
                    <a:prstGeom prst="rect">
                      <a:avLst/>
                    </a:prstGeom>
                    <a:noFill/>
                    <a:ln w="9525">
                      <a:noFill/>
                      <a:miter lim="800000"/>
                      <a:headEnd/>
                      <a:tailEnd/>
                    </a:ln>
                  </pic:spPr>
                </pic:pic>
              </a:graphicData>
            </a:graphic>
          </wp:inline>
        </w:drawing>
      </w:r>
    </w:p>
    <w:p>
      <w:pPr>
        <w:ind w:firstLine="480"/>
        <w:rPr>
          <w:color w:val="000000" w:themeColor="text1"/>
        </w:rPr>
      </w:pPr>
      <w:r>
        <w:rPr>
          <w:color w:val="000000" w:themeColor="text1"/>
        </w:rPr>
        <w:t>图</w:t>
      </w:r>
      <w:r>
        <w:rPr>
          <w:color w:val="000000" w:themeColor="text1"/>
        </w:rPr>
        <w:fldChar w:fldCharType="begin"/>
      </w:r>
      <w:r>
        <w:rPr>
          <w:color w:val="000000" w:themeColor="text1"/>
        </w:rPr>
        <w:instrText xml:space="preserve"> SEQ 图 \* ARABIC \s 2 </w:instrText>
      </w:r>
      <w:r>
        <w:rPr>
          <w:color w:val="000000" w:themeColor="text1"/>
        </w:rPr>
        <w:fldChar w:fldCharType="separate"/>
      </w:r>
      <w:r>
        <w:rPr>
          <w:color w:val="000000" w:themeColor="text1"/>
        </w:rPr>
        <w:t>3</w:t>
      </w:r>
      <w:r>
        <w:rPr>
          <w:color w:val="000000" w:themeColor="text1"/>
        </w:rPr>
        <w:fldChar w:fldCharType="end"/>
      </w:r>
      <w:r>
        <w:rPr>
          <w:color w:val="000000" w:themeColor="text1"/>
        </w:rPr>
        <w:t>核心层接入层拓扑图</w:t>
      </w:r>
    </w:p>
    <w:p>
      <w:pPr>
        <w:ind w:firstLine="480"/>
        <w:rPr>
          <w:color w:val="000000" w:themeColor="text1"/>
        </w:rPr>
      </w:pPr>
      <w:r>
        <w:rPr>
          <w:color w:val="000000" w:themeColor="text1"/>
        </w:rPr>
        <w:t>核心交换机和接入交换机之间的四条跨框链路捆绑为一个Eth-Trunk组，网络架构变成树型模式，不需要启用STP协议，从根本上解决环路和spanning-tree收敛问题。</w:t>
      </w:r>
    </w:p>
    <w:p>
      <w:pPr>
        <w:ind w:firstLine="480"/>
        <w:rPr>
          <w:color w:val="000000" w:themeColor="text1"/>
        </w:rPr>
      </w:pPr>
      <w:r>
        <w:rPr>
          <w:color w:val="000000" w:themeColor="text1"/>
        </w:rPr>
        <w:t>本方案中采用“集群+堆叠+链路捆绑”的二层网络无环</w:t>
      </w:r>
      <w:r>
        <w:rPr>
          <w:rFonts w:hint="eastAsia"/>
          <w:color w:val="000000" w:themeColor="text1"/>
        </w:rPr>
        <w:t>路</w:t>
      </w:r>
      <w:r>
        <w:rPr>
          <w:color w:val="000000" w:themeColor="text1"/>
        </w:rPr>
        <w:t>解决方案，如下图所示：</w:t>
      </w:r>
    </w:p>
    <w:p>
      <w:pPr>
        <w:keepNext/>
        <w:ind w:firstLine="480"/>
        <w:jc w:val="center"/>
        <w:rPr>
          <w:color w:val="000000" w:themeColor="text1"/>
        </w:rPr>
      </w:pPr>
      <w:r>
        <w:rPr>
          <w:color w:val="000000" w:themeColor="text1"/>
        </w:rPr>
        <w:drawing>
          <wp:inline distT="0" distB="0" distL="0" distR="0">
            <wp:extent cx="3667125" cy="2247900"/>
            <wp:effectExtent l="19050" t="0" r="9525" b="0"/>
            <wp:docPr id="7" name="图片 680" descr="说明: 图片包含 文字, 地图  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80" descr="说明: 图片包含 文字, 地图  已生成极高可信度的说明"/>
                    <pic:cNvPicPr>
                      <a:picLocks noChangeAspect="1" noChangeArrowheads="1"/>
                    </pic:cNvPicPr>
                  </pic:nvPicPr>
                  <pic:blipFill>
                    <a:blip r:embed="rId23"/>
                    <a:srcRect/>
                    <a:stretch>
                      <a:fillRect/>
                    </a:stretch>
                  </pic:blipFill>
                  <pic:spPr>
                    <a:xfrm>
                      <a:off x="0" y="0"/>
                      <a:ext cx="3667125" cy="2247900"/>
                    </a:xfrm>
                    <a:prstGeom prst="rect">
                      <a:avLst/>
                    </a:prstGeom>
                    <a:noFill/>
                    <a:ln w="9525">
                      <a:noFill/>
                      <a:miter lim="800000"/>
                      <a:headEnd/>
                      <a:tailEnd/>
                    </a:ln>
                  </pic:spPr>
                </pic:pic>
              </a:graphicData>
            </a:graphic>
          </wp:inline>
        </w:drawing>
      </w:r>
    </w:p>
    <w:p>
      <w:pPr>
        <w:snapToGrid w:val="0"/>
        <w:ind w:firstLine="480"/>
        <w:jc w:val="center"/>
        <w:rPr>
          <w:rFonts w:ascii="宋体" w:hAnsi="宋体"/>
          <w:color w:val="000000" w:themeColor="text1"/>
        </w:rPr>
      </w:pPr>
      <w:r>
        <w:rPr>
          <w:rFonts w:ascii="宋体" w:hAnsi="宋体"/>
          <w:color w:val="000000" w:themeColor="text1"/>
        </w:rPr>
        <w:t>图</w:t>
      </w:r>
      <w:r>
        <w:rPr>
          <w:rFonts w:hint="eastAsia" w:ascii="宋体" w:hAnsi="宋体"/>
          <w:color w:val="000000" w:themeColor="text1"/>
        </w:rPr>
        <w:t xml:space="preserve">5     </w:t>
      </w:r>
      <w:r>
        <w:rPr>
          <w:rFonts w:ascii="宋体" w:hAnsi="宋体"/>
          <w:color w:val="000000" w:themeColor="text1"/>
        </w:rPr>
        <w:t>二层网络无环</w:t>
      </w:r>
      <w:r>
        <w:rPr>
          <w:rFonts w:hint="eastAsia" w:ascii="宋体" w:hAnsi="宋体"/>
          <w:color w:val="000000" w:themeColor="text1"/>
        </w:rPr>
        <w:t>路</w:t>
      </w:r>
      <w:r>
        <w:rPr>
          <w:rFonts w:ascii="宋体" w:hAnsi="宋体"/>
          <w:color w:val="000000" w:themeColor="text1"/>
        </w:rPr>
        <w:t>解决方案示意图</w:t>
      </w:r>
    </w:p>
    <w:p>
      <w:pPr>
        <w:pStyle w:val="5"/>
        <w:spacing w:before="120" w:after="120"/>
        <w:ind w:firstLine="480"/>
        <w:rPr>
          <w:color w:val="000000" w:themeColor="text1"/>
        </w:rPr>
      </w:pPr>
      <w:r>
        <w:rPr>
          <w:rFonts w:hint="eastAsia"/>
          <w:color w:val="000000" w:themeColor="text1"/>
        </w:rPr>
        <w:t>1.6</w:t>
      </w:r>
      <w:r>
        <w:rPr>
          <w:color w:val="000000" w:themeColor="text1"/>
        </w:rPr>
        <w:t>网管系统设计</w:t>
      </w:r>
    </w:p>
    <w:p>
      <w:pPr>
        <w:pStyle w:val="6"/>
        <w:spacing w:before="120" w:after="120"/>
        <w:ind w:firstLine="480"/>
        <w:rPr>
          <w:color w:val="000000" w:themeColor="text1"/>
        </w:rPr>
      </w:pPr>
      <w:r>
        <w:rPr>
          <w:rFonts w:hint="eastAsia"/>
          <w:color w:val="000000" w:themeColor="text1"/>
        </w:rPr>
        <w:t>1.6.1</w:t>
      </w:r>
      <w:r>
        <w:rPr>
          <w:color w:val="000000" w:themeColor="text1"/>
        </w:rPr>
        <w:t>总体要求</w:t>
      </w:r>
    </w:p>
    <w:p>
      <w:pPr>
        <w:ind w:firstLine="480"/>
        <w:rPr>
          <w:color w:val="000000" w:themeColor="text1"/>
        </w:rPr>
      </w:pPr>
      <w:r>
        <w:rPr>
          <w:color w:val="000000" w:themeColor="text1"/>
        </w:rPr>
        <w:t>网管系统应具备业务管理、资源管理、报表管理和用户管理等主要网管功能</w:t>
      </w:r>
      <w:r>
        <w:rPr>
          <w:rFonts w:hint="eastAsia"/>
          <w:color w:val="000000" w:themeColor="text1"/>
        </w:rPr>
        <w:t>；</w:t>
      </w:r>
    </w:p>
    <w:p>
      <w:pPr>
        <w:ind w:firstLine="480"/>
        <w:rPr>
          <w:color w:val="000000" w:themeColor="text1"/>
        </w:rPr>
      </w:pPr>
      <w:r>
        <w:rPr>
          <w:color w:val="000000" w:themeColor="text1"/>
        </w:rPr>
        <w:t>网管系统应具有易用、友好图形用户界面，以及在线帮助、软件下载等功能</w:t>
      </w:r>
      <w:r>
        <w:rPr>
          <w:rFonts w:hint="eastAsia"/>
          <w:color w:val="000000" w:themeColor="text1"/>
        </w:rPr>
        <w:t>；</w:t>
      </w:r>
    </w:p>
    <w:p>
      <w:pPr>
        <w:ind w:firstLine="480"/>
        <w:rPr>
          <w:color w:val="000000" w:themeColor="text1"/>
        </w:rPr>
      </w:pPr>
      <w:r>
        <w:rPr>
          <w:color w:val="000000" w:themeColor="text1"/>
        </w:rPr>
        <w:t>提供与第三方网管系统的接口，可以无缝地集成在第三方网管系统上</w:t>
      </w:r>
      <w:r>
        <w:rPr>
          <w:rFonts w:hint="eastAsia"/>
          <w:color w:val="000000" w:themeColor="text1"/>
        </w:rPr>
        <w:t>；</w:t>
      </w:r>
    </w:p>
    <w:p>
      <w:pPr>
        <w:pStyle w:val="6"/>
        <w:spacing w:before="120" w:after="120"/>
        <w:ind w:firstLine="480"/>
        <w:rPr>
          <w:color w:val="000000" w:themeColor="text1"/>
        </w:rPr>
      </w:pPr>
      <w:r>
        <w:rPr>
          <w:rFonts w:hint="eastAsia"/>
          <w:color w:val="000000" w:themeColor="text1"/>
        </w:rPr>
        <w:t>1.6.2</w:t>
      </w:r>
      <w:r>
        <w:rPr>
          <w:color w:val="000000" w:themeColor="text1"/>
        </w:rPr>
        <w:t>功能要求</w:t>
      </w:r>
    </w:p>
    <w:p>
      <w:pPr>
        <w:ind w:firstLine="480"/>
        <w:rPr>
          <w:color w:val="000000" w:themeColor="text1"/>
        </w:rPr>
      </w:pPr>
      <w:r>
        <w:rPr>
          <w:color w:val="000000" w:themeColor="text1"/>
        </w:rPr>
        <w:t>提供面向业务的统一的资源管理平台，通过内置业务健康评价机制，动态展示业务整体运行情况，让运维人员专注业务本身的质量，通过长期趋势监控和实时报告，帮助运维人员提前感知业务故障、快速定位业务故障根源，提供业务投资量化分析建议等。其主要功能如下：</w:t>
      </w:r>
    </w:p>
    <w:p>
      <w:pPr>
        <w:pStyle w:val="7"/>
        <w:spacing w:before="120" w:after="120"/>
        <w:ind w:firstLine="480"/>
        <w:rPr>
          <w:color w:val="000000" w:themeColor="text1"/>
        </w:rPr>
      </w:pPr>
      <w:r>
        <w:rPr>
          <w:color w:val="000000" w:themeColor="text1"/>
        </w:rPr>
        <w:t>1.6.2.</w:t>
      </w:r>
      <w:r>
        <w:rPr>
          <w:rFonts w:hint="eastAsia"/>
          <w:color w:val="000000" w:themeColor="text1"/>
        </w:rPr>
        <w:t>1</w:t>
      </w:r>
      <w:r>
        <w:rPr>
          <w:color w:val="000000" w:themeColor="text1"/>
        </w:rPr>
        <w:t>业务管理</w:t>
      </w:r>
    </w:p>
    <w:p>
      <w:pPr>
        <w:ind w:firstLine="480"/>
        <w:rPr>
          <w:color w:val="000000" w:themeColor="text1"/>
        </w:rPr>
      </w:pPr>
      <w:r>
        <w:rPr>
          <w:color w:val="000000" w:themeColor="text1"/>
        </w:rPr>
        <w:t>业务监视功能</w:t>
      </w:r>
    </w:p>
    <w:p>
      <w:pPr>
        <w:ind w:firstLine="480"/>
        <w:rPr>
          <w:color w:val="000000" w:themeColor="text1"/>
        </w:rPr>
      </w:pPr>
      <w:r>
        <w:rPr>
          <w:color w:val="000000" w:themeColor="text1"/>
        </w:rPr>
        <w:t>主要监视执行业务的繁忙度、健康度、可用度等，可监视业务的主机、业务应用和涉及到的网络设备及主要链路上的流量等。</w:t>
      </w:r>
    </w:p>
    <w:p>
      <w:pPr>
        <w:ind w:firstLine="480"/>
        <w:rPr>
          <w:color w:val="000000" w:themeColor="text1"/>
        </w:rPr>
      </w:pPr>
      <w:r>
        <w:rPr>
          <w:color w:val="000000" w:themeColor="text1"/>
        </w:rPr>
        <w:t>业务数据窗功能</w:t>
      </w:r>
    </w:p>
    <w:p>
      <w:pPr>
        <w:ind w:firstLine="480"/>
        <w:rPr>
          <w:color w:val="000000" w:themeColor="text1"/>
        </w:rPr>
      </w:pPr>
      <w:r>
        <w:rPr>
          <w:color w:val="000000" w:themeColor="text1"/>
        </w:rPr>
        <w:t>进入业务数据窗，可查看一项业务的具体运营情况，包括各项运营参数，如业务告警、业务内的物理拓扑</w:t>
      </w:r>
    </w:p>
    <w:p>
      <w:pPr>
        <w:ind w:firstLine="480"/>
        <w:rPr>
          <w:color w:val="000000" w:themeColor="text1"/>
        </w:rPr>
      </w:pPr>
      <w:r>
        <w:rPr>
          <w:color w:val="000000" w:themeColor="text1"/>
        </w:rPr>
        <w:t>检查网络拓扑功能</w:t>
      </w:r>
    </w:p>
    <w:p>
      <w:pPr>
        <w:ind w:firstLine="480"/>
        <w:rPr>
          <w:color w:val="000000" w:themeColor="text1"/>
        </w:rPr>
      </w:pPr>
      <w:r>
        <w:rPr>
          <w:color w:val="000000" w:themeColor="text1"/>
        </w:rPr>
        <w:t>可以检查输入端到业务节点端的链路情况和拓扑结构，包括拓扑结构、链路状况、节点健康情况等。</w:t>
      </w:r>
    </w:p>
    <w:p>
      <w:pPr>
        <w:ind w:firstLine="480"/>
        <w:rPr>
          <w:color w:val="000000" w:themeColor="text1"/>
        </w:rPr>
      </w:pPr>
      <w:r>
        <w:rPr>
          <w:color w:val="000000" w:themeColor="text1"/>
        </w:rPr>
        <w:t>网络维护功能</w:t>
      </w:r>
    </w:p>
    <w:p>
      <w:pPr>
        <w:ind w:firstLine="480"/>
        <w:rPr>
          <w:color w:val="000000" w:themeColor="text1"/>
        </w:rPr>
      </w:pPr>
      <w:r>
        <w:rPr>
          <w:color w:val="000000" w:themeColor="text1"/>
        </w:rPr>
        <w:t>对于计划内的，设备重启、应用升级等操作，可以对其制定维护计划。</w:t>
      </w:r>
    </w:p>
    <w:p>
      <w:pPr>
        <w:ind w:firstLine="480"/>
        <w:rPr>
          <w:color w:val="000000" w:themeColor="text1"/>
        </w:rPr>
      </w:pPr>
      <w:r>
        <w:rPr>
          <w:color w:val="000000" w:themeColor="text1"/>
        </w:rPr>
        <w:t>对处于正在维护中的设备，将以最优分值参与业务相关状态计算（繁忙度、健康度、可用度）。</w:t>
      </w:r>
    </w:p>
    <w:p>
      <w:pPr>
        <w:pStyle w:val="7"/>
        <w:spacing w:before="120" w:after="120"/>
        <w:ind w:firstLine="480"/>
        <w:rPr>
          <w:color w:val="000000" w:themeColor="text1"/>
        </w:rPr>
      </w:pPr>
      <w:bookmarkStart w:id="279" w:name="_Toc100134876"/>
      <w:r>
        <w:rPr>
          <w:color w:val="000000" w:themeColor="text1"/>
        </w:rPr>
        <w:t>1.6.2.</w:t>
      </w:r>
      <w:r>
        <w:rPr>
          <w:rFonts w:hint="eastAsia"/>
          <w:color w:val="000000" w:themeColor="text1"/>
        </w:rPr>
        <w:t>2</w:t>
      </w:r>
      <w:r>
        <w:rPr>
          <w:color w:val="000000" w:themeColor="text1"/>
        </w:rPr>
        <w:t>资源管理</w:t>
      </w:r>
      <w:bookmarkEnd w:id="279"/>
    </w:p>
    <w:p>
      <w:pPr>
        <w:snapToGrid w:val="0"/>
        <w:ind w:firstLine="480"/>
        <w:rPr>
          <w:rFonts w:ascii="宋体" w:hAnsi="宋体"/>
          <w:color w:val="000000" w:themeColor="text1"/>
        </w:rPr>
      </w:pPr>
      <w:r>
        <w:rPr>
          <w:rFonts w:ascii="宋体" w:hAnsi="宋体"/>
          <w:color w:val="000000" w:themeColor="text1"/>
        </w:rPr>
        <w:t>支持自动发现网络拓扑，可显示网元间连接关系，并能够动态、实时显示被管网元的运行状态和状况。</w:t>
      </w:r>
    </w:p>
    <w:p>
      <w:pPr>
        <w:snapToGrid w:val="0"/>
        <w:ind w:firstLine="480"/>
        <w:rPr>
          <w:rFonts w:ascii="宋体" w:hAnsi="宋体"/>
          <w:color w:val="000000" w:themeColor="text1"/>
        </w:rPr>
      </w:pPr>
      <w:r>
        <w:rPr>
          <w:rFonts w:ascii="宋体" w:hAnsi="宋体"/>
          <w:color w:val="000000" w:themeColor="text1"/>
        </w:rPr>
        <w:t>能够在网络拓扑中创建、删除、查询修改设备。</w:t>
      </w:r>
    </w:p>
    <w:p>
      <w:pPr>
        <w:snapToGrid w:val="0"/>
        <w:ind w:firstLine="480"/>
        <w:rPr>
          <w:rFonts w:ascii="宋体" w:hAnsi="宋体"/>
          <w:color w:val="000000" w:themeColor="text1"/>
        </w:rPr>
      </w:pPr>
      <w:r>
        <w:rPr>
          <w:rFonts w:ascii="宋体" w:hAnsi="宋体"/>
          <w:color w:val="000000" w:themeColor="text1"/>
        </w:rPr>
        <w:t>能够对设备软件进行升级，建议网管系统支持集群升级。</w:t>
      </w:r>
    </w:p>
    <w:p>
      <w:pPr>
        <w:snapToGrid w:val="0"/>
        <w:ind w:firstLine="480"/>
        <w:rPr>
          <w:rFonts w:ascii="宋体" w:hAnsi="宋体"/>
          <w:color w:val="000000" w:themeColor="text1"/>
        </w:rPr>
      </w:pPr>
      <w:r>
        <w:rPr>
          <w:rFonts w:ascii="宋体" w:hAnsi="宋体"/>
          <w:color w:val="000000" w:themeColor="text1"/>
        </w:rPr>
        <w:t>提供对设备配置信息的上载和下载功能，并支持对配置信息合法性和一致性的检查。</w:t>
      </w:r>
    </w:p>
    <w:p>
      <w:pPr>
        <w:pStyle w:val="7"/>
        <w:spacing w:before="120" w:after="120"/>
        <w:ind w:firstLine="480"/>
        <w:rPr>
          <w:color w:val="000000" w:themeColor="text1"/>
        </w:rPr>
      </w:pPr>
      <w:bookmarkStart w:id="280" w:name="_Toc100134878"/>
      <w:r>
        <w:rPr>
          <w:color w:val="000000" w:themeColor="text1"/>
        </w:rPr>
        <w:t>1.6.2.</w:t>
      </w:r>
      <w:r>
        <w:rPr>
          <w:rFonts w:hint="eastAsia"/>
          <w:color w:val="000000" w:themeColor="text1"/>
        </w:rPr>
        <w:t>3</w:t>
      </w:r>
      <w:r>
        <w:rPr>
          <w:color w:val="000000" w:themeColor="text1"/>
        </w:rPr>
        <w:t>告警管理</w:t>
      </w:r>
      <w:bookmarkEnd w:id="280"/>
    </w:p>
    <w:p>
      <w:pPr>
        <w:ind w:firstLine="480"/>
        <w:rPr>
          <w:color w:val="000000" w:themeColor="text1"/>
        </w:rPr>
      </w:pPr>
      <w:r>
        <w:rPr>
          <w:color w:val="000000" w:themeColor="text1"/>
        </w:rPr>
        <w:t>应支持对告警类型、告警级别和告警状态的分类定义。</w:t>
      </w:r>
    </w:p>
    <w:p>
      <w:pPr>
        <w:ind w:firstLine="480"/>
        <w:rPr>
          <w:color w:val="000000" w:themeColor="text1"/>
        </w:rPr>
      </w:pPr>
      <w:r>
        <w:rPr>
          <w:color w:val="000000" w:themeColor="text1"/>
        </w:rPr>
        <w:t>能够在网络拓扑图中以不同形式显示告警发生的位置及告警信息，并提示用户对告警进行确认。</w:t>
      </w:r>
    </w:p>
    <w:p>
      <w:pPr>
        <w:ind w:firstLine="480"/>
        <w:rPr>
          <w:color w:val="000000" w:themeColor="text1"/>
        </w:rPr>
      </w:pPr>
      <w:r>
        <w:rPr>
          <w:color w:val="000000" w:themeColor="text1"/>
        </w:rPr>
        <w:t>能够对告警信息进行确认、清除、合并、过滤。</w:t>
      </w:r>
    </w:p>
    <w:p>
      <w:pPr>
        <w:ind w:firstLine="480"/>
        <w:rPr>
          <w:color w:val="000000" w:themeColor="text1"/>
        </w:rPr>
      </w:pPr>
      <w:r>
        <w:rPr>
          <w:color w:val="000000" w:themeColor="text1"/>
        </w:rPr>
        <w:t>能够对当前告警或者历史告警提供查询和统计功能。</w:t>
      </w:r>
    </w:p>
    <w:p>
      <w:pPr>
        <w:ind w:firstLine="480"/>
        <w:rPr>
          <w:color w:val="000000" w:themeColor="text1"/>
        </w:rPr>
      </w:pPr>
      <w:r>
        <w:rPr>
          <w:color w:val="000000" w:themeColor="text1"/>
        </w:rPr>
        <w:t>支持告警信息的同步，将显示的告警状态与网元实际的告警状态进行核准，应提供人工和自动两种校正模式。</w:t>
      </w:r>
    </w:p>
    <w:p>
      <w:pPr>
        <w:pStyle w:val="7"/>
        <w:spacing w:before="120" w:after="120"/>
        <w:ind w:firstLine="480"/>
        <w:rPr>
          <w:color w:val="000000" w:themeColor="text1"/>
        </w:rPr>
      </w:pPr>
      <w:bookmarkStart w:id="281" w:name="_Toc429498351"/>
      <w:r>
        <w:rPr>
          <w:color w:val="000000" w:themeColor="text1"/>
        </w:rPr>
        <w:t>1.6.2.</w:t>
      </w:r>
      <w:r>
        <w:rPr>
          <w:rFonts w:hint="eastAsia"/>
          <w:color w:val="000000" w:themeColor="text1"/>
        </w:rPr>
        <w:t>4</w:t>
      </w:r>
      <w:r>
        <w:rPr>
          <w:color w:val="000000" w:themeColor="text1"/>
        </w:rPr>
        <w:t>报表管理</w:t>
      </w:r>
      <w:bookmarkEnd w:id="281"/>
    </w:p>
    <w:p>
      <w:pPr>
        <w:snapToGrid w:val="0"/>
        <w:ind w:firstLine="480"/>
        <w:rPr>
          <w:rFonts w:ascii="宋体" w:hAnsi="宋体"/>
          <w:color w:val="000000" w:themeColor="text1"/>
        </w:rPr>
      </w:pPr>
      <w:r>
        <w:rPr>
          <w:rFonts w:ascii="宋体" w:hAnsi="宋体"/>
          <w:color w:val="000000" w:themeColor="text1"/>
        </w:rPr>
        <w:t>系统提供各种运行分析和性能报告，管理人员能根据这些报告准确评估整个网络的运行状况，及早发现故障隐患和评估威胁，为网络优化的决策提供参考依据。报表管理内容包含</w:t>
      </w:r>
      <w:bookmarkStart w:id="282" w:name="_Toc429498352"/>
      <w:r>
        <w:rPr>
          <w:rFonts w:ascii="宋体" w:hAnsi="宋体"/>
          <w:color w:val="000000" w:themeColor="text1"/>
        </w:rPr>
        <w:t>但不限于设备故障次数统计</w:t>
      </w:r>
      <w:bookmarkEnd w:id="282"/>
      <w:r>
        <w:rPr>
          <w:rFonts w:ascii="宋体" w:hAnsi="宋体"/>
          <w:color w:val="000000" w:themeColor="text1"/>
        </w:rPr>
        <w:t>、</w:t>
      </w:r>
      <w:bookmarkStart w:id="283" w:name="_Toc429498353"/>
      <w:r>
        <w:rPr>
          <w:rFonts w:ascii="宋体" w:hAnsi="宋体"/>
          <w:color w:val="000000" w:themeColor="text1"/>
        </w:rPr>
        <w:t>设备故障维修及时率统计</w:t>
      </w:r>
      <w:bookmarkEnd w:id="283"/>
      <w:bookmarkStart w:id="284" w:name="_Toc429498354"/>
      <w:r>
        <w:rPr>
          <w:rFonts w:ascii="宋体" w:hAnsi="宋体"/>
          <w:color w:val="000000" w:themeColor="text1"/>
        </w:rPr>
        <w:t>、</w:t>
      </w:r>
      <w:bookmarkEnd w:id="284"/>
      <w:bookmarkStart w:id="285" w:name="_Toc429498357"/>
      <w:r>
        <w:rPr>
          <w:rFonts w:ascii="宋体" w:hAnsi="宋体"/>
          <w:color w:val="000000" w:themeColor="text1"/>
        </w:rPr>
        <w:t>设备报警统计</w:t>
      </w:r>
      <w:bookmarkEnd w:id="285"/>
      <w:r>
        <w:rPr>
          <w:rFonts w:ascii="宋体" w:hAnsi="宋体"/>
          <w:color w:val="000000" w:themeColor="text1"/>
        </w:rPr>
        <w:t>、</w:t>
      </w:r>
      <w:bookmarkStart w:id="286" w:name="_Toc429498361"/>
      <w:bookmarkStart w:id="287" w:name="_Toc392247779"/>
      <w:bookmarkStart w:id="288" w:name="_Toc393879080"/>
      <w:r>
        <w:rPr>
          <w:rFonts w:ascii="宋体" w:hAnsi="宋体"/>
          <w:color w:val="000000" w:themeColor="text1"/>
        </w:rPr>
        <w:t>建设任务进度统计</w:t>
      </w:r>
      <w:bookmarkEnd w:id="286"/>
      <w:bookmarkEnd w:id="287"/>
      <w:bookmarkEnd w:id="288"/>
      <w:r>
        <w:rPr>
          <w:rFonts w:ascii="宋体" w:hAnsi="宋体"/>
          <w:color w:val="000000" w:themeColor="text1"/>
        </w:rPr>
        <w:t>，另可根据运维人员要求进行自定义报表。</w:t>
      </w:r>
    </w:p>
    <w:p>
      <w:pPr>
        <w:pStyle w:val="7"/>
        <w:spacing w:before="120" w:after="120"/>
        <w:ind w:firstLine="480"/>
        <w:rPr>
          <w:color w:val="000000" w:themeColor="text1"/>
        </w:rPr>
      </w:pPr>
      <w:bookmarkStart w:id="289" w:name="_Toc100134879"/>
      <w:r>
        <w:rPr>
          <w:color w:val="000000" w:themeColor="text1"/>
        </w:rPr>
        <w:t>1.6.2.</w:t>
      </w:r>
      <w:r>
        <w:rPr>
          <w:rFonts w:hint="eastAsia"/>
          <w:color w:val="000000" w:themeColor="text1"/>
        </w:rPr>
        <w:t>5</w:t>
      </w:r>
      <w:r>
        <w:rPr>
          <w:color w:val="000000" w:themeColor="text1"/>
        </w:rPr>
        <w:t>用户管理</w:t>
      </w:r>
      <w:bookmarkEnd w:id="289"/>
    </w:p>
    <w:p>
      <w:pPr>
        <w:snapToGrid w:val="0"/>
        <w:ind w:firstLine="480"/>
        <w:rPr>
          <w:rFonts w:ascii="宋体" w:hAnsi="宋体"/>
          <w:color w:val="000000" w:themeColor="text1"/>
        </w:rPr>
      </w:pPr>
      <w:r>
        <w:rPr>
          <w:rFonts w:ascii="宋体" w:hAnsi="宋体"/>
          <w:color w:val="000000" w:themeColor="text1"/>
        </w:rPr>
        <w:t>能够对用户进行管理，包括增加用户、删除用户、锁定用户、解锁用户、查询用户信息、修改用户密码。</w:t>
      </w:r>
    </w:p>
    <w:p>
      <w:pPr>
        <w:snapToGrid w:val="0"/>
        <w:ind w:firstLine="480"/>
        <w:rPr>
          <w:rFonts w:ascii="宋体" w:hAnsi="宋体"/>
          <w:color w:val="000000" w:themeColor="text1"/>
        </w:rPr>
      </w:pPr>
      <w:r>
        <w:rPr>
          <w:rFonts w:ascii="宋体" w:hAnsi="宋体"/>
          <w:color w:val="000000" w:themeColor="text1"/>
        </w:rPr>
        <w:t>可对用户的访问进行认证、授权。</w:t>
      </w:r>
    </w:p>
    <w:p>
      <w:pPr>
        <w:snapToGrid w:val="0"/>
        <w:ind w:firstLine="480"/>
        <w:rPr>
          <w:rFonts w:ascii="宋体" w:hAnsi="宋体"/>
          <w:color w:val="000000" w:themeColor="text1"/>
        </w:rPr>
      </w:pPr>
      <w:r>
        <w:rPr>
          <w:rFonts w:ascii="宋体" w:hAnsi="宋体"/>
          <w:color w:val="000000" w:themeColor="text1"/>
        </w:rPr>
        <w:t>可对用户划分等级，不同级别的管理员应具有不同的权限，访问者只能在自己的权限范围内进行管理操作。敏感信息、或固定用户终端鉴权属性、数据库和配置数据只能由有授权的个人或管理系统进行操作。</w:t>
      </w:r>
    </w:p>
    <w:p>
      <w:pPr>
        <w:snapToGrid w:val="0"/>
        <w:ind w:firstLine="480"/>
        <w:rPr>
          <w:rFonts w:ascii="宋体" w:hAnsi="宋体"/>
          <w:color w:val="000000" w:themeColor="text1"/>
        </w:rPr>
      </w:pPr>
      <w:r>
        <w:rPr>
          <w:rFonts w:ascii="宋体" w:hAnsi="宋体"/>
          <w:color w:val="000000" w:themeColor="text1"/>
        </w:rPr>
        <w:t>提供操作日志记录，以记录网管配置的改变及网管操作人员登录、注销的时间。</w:t>
      </w:r>
    </w:p>
    <w:p>
      <w:pPr>
        <w:pStyle w:val="5"/>
        <w:spacing w:before="120" w:after="120"/>
        <w:ind w:firstLine="480"/>
        <w:rPr>
          <w:color w:val="000000" w:themeColor="text1"/>
        </w:rPr>
      </w:pPr>
      <w:r>
        <w:rPr>
          <w:rFonts w:hint="eastAsia"/>
          <w:color w:val="000000" w:themeColor="text1"/>
        </w:rPr>
        <w:t>1.7</w:t>
      </w:r>
      <w:r>
        <w:rPr>
          <w:color w:val="000000" w:themeColor="text1"/>
        </w:rPr>
        <w:t>公安视频专网IP地址规划</w:t>
      </w:r>
    </w:p>
    <w:p>
      <w:pPr>
        <w:pStyle w:val="6"/>
        <w:spacing w:before="120" w:after="120"/>
        <w:ind w:firstLine="480"/>
        <w:rPr>
          <w:color w:val="000000" w:themeColor="text1"/>
        </w:rPr>
      </w:pPr>
      <w:r>
        <w:rPr>
          <w:rFonts w:hint="eastAsia"/>
          <w:color w:val="000000" w:themeColor="text1"/>
        </w:rPr>
        <w:t>1.7.1</w:t>
      </w:r>
      <w:r>
        <w:rPr>
          <w:color w:val="000000" w:themeColor="text1"/>
        </w:rPr>
        <w:t>总体要求</w:t>
      </w:r>
    </w:p>
    <w:p>
      <w:pPr>
        <w:ind w:firstLine="480"/>
        <w:rPr>
          <w:color w:val="000000" w:themeColor="text1"/>
        </w:rPr>
      </w:pPr>
      <w:r>
        <w:rPr>
          <w:color w:val="000000" w:themeColor="text1"/>
        </w:rPr>
        <w:t>IP地址规划的好坏，影响到网络路由协议算法的效率，影响到网络的性能，影响到网络的扩展，影响到网络的管理，也必将直接影响到网络应用的进一步发展。鉴于金华市公安信息网络业务逐步增加，设备不断增多，因此需对IP地址划分做细致规划，才能满足未来金华市公安信息化发展。</w:t>
      </w:r>
    </w:p>
    <w:p>
      <w:pPr>
        <w:ind w:firstLine="480"/>
        <w:rPr>
          <w:color w:val="000000" w:themeColor="text1"/>
        </w:rPr>
      </w:pPr>
      <w:r>
        <w:rPr>
          <w:color w:val="000000" w:themeColor="text1"/>
        </w:rPr>
        <w:t>唯一性</w:t>
      </w:r>
    </w:p>
    <w:p>
      <w:pPr>
        <w:ind w:firstLine="480"/>
        <w:rPr>
          <w:color w:val="000000" w:themeColor="text1"/>
        </w:rPr>
      </w:pPr>
      <w:r>
        <w:rPr>
          <w:color w:val="000000" w:themeColor="text1"/>
        </w:rPr>
        <w:t>唯一性是IP地址在TCP/IP协议中最基本的要求，是IP地址的基本特征和IP地址编制的重要依据。政务网中每一网络所使用的IP地址的网络地址字段必须是唯一的，在同一网络中所使用的IP地址中包含的主机地址字段也必须是唯一的，这是实现IP网络互联互通的基本条件。</w:t>
      </w:r>
    </w:p>
    <w:p>
      <w:pPr>
        <w:ind w:firstLine="480"/>
        <w:rPr>
          <w:color w:val="000000" w:themeColor="text1"/>
        </w:rPr>
      </w:pPr>
      <w:r>
        <w:rPr>
          <w:color w:val="000000" w:themeColor="text1"/>
        </w:rPr>
        <w:t>连续性原则</w:t>
      </w:r>
    </w:p>
    <w:p>
      <w:pPr>
        <w:ind w:firstLine="480"/>
        <w:rPr>
          <w:color w:val="000000" w:themeColor="text1"/>
        </w:rPr>
      </w:pPr>
      <w:r>
        <w:rPr>
          <w:color w:val="000000" w:themeColor="text1"/>
        </w:rPr>
        <w:t>在层次化结构的网络中为各个节点划分连续的IP地址区间，便于实现路径叠合（RouteSummarization）等优化IP地址的分配技术，简化路由表数据，提高路由算法的计算效率和动态路由的快速收敛，能有效利用地址空间。</w:t>
      </w:r>
    </w:p>
    <w:p>
      <w:pPr>
        <w:ind w:firstLine="480"/>
        <w:rPr>
          <w:color w:val="000000" w:themeColor="text1"/>
        </w:rPr>
      </w:pPr>
      <w:r>
        <w:rPr>
          <w:color w:val="000000" w:themeColor="text1"/>
        </w:rPr>
        <w:t>扩展性原则</w:t>
      </w:r>
    </w:p>
    <w:p>
      <w:pPr>
        <w:ind w:firstLine="480"/>
        <w:rPr>
          <w:color w:val="000000" w:themeColor="text1"/>
        </w:rPr>
      </w:pPr>
      <w:r>
        <w:rPr>
          <w:color w:val="000000" w:themeColor="text1"/>
        </w:rPr>
        <w:t>IP地址编制要兼顾网络规模扩展的需求，为各个节点预留足够的IP地址扩展区间时，应考虑对网络在用地址的继承性，满足路由协议的要求、实现IP地址编用的平滑连接等，这是保证网络扩展和有序管理的重要条件。</w:t>
      </w:r>
    </w:p>
    <w:p>
      <w:pPr>
        <w:ind w:firstLine="480"/>
        <w:rPr>
          <w:color w:val="000000" w:themeColor="text1"/>
        </w:rPr>
      </w:pPr>
      <w:r>
        <w:rPr>
          <w:color w:val="000000" w:themeColor="text1"/>
        </w:rPr>
        <w:t>规范性原则</w:t>
      </w:r>
    </w:p>
    <w:p>
      <w:pPr>
        <w:ind w:firstLine="480"/>
        <w:rPr>
          <w:color w:val="000000" w:themeColor="text1"/>
        </w:rPr>
      </w:pPr>
      <w:r>
        <w:rPr>
          <w:color w:val="000000" w:themeColor="text1"/>
        </w:rPr>
        <w:t>各节点的网络互联设备和局域网内主要设备等采用规范的地址编制技术和方法，是网络互联互通和提高网络管理效率的有效措施。</w:t>
      </w:r>
    </w:p>
    <w:p>
      <w:pPr>
        <w:ind w:firstLine="480"/>
        <w:rPr>
          <w:color w:val="000000" w:themeColor="text1"/>
        </w:rPr>
      </w:pPr>
      <w:r>
        <w:rPr>
          <w:color w:val="000000" w:themeColor="text1"/>
        </w:rPr>
        <w:t>标准化原则</w:t>
      </w:r>
    </w:p>
    <w:p>
      <w:pPr>
        <w:ind w:firstLine="480"/>
        <w:rPr>
          <w:color w:val="000000" w:themeColor="text1"/>
        </w:rPr>
      </w:pPr>
      <w:r>
        <w:rPr>
          <w:color w:val="000000" w:themeColor="text1"/>
        </w:rPr>
        <w:t>遵循有关TCP/IP协议标准来规划IP地址，是网络建设的重要原则。</w:t>
      </w:r>
    </w:p>
    <w:p>
      <w:pPr>
        <w:pStyle w:val="6"/>
        <w:spacing w:before="120" w:after="120"/>
        <w:ind w:firstLine="480"/>
        <w:rPr>
          <w:color w:val="000000" w:themeColor="text1"/>
        </w:rPr>
      </w:pPr>
      <w:r>
        <w:rPr>
          <w:rFonts w:hint="eastAsia"/>
          <w:color w:val="000000" w:themeColor="text1"/>
        </w:rPr>
        <w:t xml:space="preserve">1.7.2 </w:t>
      </w:r>
      <w:r>
        <w:rPr>
          <w:color w:val="000000" w:themeColor="text1"/>
        </w:rPr>
        <w:t>IP地址规划</w:t>
      </w:r>
    </w:p>
    <w:p>
      <w:pPr>
        <w:snapToGrid w:val="0"/>
        <w:ind w:firstLine="480"/>
        <w:jc w:val="center"/>
        <w:rPr>
          <w:rFonts w:ascii="宋体" w:hAnsi="宋体"/>
          <w:color w:val="000000" w:themeColor="text1"/>
        </w:rPr>
      </w:pPr>
      <w:r>
        <w:rPr>
          <w:rFonts w:hint="eastAsia" w:ascii="宋体" w:hAnsi="宋体"/>
          <w:color w:val="000000" w:themeColor="text1"/>
        </w:rPr>
        <w:t xml:space="preserve">表 </w:t>
      </w:r>
      <w:r>
        <w:rPr>
          <w:rFonts w:ascii="宋体" w:hAnsi="宋体"/>
          <w:color w:val="000000" w:themeColor="text1"/>
        </w:rPr>
        <w:fldChar w:fldCharType="begin"/>
      </w:r>
      <w:r>
        <w:rPr>
          <w:rFonts w:hint="eastAsia" w:ascii="宋体" w:hAnsi="宋体"/>
          <w:color w:val="000000" w:themeColor="text1"/>
        </w:rPr>
        <w:instrText xml:space="preserve">SEQ 表格 \* ARABIC \s 2</w:instrText>
      </w:r>
      <w:r>
        <w:rPr>
          <w:rFonts w:ascii="宋体" w:hAnsi="宋体"/>
          <w:color w:val="000000" w:themeColor="text1"/>
        </w:rPr>
        <w:fldChar w:fldCharType="separate"/>
      </w:r>
      <w:r>
        <w:rPr>
          <w:rFonts w:ascii="宋体" w:hAnsi="宋体"/>
          <w:color w:val="000000" w:themeColor="text1"/>
        </w:rPr>
        <w:t>1</w:t>
      </w:r>
      <w:r>
        <w:rPr>
          <w:rFonts w:ascii="宋体" w:hAnsi="宋体"/>
          <w:color w:val="000000" w:themeColor="text1"/>
        </w:rPr>
        <w:fldChar w:fldCharType="end"/>
      </w:r>
      <w:r>
        <w:rPr>
          <w:rFonts w:hint="eastAsia" w:ascii="宋体" w:hAnsi="宋体"/>
          <w:color w:val="000000" w:themeColor="text1"/>
        </w:rPr>
        <w:t xml:space="preserve">   IP地址总体规划表</w:t>
      </w:r>
    </w:p>
    <w:tbl>
      <w:tblPr>
        <w:tblStyle w:val="53"/>
        <w:tblW w:w="910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16"/>
        <w:gridCol w:w="1701"/>
        <w:gridCol w:w="56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jc w:val="center"/>
        </w:trPr>
        <w:tc>
          <w:tcPr>
            <w:tcW w:w="1716" w:type="dxa"/>
            <w:vAlign w:val="center"/>
          </w:tcPr>
          <w:p>
            <w:pPr>
              <w:snapToGrid w:val="0"/>
              <w:ind w:firstLine="482"/>
              <w:jc w:val="center"/>
              <w:rPr>
                <w:b/>
                <w:color w:val="000000" w:themeColor="text1"/>
                <w:szCs w:val="21"/>
              </w:rPr>
            </w:pPr>
            <w:r>
              <w:rPr>
                <w:b/>
                <w:color w:val="000000" w:themeColor="text1"/>
                <w:szCs w:val="21"/>
              </w:rPr>
              <w:t>地址规划</w:t>
            </w:r>
          </w:p>
        </w:tc>
        <w:tc>
          <w:tcPr>
            <w:tcW w:w="1701" w:type="dxa"/>
            <w:vAlign w:val="center"/>
          </w:tcPr>
          <w:p>
            <w:pPr>
              <w:snapToGrid w:val="0"/>
              <w:ind w:firstLine="482"/>
              <w:jc w:val="center"/>
              <w:rPr>
                <w:b/>
                <w:color w:val="000000" w:themeColor="text1"/>
                <w:szCs w:val="21"/>
              </w:rPr>
            </w:pPr>
            <w:r>
              <w:rPr>
                <w:b/>
                <w:color w:val="000000" w:themeColor="text1"/>
                <w:szCs w:val="21"/>
              </w:rPr>
              <w:t>县（市、区）</w:t>
            </w:r>
          </w:p>
        </w:tc>
        <w:tc>
          <w:tcPr>
            <w:tcW w:w="5684" w:type="dxa"/>
            <w:vAlign w:val="center"/>
          </w:tcPr>
          <w:p>
            <w:pPr>
              <w:snapToGrid w:val="0"/>
              <w:ind w:firstLine="482"/>
              <w:jc w:val="center"/>
              <w:rPr>
                <w:b/>
                <w:color w:val="000000" w:themeColor="text1"/>
                <w:szCs w:val="21"/>
              </w:rPr>
            </w:pPr>
            <w:r>
              <w:rPr>
                <w:b/>
                <w:color w:val="000000" w:themeColor="text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716" w:type="dxa"/>
            <w:vAlign w:val="center"/>
          </w:tcPr>
          <w:p>
            <w:pPr>
              <w:snapToGrid w:val="0"/>
              <w:ind w:firstLine="480"/>
              <w:jc w:val="center"/>
              <w:rPr>
                <w:color w:val="000000" w:themeColor="text1"/>
                <w:szCs w:val="21"/>
              </w:rPr>
            </w:pPr>
            <w:r>
              <w:rPr>
                <w:color w:val="000000" w:themeColor="text1"/>
                <w:szCs w:val="21"/>
              </w:rPr>
              <w:t>33.176</w:t>
            </w:r>
          </w:p>
        </w:tc>
        <w:tc>
          <w:tcPr>
            <w:tcW w:w="1701" w:type="dxa"/>
            <w:vAlign w:val="center"/>
          </w:tcPr>
          <w:p>
            <w:pPr>
              <w:snapToGrid w:val="0"/>
              <w:ind w:firstLine="480"/>
              <w:jc w:val="center"/>
              <w:rPr>
                <w:color w:val="000000" w:themeColor="text1"/>
                <w:szCs w:val="21"/>
              </w:rPr>
            </w:pPr>
            <w:r>
              <w:rPr>
                <w:color w:val="000000" w:themeColor="text1"/>
                <w:szCs w:val="21"/>
              </w:rPr>
              <w:t>互联地址</w:t>
            </w:r>
          </w:p>
        </w:tc>
        <w:tc>
          <w:tcPr>
            <w:tcW w:w="5684" w:type="dxa"/>
            <w:vAlign w:val="center"/>
          </w:tcPr>
          <w:p>
            <w:pPr>
              <w:snapToGrid w:val="0"/>
              <w:ind w:firstLine="480"/>
              <w:jc w:val="center"/>
              <w:rPr>
                <w:color w:val="000000" w:themeColor="text1"/>
                <w:szCs w:val="21"/>
              </w:rPr>
            </w:pPr>
            <w:r>
              <w:rPr>
                <w:color w:val="000000" w:themeColor="text1"/>
                <w:szCs w:val="21"/>
              </w:rPr>
              <w:t>互联及管理地址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jc w:val="center"/>
        </w:trPr>
        <w:tc>
          <w:tcPr>
            <w:tcW w:w="1716" w:type="dxa"/>
            <w:vAlign w:val="center"/>
          </w:tcPr>
          <w:p>
            <w:pPr>
              <w:snapToGrid w:val="0"/>
              <w:ind w:firstLine="480"/>
              <w:jc w:val="center"/>
              <w:rPr>
                <w:color w:val="000000" w:themeColor="text1"/>
                <w:szCs w:val="21"/>
              </w:rPr>
            </w:pPr>
            <w:r>
              <w:rPr>
                <w:color w:val="000000" w:themeColor="text1"/>
                <w:szCs w:val="21"/>
              </w:rPr>
              <w:t>33.177</w:t>
            </w:r>
          </w:p>
        </w:tc>
        <w:tc>
          <w:tcPr>
            <w:tcW w:w="1701" w:type="dxa"/>
            <w:vAlign w:val="center"/>
          </w:tcPr>
          <w:p>
            <w:pPr>
              <w:snapToGrid w:val="0"/>
              <w:ind w:firstLine="480"/>
              <w:jc w:val="center"/>
              <w:rPr>
                <w:color w:val="000000" w:themeColor="text1"/>
                <w:szCs w:val="21"/>
              </w:rPr>
            </w:pPr>
            <w:r>
              <w:rPr>
                <w:color w:val="000000" w:themeColor="text1"/>
                <w:szCs w:val="21"/>
              </w:rPr>
              <w:t>预留</w:t>
            </w:r>
          </w:p>
        </w:tc>
        <w:tc>
          <w:tcPr>
            <w:tcW w:w="5684" w:type="dxa"/>
            <w:vAlign w:val="center"/>
          </w:tcPr>
          <w:p>
            <w:pPr>
              <w:snapToGrid w:val="0"/>
              <w:ind w:firstLine="480"/>
              <w:jc w:val="center"/>
              <w:rPr>
                <w:color w:val="000000" w:themeColor="text1"/>
                <w:szCs w:val="21"/>
              </w:rPr>
            </w:pPr>
            <w:r>
              <w:rPr>
                <w:color w:val="000000" w:themeColor="text1"/>
                <w:szCs w:val="21"/>
              </w:rPr>
              <w:t>预留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1716" w:type="dxa"/>
            <w:vAlign w:val="center"/>
          </w:tcPr>
          <w:p>
            <w:pPr>
              <w:snapToGrid w:val="0"/>
              <w:ind w:firstLine="480"/>
              <w:jc w:val="center"/>
              <w:rPr>
                <w:color w:val="000000" w:themeColor="text1"/>
                <w:szCs w:val="21"/>
              </w:rPr>
            </w:pPr>
            <w:r>
              <w:rPr>
                <w:color w:val="000000" w:themeColor="text1"/>
                <w:szCs w:val="21"/>
              </w:rPr>
              <w:t>33.178</w:t>
            </w:r>
          </w:p>
        </w:tc>
        <w:tc>
          <w:tcPr>
            <w:tcW w:w="1701" w:type="dxa"/>
            <w:vAlign w:val="center"/>
          </w:tcPr>
          <w:p>
            <w:pPr>
              <w:snapToGrid w:val="0"/>
              <w:ind w:firstLine="480"/>
              <w:jc w:val="center"/>
              <w:rPr>
                <w:color w:val="000000" w:themeColor="text1"/>
                <w:szCs w:val="21"/>
              </w:rPr>
            </w:pPr>
            <w:r>
              <w:rPr>
                <w:color w:val="000000" w:themeColor="text1"/>
                <w:szCs w:val="21"/>
              </w:rPr>
              <w:t>预留</w:t>
            </w:r>
          </w:p>
        </w:tc>
        <w:tc>
          <w:tcPr>
            <w:tcW w:w="5684" w:type="dxa"/>
            <w:vAlign w:val="center"/>
          </w:tcPr>
          <w:p>
            <w:pPr>
              <w:snapToGrid w:val="0"/>
              <w:ind w:firstLine="480"/>
              <w:jc w:val="center"/>
              <w:rPr>
                <w:color w:val="000000" w:themeColor="text1"/>
                <w:szCs w:val="21"/>
              </w:rPr>
            </w:pPr>
            <w:r>
              <w:rPr>
                <w:color w:val="000000" w:themeColor="text1"/>
                <w:szCs w:val="21"/>
              </w:rPr>
              <w:t>预留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1716" w:type="dxa"/>
            <w:vAlign w:val="center"/>
          </w:tcPr>
          <w:p>
            <w:pPr>
              <w:snapToGrid w:val="0"/>
              <w:ind w:firstLine="480"/>
              <w:jc w:val="center"/>
              <w:rPr>
                <w:color w:val="000000" w:themeColor="text1"/>
                <w:szCs w:val="21"/>
              </w:rPr>
            </w:pPr>
            <w:r>
              <w:rPr>
                <w:color w:val="000000" w:themeColor="text1"/>
                <w:szCs w:val="21"/>
              </w:rPr>
              <w:t>33.179</w:t>
            </w:r>
          </w:p>
        </w:tc>
        <w:tc>
          <w:tcPr>
            <w:tcW w:w="1701" w:type="dxa"/>
            <w:vAlign w:val="center"/>
          </w:tcPr>
          <w:p>
            <w:pPr>
              <w:snapToGrid w:val="0"/>
              <w:ind w:firstLine="480"/>
              <w:jc w:val="center"/>
              <w:rPr>
                <w:color w:val="000000" w:themeColor="text1"/>
                <w:szCs w:val="21"/>
              </w:rPr>
            </w:pPr>
            <w:r>
              <w:rPr>
                <w:color w:val="000000" w:themeColor="text1"/>
                <w:szCs w:val="21"/>
              </w:rPr>
              <w:t>二类点位</w:t>
            </w:r>
          </w:p>
        </w:tc>
        <w:tc>
          <w:tcPr>
            <w:tcW w:w="5684" w:type="dxa"/>
            <w:vAlign w:val="center"/>
          </w:tcPr>
          <w:p>
            <w:pPr>
              <w:snapToGrid w:val="0"/>
              <w:ind w:firstLine="480"/>
              <w:jc w:val="center"/>
              <w:rPr>
                <w:color w:val="000000" w:themeColor="text1"/>
                <w:szCs w:val="21"/>
              </w:rPr>
            </w:pPr>
            <w:r>
              <w:rPr>
                <w:color w:val="000000" w:themeColor="text1"/>
                <w:szCs w:val="21"/>
              </w:rPr>
              <w:t>用于二类点位，每个县（市、区）规划16个C，其中社会面平台及存量行业1个C，新建行业每个县（市、区）15个C；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2" w:hRule="atLeast"/>
          <w:jc w:val="center"/>
        </w:trPr>
        <w:tc>
          <w:tcPr>
            <w:tcW w:w="1716" w:type="dxa"/>
            <w:vAlign w:val="center"/>
          </w:tcPr>
          <w:p>
            <w:pPr>
              <w:snapToGrid w:val="0"/>
              <w:ind w:firstLine="480"/>
              <w:jc w:val="center"/>
              <w:rPr>
                <w:color w:val="000000" w:themeColor="text1"/>
                <w:szCs w:val="21"/>
              </w:rPr>
            </w:pPr>
            <w:r>
              <w:rPr>
                <w:color w:val="000000" w:themeColor="text1"/>
                <w:szCs w:val="21"/>
              </w:rPr>
              <w:t>33.180</w:t>
            </w:r>
          </w:p>
        </w:tc>
        <w:tc>
          <w:tcPr>
            <w:tcW w:w="1701" w:type="dxa"/>
            <w:vAlign w:val="center"/>
          </w:tcPr>
          <w:p>
            <w:pPr>
              <w:snapToGrid w:val="0"/>
              <w:ind w:firstLine="480"/>
              <w:jc w:val="center"/>
              <w:rPr>
                <w:color w:val="000000" w:themeColor="text1"/>
                <w:szCs w:val="21"/>
              </w:rPr>
            </w:pPr>
            <w:r>
              <w:rPr>
                <w:color w:val="000000" w:themeColor="text1"/>
                <w:szCs w:val="21"/>
              </w:rPr>
              <w:t>金华市局</w:t>
            </w:r>
          </w:p>
        </w:tc>
        <w:tc>
          <w:tcPr>
            <w:tcW w:w="5684" w:type="dxa"/>
            <w:vAlign w:val="center"/>
          </w:tcPr>
          <w:p>
            <w:pPr>
              <w:snapToGrid w:val="0"/>
              <w:ind w:firstLine="480"/>
              <w:jc w:val="center"/>
              <w:rPr>
                <w:color w:val="000000" w:themeColor="text1"/>
                <w:szCs w:val="21"/>
              </w:rPr>
            </w:pPr>
            <w:r>
              <w:rPr>
                <w:color w:val="000000" w:themeColor="text1"/>
                <w:szCs w:val="21"/>
              </w:rPr>
              <w:t>规划5个C，用于解析中心及云存储地址；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jc w:val="center"/>
        </w:trPr>
        <w:tc>
          <w:tcPr>
            <w:tcW w:w="1716" w:type="dxa"/>
            <w:vAlign w:val="center"/>
          </w:tcPr>
          <w:p>
            <w:pPr>
              <w:snapToGrid w:val="0"/>
              <w:ind w:firstLine="480"/>
              <w:jc w:val="center"/>
              <w:rPr>
                <w:color w:val="000000" w:themeColor="text1"/>
                <w:szCs w:val="21"/>
              </w:rPr>
            </w:pPr>
            <w:r>
              <w:rPr>
                <w:color w:val="000000" w:themeColor="text1"/>
                <w:szCs w:val="21"/>
              </w:rPr>
              <w:t>33.181</w:t>
            </w:r>
          </w:p>
        </w:tc>
        <w:tc>
          <w:tcPr>
            <w:tcW w:w="1701" w:type="dxa"/>
            <w:vAlign w:val="center"/>
          </w:tcPr>
          <w:p>
            <w:pPr>
              <w:snapToGrid w:val="0"/>
              <w:ind w:firstLine="480"/>
              <w:jc w:val="center"/>
              <w:rPr>
                <w:color w:val="000000" w:themeColor="text1"/>
                <w:szCs w:val="21"/>
              </w:rPr>
            </w:pPr>
            <w:r>
              <w:rPr>
                <w:color w:val="000000" w:themeColor="text1"/>
                <w:szCs w:val="21"/>
              </w:rPr>
              <w:t>婺城分局</w:t>
            </w:r>
          </w:p>
        </w:tc>
        <w:tc>
          <w:tcPr>
            <w:tcW w:w="5684" w:type="dxa"/>
            <w:vAlign w:val="center"/>
          </w:tcPr>
          <w:p>
            <w:pPr>
              <w:snapToGrid w:val="0"/>
              <w:ind w:firstLine="480"/>
              <w:jc w:val="center"/>
              <w:rPr>
                <w:color w:val="000000" w:themeColor="text1"/>
                <w:szCs w:val="21"/>
              </w:rPr>
            </w:pPr>
            <w:r>
              <w:rPr>
                <w:color w:val="000000" w:themeColor="text1"/>
                <w:szCs w:val="21"/>
              </w:rPr>
              <w:t>与原规划保持一致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41" w:hRule="atLeast"/>
          <w:jc w:val="center"/>
        </w:trPr>
        <w:tc>
          <w:tcPr>
            <w:tcW w:w="1716" w:type="dxa"/>
            <w:vAlign w:val="center"/>
          </w:tcPr>
          <w:p>
            <w:pPr>
              <w:snapToGrid w:val="0"/>
              <w:ind w:firstLine="480"/>
              <w:jc w:val="center"/>
              <w:rPr>
                <w:color w:val="000000" w:themeColor="text1"/>
                <w:szCs w:val="21"/>
              </w:rPr>
            </w:pPr>
            <w:r>
              <w:rPr>
                <w:color w:val="000000" w:themeColor="text1"/>
                <w:szCs w:val="21"/>
              </w:rPr>
              <w:t>33.182</w:t>
            </w:r>
          </w:p>
        </w:tc>
        <w:tc>
          <w:tcPr>
            <w:tcW w:w="1701" w:type="dxa"/>
            <w:vAlign w:val="center"/>
          </w:tcPr>
          <w:p>
            <w:pPr>
              <w:snapToGrid w:val="0"/>
              <w:ind w:firstLine="480"/>
              <w:jc w:val="center"/>
              <w:rPr>
                <w:color w:val="000000" w:themeColor="text1"/>
                <w:szCs w:val="21"/>
              </w:rPr>
            </w:pPr>
            <w:r>
              <w:rPr>
                <w:color w:val="000000" w:themeColor="text1"/>
                <w:szCs w:val="21"/>
              </w:rPr>
              <w:t>江南分局</w:t>
            </w:r>
          </w:p>
        </w:tc>
        <w:tc>
          <w:tcPr>
            <w:tcW w:w="5684" w:type="dxa"/>
            <w:vAlign w:val="center"/>
          </w:tcPr>
          <w:p>
            <w:pPr>
              <w:snapToGrid w:val="0"/>
              <w:ind w:firstLine="480"/>
              <w:jc w:val="center"/>
              <w:rPr>
                <w:color w:val="000000" w:themeColor="text1"/>
                <w:szCs w:val="21"/>
              </w:rPr>
            </w:pPr>
            <w:r>
              <w:rPr>
                <w:color w:val="000000" w:themeColor="text1"/>
                <w:szCs w:val="21"/>
              </w:rPr>
              <w:t>与原规划保持一致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jc w:val="center"/>
        </w:trPr>
        <w:tc>
          <w:tcPr>
            <w:tcW w:w="1716" w:type="dxa"/>
            <w:vAlign w:val="center"/>
          </w:tcPr>
          <w:p>
            <w:pPr>
              <w:snapToGrid w:val="0"/>
              <w:ind w:firstLine="480"/>
              <w:jc w:val="center"/>
              <w:rPr>
                <w:color w:val="000000" w:themeColor="text1"/>
                <w:szCs w:val="21"/>
              </w:rPr>
            </w:pPr>
            <w:r>
              <w:rPr>
                <w:color w:val="000000" w:themeColor="text1"/>
                <w:szCs w:val="21"/>
              </w:rPr>
              <w:t>33.183</w:t>
            </w:r>
          </w:p>
        </w:tc>
        <w:tc>
          <w:tcPr>
            <w:tcW w:w="1701" w:type="dxa"/>
            <w:vAlign w:val="center"/>
          </w:tcPr>
          <w:p>
            <w:pPr>
              <w:snapToGrid w:val="0"/>
              <w:ind w:firstLine="480"/>
              <w:jc w:val="center"/>
              <w:rPr>
                <w:color w:val="000000" w:themeColor="text1"/>
                <w:szCs w:val="21"/>
              </w:rPr>
            </w:pPr>
            <w:r>
              <w:rPr>
                <w:color w:val="000000" w:themeColor="text1"/>
                <w:szCs w:val="21"/>
              </w:rPr>
              <w:t>金东分局</w:t>
            </w:r>
          </w:p>
        </w:tc>
        <w:tc>
          <w:tcPr>
            <w:tcW w:w="5684" w:type="dxa"/>
            <w:vAlign w:val="center"/>
          </w:tcPr>
          <w:p>
            <w:pPr>
              <w:snapToGrid w:val="0"/>
              <w:ind w:firstLine="480"/>
              <w:jc w:val="center"/>
              <w:rPr>
                <w:color w:val="000000" w:themeColor="text1"/>
                <w:szCs w:val="21"/>
              </w:rPr>
            </w:pPr>
            <w:r>
              <w:rPr>
                <w:color w:val="000000" w:themeColor="text1"/>
                <w:szCs w:val="21"/>
              </w:rPr>
              <w:t>与原规划保持一致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jc w:val="center"/>
        </w:trPr>
        <w:tc>
          <w:tcPr>
            <w:tcW w:w="1716" w:type="dxa"/>
            <w:vAlign w:val="center"/>
          </w:tcPr>
          <w:p>
            <w:pPr>
              <w:snapToGrid w:val="0"/>
              <w:ind w:firstLine="480"/>
              <w:jc w:val="center"/>
              <w:rPr>
                <w:color w:val="000000" w:themeColor="text1"/>
                <w:szCs w:val="21"/>
              </w:rPr>
            </w:pPr>
            <w:r>
              <w:rPr>
                <w:color w:val="000000" w:themeColor="text1"/>
                <w:szCs w:val="21"/>
              </w:rPr>
              <w:t>33.184</w:t>
            </w:r>
          </w:p>
        </w:tc>
        <w:tc>
          <w:tcPr>
            <w:tcW w:w="1701" w:type="dxa"/>
            <w:vAlign w:val="center"/>
          </w:tcPr>
          <w:p>
            <w:pPr>
              <w:snapToGrid w:val="0"/>
              <w:ind w:firstLine="480"/>
              <w:jc w:val="center"/>
              <w:rPr>
                <w:color w:val="000000" w:themeColor="text1"/>
                <w:szCs w:val="21"/>
              </w:rPr>
            </w:pPr>
            <w:r>
              <w:rPr>
                <w:color w:val="000000" w:themeColor="text1"/>
                <w:szCs w:val="21"/>
              </w:rPr>
              <w:t>兰溪市局</w:t>
            </w:r>
          </w:p>
        </w:tc>
        <w:tc>
          <w:tcPr>
            <w:tcW w:w="5684" w:type="dxa"/>
            <w:vAlign w:val="center"/>
          </w:tcPr>
          <w:p>
            <w:pPr>
              <w:snapToGrid w:val="0"/>
              <w:ind w:firstLine="480"/>
              <w:jc w:val="center"/>
              <w:rPr>
                <w:color w:val="000000" w:themeColor="text1"/>
                <w:szCs w:val="21"/>
              </w:rPr>
            </w:pPr>
            <w:r>
              <w:rPr>
                <w:color w:val="000000" w:themeColor="text1"/>
                <w:szCs w:val="21"/>
              </w:rPr>
              <w:t>与原规划保持一致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40" w:hRule="atLeast"/>
          <w:jc w:val="center"/>
        </w:trPr>
        <w:tc>
          <w:tcPr>
            <w:tcW w:w="1716" w:type="dxa"/>
            <w:vAlign w:val="center"/>
          </w:tcPr>
          <w:p>
            <w:pPr>
              <w:snapToGrid w:val="0"/>
              <w:ind w:firstLine="480"/>
              <w:jc w:val="center"/>
              <w:rPr>
                <w:color w:val="000000" w:themeColor="text1"/>
                <w:szCs w:val="21"/>
              </w:rPr>
            </w:pPr>
            <w:r>
              <w:rPr>
                <w:color w:val="000000" w:themeColor="text1"/>
                <w:szCs w:val="21"/>
              </w:rPr>
              <w:t>33.185</w:t>
            </w:r>
          </w:p>
        </w:tc>
        <w:tc>
          <w:tcPr>
            <w:tcW w:w="1701" w:type="dxa"/>
            <w:vAlign w:val="center"/>
          </w:tcPr>
          <w:p>
            <w:pPr>
              <w:snapToGrid w:val="0"/>
              <w:ind w:firstLine="480"/>
              <w:jc w:val="center"/>
              <w:rPr>
                <w:color w:val="000000" w:themeColor="text1"/>
                <w:szCs w:val="21"/>
              </w:rPr>
            </w:pPr>
            <w:r>
              <w:rPr>
                <w:color w:val="000000" w:themeColor="text1"/>
                <w:szCs w:val="21"/>
              </w:rPr>
              <w:t>义乌市局</w:t>
            </w:r>
          </w:p>
        </w:tc>
        <w:tc>
          <w:tcPr>
            <w:tcW w:w="5684" w:type="dxa"/>
            <w:vAlign w:val="center"/>
          </w:tcPr>
          <w:p>
            <w:pPr>
              <w:snapToGrid w:val="0"/>
              <w:ind w:firstLine="480"/>
              <w:jc w:val="center"/>
              <w:rPr>
                <w:color w:val="000000" w:themeColor="text1"/>
                <w:szCs w:val="21"/>
              </w:rPr>
            </w:pPr>
            <w:r>
              <w:rPr>
                <w:color w:val="000000" w:themeColor="text1"/>
                <w:szCs w:val="21"/>
              </w:rPr>
              <w:t>与原规划保持一致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0" w:hRule="atLeast"/>
          <w:jc w:val="center"/>
        </w:trPr>
        <w:tc>
          <w:tcPr>
            <w:tcW w:w="1716" w:type="dxa"/>
            <w:vAlign w:val="center"/>
          </w:tcPr>
          <w:p>
            <w:pPr>
              <w:snapToGrid w:val="0"/>
              <w:ind w:firstLine="480"/>
              <w:jc w:val="center"/>
              <w:rPr>
                <w:color w:val="000000" w:themeColor="text1"/>
                <w:szCs w:val="21"/>
              </w:rPr>
            </w:pPr>
            <w:r>
              <w:rPr>
                <w:color w:val="000000" w:themeColor="text1"/>
                <w:szCs w:val="21"/>
              </w:rPr>
              <w:t>33.186</w:t>
            </w:r>
          </w:p>
        </w:tc>
        <w:tc>
          <w:tcPr>
            <w:tcW w:w="1701" w:type="dxa"/>
            <w:vAlign w:val="center"/>
          </w:tcPr>
          <w:p>
            <w:pPr>
              <w:snapToGrid w:val="0"/>
              <w:ind w:firstLine="480"/>
              <w:jc w:val="center"/>
              <w:rPr>
                <w:color w:val="000000" w:themeColor="text1"/>
                <w:szCs w:val="21"/>
              </w:rPr>
            </w:pPr>
            <w:r>
              <w:rPr>
                <w:color w:val="000000" w:themeColor="text1"/>
                <w:szCs w:val="21"/>
              </w:rPr>
              <w:t>东阳市局</w:t>
            </w:r>
          </w:p>
        </w:tc>
        <w:tc>
          <w:tcPr>
            <w:tcW w:w="5684" w:type="dxa"/>
            <w:vAlign w:val="center"/>
          </w:tcPr>
          <w:p>
            <w:pPr>
              <w:snapToGrid w:val="0"/>
              <w:ind w:firstLine="480"/>
              <w:jc w:val="center"/>
              <w:rPr>
                <w:color w:val="000000" w:themeColor="text1"/>
                <w:szCs w:val="21"/>
              </w:rPr>
            </w:pPr>
            <w:r>
              <w:rPr>
                <w:color w:val="000000" w:themeColor="text1"/>
                <w:szCs w:val="21"/>
              </w:rPr>
              <w:t>与原规划保持一致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1716" w:type="dxa"/>
            <w:vAlign w:val="center"/>
          </w:tcPr>
          <w:p>
            <w:pPr>
              <w:snapToGrid w:val="0"/>
              <w:ind w:firstLine="480"/>
              <w:jc w:val="center"/>
              <w:rPr>
                <w:color w:val="000000" w:themeColor="text1"/>
                <w:szCs w:val="21"/>
              </w:rPr>
            </w:pPr>
            <w:r>
              <w:rPr>
                <w:color w:val="000000" w:themeColor="text1"/>
                <w:szCs w:val="21"/>
              </w:rPr>
              <w:t>33.187</w:t>
            </w:r>
          </w:p>
        </w:tc>
        <w:tc>
          <w:tcPr>
            <w:tcW w:w="1701" w:type="dxa"/>
            <w:vAlign w:val="center"/>
          </w:tcPr>
          <w:p>
            <w:pPr>
              <w:snapToGrid w:val="0"/>
              <w:ind w:firstLine="480"/>
              <w:jc w:val="center"/>
              <w:rPr>
                <w:color w:val="000000" w:themeColor="text1"/>
                <w:szCs w:val="21"/>
              </w:rPr>
            </w:pPr>
            <w:r>
              <w:rPr>
                <w:color w:val="000000" w:themeColor="text1"/>
                <w:szCs w:val="21"/>
              </w:rPr>
              <w:t>永康市局</w:t>
            </w:r>
          </w:p>
        </w:tc>
        <w:tc>
          <w:tcPr>
            <w:tcW w:w="5684" w:type="dxa"/>
            <w:vAlign w:val="center"/>
          </w:tcPr>
          <w:p>
            <w:pPr>
              <w:snapToGrid w:val="0"/>
              <w:ind w:firstLine="480"/>
              <w:jc w:val="center"/>
              <w:rPr>
                <w:color w:val="000000" w:themeColor="text1"/>
                <w:szCs w:val="21"/>
              </w:rPr>
            </w:pPr>
            <w:r>
              <w:rPr>
                <w:color w:val="000000" w:themeColor="text1"/>
                <w:szCs w:val="21"/>
              </w:rPr>
              <w:t>与原规划保持一致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7" w:hRule="atLeast"/>
          <w:jc w:val="center"/>
        </w:trPr>
        <w:tc>
          <w:tcPr>
            <w:tcW w:w="1716" w:type="dxa"/>
            <w:vAlign w:val="center"/>
          </w:tcPr>
          <w:p>
            <w:pPr>
              <w:snapToGrid w:val="0"/>
              <w:ind w:firstLine="480"/>
              <w:jc w:val="center"/>
              <w:rPr>
                <w:color w:val="000000" w:themeColor="text1"/>
                <w:szCs w:val="21"/>
              </w:rPr>
            </w:pPr>
            <w:r>
              <w:rPr>
                <w:color w:val="000000" w:themeColor="text1"/>
                <w:szCs w:val="21"/>
              </w:rPr>
              <w:t>33.188</w:t>
            </w:r>
          </w:p>
        </w:tc>
        <w:tc>
          <w:tcPr>
            <w:tcW w:w="1701" w:type="dxa"/>
            <w:vAlign w:val="center"/>
          </w:tcPr>
          <w:p>
            <w:pPr>
              <w:snapToGrid w:val="0"/>
              <w:ind w:firstLine="480"/>
              <w:jc w:val="center"/>
              <w:rPr>
                <w:color w:val="000000" w:themeColor="text1"/>
                <w:szCs w:val="21"/>
              </w:rPr>
            </w:pPr>
            <w:r>
              <w:rPr>
                <w:color w:val="000000" w:themeColor="text1"/>
                <w:szCs w:val="21"/>
              </w:rPr>
              <w:t>武义县局</w:t>
            </w:r>
          </w:p>
        </w:tc>
        <w:tc>
          <w:tcPr>
            <w:tcW w:w="5684" w:type="dxa"/>
            <w:vAlign w:val="center"/>
          </w:tcPr>
          <w:p>
            <w:pPr>
              <w:snapToGrid w:val="0"/>
              <w:ind w:firstLine="480"/>
              <w:jc w:val="center"/>
              <w:rPr>
                <w:color w:val="000000" w:themeColor="text1"/>
                <w:szCs w:val="21"/>
              </w:rPr>
            </w:pPr>
            <w:r>
              <w:rPr>
                <w:color w:val="000000" w:themeColor="text1"/>
                <w:szCs w:val="21"/>
              </w:rPr>
              <w:t>与原规划保持一致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6" w:hRule="atLeast"/>
          <w:jc w:val="center"/>
        </w:trPr>
        <w:tc>
          <w:tcPr>
            <w:tcW w:w="1716" w:type="dxa"/>
            <w:vAlign w:val="center"/>
          </w:tcPr>
          <w:p>
            <w:pPr>
              <w:snapToGrid w:val="0"/>
              <w:ind w:firstLine="480"/>
              <w:jc w:val="center"/>
              <w:rPr>
                <w:color w:val="000000" w:themeColor="text1"/>
                <w:szCs w:val="21"/>
              </w:rPr>
            </w:pPr>
            <w:r>
              <w:rPr>
                <w:color w:val="000000" w:themeColor="text1"/>
                <w:szCs w:val="21"/>
              </w:rPr>
              <w:t>33.189</w:t>
            </w:r>
          </w:p>
        </w:tc>
        <w:tc>
          <w:tcPr>
            <w:tcW w:w="1701" w:type="dxa"/>
            <w:vAlign w:val="center"/>
          </w:tcPr>
          <w:p>
            <w:pPr>
              <w:snapToGrid w:val="0"/>
              <w:ind w:firstLine="480"/>
              <w:jc w:val="center"/>
              <w:rPr>
                <w:color w:val="000000" w:themeColor="text1"/>
                <w:szCs w:val="21"/>
              </w:rPr>
            </w:pPr>
            <w:r>
              <w:rPr>
                <w:color w:val="000000" w:themeColor="text1"/>
                <w:szCs w:val="21"/>
              </w:rPr>
              <w:t>浦江县局</w:t>
            </w:r>
          </w:p>
        </w:tc>
        <w:tc>
          <w:tcPr>
            <w:tcW w:w="5684" w:type="dxa"/>
            <w:vAlign w:val="center"/>
          </w:tcPr>
          <w:p>
            <w:pPr>
              <w:snapToGrid w:val="0"/>
              <w:ind w:firstLine="480"/>
              <w:jc w:val="center"/>
              <w:rPr>
                <w:color w:val="000000" w:themeColor="text1"/>
                <w:szCs w:val="21"/>
              </w:rPr>
            </w:pPr>
            <w:r>
              <w:rPr>
                <w:color w:val="000000" w:themeColor="text1"/>
                <w:szCs w:val="21"/>
              </w:rPr>
              <w:t>与原规划保持一致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1716" w:type="dxa"/>
            <w:vAlign w:val="center"/>
          </w:tcPr>
          <w:p>
            <w:pPr>
              <w:snapToGrid w:val="0"/>
              <w:ind w:firstLine="480"/>
              <w:jc w:val="center"/>
              <w:rPr>
                <w:color w:val="000000" w:themeColor="text1"/>
                <w:szCs w:val="21"/>
              </w:rPr>
            </w:pPr>
            <w:r>
              <w:rPr>
                <w:color w:val="000000" w:themeColor="text1"/>
                <w:szCs w:val="21"/>
              </w:rPr>
              <w:t>33.190</w:t>
            </w:r>
          </w:p>
        </w:tc>
        <w:tc>
          <w:tcPr>
            <w:tcW w:w="1701" w:type="dxa"/>
            <w:vAlign w:val="center"/>
          </w:tcPr>
          <w:p>
            <w:pPr>
              <w:snapToGrid w:val="0"/>
              <w:ind w:firstLine="480"/>
              <w:jc w:val="center"/>
              <w:rPr>
                <w:color w:val="000000" w:themeColor="text1"/>
                <w:szCs w:val="21"/>
              </w:rPr>
            </w:pPr>
            <w:r>
              <w:rPr>
                <w:color w:val="000000" w:themeColor="text1"/>
                <w:szCs w:val="21"/>
              </w:rPr>
              <w:t>磐安县局</w:t>
            </w:r>
          </w:p>
        </w:tc>
        <w:tc>
          <w:tcPr>
            <w:tcW w:w="5684" w:type="dxa"/>
            <w:vAlign w:val="center"/>
          </w:tcPr>
          <w:p>
            <w:pPr>
              <w:snapToGrid w:val="0"/>
              <w:ind w:firstLine="480"/>
              <w:jc w:val="center"/>
              <w:rPr>
                <w:color w:val="000000" w:themeColor="text1"/>
                <w:szCs w:val="21"/>
              </w:rPr>
            </w:pPr>
            <w:r>
              <w:rPr>
                <w:color w:val="000000" w:themeColor="text1"/>
                <w:szCs w:val="21"/>
              </w:rPr>
              <w:t>与原规划保持一致</w:t>
            </w:r>
          </w:p>
        </w:tc>
      </w:tr>
    </w:tbl>
    <w:p>
      <w:pPr>
        <w:snapToGrid w:val="0"/>
        <w:ind w:firstLine="480"/>
        <w:rPr>
          <w:rFonts w:ascii="宋体" w:hAnsi="宋体"/>
          <w:color w:val="000000" w:themeColor="text1"/>
        </w:rPr>
      </w:pPr>
    </w:p>
    <w:p>
      <w:pPr>
        <w:ind w:firstLine="480"/>
        <w:rPr>
          <w:color w:val="000000" w:themeColor="text1"/>
        </w:rPr>
      </w:pPr>
      <w:r>
        <w:rPr>
          <w:color w:val="000000" w:themeColor="text1"/>
        </w:rPr>
        <w:t>说明： 1、公安视频专网各县（市、区）原IP规划配置保持不变</w:t>
      </w:r>
      <w:r>
        <w:rPr>
          <w:rFonts w:hint="eastAsia"/>
          <w:color w:val="000000" w:themeColor="text1"/>
        </w:rPr>
        <w:t>。</w:t>
      </w:r>
      <w:r>
        <w:rPr>
          <w:color w:val="000000" w:themeColor="text1"/>
        </w:rPr>
        <w:t>2、33.176段作为互联地址</w:t>
      </w:r>
      <w:r>
        <w:rPr>
          <w:rFonts w:hint="eastAsia"/>
          <w:color w:val="000000" w:themeColor="text1"/>
        </w:rPr>
        <w:t>。</w:t>
      </w:r>
    </w:p>
    <w:p>
      <w:pPr>
        <w:snapToGrid w:val="0"/>
        <w:ind w:firstLine="480"/>
        <w:jc w:val="center"/>
        <w:rPr>
          <w:rFonts w:ascii="宋体" w:hAnsi="宋体"/>
          <w:color w:val="000000" w:themeColor="text1"/>
        </w:rPr>
      </w:pPr>
      <w:r>
        <w:rPr>
          <w:rFonts w:hint="eastAsia" w:ascii="宋体" w:hAnsi="宋体"/>
          <w:color w:val="000000" w:themeColor="text1"/>
        </w:rPr>
        <w:t xml:space="preserve">表 </w:t>
      </w:r>
      <w:r>
        <w:rPr>
          <w:rFonts w:ascii="宋体" w:hAnsi="宋体"/>
          <w:color w:val="000000" w:themeColor="text1"/>
        </w:rPr>
        <w:fldChar w:fldCharType="begin"/>
      </w:r>
      <w:r>
        <w:rPr>
          <w:rFonts w:hint="eastAsia" w:ascii="宋体" w:hAnsi="宋体"/>
          <w:color w:val="000000" w:themeColor="text1"/>
        </w:rPr>
        <w:instrText xml:space="preserve">SEQ 表格 \* ARABIC \s 2</w:instrText>
      </w:r>
      <w:r>
        <w:rPr>
          <w:rFonts w:ascii="宋体" w:hAnsi="宋体"/>
          <w:color w:val="000000" w:themeColor="text1"/>
        </w:rPr>
        <w:fldChar w:fldCharType="separate"/>
      </w:r>
      <w:r>
        <w:rPr>
          <w:rFonts w:ascii="宋体" w:hAnsi="宋体"/>
          <w:color w:val="000000" w:themeColor="text1"/>
        </w:rPr>
        <w:t>2</w:t>
      </w:r>
      <w:r>
        <w:rPr>
          <w:rFonts w:ascii="宋体" w:hAnsi="宋体"/>
          <w:color w:val="000000" w:themeColor="text1"/>
        </w:rPr>
        <w:fldChar w:fldCharType="end"/>
      </w:r>
      <w:r>
        <w:rPr>
          <w:rFonts w:hint="eastAsia" w:ascii="宋体" w:hAnsi="宋体"/>
          <w:color w:val="000000" w:themeColor="text1"/>
        </w:rPr>
        <w:t xml:space="preserve">   互连地址规划表</w:t>
      </w:r>
    </w:p>
    <w:tbl>
      <w:tblPr>
        <w:tblStyle w:val="53"/>
        <w:tblW w:w="909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11"/>
        <w:gridCol w:w="3456"/>
        <w:gridCol w:w="27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2911" w:type="dxa"/>
            <w:vAlign w:val="center"/>
          </w:tcPr>
          <w:p>
            <w:pPr>
              <w:snapToGrid w:val="0"/>
              <w:ind w:firstLine="482"/>
              <w:jc w:val="center"/>
              <w:rPr>
                <w:b/>
                <w:color w:val="000000" w:themeColor="text1"/>
                <w:szCs w:val="21"/>
              </w:rPr>
            </w:pPr>
            <w:r>
              <w:rPr>
                <w:b/>
                <w:color w:val="000000" w:themeColor="text1"/>
                <w:szCs w:val="21"/>
              </w:rPr>
              <w:t>网段</w:t>
            </w:r>
          </w:p>
        </w:tc>
        <w:tc>
          <w:tcPr>
            <w:tcW w:w="3456" w:type="dxa"/>
            <w:vAlign w:val="center"/>
          </w:tcPr>
          <w:p>
            <w:pPr>
              <w:snapToGrid w:val="0"/>
              <w:ind w:firstLine="482"/>
              <w:jc w:val="center"/>
              <w:rPr>
                <w:b/>
                <w:color w:val="000000" w:themeColor="text1"/>
                <w:szCs w:val="21"/>
              </w:rPr>
            </w:pPr>
            <w:r>
              <w:rPr>
                <w:b/>
                <w:color w:val="000000" w:themeColor="text1"/>
                <w:szCs w:val="21"/>
              </w:rPr>
              <w:t>用途</w:t>
            </w:r>
          </w:p>
        </w:tc>
        <w:tc>
          <w:tcPr>
            <w:tcW w:w="2724" w:type="dxa"/>
            <w:vAlign w:val="center"/>
          </w:tcPr>
          <w:p>
            <w:pPr>
              <w:snapToGrid w:val="0"/>
              <w:ind w:firstLine="482"/>
              <w:jc w:val="center"/>
              <w:rPr>
                <w:b/>
                <w:color w:val="000000" w:themeColor="text1"/>
                <w:szCs w:val="21"/>
              </w:rPr>
            </w:pPr>
            <w:r>
              <w:rPr>
                <w:b/>
                <w:color w:val="000000" w:themeColor="text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2911" w:type="dxa"/>
            <w:vAlign w:val="center"/>
          </w:tcPr>
          <w:p>
            <w:pPr>
              <w:snapToGrid w:val="0"/>
              <w:ind w:firstLine="480"/>
              <w:jc w:val="center"/>
              <w:rPr>
                <w:color w:val="000000" w:themeColor="text1"/>
                <w:szCs w:val="21"/>
              </w:rPr>
            </w:pPr>
            <w:r>
              <w:rPr>
                <w:color w:val="000000" w:themeColor="text1"/>
                <w:szCs w:val="21"/>
              </w:rPr>
              <w:t>33.176.0.0/24</w:t>
            </w:r>
          </w:p>
        </w:tc>
        <w:tc>
          <w:tcPr>
            <w:tcW w:w="3456" w:type="dxa"/>
            <w:vAlign w:val="center"/>
          </w:tcPr>
          <w:p>
            <w:pPr>
              <w:snapToGrid w:val="0"/>
              <w:ind w:firstLine="480"/>
              <w:jc w:val="center"/>
              <w:rPr>
                <w:color w:val="000000" w:themeColor="text1"/>
                <w:szCs w:val="21"/>
              </w:rPr>
            </w:pPr>
            <w:r>
              <w:rPr>
                <w:color w:val="000000" w:themeColor="text1"/>
                <w:szCs w:val="21"/>
              </w:rPr>
              <w:t>市局-支队-省厅</w:t>
            </w:r>
          </w:p>
        </w:tc>
        <w:tc>
          <w:tcPr>
            <w:tcW w:w="2724" w:type="dxa"/>
            <w:vMerge w:val="restart"/>
            <w:vAlign w:val="center"/>
          </w:tcPr>
          <w:p>
            <w:pPr>
              <w:snapToGrid w:val="0"/>
              <w:ind w:firstLine="480"/>
              <w:jc w:val="center"/>
              <w:rPr>
                <w:color w:val="000000" w:themeColor="text1"/>
                <w:szCs w:val="21"/>
              </w:rPr>
            </w:pPr>
            <w:r>
              <w:rPr>
                <w:color w:val="000000" w:themeColor="text1"/>
                <w:szCs w:val="21"/>
              </w:rPr>
              <w:t>16C</w:t>
            </w:r>
            <w:r>
              <w:rPr>
                <w:rFonts w:hint="eastAsia"/>
                <w:color w:val="000000" w:themeColor="text1"/>
                <w:szCs w:val="21"/>
              </w:rPr>
              <w:t>，</w:t>
            </w:r>
            <w:r>
              <w:rPr>
                <w:color w:val="000000" w:themeColor="text1"/>
                <w:szCs w:val="21"/>
              </w:rPr>
              <w:t>骨干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2911" w:type="dxa"/>
            <w:vAlign w:val="center"/>
          </w:tcPr>
          <w:p>
            <w:pPr>
              <w:snapToGrid w:val="0"/>
              <w:ind w:firstLine="480"/>
              <w:jc w:val="center"/>
              <w:rPr>
                <w:color w:val="000000" w:themeColor="text1"/>
                <w:szCs w:val="21"/>
              </w:rPr>
            </w:pPr>
            <w:r>
              <w:rPr>
                <w:color w:val="000000" w:themeColor="text1"/>
                <w:szCs w:val="21"/>
              </w:rPr>
              <w:t>33.176.1.0/24</w:t>
            </w:r>
          </w:p>
        </w:tc>
        <w:tc>
          <w:tcPr>
            <w:tcW w:w="3456" w:type="dxa"/>
            <w:vAlign w:val="center"/>
          </w:tcPr>
          <w:p>
            <w:pPr>
              <w:snapToGrid w:val="0"/>
              <w:ind w:firstLine="480"/>
              <w:jc w:val="center"/>
              <w:rPr>
                <w:color w:val="000000" w:themeColor="text1"/>
                <w:szCs w:val="21"/>
              </w:rPr>
            </w:pPr>
            <w:r>
              <w:rPr>
                <w:color w:val="000000" w:themeColor="text1"/>
                <w:szCs w:val="21"/>
              </w:rPr>
              <w:t>预留</w:t>
            </w:r>
          </w:p>
        </w:tc>
        <w:tc>
          <w:tcPr>
            <w:tcW w:w="2724" w:type="dxa"/>
            <w:vMerge w:val="continue"/>
            <w:vAlign w:val="center"/>
          </w:tcPr>
          <w:p>
            <w:pPr>
              <w:snapToGrid w:val="0"/>
              <w:ind w:firstLine="480"/>
              <w:jc w:val="center"/>
              <w:rPr>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2911" w:type="dxa"/>
            <w:vAlign w:val="center"/>
          </w:tcPr>
          <w:p>
            <w:pPr>
              <w:snapToGrid w:val="0"/>
              <w:ind w:firstLine="480"/>
              <w:jc w:val="center"/>
              <w:rPr>
                <w:color w:val="000000" w:themeColor="text1"/>
                <w:szCs w:val="21"/>
              </w:rPr>
            </w:pPr>
            <w:r>
              <w:rPr>
                <w:color w:val="000000" w:themeColor="text1"/>
                <w:szCs w:val="21"/>
              </w:rPr>
              <w:t>33.176.2.0/24</w:t>
            </w:r>
          </w:p>
        </w:tc>
        <w:tc>
          <w:tcPr>
            <w:tcW w:w="3456" w:type="dxa"/>
            <w:vAlign w:val="center"/>
          </w:tcPr>
          <w:p>
            <w:pPr>
              <w:snapToGrid w:val="0"/>
              <w:ind w:firstLine="480"/>
              <w:jc w:val="center"/>
              <w:rPr>
                <w:color w:val="000000" w:themeColor="text1"/>
                <w:szCs w:val="21"/>
              </w:rPr>
            </w:pPr>
            <w:r>
              <w:rPr>
                <w:color w:val="000000" w:themeColor="text1"/>
                <w:szCs w:val="21"/>
              </w:rPr>
              <w:t>市局-分局、县局</w:t>
            </w:r>
          </w:p>
        </w:tc>
        <w:tc>
          <w:tcPr>
            <w:tcW w:w="2724" w:type="dxa"/>
            <w:vMerge w:val="continue"/>
            <w:vAlign w:val="center"/>
          </w:tcPr>
          <w:p>
            <w:pPr>
              <w:snapToGrid w:val="0"/>
              <w:ind w:firstLine="480"/>
              <w:jc w:val="center"/>
              <w:rPr>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2911" w:type="dxa"/>
            <w:vAlign w:val="center"/>
          </w:tcPr>
          <w:p>
            <w:pPr>
              <w:snapToGrid w:val="0"/>
              <w:ind w:firstLine="480"/>
              <w:jc w:val="center"/>
              <w:rPr>
                <w:color w:val="000000" w:themeColor="text1"/>
                <w:szCs w:val="21"/>
              </w:rPr>
            </w:pPr>
            <w:r>
              <w:rPr>
                <w:color w:val="000000" w:themeColor="text1"/>
                <w:szCs w:val="21"/>
              </w:rPr>
              <w:t>33.176.3.0/24</w:t>
            </w:r>
          </w:p>
        </w:tc>
        <w:tc>
          <w:tcPr>
            <w:tcW w:w="3456" w:type="dxa"/>
            <w:vAlign w:val="center"/>
          </w:tcPr>
          <w:p>
            <w:pPr>
              <w:snapToGrid w:val="0"/>
              <w:ind w:firstLine="480"/>
              <w:jc w:val="center"/>
              <w:rPr>
                <w:color w:val="000000" w:themeColor="text1"/>
                <w:szCs w:val="21"/>
              </w:rPr>
            </w:pPr>
            <w:r>
              <w:rPr>
                <w:color w:val="000000" w:themeColor="text1"/>
                <w:szCs w:val="21"/>
              </w:rPr>
              <w:t>市局-直属大队</w:t>
            </w:r>
          </w:p>
        </w:tc>
        <w:tc>
          <w:tcPr>
            <w:tcW w:w="2724" w:type="dxa"/>
            <w:vMerge w:val="continue"/>
            <w:vAlign w:val="center"/>
          </w:tcPr>
          <w:p>
            <w:pPr>
              <w:snapToGrid w:val="0"/>
              <w:ind w:firstLine="480"/>
              <w:jc w:val="center"/>
              <w:rPr>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2911" w:type="dxa"/>
            <w:vAlign w:val="center"/>
          </w:tcPr>
          <w:p>
            <w:pPr>
              <w:snapToGrid w:val="0"/>
              <w:ind w:firstLine="480"/>
              <w:jc w:val="center"/>
              <w:rPr>
                <w:color w:val="000000" w:themeColor="text1"/>
                <w:szCs w:val="21"/>
              </w:rPr>
            </w:pPr>
            <w:r>
              <w:rPr>
                <w:color w:val="000000" w:themeColor="text1"/>
                <w:szCs w:val="21"/>
              </w:rPr>
              <w:t>33.176.4.0/24</w:t>
            </w:r>
          </w:p>
        </w:tc>
        <w:tc>
          <w:tcPr>
            <w:tcW w:w="3456" w:type="dxa"/>
            <w:vAlign w:val="center"/>
          </w:tcPr>
          <w:p>
            <w:pPr>
              <w:snapToGrid w:val="0"/>
              <w:ind w:firstLine="480"/>
              <w:jc w:val="center"/>
              <w:rPr>
                <w:color w:val="000000" w:themeColor="text1"/>
                <w:szCs w:val="21"/>
              </w:rPr>
            </w:pPr>
            <w:r>
              <w:rPr>
                <w:color w:val="000000" w:themeColor="text1"/>
                <w:szCs w:val="21"/>
              </w:rPr>
              <w:t>支队-直属大队、县大队</w:t>
            </w:r>
          </w:p>
        </w:tc>
        <w:tc>
          <w:tcPr>
            <w:tcW w:w="2724" w:type="dxa"/>
            <w:vMerge w:val="continue"/>
            <w:vAlign w:val="center"/>
          </w:tcPr>
          <w:p>
            <w:pPr>
              <w:snapToGrid w:val="0"/>
              <w:ind w:firstLine="480"/>
              <w:jc w:val="center"/>
              <w:rPr>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2911" w:type="dxa"/>
            <w:vAlign w:val="center"/>
          </w:tcPr>
          <w:p>
            <w:pPr>
              <w:snapToGrid w:val="0"/>
              <w:ind w:firstLine="480"/>
              <w:jc w:val="center"/>
              <w:rPr>
                <w:color w:val="000000" w:themeColor="text1"/>
                <w:szCs w:val="21"/>
              </w:rPr>
            </w:pPr>
            <w:r>
              <w:rPr>
                <w:color w:val="000000" w:themeColor="text1"/>
                <w:szCs w:val="21"/>
              </w:rPr>
              <w:t>33.176.5.0/24</w:t>
            </w:r>
          </w:p>
        </w:tc>
        <w:tc>
          <w:tcPr>
            <w:tcW w:w="3456" w:type="dxa"/>
            <w:vAlign w:val="center"/>
          </w:tcPr>
          <w:p>
            <w:pPr>
              <w:snapToGrid w:val="0"/>
              <w:ind w:firstLine="480"/>
              <w:jc w:val="center"/>
              <w:rPr>
                <w:color w:val="000000" w:themeColor="text1"/>
                <w:szCs w:val="21"/>
              </w:rPr>
            </w:pPr>
            <w:r>
              <w:rPr>
                <w:color w:val="000000" w:themeColor="text1"/>
                <w:szCs w:val="21"/>
              </w:rPr>
              <w:t>支队-分局</w:t>
            </w:r>
          </w:p>
        </w:tc>
        <w:tc>
          <w:tcPr>
            <w:tcW w:w="2724" w:type="dxa"/>
            <w:vMerge w:val="continue"/>
            <w:vAlign w:val="center"/>
          </w:tcPr>
          <w:p>
            <w:pPr>
              <w:snapToGrid w:val="0"/>
              <w:ind w:firstLine="480"/>
              <w:jc w:val="center"/>
              <w:rPr>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2911" w:type="dxa"/>
            <w:vAlign w:val="center"/>
          </w:tcPr>
          <w:p>
            <w:pPr>
              <w:snapToGrid w:val="0"/>
              <w:ind w:firstLine="480"/>
              <w:jc w:val="center"/>
              <w:rPr>
                <w:color w:val="000000" w:themeColor="text1"/>
                <w:szCs w:val="21"/>
              </w:rPr>
            </w:pPr>
            <w:r>
              <w:rPr>
                <w:color w:val="000000" w:themeColor="text1"/>
                <w:szCs w:val="21"/>
              </w:rPr>
              <w:t>33.176.6.0/24</w:t>
            </w:r>
          </w:p>
        </w:tc>
        <w:tc>
          <w:tcPr>
            <w:tcW w:w="3456" w:type="dxa"/>
            <w:vAlign w:val="center"/>
          </w:tcPr>
          <w:p>
            <w:pPr>
              <w:snapToGrid w:val="0"/>
              <w:ind w:firstLine="480"/>
              <w:jc w:val="center"/>
              <w:rPr>
                <w:color w:val="000000" w:themeColor="text1"/>
                <w:szCs w:val="21"/>
              </w:rPr>
            </w:pPr>
            <w:r>
              <w:rPr>
                <w:color w:val="000000" w:themeColor="text1"/>
                <w:szCs w:val="21"/>
              </w:rPr>
              <w:t>预留</w:t>
            </w:r>
          </w:p>
        </w:tc>
        <w:tc>
          <w:tcPr>
            <w:tcW w:w="2724" w:type="dxa"/>
            <w:vMerge w:val="continue"/>
            <w:vAlign w:val="center"/>
          </w:tcPr>
          <w:p>
            <w:pPr>
              <w:snapToGrid w:val="0"/>
              <w:ind w:firstLine="480"/>
              <w:jc w:val="center"/>
              <w:rPr>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2911" w:type="dxa"/>
            <w:vAlign w:val="center"/>
          </w:tcPr>
          <w:p>
            <w:pPr>
              <w:snapToGrid w:val="0"/>
              <w:ind w:firstLine="480"/>
              <w:jc w:val="center"/>
              <w:rPr>
                <w:color w:val="000000" w:themeColor="text1"/>
                <w:szCs w:val="21"/>
              </w:rPr>
            </w:pPr>
            <w:r>
              <w:rPr>
                <w:color w:val="000000" w:themeColor="text1"/>
                <w:szCs w:val="21"/>
              </w:rPr>
              <w:t>33.176.7.0/24</w:t>
            </w:r>
          </w:p>
        </w:tc>
        <w:tc>
          <w:tcPr>
            <w:tcW w:w="3456" w:type="dxa"/>
            <w:vAlign w:val="center"/>
          </w:tcPr>
          <w:p>
            <w:pPr>
              <w:snapToGrid w:val="0"/>
              <w:ind w:firstLine="480"/>
              <w:jc w:val="center"/>
              <w:rPr>
                <w:color w:val="000000" w:themeColor="text1"/>
                <w:szCs w:val="21"/>
              </w:rPr>
            </w:pPr>
            <w:r>
              <w:rPr>
                <w:color w:val="000000" w:themeColor="text1"/>
                <w:szCs w:val="21"/>
              </w:rPr>
              <w:t>预留</w:t>
            </w:r>
          </w:p>
        </w:tc>
        <w:tc>
          <w:tcPr>
            <w:tcW w:w="2724" w:type="dxa"/>
            <w:vMerge w:val="continue"/>
            <w:vAlign w:val="center"/>
          </w:tcPr>
          <w:p>
            <w:pPr>
              <w:snapToGrid w:val="0"/>
              <w:ind w:firstLine="480"/>
              <w:jc w:val="center"/>
              <w:rPr>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2911" w:type="dxa"/>
            <w:vAlign w:val="center"/>
          </w:tcPr>
          <w:p>
            <w:pPr>
              <w:snapToGrid w:val="0"/>
              <w:ind w:firstLine="480"/>
              <w:jc w:val="center"/>
              <w:rPr>
                <w:color w:val="000000" w:themeColor="text1"/>
                <w:szCs w:val="21"/>
              </w:rPr>
            </w:pPr>
            <w:r>
              <w:rPr>
                <w:color w:val="000000" w:themeColor="text1"/>
                <w:szCs w:val="21"/>
              </w:rPr>
              <w:t>33.176.8.0/21</w:t>
            </w:r>
          </w:p>
        </w:tc>
        <w:tc>
          <w:tcPr>
            <w:tcW w:w="3456" w:type="dxa"/>
            <w:vAlign w:val="center"/>
          </w:tcPr>
          <w:p>
            <w:pPr>
              <w:snapToGrid w:val="0"/>
              <w:ind w:firstLine="480"/>
              <w:jc w:val="center"/>
              <w:rPr>
                <w:color w:val="000000" w:themeColor="text1"/>
                <w:szCs w:val="21"/>
              </w:rPr>
            </w:pPr>
            <w:r>
              <w:rPr>
                <w:color w:val="000000" w:themeColor="text1"/>
                <w:szCs w:val="21"/>
              </w:rPr>
              <w:t>预留</w:t>
            </w:r>
          </w:p>
        </w:tc>
        <w:tc>
          <w:tcPr>
            <w:tcW w:w="2724" w:type="dxa"/>
            <w:vMerge w:val="continue"/>
            <w:vAlign w:val="center"/>
          </w:tcPr>
          <w:p>
            <w:pPr>
              <w:snapToGrid w:val="0"/>
              <w:ind w:firstLine="480"/>
              <w:jc w:val="center"/>
              <w:rPr>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2911" w:type="dxa"/>
            <w:vAlign w:val="center"/>
          </w:tcPr>
          <w:p>
            <w:pPr>
              <w:snapToGrid w:val="0"/>
              <w:ind w:firstLine="480"/>
              <w:jc w:val="center"/>
              <w:rPr>
                <w:color w:val="000000" w:themeColor="text1"/>
                <w:szCs w:val="21"/>
              </w:rPr>
            </w:pPr>
            <w:r>
              <w:rPr>
                <w:color w:val="000000" w:themeColor="text1"/>
                <w:szCs w:val="21"/>
              </w:rPr>
              <w:t>33.176.16.0/21</w:t>
            </w:r>
          </w:p>
        </w:tc>
        <w:tc>
          <w:tcPr>
            <w:tcW w:w="3456" w:type="dxa"/>
            <w:vAlign w:val="center"/>
          </w:tcPr>
          <w:p>
            <w:pPr>
              <w:snapToGrid w:val="0"/>
              <w:ind w:firstLine="480"/>
              <w:jc w:val="center"/>
              <w:rPr>
                <w:color w:val="000000" w:themeColor="text1"/>
                <w:szCs w:val="21"/>
              </w:rPr>
            </w:pPr>
            <w:r>
              <w:rPr>
                <w:color w:val="000000" w:themeColor="text1"/>
                <w:szCs w:val="21"/>
              </w:rPr>
              <w:t>市局</w:t>
            </w:r>
          </w:p>
        </w:tc>
        <w:tc>
          <w:tcPr>
            <w:tcW w:w="2724" w:type="dxa"/>
            <w:vAlign w:val="center"/>
          </w:tcPr>
          <w:p>
            <w:pPr>
              <w:snapToGrid w:val="0"/>
              <w:ind w:firstLine="480"/>
              <w:jc w:val="center"/>
              <w:rPr>
                <w:color w:val="000000" w:themeColor="text1"/>
                <w:szCs w:val="21"/>
              </w:rPr>
            </w:pPr>
            <w:r>
              <w:rPr>
                <w:color w:val="000000" w:themeColor="text1"/>
                <w:szCs w:val="21"/>
              </w:rPr>
              <w:t>8C</w:t>
            </w:r>
            <w:r>
              <w:rPr>
                <w:rFonts w:hint="eastAsia"/>
                <w:color w:val="000000" w:themeColor="text1"/>
                <w:szCs w:val="21"/>
              </w:rPr>
              <w:t>，</w:t>
            </w:r>
            <w:r>
              <w:rPr>
                <w:color w:val="000000" w:themeColor="text1"/>
                <w:szCs w:val="21"/>
              </w:rPr>
              <w:t>市局-运营商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2911" w:type="dxa"/>
            <w:vAlign w:val="center"/>
          </w:tcPr>
          <w:p>
            <w:pPr>
              <w:snapToGrid w:val="0"/>
              <w:ind w:firstLine="480"/>
              <w:jc w:val="center"/>
              <w:rPr>
                <w:color w:val="000000" w:themeColor="text1"/>
                <w:szCs w:val="21"/>
              </w:rPr>
            </w:pPr>
            <w:r>
              <w:rPr>
                <w:color w:val="000000" w:themeColor="text1"/>
                <w:szCs w:val="21"/>
              </w:rPr>
              <w:t>33.176.24.0/21</w:t>
            </w:r>
          </w:p>
        </w:tc>
        <w:tc>
          <w:tcPr>
            <w:tcW w:w="3456" w:type="dxa"/>
            <w:vAlign w:val="center"/>
          </w:tcPr>
          <w:p>
            <w:pPr>
              <w:snapToGrid w:val="0"/>
              <w:ind w:firstLine="480"/>
              <w:jc w:val="center"/>
              <w:rPr>
                <w:color w:val="000000" w:themeColor="text1"/>
                <w:szCs w:val="21"/>
              </w:rPr>
            </w:pPr>
            <w:r>
              <w:rPr>
                <w:color w:val="000000" w:themeColor="text1"/>
                <w:szCs w:val="21"/>
              </w:rPr>
              <w:t>支队</w:t>
            </w:r>
          </w:p>
        </w:tc>
        <w:tc>
          <w:tcPr>
            <w:tcW w:w="2724" w:type="dxa"/>
            <w:vAlign w:val="center"/>
          </w:tcPr>
          <w:p>
            <w:pPr>
              <w:snapToGrid w:val="0"/>
              <w:ind w:firstLine="480"/>
              <w:jc w:val="center"/>
              <w:rPr>
                <w:color w:val="000000" w:themeColor="text1"/>
                <w:szCs w:val="21"/>
              </w:rPr>
            </w:pPr>
            <w:r>
              <w:rPr>
                <w:color w:val="000000" w:themeColor="text1"/>
                <w:szCs w:val="21"/>
              </w:rPr>
              <w:t>8C</w:t>
            </w:r>
            <w:r>
              <w:rPr>
                <w:rFonts w:hint="eastAsia"/>
                <w:color w:val="000000" w:themeColor="text1"/>
                <w:szCs w:val="21"/>
              </w:rPr>
              <w:t>，</w:t>
            </w:r>
            <w:r>
              <w:rPr>
                <w:color w:val="000000" w:themeColor="text1"/>
                <w:szCs w:val="21"/>
              </w:rPr>
              <w:t>支队-运营商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2911" w:type="dxa"/>
            <w:vAlign w:val="center"/>
          </w:tcPr>
          <w:p>
            <w:pPr>
              <w:snapToGrid w:val="0"/>
              <w:ind w:firstLine="480"/>
              <w:jc w:val="center"/>
              <w:rPr>
                <w:color w:val="000000" w:themeColor="text1"/>
                <w:szCs w:val="21"/>
              </w:rPr>
            </w:pPr>
            <w:r>
              <w:rPr>
                <w:color w:val="000000" w:themeColor="text1"/>
                <w:szCs w:val="21"/>
              </w:rPr>
              <w:t>33.176.32.0/22</w:t>
            </w:r>
          </w:p>
        </w:tc>
        <w:tc>
          <w:tcPr>
            <w:tcW w:w="3456" w:type="dxa"/>
            <w:vAlign w:val="center"/>
          </w:tcPr>
          <w:p>
            <w:pPr>
              <w:snapToGrid w:val="0"/>
              <w:ind w:firstLine="480"/>
              <w:jc w:val="center"/>
              <w:rPr>
                <w:color w:val="000000" w:themeColor="text1"/>
                <w:szCs w:val="21"/>
              </w:rPr>
            </w:pPr>
            <w:r>
              <w:rPr>
                <w:color w:val="000000" w:themeColor="text1"/>
                <w:szCs w:val="21"/>
              </w:rPr>
              <w:t>婺城分局</w:t>
            </w:r>
          </w:p>
        </w:tc>
        <w:tc>
          <w:tcPr>
            <w:tcW w:w="2724" w:type="dxa"/>
            <w:vAlign w:val="center"/>
          </w:tcPr>
          <w:p>
            <w:pPr>
              <w:snapToGrid w:val="0"/>
              <w:ind w:firstLine="480"/>
              <w:jc w:val="center"/>
              <w:rPr>
                <w:color w:val="000000" w:themeColor="text1"/>
                <w:szCs w:val="21"/>
              </w:rPr>
            </w:pPr>
            <w:r>
              <w:rPr>
                <w:color w:val="000000" w:themeColor="text1"/>
                <w:szCs w:val="21"/>
              </w:rPr>
              <w:t>4C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2911" w:type="dxa"/>
            <w:vAlign w:val="center"/>
          </w:tcPr>
          <w:p>
            <w:pPr>
              <w:snapToGrid w:val="0"/>
              <w:ind w:firstLine="480"/>
              <w:jc w:val="center"/>
              <w:rPr>
                <w:color w:val="000000" w:themeColor="text1"/>
                <w:szCs w:val="21"/>
              </w:rPr>
            </w:pPr>
            <w:r>
              <w:rPr>
                <w:color w:val="000000" w:themeColor="text1"/>
                <w:szCs w:val="21"/>
              </w:rPr>
              <w:t>33.176.36.0/22</w:t>
            </w:r>
          </w:p>
        </w:tc>
        <w:tc>
          <w:tcPr>
            <w:tcW w:w="3456" w:type="dxa"/>
            <w:vAlign w:val="center"/>
          </w:tcPr>
          <w:p>
            <w:pPr>
              <w:snapToGrid w:val="0"/>
              <w:ind w:firstLine="480"/>
              <w:jc w:val="center"/>
              <w:rPr>
                <w:color w:val="000000" w:themeColor="text1"/>
                <w:szCs w:val="21"/>
              </w:rPr>
            </w:pPr>
            <w:r>
              <w:rPr>
                <w:color w:val="000000" w:themeColor="text1"/>
                <w:szCs w:val="21"/>
              </w:rPr>
              <w:t>婺城大队</w:t>
            </w:r>
          </w:p>
        </w:tc>
        <w:tc>
          <w:tcPr>
            <w:tcW w:w="2724" w:type="dxa"/>
            <w:vAlign w:val="center"/>
          </w:tcPr>
          <w:p>
            <w:pPr>
              <w:snapToGrid w:val="0"/>
              <w:ind w:firstLine="480"/>
              <w:jc w:val="center"/>
              <w:rPr>
                <w:color w:val="000000" w:themeColor="text1"/>
                <w:szCs w:val="21"/>
              </w:rPr>
            </w:pPr>
            <w:r>
              <w:rPr>
                <w:color w:val="000000" w:themeColor="text1"/>
                <w:szCs w:val="21"/>
              </w:rPr>
              <w:t>4C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2911" w:type="dxa"/>
            <w:vAlign w:val="center"/>
          </w:tcPr>
          <w:p>
            <w:pPr>
              <w:snapToGrid w:val="0"/>
              <w:ind w:firstLine="480"/>
              <w:jc w:val="center"/>
              <w:rPr>
                <w:color w:val="000000" w:themeColor="text1"/>
                <w:szCs w:val="21"/>
              </w:rPr>
            </w:pPr>
            <w:r>
              <w:rPr>
                <w:color w:val="000000" w:themeColor="text1"/>
                <w:szCs w:val="21"/>
              </w:rPr>
              <w:t>33.176.40.0/22</w:t>
            </w:r>
          </w:p>
        </w:tc>
        <w:tc>
          <w:tcPr>
            <w:tcW w:w="3456" w:type="dxa"/>
            <w:vAlign w:val="center"/>
          </w:tcPr>
          <w:p>
            <w:pPr>
              <w:snapToGrid w:val="0"/>
              <w:ind w:firstLine="480"/>
              <w:jc w:val="center"/>
              <w:rPr>
                <w:color w:val="000000" w:themeColor="text1"/>
                <w:szCs w:val="21"/>
              </w:rPr>
            </w:pPr>
            <w:r>
              <w:rPr>
                <w:color w:val="000000" w:themeColor="text1"/>
                <w:szCs w:val="21"/>
              </w:rPr>
              <w:t>金东分局</w:t>
            </w:r>
          </w:p>
        </w:tc>
        <w:tc>
          <w:tcPr>
            <w:tcW w:w="2724" w:type="dxa"/>
            <w:vAlign w:val="center"/>
          </w:tcPr>
          <w:p>
            <w:pPr>
              <w:snapToGrid w:val="0"/>
              <w:ind w:firstLine="480"/>
              <w:jc w:val="center"/>
              <w:rPr>
                <w:color w:val="000000" w:themeColor="text1"/>
                <w:szCs w:val="21"/>
              </w:rPr>
            </w:pPr>
            <w:r>
              <w:rPr>
                <w:color w:val="000000" w:themeColor="text1"/>
                <w:szCs w:val="21"/>
              </w:rPr>
              <w:t>4C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2911" w:type="dxa"/>
            <w:vAlign w:val="center"/>
          </w:tcPr>
          <w:p>
            <w:pPr>
              <w:snapToGrid w:val="0"/>
              <w:ind w:firstLine="480"/>
              <w:jc w:val="center"/>
              <w:rPr>
                <w:color w:val="000000" w:themeColor="text1"/>
                <w:szCs w:val="21"/>
              </w:rPr>
            </w:pPr>
            <w:r>
              <w:rPr>
                <w:color w:val="000000" w:themeColor="text1"/>
                <w:szCs w:val="21"/>
              </w:rPr>
              <w:t>33.176.44.0/22</w:t>
            </w:r>
          </w:p>
        </w:tc>
        <w:tc>
          <w:tcPr>
            <w:tcW w:w="3456" w:type="dxa"/>
            <w:vAlign w:val="center"/>
          </w:tcPr>
          <w:p>
            <w:pPr>
              <w:snapToGrid w:val="0"/>
              <w:ind w:firstLine="480"/>
              <w:jc w:val="center"/>
              <w:rPr>
                <w:color w:val="000000" w:themeColor="text1"/>
                <w:szCs w:val="21"/>
              </w:rPr>
            </w:pPr>
            <w:r>
              <w:rPr>
                <w:color w:val="000000" w:themeColor="text1"/>
                <w:szCs w:val="21"/>
              </w:rPr>
              <w:t>金东大队</w:t>
            </w:r>
          </w:p>
        </w:tc>
        <w:tc>
          <w:tcPr>
            <w:tcW w:w="2724" w:type="dxa"/>
            <w:vAlign w:val="center"/>
          </w:tcPr>
          <w:p>
            <w:pPr>
              <w:snapToGrid w:val="0"/>
              <w:ind w:firstLine="480"/>
              <w:jc w:val="center"/>
              <w:rPr>
                <w:color w:val="000000" w:themeColor="text1"/>
                <w:szCs w:val="21"/>
              </w:rPr>
            </w:pPr>
            <w:r>
              <w:rPr>
                <w:color w:val="000000" w:themeColor="text1"/>
                <w:szCs w:val="21"/>
              </w:rPr>
              <w:t>4C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2911" w:type="dxa"/>
            <w:vAlign w:val="center"/>
          </w:tcPr>
          <w:p>
            <w:pPr>
              <w:snapToGrid w:val="0"/>
              <w:ind w:firstLine="480"/>
              <w:jc w:val="center"/>
              <w:rPr>
                <w:color w:val="000000" w:themeColor="text1"/>
                <w:szCs w:val="21"/>
              </w:rPr>
            </w:pPr>
            <w:r>
              <w:rPr>
                <w:color w:val="000000" w:themeColor="text1"/>
                <w:szCs w:val="21"/>
              </w:rPr>
              <w:t>33.176.48.0/22</w:t>
            </w:r>
          </w:p>
        </w:tc>
        <w:tc>
          <w:tcPr>
            <w:tcW w:w="3456" w:type="dxa"/>
            <w:vAlign w:val="center"/>
          </w:tcPr>
          <w:p>
            <w:pPr>
              <w:snapToGrid w:val="0"/>
              <w:ind w:firstLine="480"/>
              <w:jc w:val="center"/>
              <w:rPr>
                <w:color w:val="000000" w:themeColor="text1"/>
                <w:szCs w:val="21"/>
              </w:rPr>
            </w:pPr>
            <w:r>
              <w:rPr>
                <w:color w:val="000000" w:themeColor="text1"/>
                <w:szCs w:val="21"/>
              </w:rPr>
              <w:t>江南分局</w:t>
            </w:r>
          </w:p>
        </w:tc>
        <w:tc>
          <w:tcPr>
            <w:tcW w:w="2724" w:type="dxa"/>
            <w:vAlign w:val="center"/>
          </w:tcPr>
          <w:p>
            <w:pPr>
              <w:snapToGrid w:val="0"/>
              <w:ind w:firstLine="480"/>
              <w:jc w:val="center"/>
              <w:rPr>
                <w:color w:val="000000" w:themeColor="text1"/>
                <w:szCs w:val="21"/>
              </w:rPr>
            </w:pPr>
            <w:r>
              <w:rPr>
                <w:color w:val="000000" w:themeColor="text1"/>
                <w:szCs w:val="21"/>
              </w:rPr>
              <w:t>4C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2911" w:type="dxa"/>
            <w:vAlign w:val="center"/>
          </w:tcPr>
          <w:p>
            <w:pPr>
              <w:snapToGrid w:val="0"/>
              <w:ind w:firstLine="480"/>
              <w:jc w:val="center"/>
              <w:rPr>
                <w:color w:val="000000" w:themeColor="text1"/>
                <w:szCs w:val="21"/>
              </w:rPr>
            </w:pPr>
            <w:r>
              <w:rPr>
                <w:color w:val="000000" w:themeColor="text1"/>
                <w:szCs w:val="21"/>
              </w:rPr>
              <w:t>33.176.64.0/22</w:t>
            </w:r>
          </w:p>
        </w:tc>
        <w:tc>
          <w:tcPr>
            <w:tcW w:w="3456" w:type="dxa"/>
            <w:vAlign w:val="center"/>
          </w:tcPr>
          <w:p>
            <w:pPr>
              <w:snapToGrid w:val="0"/>
              <w:ind w:firstLine="480"/>
              <w:jc w:val="center"/>
              <w:rPr>
                <w:color w:val="000000" w:themeColor="text1"/>
                <w:szCs w:val="21"/>
              </w:rPr>
            </w:pPr>
            <w:r>
              <w:rPr>
                <w:color w:val="000000" w:themeColor="text1"/>
                <w:szCs w:val="21"/>
              </w:rPr>
              <w:t>江南大队</w:t>
            </w:r>
          </w:p>
        </w:tc>
        <w:tc>
          <w:tcPr>
            <w:tcW w:w="2724" w:type="dxa"/>
            <w:vAlign w:val="center"/>
          </w:tcPr>
          <w:p>
            <w:pPr>
              <w:snapToGrid w:val="0"/>
              <w:ind w:firstLine="480"/>
              <w:jc w:val="center"/>
              <w:rPr>
                <w:color w:val="000000" w:themeColor="text1"/>
                <w:szCs w:val="21"/>
              </w:rPr>
            </w:pPr>
            <w:r>
              <w:rPr>
                <w:color w:val="000000" w:themeColor="text1"/>
                <w:szCs w:val="21"/>
              </w:rPr>
              <w:t>4C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2911" w:type="dxa"/>
            <w:vAlign w:val="center"/>
          </w:tcPr>
          <w:p>
            <w:pPr>
              <w:snapToGrid w:val="0"/>
              <w:ind w:firstLine="480"/>
              <w:jc w:val="center"/>
              <w:rPr>
                <w:color w:val="000000" w:themeColor="text1"/>
                <w:szCs w:val="21"/>
              </w:rPr>
            </w:pPr>
            <w:r>
              <w:rPr>
                <w:color w:val="000000" w:themeColor="text1"/>
                <w:szCs w:val="21"/>
              </w:rPr>
              <w:t>33.176.72.0/22</w:t>
            </w:r>
          </w:p>
        </w:tc>
        <w:tc>
          <w:tcPr>
            <w:tcW w:w="3456" w:type="dxa"/>
            <w:vAlign w:val="center"/>
          </w:tcPr>
          <w:p>
            <w:pPr>
              <w:snapToGrid w:val="0"/>
              <w:ind w:firstLine="480"/>
              <w:jc w:val="center"/>
              <w:rPr>
                <w:color w:val="000000" w:themeColor="text1"/>
                <w:szCs w:val="21"/>
              </w:rPr>
            </w:pPr>
            <w:r>
              <w:rPr>
                <w:color w:val="000000" w:themeColor="text1"/>
                <w:szCs w:val="21"/>
              </w:rPr>
              <w:t>轨道分局</w:t>
            </w:r>
          </w:p>
        </w:tc>
        <w:tc>
          <w:tcPr>
            <w:tcW w:w="2724" w:type="dxa"/>
            <w:vAlign w:val="center"/>
          </w:tcPr>
          <w:p>
            <w:pPr>
              <w:snapToGrid w:val="0"/>
              <w:ind w:firstLine="480"/>
              <w:jc w:val="center"/>
              <w:rPr>
                <w:color w:val="000000" w:themeColor="text1"/>
                <w:szCs w:val="21"/>
              </w:rPr>
            </w:pPr>
            <w:r>
              <w:rPr>
                <w:color w:val="000000" w:themeColor="text1"/>
                <w:szCs w:val="21"/>
              </w:rPr>
              <w:t>4C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2911" w:type="dxa"/>
            <w:vAlign w:val="center"/>
          </w:tcPr>
          <w:p>
            <w:pPr>
              <w:snapToGrid w:val="0"/>
              <w:ind w:firstLine="480"/>
              <w:jc w:val="center"/>
              <w:rPr>
                <w:color w:val="000000" w:themeColor="text1"/>
                <w:szCs w:val="21"/>
              </w:rPr>
            </w:pPr>
            <w:r>
              <w:rPr>
                <w:color w:val="000000" w:themeColor="text1"/>
                <w:szCs w:val="21"/>
              </w:rPr>
              <w:t>33.176.76.0/22</w:t>
            </w:r>
          </w:p>
        </w:tc>
        <w:tc>
          <w:tcPr>
            <w:tcW w:w="3456" w:type="dxa"/>
            <w:vAlign w:val="center"/>
          </w:tcPr>
          <w:p>
            <w:pPr>
              <w:snapToGrid w:val="0"/>
              <w:ind w:firstLine="480"/>
              <w:jc w:val="center"/>
              <w:rPr>
                <w:color w:val="000000" w:themeColor="text1"/>
                <w:szCs w:val="21"/>
              </w:rPr>
            </w:pPr>
            <w:r>
              <w:rPr>
                <w:color w:val="000000" w:themeColor="text1"/>
                <w:szCs w:val="21"/>
              </w:rPr>
              <w:t>机动大队</w:t>
            </w:r>
          </w:p>
        </w:tc>
        <w:tc>
          <w:tcPr>
            <w:tcW w:w="2724" w:type="dxa"/>
            <w:vAlign w:val="center"/>
          </w:tcPr>
          <w:p>
            <w:pPr>
              <w:snapToGrid w:val="0"/>
              <w:ind w:firstLine="480"/>
              <w:jc w:val="center"/>
              <w:rPr>
                <w:color w:val="000000" w:themeColor="text1"/>
                <w:szCs w:val="21"/>
              </w:rPr>
            </w:pPr>
            <w:r>
              <w:rPr>
                <w:color w:val="000000" w:themeColor="text1"/>
                <w:szCs w:val="21"/>
              </w:rPr>
              <w:t>4C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2911" w:type="dxa"/>
            <w:vAlign w:val="center"/>
          </w:tcPr>
          <w:p>
            <w:pPr>
              <w:snapToGrid w:val="0"/>
              <w:ind w:firstLine="480"/>
              <w:jc w:val="center"/>
              <w:rPr>
                <w:color w:val="000000" w:themeColor="text1"/>
                <w:szCs w:val="21"/>
              </w:rPr>
            </w:pPr>
            <w:r>
              <w:rPr>
                <w:color w:val="000000" w:themeColor="text1"/>
                <w:szCs w:val="21"/>
              </w:rPr>
              <w:t>33.176.80.0/20</w:t>
            </w:r>
          </w:p>
        </w:tc>
        <w:tc>
          <w:tcPr>
            <w:tcW w:w="3456" w:type="dxa"/>
            <w:vAlign w:val="center"/>
          </w:tcPr>
          <w:p>
            <w:pPr>
              <w:snapToGrid w:val="0"/>
              <w:ind w:firstLine="480"/>
              <w:jc w:val="center"/>
              <w:rPr>
                <w:color w:val="000000" w:themeColor="text1"/>
                <w:szCs w:val="21"/>
              </w:rPr>
            </w:pPr>
            <w:r>
              <w:rPr>
                <w:color w:val="000000" w:themeColor="text1"/>
                <w:szCs w:val="21"/>
              </w:rPr>
              <w:t>预留</w:t>
            </w:r>
          </w:p>
        </w:tc>
        <w:tc>
          <w:tcPr>
            <w:tcW w:w="2724" w:type="dxa"/>
            <w:vAlign w:val="center"/>
          </w:tcPr>
          <w:p>
            <w:pPr>
              <w:snapToGrid w:val="0"/>
              <w:ind w:firstLine="480"/>
              <w:jc w:val="center"/>
              <w:rPr>
                <w:color w:val="000000" w:themeColor="text1"/>
                <w:szCs w:val="21"/>
              </w:rPr>
            </w:pPr>
            <w:r>
              <w:rPr>
                <w:color w:val="000000" w:themeColor="text1"/>
                <w:szCs w:val="21"/>
              </w:rPr>
              <w:t>16C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2911" w:type="dxa"/>
            <w:vAlign w:val="center"/>
          </w:tcPr>
          <w:p>
            <w:pPr>
              <w:snapToGrid w:val="0"/>
              <w:ind w:firstLine="480"/>
              <w:jc w:val="center"/>
              <w:rPr>
                <w:color w:val="000000" w:themeColor="text1"/>
                <w:szCs w:val="21"/>
              </w:rPr>
            </w:pPr>
            <w:r>
              <w:rPr>
                <w:color w:val="000000" w:themeColor="text1"/>
                <w:szCs w:val="21"/>
              </w:rPr>
              <w:t>33.176.96.0/19</w:t>
            </w:r>
          </w:p>
        </w:tc>
        <w:tc>
          <w:tcPr>
            <w:tcW w:w="3456" w:type="dxa"/>
            <w:vAlign w:val="center"/>
          </w:tcPr>
          <w:p>
            <w:pPr>
              <w:snapToGrid w:val="0"/>
              <w:ind w:firstLine="480"/>
              <w:jc w:val="center"/>
              <w:rPr>
                <w:color w:val="000000" w:themeColor="text1"/>
                <w:szCs w:val="21"/>
              </w:rPr>
            </w:pPr>
            <w:r>
              <w:rPr>
                <w:color w:val="000000" w:themeColor="text1"/>
                <w:szCs w:val="21"/>
              </w:rPr>
              <w:t>预留</w:t>
            </w:r>
          </w:p>
        </w:tc>
        <w:tc>
          <w:tcPr>
            <w:tcW w:w="2724" w:type="dxa"/>
            <w:vAlign w:val="center"/>
          </w:tcPr>
          <w:p>
            <w:pPr>
              <w:snapToGrid w:val="0"/>
              <w:ind w:firstLine="480"/>
              <w:jc w:val="center"/>
              <w:rPr>
                <w:color w:val="000000" w:themeColor="text1"/>
                <w:szCs w:val="21"/>
              </w:rPr>
            </w:pPr>
            <w:r>
              <w:rPr>
                <w:color w:val="000000" w:themeColor="text1"/>
                <w:szCs w:val="21"/>
              </w:rPr>
              <w:t>32C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2911" w:type="dxa"/>
            <w:vAlign w:val="center"/>
          </w:tcPr>
          <w:p>
            <w:pPr>
              <w:snapToGrid w:val="0"/>
              <w:ind w:firstLine="480"/>
              <w:jc w:val="center"/>
              <w:rPr>
                <w:color w:val="000000" w:themeColor="text1"/>
                <w:szCs w:val="21"/>
              </w:rPr>
            </w:pPr>
            <w:r>
              <w:rPr>
                <w:color w:val="000000" w:themeColor="text1"/>
                <w:szCs w:val="21"/>
              </w:rPr>
              <w:t>33.176.96.0/22</w:t>
            </w:r>
          </w:p>
        </w:tc>
        <w:tc>
          <w:tcPr>
            <w:tcW w:w="3456" w:type="dxa"/>
            <w:vAlign w:val="center"/>
          </w:tcPr>
          <w:p>
            <w:pPr>
              <w:snapToGrid w:val="0"/>
              <w:ind w:firstLine="480"/>
              <w:jc w:val="center"/>
              <w:rPr>
                <w:color w:val="000000" w:themeColor="text1"/>
                <w:szCs w:val="21"/>
              </w:rPr>
            </w:pPr>
            <w:r>
              <w:rPr>
                <w:color w:val="000000" w:themeColor="text1"/>
                <w:szCs w:val="21"/>
              </w:rPr>
              <w:t>义乌</w:t>
            </w:r>
          </w:p>
        </w:tc>
        <w:tc>
          <w:tcPr>
            <w:tcW w:w="2724" w:type="dxa"/>
            <w:vAlign w:val="center"/>
          </w:tcPr>
          <w:p>
            <w:pPr>
              <w:snapToGrid w:val="0"/>
              <w:ind w:firstLine="480"/>
              <w:jc w:val="center"/>
              <w:rPr>
                <w:color w:val="000000" w:themeColor="text1"/>
                <w:szCs w:val="21"/>
              </w:rPr>
            </w:pPr>
            <w:r>
              <w:rPr>
                <w:color w:val="000000" w:themeColor="text1"/>
                <w:szCs w:val="21"/>
              </w:rPr>
              <w:t>4C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2911" w:type="dxa"/>
            <w:vAlign w:val="center"/>
          </w:tcPr>
          <w:p>
            <w:pPr>
              <w:snapToGrid w:val="0"/>
              <w:ind w:firstLine="480"/>
              <w:jc w:val="center"/>
              <w:rPr>
                <w:color w:val="000000" w:themeColor="text1"/>
                <w:szCs w:val="21"/>
              </w:rPr>
            </w:pPr>
            <w:r>
              <w:rPr>
                <w:color w:val="000000" w:themeColor="text1"/>
                <w:szCs w:val="21"/>
              </w:rPr>
              <w:t>33.176.128.0/22</w:t>
            </w:r>
          </w:p>
        </w:tc>
        <w:tc>
          <w:tcPr>
            <w:tcW w:w="3456" w:type="dxa"/>
            <w:vAlign w:val="center"/>
          </w:tcPr>
          <w:p>
            <w:pPr>
              <w:snapToGrid w:val="0"/>
              <w:ind w:firstLine="480"/>
              <w:jc w:val="center"/>
              <w:rPr>
                <w:color w:val="000000" w:themeColor="text1"/>
                <w:szCs w:val="21"/>
              </w:rPr>
            </w:pPr>
            <w:r>
              <w:rPr>
                <w:color w:val="000000" w:themeColor="text1"/>
                <w:szCs w:val="21"/>
              </w:rPr>
              <w:t>义乌大队</w:t>
            </w:r>
          </w:p>
        </w:tc>
        <w:tc>
          <w:tcPr>
            <w:tcW w:w="2724" w:type="dxa"/>
            <w:vAlign w:val="center"/>
          </w:tcPr>
          <w:p>
            <w:pPr>
              <w:snapToGrid w:val="0"/>
              <w:ind w:firstLine="480"/>
              <w:jc w:val="center"/>
              <w:rPr>
                <w:color w:val="000000" w:themeColor="text1"/>
                <w:szCs w:val="21"/>
              </w:rPr>
            </w:pPr>
            <w:r>
              <w:rPr>
                <w:color w:val="000000" w:themeColor="text1"/>
                <w:szCs w:val="21"/>
              </w:rPr>
              <w:t>4C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2911" w:type="dxa"/>
            <w:vAlign w:val="center"/>
          </w:tcPr>
          <w:p>
            <w:pPr>
              <w:snapToGrid w:val="0"/>
              <w:ind w:firstLine="480"/>
              <w:jc w:val="center"/>
              <w:rPr>
                <w:color w:val="000000" w:themeColor="text1"/>
                <w:szCs w:val="21"/>
              </w:rPr>
            </w:pPr>
            <w:r>
              <w:rPr>
                <w:color w:val="000000" w:themeColor="text1"/>
                <w:szCs w:val="21"/>
              </w:rPr>
              <w:t>33.176.132.0/22</w:t>
            </w:r>
          </w:p>
        </w:tc>
        <w:tc>
          <w:tcPr>
            <w:tcW w:w="3456" w:type="dxa"/>
            <w:vAlign w:val="center"/>
          </w:tcPr>
          <w:p>
            <w:pPr>
              <w:snapToGrid w:val="0"/>
              <w:ind w:firstLine="480"/>
              <w:jc w:val="center"/>
              <w:rPr>
                <w:color w:val="000000" w:themeColor="text1"/>
                <w:szCs w:val="21"/>
              </w:rPr>
            </w:pPr>
            <w:r>
              <w:rPr>
                <w:color w:val="000000" w:themeColor="text1"/>
                <w:szCs w:val="21"/>
              </w:rPr>
              <w:t>永康</w:t>
            </w:r>
          </w:p>
        </w:tc>
        <w:tc>
          <w:tcPr>
            <w:tcW w:w="2724" w:type="dxa"/>
            <w:vAlign w:val="center"/>
          </w:tcPr>
          <w:p>
            <w:pPr>
              <w:snapToGrid w:val="0"/>
              <w:ind w:firstLine="480"/>
              <w:jc w:val="center"/>
              <w:rPr>
                <w:color w:val="000000" w:themeColor="text1"/>
                <w:szCs w:val="21"/>
              </w:rPr>
            </w:pPr>
            <w:r>
              <w:rPr>
                <w:color w:val="000000" w:themeColor="text1"/>
                <w:szCs w:val="21"/>
              </w:rPr>
              <w:t>4C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2911" w:type="dxa"/>
            <w:vAlign w:val="center"/>
          </w:tcPr>
          <w:p>
            <w:pPr>
              <w:snapToGrid w:val="0"/>
              <w:ind w:firstLine="480"/>
              <w:jc w:val="center"/>
              <w:rPr>
                <w:color w:val="000000" w:themeColor="text1"/>
                <w:szCs w:val="21"/>
              </w:rPr>
            </w:pPr>
            <w:r>
              <w:rPr>
                <w:color w:val="000000" w:themeColor="text1"/>
                <w:szCs w:val="21"/>
              </w:rPr>
              <w:t>33.176.136.0/22</w:t>
            </w:r>
          </w:p>
        </w:tc>
        <w:tc>
          <w:tcPr>
            <w:tcW w:w="3456" w:type="dxa"/>
            <w:vAlign w:val="center"/>
          </w:tcPr>
          <w:p>
            <w:pPr>
              <w:snapToGrid w:val="0"/>
              <w:ind w:firstLine="480"/>
              <w:jc w:val="center"/>
              <w:rPr>
                <w:color w:val="000000" w:themeColor="text1"/>
                <w:szCs w:val="21"/>
              </w:rPr>
            </w:pPr>
            <w:r>
              <w:rPr>
                <w:color w:val="000000" w:themeColor="text1"/>
                <w:szCs w:val="21"/>
              </w:rPr>
              <w:t>永康大队</w:t>
            </w:r>
          </w:p>
        </w:tc>
        <w:tc>
          <w:tcPr>
            <w:tcW w:w="2724" w:type="dxa"/>
            <w:vAlign w:val="center"/>
          </w:tcPr>
          <w:p>
            <w:pPr>
              <w:snapToGrid w:val="0"/>
              <w:ind w:firstLine="480"/>
              <w:jc w:val="center"/>
              <w:rPr>
                <w:color w:val="000000" w:themeColor="text1"/>
                <w:szCs w:val="21"/>
              </w:rPr>
            </w:pPr>
            <w:r>
              <w:rPr>
                <w:color w:val="000000" w:themeColor="text1"/>
                <w:szCs w:val="21"/>
              </w:rPr>
              <w:t>4C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2911" w:type="dxa"/>
            <w:vAlign w:val="center"/>
          </w:tcPr>
          <w:p>
            <w:pPr>
              <w:snapToGrid w:val="0"/>
              <w:ind w:firstLine="480"/>
              <w:jc w:val="center"/>
              <w:rPr>
                <w:color w:val="000000" w:themeColor="text1"/>
                <w:szCs w:val="21"/>
              </w:rPr>
            </w:pPr>
            <w:r>
              <w:rPr>
                <w:color w:val="000000" w:themeColor="text1"/>
                <w:szCs w:val="21"/>
              </w:rPr>
              <w:t>33.176.140.0/22</w:t>
            </w:r>
          </w:p>
        </w:tc>
        <w:tc>
          <w:tcPr>
            <w:tcW w:w="3456" w:type="dxa"/>
            <w:vAlign w:val="center"/>
          </w:tcPr>
          <w:p>
            <w:pPr>
              <w:snapToGrid w:val="0"/>
              <w:ind w:firstLine="480"/>
              <w:jc w:val="center"/>
              <w:rPr>
                <w:color w:val="000000" w:themeColor="text1"/>
                <w:szCs w:val="21"/>
              </w:rPr>
            </w:pPr>
            <w:r>
              <w:rPr>
                <w:color w:val="000000" w:themeColor="text1"/>
                <w:szCs w:val="21"/>
              </w:rPr>
              <w:t>东阳</w:t>
            </w:r>
          </w:p>
        </w:tc>
        <w:tc>
          <w:tcPr>
            <w:tcW w:w="2724" w:type="dxa"/>
            <w:vAlign w:val="center"/>
          </w:tcPr>
          <w:p>
            <w:pPr>
              <w:snapToGrid w:val="0"/>
              <w:ind w:firstLine="480"/>
              <w:jc w:val="center"/>
              <w:rPr>
                <w:color w:val="000000" w:themeColor="text1"/>
                <w:szCs w:val="21"/>
              </w:rPr>
            </w:pPr>
            <w:r>
              <w:rPr>
                <w:color w:val="000000" w:themeColor="text1"/>
                <w:szCs w:val="21"/>
              </w:rPr>
              <w:t>4C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2911" w:type="dxa"/>
            <w:vAlign w:val="center"/>
          </w:tcPr>
          <w:p>
            <w:pPr>
              <w:snapToGrid w:val="0"/>
              <w:ind w:firstLine="480"/>
              <w:jc w:val="center"/>
              <w:rPr>
                <w:color w:val="000000" w:themeColor="text1"/>
                <w:szCs w:val="21"/>
              </w:rPr>
            </w:pPr>
            <w:r>
              <w:rPr>
                <w:color w:val="000000" w:themeColor="text1"/>
                <w:szCs w:val="21"/>
              </w:rPr>
              <w:t>33.176.144.0/22</w:t>
            </w:r>
          </w:p>
        </w:tc>
        <w:tc>
          <w:tcPr>
            <w:tcW w:w="3456" w:type="dxa"/>
            <w:vAlign w:val="center"/>
          </w:tcPr>
          <w:p>
            <w:pPr>
              <w:snapToGrid w:val="0"/>
              <w:ind w:firstLine="480"/>
              <w:jc w:val="center"/>
              <w:rPr>
                <w:color w:val="000000" w:themeColor="text1"/>
                <w:szCs w:val="21"/>
              </w:rPr>
            </w:pPr>
            <w:r>
              <w:rPr>
                <w:color w:val="000000" w:themeColor="text1"/>
                <w:szCs w:val="21"/>
              </w:rPr>
              <w:t>东阳大队</w:t>
            </w:r>
          </w:p>
        </w:tc>
        <w:tc>
          <w:tcPr>
            <w:tcW w:w="2724" w:type="dxa"/>
            <w:vAlign w:val="center"/>
          </w:tcPr>
          <w:p>
            <w:pPr>
              <w:snapToGrid w:val="0"/>
              <w:ind w:firstLine="480"/>
              <w:jc w:val="center"/>
              <w:rPr>
                <w:color w:val="000000" w:themeColor="text1"/>
                <w:szCs w:val="21"/>
              </w:rPr>
            </w:pPr>
            <w:r>
              <w:rPr>
                <w:color w:val="000000" w:themeColor="text1"/>
                <w:szCs w:val="21"/>
              </w:rPr>
              <w:t>4C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2911" w:type="dxa"/>
            <w:vAlign w:val="center"/>
          </w:tcPr>
          <w:p>
            <w:pPr>
              <w:snapToGrid w:val="0"/>
              <w:ind w:firstLine="480"/>
              <w:jc w:val="center"/>
              <w:rPr>
                <w:color w:val="000000" w:themeColor="text1"/>
                <w:szCs w:val="21"/>
              </w:rPr>
            </w:pPr>
            <w:r>
              <w:rPr>
                <w:color w:val="000000" w:themeColor="text1"/>
                <w:szCs w:val="21"/>
              </w:rPr>
              <w:t>33.176.148.0/22</w:t>
            </w:r>
          </w:p>
        </w:tc>
        <w:tc>
          <w:tcPr>
            <w:tcW w:w="3456" w:type="dxa"/>
            <w:vAlign w:val="center"/>
          </w:tcPr>
          <w:p>
            <w:pPr>
              <w:snapToGrid w:val="0"/>
              <w:ind w:firstLine="480"/>
              <w:jc w:val="center"/>
              <w:rPr>
                <w:color w:val="000000" w:themeColor="text1"/>
                <w:szCs w:val="21"/>
              </w:rPr>
            </w:pPr>
            <w:r>
              <w:rPr>
                <w:color w:val="000000" w:themeColor="text1"/>
                <w:szCs w:val="21"/>
              </w:rPr>
              <w:t>兰溪</w:t>
            </w:r>
          </w:p>
        </w:tc>
        <w:tc>
          <w:tcPr>
            <w:tcW w:w="2724" w:type="dxa"/>
            <w:vAlign w:val="center"/>
          </w:tcPr>
          <w:p>
            <w:pPr>
              <w:snapToGrid w:val="0"/>
              <w:ind w:firstLine="480"/>
              <w:jc w:val="center"/>
              <w:rPr>
                <w:color w:val="000000" w:themeColor="text1"/>
                <w:szCs w:val="21"/>
              </w:rPr>
            </w:pPr>
            <w:r>
              <w:rPr>
                <w:color w:val="000000" w:themeColor="text1"/>
                <w:szCs w:val="21"/>
              </w:rPr>
              <w:t>4C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2911" w:type="dxa"/>
            <w:vAlign w:val="center"/>
          </w:tcPr>
          <w:p>
            <w:pPr>
              <w:snapToGrid w:val="0"/>
              <w:ind w:firstLine="480"/>
              <w:jc w:val="center"/>
              <w:rPr>
                <w:color w:val="000000" w:themeColor="text1"/>
                <w:szCs w:val="21"/>
              </w:rPr>
            </w:pPr>
            <w:r>
              <w:rPr>
                <w:color w:val="000000" w:themeColor="text1"/>
                <w:szCs w:val="21"/>
              </w:rPr>
              <w:t>33.176.152.0/22</w:t>
            </w:r>
          </w:p>
        </w:tc>
        <w:tc>
          <w:tcPr>
            <w:tcW w:w="3456" w:type="dxa"/>
            <w:vAlign w:val="center"/>
          </w:tcPr>
          <w:p>
            <w:pPr>
              <w:snapToGrid w:val="0"/>
              <w:ind w:firstLine="480"/>
              <w:jc w:val="center"/>
              <w:rPr>
                <w:color w:val="000000" w:themeColor="text1"/>
                <w:szCs w:val="21"/>
              </w:rPr>
            </w:pPr>
            <w:r>
              <w:rPr>
                <w:color w:val="000000" w:themeColor="text1"/>
                <w:szCs w:val="21"/>
              </w:rPr>
              <w:t>兰溪大队</w:t>
            </w:r>
          </w:p>
        </w:tc>
        <w:tc>
          <w:tcPr>
            <w:tcW w:w="2724" w:type="dxa"/>
            <w:vAlign w:val="center"/>
          </w:tcPr>
          <w:p>
            <w:pPr>
              <w:snapToGrid w:val="0"/>
              <w:ind w:firstLine="480"/>
              <w:jc w:val="center"/>
              <w:rPr>
                <w:color w:val="000000" w:themeColor="text1"/>
                <w:szCs w:val="21"/>
              </w:rPr>
            </w:pPr>
            <w:r>
              <w:rPr>
                <w:color w:val="000000" w:themeColor="text1"/>
                <w:szCs w:val="21"/>
              </w:rPr>
              <w:t>4C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2911" w:type="dxa"/>
            <w:vAlign w:val="center"/>
          </w:tcPr>
          <w:p>
            <w:pPr>
              <w:snapToGrid w:val="0"/>
              <w:ind w:firstLine="480"/>
              <w:jc w:val="center"/>
              <w:rPr>
                <w:color w:val="000000" w:themeColor="text1"/>
                <w:szCs w:val="21"/>
              </w:rPr>
            </w:pPr>
            <w:r>
              <w:rPr>
                <w:color w:val="000000" w:themeColor="text1"/>
                <w:szCs w:val="21"/>
              </w:rPr>
              <w:t>33.176.156.0/22</w:t>
            </w:r>
          </w:p>
        </w:tc>
        <w:tc>
          <w:tcPr>
            <w:tcW w:w="3456" w:type="dxa"/>
            <w:vAlign w:val="center"/>
          </w:tcPr>
          <w:p>
            <w:pPr>
              <w:snapToGrid w:val="0"/>
              <w:ind w:firstLine="480"/>
              <w:jc w:val="center"/>
              <w:rPr>
                <w:color w:val="000000" w:themeColor="text1"/>
                <w:szCs w:val="21"/>
              </w:rPr>
            </w:pPr>
            <w:r>
              <w:rPr>
                <w:color w:val="000000" w:themeColor="text1"/>
                <w:szCs w:val="21"/>
              </w:rPr>
              <w:t>浦江</w:t>
            </w:r>
          </w:p>
        </w:tc>
        <w:tc>
          <w:tcPr>
            <w:tcW w:w="2724" w:type="dxa"/>
            <w:vAlign w:val="center"/>
          </w:tcPr>
          <w:p>
            <w:pPr>
              <w:snapToGrid w:val="0"/>
              <w:ind w:firstLine="480"/>
              <w:jc w:val="center"/>
              <w:rPr>
                <w:color w:val="000000" w:themeColor="text1"/>
                <w:szCs w:val="21"/>
              </w:rPr>
            </w:pPr>
            <w:r>
              <w:rPr>
                <w:color w:val="000000" w:themeColor="text1"/>
                <w:szCs w:val="21"/>
              </w:rPr>
              <w:t>4C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2911" w:type="dxa"/>
            <w:vAlign w:val="center"/>
          </w:tcPr>
          <w:p>
            <w:pPr>
              <w:snapToGrid w:val="0"/>
              <w:ind w:firstLine="480"/>
              <w:jc w:val="center"/>
              <w:rPr>
                <w:color w:val="000000" w:themeColor="text1"/>
                <w:szCs w:val="21"/>
              </w:rPr>
            </w:pPr>
            <w:r>
              <w:rPr>
                <w:color w:val="000000" w:themeColor="text1"/>
                <w:szCs w:val="21"/>
              </w:rPr>
              <w:t>33.176.160.0/22</w:t>
            </w:r>
          </w:p>
        </w:tc>
        <w:tc>
          <w:tcPr>
            <w:tcW w:w="3456" w:type="dxa"/>
            <w:vAlign w:val="center"/>
          </w:tcPr>
          <w:p>
            <w:pPr>
              <w:snapToGrid w:val="0"/>
              <w:ind w:firstLine="480"/>
              <w:jc w:val="center"/>
              <w:rPr>
                <w:color w:val="000000" w:themeColor="text1"/>
                <w:szCs w:val="21"/>
              </w:rPr>
            </w:pPr>
            <w:r>
              <w:rPr>
                <w:color w:val="000000" w:themeColor="text1"/>
                <w:szCs w:val="21"/>
              </w:rPr>
              <w:t>浦江大队</w:t>
            </w:r>
          </w:p>
        </w:tc>
        <w:tc>
          <w:tcPr>
            <w:tcW w:w="2724" w:type="dxa"/>
            <w:vAlign w:val="center"/>
          </w:tcPr>
          <w:p>
            <w:pPr>
              <w:snapToGrid w:val="0"/>
              <w:ind w:firstLine="480"/>
              <w:jc w:val="center"/>
              <w:rPr>
                <w:color w:val="000000" w:themeColor="text1"/>
                <w:szCs w:val="21"/>
              </w:rPr>
            </w:pPr>
            <w:r>
              <w:rPr>
                <w:color w:val="000000" w:themeColor="text1"/>
                <w:szCs w:val="21"/>
              </w:rPr>
              <w:t>4C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2911" w:type="dxa"/>
            <w:vAlign w:val="center"/>
          </w:tcPr>
          <w:p>
            <w:pPr>
              <w:snapToGrid w:val="0"/>
              <w:ind w:firstLine="480"/>
              <w:jc w:val="center"/>
              <w:rPr>
                <w:color w:val="000000" w:themeColor="text1"/>
                <w:szCs w:val="21"/>
              </w:rPr>
            </w:pPr>
            <w:r>
              <w:rPr>
                <w:color w:val="000000" w:themeColor="text1"/>
                <w:szCs w:val="21"/>
              </w:rPr>
              <w:t>33.176.164.0/22</w:t>
            </w:r>
          </w:p>
        </w:tc>
        <w:tc>
          <w:tcPr>
            <w:tcW w:w="3456" w:type="dxa"/>
            <w:vAlign w:val="center"/>
          </w:tcPr>
          <w:p>
            <w:pPr>
              <w:snapToGrid w:val="0"/>
              <w:ind w:firstLine="480"/>
              <w:jc w:val="center"/>
              <w:rPr>
                <w:color w:val="000000" w:themeColor="text1"/>
                <w:szCs w:val="21"/>
              </w:rPr>
            </w:pPr>
            <w:r>
              <w:rPr>
                <w:color w:val="000000" w:themeColor="text1"/>
                <w:szCs w:val="21"/>
              </w:rPr>
              <w:t>武义</w:t>
            </w:r>
          </w:p>
        </w:tc>
        <w:tc>
          <w:tcPr>
            <w:tcW w:w="2724" w:type="dxa"/>
            <w:vAlign w:val="center"/>
          </w:tcPr>
          <w:p>
            <w:pPr>
              <w:snapToGrid w:val="0"/>
              <w:ind w:firstLine="480"/>
              <w:jc w:val="center"/>
              <w:rPr>
                <w:color w:val="000000" w:themeColor="text1"/>
                <w:szCs w:val="21"/>
              </w:rPr>
            </w:pPr>
            <w:r>
              <w:rPr>
                <w:color w:val="000000" w:themeColor="text1"/>
                <w:szCs w:val="21"/>
              </w:rPr>
              <w:t>4C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2911" w:type="dxa"/>
            <w:vAlign w:val="center"/>
          </w:tcPr>
          <w:p>
            <w:pPr>
              <w:snapToGrid w:val="0"/>
              <w:ind w:firstLine="480"/>
              <w:jc w:val="center"/>
              <w:rPr>
                <w:color w:val="000000" w:themeColor="text1"/>
                <w:szCs w:val="21"/>
              </w:rPr>
            </w:pPr>
            <w:r>
              <w:rPr>
                <w:color w:val="000000" w:themeColor="text1"/>
                <w:szCs w:val="21"/>
              </w:rPr>
              <w:t>33.176.168.0/22</w:t>
            </w:r>
          </w:p>
        </w:tc>
        <w:tc>
          <w:tcPr>
            <w:tcW w:w="3456" w:type="dxa"/>
            <w:vAlign w:val="center"/>
          </w:tcPr>
          <w:p>
            <w:pPr>
              <w:snapToGrid w:val="0"/>
              <w:ind w:firstLine="480"/>
              <w:jc w:val="center"/>
              <w:rPr>
                <w:color w:val="000000" w:themeColor="text1"/>
                <w:szCs w:val="21"/>
              </w:rPr>
            </w:pPr>
            <w:r>
              <w:rPr>
                <w:color w:val="000000" w:themeColor="text1"/>
                <w:szCs w:val="21"/>
              </w:rPr>
              <w:t>武义大队</w:t>
            </w:r>
          </w:p>
        </w:tc>
        <w:tc>
          <w:tcPr>
            <w:tcW w:w="2724" w:type="dxa"/>
            <w:vAlign w:val="center"/>
          </w:tcPr>
          <w:p>
            <w:pPr>
              <w:snapToGrid w:val="0"/>
              <w:ind w:firstLine="480"/>
              <w:jc w:val="center"/>
              <w:rPr>
                <w:color w:val="000000" w:themeColor="text1"/>
                <w:szCs w:val="21"/>
              </w:rPr>
            </w:pPr>
            <w:r>
              <w:rPr>
                <w:color w:val="000000" w:themeColor="text1"/>
                <w:szCs w:val="21"/>
              </w:rPr>
              <w:t>4C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2911" w:type="dxa"/>
            <w:vAlign w:val="center"/>
          </w:tcPr>
          <w:p>
            <w:pPr>
              <w:snapToGrid w:val="0"/>
              <w:ind w:firstLine="480"/>
              <w:jc w:val="center"/>
              <w:rPr>
                <w:color w:val="000000" w:themeColor="text1"/>
                <w:szCs w:val="21"/>
              </w:rPr>
            </w:pPr>
            <w:r>
              <w:rPr>
                <w:color w:val="000000" w:themeColor="text1"/>
                <w:szCs w:val="21"/>
              </w:rPr>
              <w:t>33.176.172.0/22</w:t>
            </w:r>
          </w:p>
        </w:tc>
        <w:tc>
          <w:tcPr>
            <w:tcW w:w="3456" w:type="dxa"/>
            <w:vAlign w:val="center"/>
          </w:tcPr>
          <w:p>
            <w:pPr>
              <w:snapToGrid w:val="0"/>
              <w:ind w:firstLine="480"/>
              <w:jc w:val="center"/>
              <w:rPr>
                <w:color w:val="000000" w:themeColor="text1"/>
                <w:szCs w:val="21"/>
              </w:rPr>
            </w:pPr>
            <w:r>
              <w:rPr>
                <w:color w:val="000000" w:themeColor="text1"/>
                <w:szCs w:val="21"/>
              </w:rPr>
              <w:t>磐安</w:t>
            </w:r>
          </w:p>
        </w:tc>
        <w:tc>
          <w:tcPr>
            <w:tcW w:w="2724" w:type="dxa"/>
            <w:vAlign w:val="center"/>
          </w:tcPr>
          <w:p>
            <w:pPr>
              <w:snapToGrid w:val="0"/>
              <w:ind w:firstLine="480"/>
              <w:jc w:val="center"/>
              <w:rPr>
                <w:color w:val="000000" w:themeColor="text1"/>
                <w:szCs w:val="21"/>
              </w:rPr>
            </w:pPr>
            <w:r>
              <w:rPr>
                <w:color w:val="000000" w:themeColor="text1"/>
                <w:szCs w:val="21"/>
              </w:rPr>
              <w:t>4C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2911" w:type="dxa"/>
            <w:vAlign w:val="center"/>
          </w:tcPr>
          <w:p>
            <w:pPr>
              <w:snapToGrid w:val="0"/>
              <w:ind w:firstLine="480"/>
              <w:jc w:val="center"/>
              <w:rPr>
                <w:color w:val="000000" w:themeColor="text1"/>
                <w:szCs w:val="21"/>
              </w:rPr>
            </w:pPr>
            <w:r>
              <w:rPr>
                <w:color w:val="000000" w:themeColor="text1"/>
                <w:szCs w:val="21"/>
              </w:rPr>
              <w:t>33.176.176.0/22</w:t>
            </w:r>
          </w:p>
        </w:tc>
        <w:tc>
          <w:tcPr>
            <w:tcW w:w="3456" w:type="dxa"/>
            <w:vAlign w:val="center"/>
          </w:tcPr>
          <w:p>
            <w:pPr>
              <w:snapToGrid w:val="0"/>
              <w:ind w:firstLine="480"/>
              <w:jc w:val="center"/>
              <w:rPr>
                <w:color w:val="000000" w:themeColor="text1"/>
                <w:szCs w:val="21"/>
              </w:rPr>
            </w:pPr>
            <w:r>
              <w:rPr>
                <w:color w:val="000000" w:themeColor="text1"/>
                <w:szCs w:val="21"/>
              </w:rPr>
              <w:t>磐安大队</w:t>
            </w:r>
          </w:p>
        </w:tc>
        <w:tc>
          <w:tcPr>
            <w:tcW w:w="2724" w:type="dxa"/>
            <w:vAlign w:val="center"/>
          </w:tcPr>
          <w:p>
            <w:pPr>
              <w:snapToGrid w:val="0"/>
              <w:ind w:firstLine="480"/>
              <w:jc w:val="center"/>
              <w:rPr>
                <w:color w:val="000000" w:themeColor="text1"/>
                <w:szCs w:val="21"/>
              </w:rPr>
            </w:pPr>
            <w:r>
              <w:rPr>
                <w:color w:val="000000" w:themeColor="text1"/>
                <w:szCs w:val="21"/>
              </w:rPr>
              <w:t>4C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2911" w:type="dxa"/>
            <w:vAlign w:val="center"/>
          </w:tcPr>
          <w:p>
            <w:pPr>
              <w:snapToGrid w:val="0"/>
              <w:ind w:firstLine="480"/>
              <w:jc w:val="center"/>
              <w:rPr>
                <w:color w:val="000000" w:themeColor="text1"/>
                <w:szCs w:val="21"/>
              </w:rPr>
            </w:pPr>
            <w:r>
              <w:rPr>
                <w:color w:val="000000" w:themeColor="text1"/>
                <w:szCs w:val="21"/>
              </w:rPr>
              <w:t>33.176.180.0/20</w:t>
            </w:r>
          </w:p>
        </w:tc>
        <w:tc>
          <w:tcPr>
            <w:tcW w:w="3456" w:type="dxa"/>
            <w:vAlign w:val="center"/>
          </w:tcPr>
          <w:p>
            <w:pPr>
              <w:snapToGrid w:val="0"/>
              <w:ind w:firstLine="480"/>
              <w:jc w:val="center"/>
              <w:rPr>
                <w:color w:val="000000" w:themeColor="text1"/>
                <w:szCs w:val="21"/>
              </w:rPr>
            </w:pPr>
            <w:r>
              <w:rPr>
                <w:color w:val="000000" w:themeColor="text1"/>
                <w:szCs w:val="21"/>
              </w:rPr>
              <w:t>预留</w:t>
            </w:r>
          </w:p>
        </w:tc>
        <w:tc>
          <w:tcPr>
            <w:tcW w:w="2724" w:type="dxa"/>
            <w:vAlign w:val="center"/>
          </w:tcPr>
          <w:p>
            <w:pPr>
              <w:snapToGrid w:val="0"/>
              <w:ind w:firstLine="480"/>
              <w:jc w:val="center"/>
              <w:rPr>
                <w:color w:val="000000" w:themeColor="text1"/>
                <w:szCs w:val="21"/>
              </w:rPr>
            </w:pPr>
            <w:r>
              <w:rPr>
                <w:color w:val="000000" w:themeColor="text1"/>
                <w:szCs w:val="21"/>
              </w:rPr>
              <w:t>16C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2911" w:type="dxa"/>
            <w:vAlign w:val="center"/>
          </w:tcPr>
          <w:p>
            <w:pPr>
              <w:snapToGrid w:val="0"/>
              <w:ind w:firstLine="480"/>
              <w:jc w:val="center"/>
              <w:rPr>
                <w:color w:val="000000" w:themeColor="text1"/>
                <w:szCs w:val="21"/>
              </w:rPr>
            </w:pPr>
            <w:r>
              <w:rPr>
                <w:color w:val="000000" w:themeColor="text1"/>
                <w:szCs w:val="21"/>
              </w:rPr>
              <w:t>33.176.192.0/18</w:t>
            </w:r>
          </w:p>
        </w:tc>
        <w:tc>
          <w:tcPr>
            <w:tcW w:w="3456" w:type="dxa"/>
            <w:vAlign w:val="center"/>
          </w:tcPr>
          <w:p>
            <w:pPr>
              <w:snapToGrid w:val="0"/>
              <w:ind w:firstLine="480"/>
              <w:jc w:val="center"/>
              <w:rPr>
                <w:color w:val="000000" w:themeColor="text1"/>
                <w:szCs w:val="21"/>
              </w:rPr>
            </w:pPr>
            <w:r>
              <w:rPr>
                <w:color w:val="000000" w:themeColor="text1"/>
                <w:szCs w:val="21"/>
              </w:rPr>
              <w:t>预留</w:t>
            </w:r>
          </w:p>
        </w:tc>
        <w:tc>
          <w:tcPr>
            <w:tcW w:w="2724" w:type="dxa"/>
            <w:vAlign w:val="center"/>
          </w:tcPr>
          <w:p>
            <w:pPr>
              <w:snapToGrid w:val="0"/>
              <w:ind w:firstLine="480"/>
              <w:jc w:val="center"/>
              <w:rPr>
                <w:color w:val="000000" w:themeColor="text1"/>
                <w:szCs w:val="21"/>
              </w:rPr>
            </w:pPr>
            <w:r>
              <w:rPr>
                <w:color w:val="000000" w:themeColor="text1"/>
                <w:szCs w:val="21"/>
              </w:rPr>
              <w:t>64C</w:t>
            </w:r>
          </w:p>
        </w:tc>
      </w:tr>
    </w:tbl>
    <w:p>
      <w:pPr>
        <w:ind w:firstLine="480"/>
        <w:rPr>
          <w:color w:val="000000" w:themeColor="text1"/>
        </w:rPr>
      </w:pPr>
      <w:r>
        <w:rPr>
          <w:color w:val="000000" w:themeColor="text1"/>
        </w:rPr>
        <w:t>骨干区域分配16段互联，预留4段地址。各县（市、区）分局及各大队分配4段，中间预留2段，最后预留2段，预留网段可以提供外联单位视频网接入，中间预留段可充分保证各县（市、区）区地址段扩展</w:t>
      </w:r>
      <w:r>
        <w:rPr>
          <w:rFonts w:hint="eastAsia"/>
          <w:color w:val="000000" w:themeColor="text1"/>
        </w:rPr>
        <w:t>。</w:t>
      </w:r>
    </w:p>
    <w:p>
      <w:pPr>
        <w:ind w:firstLine="480"/>
        <w:rPr>
          <w:color w:val="000000" w:themeColor="text1"/>
        </w:rPr>
      </w:pPr>
      <w:r>
        <w:rPr>
          <w:color w:val="000000" w:themeColor="text1"/>
        </w:rPr>
        <w:t>3、将33.179地址用于二类点位，每个县（市、区）规划16个C，其中社会面平台及存量行业1个C，新建行业每个县（市、区）15个C，预留地址作为后续机构调整；</w:t>
      </w:r>
    </w:p>
    <w:p>
      <w:pPr>
        <w:ind w:firstLine="480"/>
        <w:rPr>
          <w:color w:val="000000" w:themeColor="text1"/>
        </w:rPr>
      </w:pPr>
      <w:r>
        <w:rPr>
          <w:color w:val="000000" w:themeColor="text1"/>
        </w:rPr>
        <w:t>4、解析中心及云存储地址规划5个C，放于金华市局33.180网段</w:t>
      </w:r>
      <w:r>
        <w:rPr>
          <w:rFonts w:hint="eastAsia"/>
          <w:color w:val="000000" w:themeColor="text1"/>
        </w:rPr>
        <w:t>。</w:t>
      </w:r>
    </w:p>
    <w:p>
      <w:pPr>
        <w:ind w:firstLine="480"/>
        <w:rPr>
          <w:color w:val="000000" w:themeColor="text1"/>
        </w:rPr>
      </w:pPr>
      <w:r>
        <w:rPr>
          <w:color w:val="000000" w:themeColor="text1"/>
        </w:rPr>
        <w:t>5、预留33.177/178网段</w:t>
      </w:r>
      <w:r>
        <w:rPr>
          <w:rFonts w:hint="eastAsia"/>
          <w:color w:val="000000" w:themeColor="text1"/>
        </w:rPr>
        <w:t>。</w:t>
      </w:r>
    </w:p>
    <w:p>
      <w:pPr>
        <w:snapToGrid w:val="0"/>
        <w:ind w:firstLine="480"/>
        <w:rPr>
          <w:rFonts w:ascii="宋体" w:hAnsi="宋体"/>
          <w:color w:val="000000" w:themeColor="text1"/>
        </w:rPr>
      </w:pPr>
    </w:p>
    <w:p>
      <w:pPr>
        <w:pStyle w:val="4"/>
        <w:ind w:firstLine="562"/>
        <w:rPr>
          <w:color w:val="000000" w:themeColor="text1"/>
        </w:rPr>
      </w:pPr>
      <w:bookmarkStart w:id="290" w:name="_Toc8760708"/>
      <w:bookmarkStart w:id="291" w:name="_Toc7521684"/>
      <w:r>
        <w:rPr>
          <w:rFonts w:hint="eastAsia"/>
          <w:color w:val="000000" w:themeColor="text1"/>
        </w:rPr>
        <w:t>（二）项目清单</w:t>
      </w:r>
      <w:bookmarkEnd w:id="290"/>
      <w:bookmarkEnd w:id="291"/>
    </w:p>
    <w:tbl>
      <w:tblPr>
        <w:tblStyle w:val="53"/>
        <w:tblW w:w="8987" w:type="dxa"/>
        <w:tblInd w:w="-459"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6"/>
        <w:gridCol w:w="1102"/>
        <w:gridCol w:w="5693"/>
        <w:gridCol w:w="544"/>
        <w:gridCol w:w="815"/>
        <w:gridCol w:w="4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09" w:hRule="atLeast"/>
          <w:tblHeader/>
        </w:trPr>
        <w:tc>
          <w:tcPr>
            <w:tcW w:w="416" w:type="dxa"/>
            <w:vAlign w:val="center"/>
          </w:tcPr>
          <w:p>
            <w:pPr>
              <w:rPr>
                <w:rFonts w:ascii="宋体" w:hAnsi="宋体"/>
                <w:b/>
                <w:bCs/>
                <w:color w:val="000000" w:themeColor="text1"/>
                <w:szCs w:val="21"/>
              </w:rPr>
            </w:pPr>
            <w:r>
              <w:rPr>
                <w:rFonts w:ascii="宋体" w:hAnsi="宋体"/>
                <w:b/>
                <w:bCs/>
                <w:color w:val="000000" w:themeColor="text1"/>
                <w:szCs w:val="21"/>
              </w:rPr>
              <w:t>项目</w:t>
            </w:r>
          </w:p>
        </w:tc>
        <w:tc>
          <w:tcPr>
            <w:tcW w:w="1102" w:type="dxa"/>
            <w:vAlign w:val="center"/>
          </w:tcPr>
          <w:p>
            <w:pPr>
              <w:rPr>
                <w:rFonts w:ascii="宋体" w:hAnsi="宋体"/>
                <w:b/>
                <w:bCs/>
                <w:color w:val="000000" w:themeColor="text1"/>
                <w:szCs w:val="21"/>
              </w:rPr>
            </w:pPr>
            <w:r>
              <w:rPr>
                <w:rFonts w:ascii="宋体" w:hAnsi="宋体"/>
                <w:b/>
                <w:bCs/>
                <w:color w:val="000000" w:themeColor="text1"/>
                <w:szCs w:val="21"/>
              </w:rPr>
              <w:t>子项目</w:t>
            </w:r>
          </w:p>
        </w:tc>
        <w:tc>
          <w:tcPr>
            <w:tcW w:w="5693" w:type="dxa"/>
            <w:vAlign w:val="center"/>
          </w:tcPr>
          <w:p>
            <w:pPr>
              <w:ind w:firstLine="482"/>
              <w:jc w:val="center"/>
              <w:rPr>
                <w:rFonts w:ascii="宋体" w:hAnsi="宋体"/>
                <w:b/>
                <w:bCs/>
                <w:color w:val="000000" w:themeColor="text1"/>
                <w:szCs w:val="21"/>
              </w:rPr>
            </w:pPr>
            <w:r>
              <w:rPr>
                <w:rFonts w:ascii="宋体" w:hAnsi="宋体"/>
                <w:b/>
                <w:bCs/>
                <w:color w:val="000000" w:themeColor="text1"/>
                <w:szCs w:val="21"/>
              </w:rPr>
              <w:t>技术参数要求</w:t>
            </w:r>
          </w:p>
        </w:tc>
        <w:tc>
          <w:tcPr>
            <w:tcW w:w="544" w:type="dxa"/>
            <w:vAlign w:val="center"/>
          </w:tcPr>
          <w:p>
            <w:pPr>
              <w:rPr>
                <w:rFonts w:ascii="宋体" w:hAnsi="宋体"/>
                <w:b/>
                <w:bCs/>
                <w:color w:val="000000" w:themeColor="text1"/>
                <w:szCs w:val="21"/>
              </w:rPr>
            </w:pPr>
            <w:r>
              <w:rPr>
                <w:rFonts w:ascii="宋体" w:hAnsi="宋体"/>
                <w:b/>
                <w:bCs/>
                <w:color w:val="000000" w:themeColor="text1"/>
                <w:szCs w:val="21"/>
              </w:rPr>
              <w:t>数量</w:t>
            </w:r>
          </w:p>
        </w:tc>
        <w:tc>
          <w:tcPr>
            <w:tcW w:w="815" w:type="dxa"/>
            <w:vAlign w:val="center"/>
          </w:tcPr>
          <w:p>
            <w:pPr>
              <w:rPr>
                <w:rFonts w:ascii="宋体" w:hAnsi="宋体"/>
                <w:b/>
                <w:bCs/>
                <w:color w:val="000000" w:themeColor="text1"/>
                <w:szCs w:val="21"/>
              </w:rPr>
            </w:pPr>
            <w:r>
              <w:rPr>
                <w:rFonts w:hint="eastAsia" w:ascii="宋体" w:hAnsi="宋体"/>
                <w:b/>
                <w:bCs/>
                <w:color w:val="000000" w:themeColor="text1"/>
                <w:szCs w:val="21"/>
              </w:rPr>
              <w:t>县市区</w:t>
            </w:r>
          </w:p>
        </w:tc>
        <w:tc>
          <w:tcPr>
            <w:tcW w:w="417" w:type="dxa"/>
            <w:vAlign w:val="center"/>
          </w:tcPr>
          <w:p>
            <w:pPr>
              <w:rPr>
                <w:rFonts w:ascii="宋体" w:hAnsi="宋体"/>
                <w:b/>
                <w:bCs/>
                <w:color w:val="000000" w:themeColor="text1"/>
                <w:szCs w:val="21"/>
              </w:rPr>
            </w:pPr>
            <w:r>
              <w:rPr>
                <w:rFonts w:ascii="宋体" w:hAnsi="宋体"/>
                <w:b/>
                <w:bCs/>
                <w:color w:val="000000" w:themeColor="text1"/>
                <w:szCs w:val="21"/>
              </w:rPr>
              <w:t>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16" w:type="dxa"/>
            <w:vMerge w:val="restart"/>
            <w:vAlign w:val="center"/>
          </w:tcPr>
          <w:p>
            <w:pPr>
              <w:rPr>
                <w:rFonts w:ascii="宋体" w:hAnsi="宋体"/>
                <w:bCs/>
                <w:color w:val="000000" w:themeColor="text1"/>
                <w:szCs w:val="21"/>
              </w:rPr>
            </w:pPr>
            <w:r>
              <w:rPr>
                <w:rFonts w:ascii="宋体" w:hAnsi="宋体"/>
                <w:bCs/>
                <w:color w:val="000000" w:themeColor="text1"/>
                <w:szCs w:val="21"/>
              </w:rPr>
              <w:t>视频专网三级网</w:t>
            </w:r>
          </w:p>
        </w:tc>
        <w:tc>
          <w:tcPr>
            <w:tcW w:w="1102" w:type="dxa"/>
            <w:vAlign w:val="center"/>
          </w:tcPr>
          <w:p>
            <w:pPr>
              <w:rPr>
                <w:rFonts w:ascii="宋体" w:hAnsi="宋体"/>
                <w:color w:val="000000" w:themeColor="text1"/>
                <w:szCs w:val="21"/>
              </w:rPr>
            </w:pPr>
            <w:r>
              <w:rPr>
                <w:rFonts w:hint="eastAsia"/>
                <w:color w:val="000000" w:themeColor="text1"/>
              </w:rPr>
              <w:t>▲</w:t>
            </w:r>
            <w:r>
              <w:rPr>
                <w:rFonts w:ascii="宋体" w:hAnsi="宋体"/>
                <w:color w:val="000000" w:themeColor="text1"/>
                <w:szCs w:val="21"/>
              </w:rPr>
              <w:t>市级视频专网核心交换机</w:t>
            </w:r>
          </w:p>
        </w:tc>
        <w:tc>
          <w:tcPr>
            <w:tcW w:w="5693" w:type="dxa"/>
            <w:vAlign w:val="center"/>
          </w:tcPr>
          <w:p>
            <w:pPr>
              <w:rPr>
                <w:rFonts w:ascii="宋体" w:hAnsi="宋体"/>
                <w:color w:val="000000" w:themeColor="text1"/>
                <w:szCs w:val="21"/>
              </w:rPr>
            </w:pPr>
            <w:r>
              <w:rPr>
                <w:rFonts w:hint="eastAsia"/>
                <w:color w:val="000000" w:themeColor="text1"/>
              </w:rPr>
              <w:t>★</w:t>
            </w:r>
            <w:r>
              <w:rPr>
                <w:rFonts w:ascii="宋体" w:hAnsi="宋体"/>
                <w:color w:val="000000" w:themeColor="text1"/>
                <w:szCs w:val="21"/>
              </w:rPr>
              <w:t>双主控双电源；</w:t>
            </w:r>
            <w:r>
              <w:rPr>
                <w:rFonts w:ascii="宋体" w:hAnsi="宋体"/>
                <w:color w:val="000000" w:themeColor="text1"/>
                <w:szCs w:val="21"/>
              </w:rPr>
              <w:br w:type="textWrapping"/>
            </w:r>
            <w:r>
              <w:rPr>
                <w:rFonts w:hint="eastAsia"/>
                <w:color w:val="000000" w:themeColor="text1"/>
              </w:rPr>
              <w:t>★</w:t>
            </w:r>
            <w:r>
              <w:rPr>
                <w:rFonts w:hint="eastAsia" w:ascii="宋体" w:hAnsi="宋体"/>
                <w:color w:val="000000" w:themeColor="text1"/>
                <w:szCs w:val="21"/>
              </w:rPr>
              <w:t>交换</w:t>
            </w:r>
            <w:r>
              <w:rPr>
                <w:rFonts w:ascii="宋体" w:hAnsi="宋体"/>
                <w:color w:val="000000" w:themeColor="text1"/>
                <w:szCs w:val="21"/>
              </w:rPr>
              <w:t>容量≥28.8Tbps；（以官网参数斜线前数值为准）</w:t>
            </w:r>
            <w:r>
              <w:rPr>
                <w:rFonts w:hint="eastAsia" w:ascii="宋体" w:hAnsi="宋体"/>
                <w:color w:val="000000" w:themeColor="text1"/>
                <w:szCs w:val="21"/>
              </w:rPr>
              <w:t>（提供官网截图）</w:t>
            </w:r>
            <w:r>
              <w:rPr>
                <w:rFonts w:ascii="宋体" w:hAnsi="宋体"/>
                <w:color w:val="000000" w:themeColor="text1"/>
                <w:szCs w:val="21"/>
              </w:rPr>
              <w:br w:type="textWrapping"/>
            </w:r>
            <w:r>
              <w:rPr>
                <w:rFonts w:hint="eastAsia"/>
                <w:color w:val="000000" w:themeColor="text1"/>
              </w:rPr>
              <w:t>★</w:t>
            </w:r>
            <w:r>
              <w:rPr>
                <w:rFonts w:ascii="宋体" w:hAnsi="宋体"/>
                <w:color w:val="000000" w:themeColor="text1"/>
                <w:szCs w:val="21"/>
              </w:rPr>
              <w:t>包转发率≥3600Mpps；（以官网参数斜线前数值为准）</w:t>
            </w:r>
            <w:r>
              <w:rPr>
                <w:rFonts w:hint="eastAsia" w:ascii="宋体" w:hAnsi="宋体"/>
                <w:color w:val="000000" w:themeColor="text1"/>
                <w:szCs w:val="21"/>
              </w:rPr>
              <w:t>（提供官网截图）</w:t>
            </w:r>
            <w:r>
              <w:rPr>
                <w:rFonts w:ascii="宋体" w:hAnsi="宋体"/>
                <w:color w:val="000000" w:themeColor="text1"/>
                <w:szCs w:val="21"/>
              </w:rPr>
              <w:br w:type="textWrapping"/>
            </w:r>
            <w:r>
              <w:rPr>
                <w:rFonts w:ascii="宋体" w:hAnsi="宋体"/>
                <w:color w:val="000000" w:themeColor="text1"/>
                <w:szCs w:val="21"/>
              </w:rPr>
              <w:t>业务槽位数≥4；</w:t>
            </w:r>
            <w:r>
              <w:rPr>
                <w:rFonts w:ascii="宋体" w:hAnsi="宋体"/>
                <w:color w:val="000000" w:themeColor="text1"/>
                <w:szCs w:val="21"/>
              </w:rPr>
              <w:br w:type="textWrapping"/>
            </w:r>
            <w:r>
              <w:rPr>
                <w:rFonts w:ascii="宋体" w:hAnsi="宋体"/>
                <w:color w:val="000000" w:themeColor="text1"/>
                <w:szCs w:val="21"/>
              </w:rPr>
              <w:t>可支持接口类型：GE（光/电）、10GE（光）、40GE（光）、100GE（光）；</w:t>
            </w:r>
            <w:r>
              <w:rPr>
                <w:rFonts w:ascii="宋体" w:hAnsi="宋体"/>
                <w:color w:val="000000" w:themeColor="text1"/>
                <w:szCs w:val="21"/>
              </w:rPr>
              <w:br w:type="textWrapping"/>
            </w:r>
            <w:r>
              <w:rPr>
                <w:rFonts w:hint="eastAsia"/>
                <w:color w:val="000000" w:themeColor="text1"/>
              </w:rPr>
              <w:t>★</w:t>
            </w:r>
            <w:r>
              <w:rPr>
                <w:rFonts w:ascii="宋体" w:hAnsi="宋体"/>
                <w:color w:val="000000" w:themeColor="text1"/>
                <w:szCs w:val="21"/>
              </w:rPr>
              <w:t>端口配置：40GE光口8个（满配原厂单模10KM光模块），10GE光口48个（满配原厂单模10KM光模块）；</w:t>
            </w:r>
            <w:r>
              <w:rPr>
                <w:rFonts w:ascii="宋体" w:hAnsi="宋体"/>
                <w:color w:val="000000" w:themeColor="text1"/>
                <w:szCs w:val="21"/>
              </w:rPr>
              <w:br w:type="textWrapping"/>
            </w:r>
            <w:r>
              <w:rPr>
                <w:rFonts w:ascii="宋体" w:hAnsi="宋体"/>
                <w:color w:val="000000" w:themeColor="text1"/>
                <w:szCs w:val="21"/>
              </w:rPr>
              <w:t>路由特性：交换机要求支持静态路由、RIP、OSPF、IS-IS、BGP4等路由协议；支持IPv4/IPv6；支持组播；支持MPLS VPN/VLL/VPLS；支持VRRP；支持ACL；支持Diff-Serv QoS；支持SNMP管理协议，支持Console、TELNET、SSH、WEB等系统管理；</w:t>
            </w:r>
            <w:r>
              <w:rPr>
                <w:rFonts w:ascii="宋体" w:hAnsi="宋体"/>
                <w:color w:val="000000" w:themeColor="text1"/>
                <w:szCs w:val="21"/>
              </w:rPr>
              <w:br w:type="textWrapping"/>
            </w:r>
            <w:r>
              <w:rPr>
                <w:rFonts w:ascii="宋体" w:hAnsi="宋体"/>
                <w:color w:val="000000" w:themeColor="text1"/>
                <w:szCs w:val="21"/>
              </w:rPr>
              <w:t>能够实现设备虚拟化：N:1；</w:t>
            </w:r>
            <w:r>
              <w:rPr>
                <w:rFonts w:ascii="宋体" w:hAnsi="宋体"/>
                <w:color w:val="000000" w:themeColor="text1"/>
                <w:szCs w:val="21"/>
              </w:rPr>
              <w:br w:type="textWrapping"/>
            </w:r>
            <w:r>
              <w:rPr>
                <w:rFonts w:ascii="宋体" w:hAnsi="宋体"/>
                <w:color w:val="000000" w:themeColor="text1"/>
                <w:szCs w:val="21"/>
              </w:rPr>
              <w:t>含堆叠线缆（4*10G）。</w:t>
            </w:r>
          </w:p>
        </w:tc>
        <w:tc>
          <w:tcPr>
            <w:tcW w:w="544" w:type="dxa"/>
            <w:vAlign w:val="center"/>
          </w:tcPr>
          <w:p>
            <w:pPr>
              <w:rPr>
                <w:rFonts w:ascii="宋体" w:hAnsi="宋体"/>
                <w:color w:val="000000" w:themeColor="text1"/>
                <w:szCs w:val="21"/>
              </w:rPr>
            </w:pPr>
            <w:r>
              <w:rPr>
                <w:rFonts w:ascii="宋体" w:hAnsi="宋体"/>
                <w:color w:val="000000" w:themeColor="text1"/>
                <w:szCs w:val="21"/>
              </w:rPr>
              <w:t>2</w:t>
            </w:r>
          </w:p>
        </w:tc>
        <w:tc>
          <w:tcPr>
            <w:tcW w:w="815" w:type="dxa"/>
            <w:vAlign w:val="center"/>
          </w:tcPr>
          <w:p>
            <w:pPr>
              <w:rPr>
                <w:rFonts w:ascii="宋体" w:hAnsi="宋体"/>
                <w:color w:val="000000" w:themeColor="text1"/>
                <w:szCs w:val="21"/>
              </w:rPr>
            </w:pPr>
            <w:r>
              <w:rPr>
                <w:rFonts w:hint="eastAsia" w:ascii="宋体" w:hAnsi="宋体"/>
                <w:color w:val="000000" w:themeColor="text1"/>
                <w:szCs w:val="21"/>
              </w:rPr>
              <w:t>市本级2台</w:t>
            </w:r>
          </w:p>
        </w:tc>
        <w:tc>
          <w:tcPr>
            <w:tcW w:w="417" w:type="dxa"/>
            <w:vAlign w:val="center"/>
          </w:tcPr>
          <w:p>
            <w:pPr>
              <w:rPr>
                <w:rFonts w:ascii="宋体" w:hAnsi="宋体"/>
                <w:color w:val="000000" w:themeColor="text1"/>
                <w:szCs w:val="21"/>
              </w:rPr>
            </w:pPr>
            <w:r>
              <w:rPr>
                <w:rFonts w:ascii="宋体" w:hAnsi="宋体"/>
                <w:color w:val="000000" w:themeColor="text1"/>
                <w:szCs w:val="21"/>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16" w:type="dxa"/>
            <w:vMerge w:val="continue"/>
            <w:vAlign w:val="center"/>
          </w:tcPr>
          <w:p>
            <w:pPr>
              <w:ind w:firstLine="480"/>
              <w:rPr>
                <w:rFonts w:ascii="宋体" w:hAnsi="宋体"/>
                <w:bCs/>
                <w:color w:val="000000" w:themeColor="text1"/>
                <w:szCs w:val="21"/>
              </w:rPr>
            </w:pPr>
          </w:p>
        </w:tc>
        <w:tc>
          <w:tcPr>
            <w:tcW w:w="1102" w:type="dxa"/>
            <w:vAlign w:val="center"/>
          </w:tcPr>
          <w:p>
            <w:pPr>
              <w:rPr>
                <w:rFonts w:ascii="宋体" w:hAnsi="宋体"/>
                <w:color w:val="000000" w:themeColor="text1"/>
                <w:szCs w:val="21"/>
              </w:rPr>
            </w:pPr>
            <w:r>
              <w:rPr>
                <w:rFonts w:ascii="宋体" w:hAnsi="宋体"/>
                <w:color w:val="000000" w:themeColor="text1"/>
                <w:szCs w:val="21"/>
              </w:rPr>
              <w:t>市局视频专网汇聚交换机</w:t>
            </w:r>
          </w:p>
        </w:tc>
        <w:tc>
          <w:tcPr>
            <w:tcW w:w="5693" w:type="dxa"/>
            <w:vAlign w:val="center"/>
          </w:tcPr>
          <w:p>
            <w:pPr>
              <w:rPr>
                <w:rFonts w:ascii="宋体" w:hAnsi="宋体"/>
                <w:color w:val="000000" w:themeColor="text1"/>
                <w:szCs w:val="21"/>
              </w:rPr>
            </w:pPr>
            <w:r>
              <w:rPr>
                <w:rFonts w:hint="eastAsia"/>
                <w:color w:val="000000" w:themeColor="text1"/>
              </w:rPr>
              <w:t>★</w:t>
            </w:r>
            <w:r>
              <w:rPr>
                <w:rFonts w:ascii="宋体" w:hAnsi="宋体"/>
                <w:color w:val="000000" w:themeColor="text1"/>
                <w:szCs w:val="21"/>
              </w:rPr>
              <w:t>双主控及双电源；</w:t>
            </w:r>
            <w:r>
              <w:rPr>
                <w:rFonts w:ascii="宋体" w:hAnsi="宋体"/>
                <w:color w:val="000000" w:themeColor="text1"/>
                <w:szCs w:val="21"/>
              </w:rPr>
              <w:br w:type="textWrapping"/>
            </w:r>
            <w:r>
              <w:rPr>
                <w:rFonts w:hint="eastAsia"/>
                <w:color w:val="000000" w:themeColor="text1"/>
              </w:rPr>
              <w:t>★</w:t>
            </w:r>
            <w:r>
              <w:rPr>
                <w:rFonts w:hint="eastAsia" w:ascii="宋体" w:hAnsi="宋体"/>
                <w:color w:val="000000" w:themeColor="text1"/>
                <w:szCs w:val="21"/>
              </w:rPr>
              <w:t>交换</w:t>
            </w:r>
            <w:r>
              <w:rPr>
                <w:rFonts w:ascii="宋体" w:hAnsi="宋体"/>
                <w:color w:val="000000" w:themeColor="text1"/>
                <w:szCs w:val="21"/>
              </w:rPr>
              <w:t>容量≥19.2Tbps（以官网参数斜线前数值为准）</w:t>
            </w:r>
            <w:r>
              <w:rPr>
                <w:rFonts w:hint="eastAsia" w:ascii="宋体" w:hAnsi="宋体"/>
                <w:color w:val="000000" w:themeColor="text1"/>
                <w:szCs w:val="21"/>
              </w:rPr>
              <w:t>（提供官网截图）</w:t>
            </w:r>
            <w:r>
              <w:rPr>
                <w:rFonts w:ascii="宋体" w:hAnsi="宋体"/>
                <w:color w:val="000000" w:themeColor="text1"/>
                <w:szCs w:val="21"/>
              </w:rPr>
              <w:br w:type="textWrapping"/>
            </w:r>
            <w:r>
              <w:rPr>
                <w:rFonts w:hint="eastAsia"/>
                <w:color w:val="000000" w:themeColor="text1"/>
              </w:rPr>
              <w:t>★</w:t>
            </w:r>
            <w:r>
              <w:rPr>
                <w:rFonts w:ascii="宋体" w:hAnsi="宋体"/>
                <w:color w:val="000000" w:themeColor="text1"/>
                <w:szCs w:val="21"/>
              </w:rPr>
              <w:t>包转发率≥2880Mpps（以官网参数斜线前数值为准）</w:t>
            </w:r>
            <w:r>
              <w:rPr>
                <w:rFonts w:hint="eastAsia" w:ascii="宋体" w:hAnsi="宋体"/>
                <w:color w:val="000000" w:themeColor="text1"/>
                <w:szCs w:val="21"/>
              </w:rPr>
              <w:t>（提供官网截图）</w:t>
            </w:r>
            <w:r>
              <w:rPr>
                <w:rFonts w:ascii="宋体" w:hAnsi="宋体"/>
                <w:color w:val="000000" w:themeColor="text1"/>
                <w:szCs w:val="21"/>
              </w:rPr>
              <w:br w:type="textWrapping"/>
            </w:r>
            <w:r>
              <w:rPr>
                <w:rFonts w:ascii="宋体" w:hAnsi="宋体"/>
                <w:color w:val="000000" w:themeColor="text1"/>
                <w:szCs w:val="21"/>
              </w:rPr>
              <w:t>业务槽位数≥6；</w:t>
            </w:r>
            <w:r>
              <w:rPr>
                <w:rFonts w:ascii="宋体" w:hAnsi="宋体"/>
                <w:color w:val="000000" w:themeColor="text1"/>
                <w:szCs w:val="21"/>
              </w:rPr>
              <w:br w:type="textWrapping"/>
            </w:r>
            <w:r>
              <w:rPr>
                <w:rFonts w:ascii="宋体" w:hAnsi="宋体"/>
                <w:color w:val="000000" w:themeColor="text1"/>
                <w:szCs w:val="21"/>
              </w:rPr>
              <w:t>可支持接口类型：GE（光/电）、10GE（光）；</w:t>
            </w:r>
            <w:r>
              <w:rPr>
                <w:rFonts w:ascii="宋体" w:hAnsi="宋体"/>
                <w:color w:val="000000" w:themeColor="text1"/>
                <w:szCs w:val="21"/>
              </w:rPr>
              <w:br w:type="textWrapping"/>
            </w:r>
            <w:r>
              <w:rPr>
                <w:rFonts w:hint="eastAsia"/>
                <w:color w:val="000000" w:themeColor="text1"/>
              </w:rPr>
              <w:t>★</w:t>
            </w:r>
            <w:r>
              <w:rPr>
                <w:rFonts w:ascii="宋体" w:hAnsi="宋体"/>
                <w:color w:val="000000" w:themeColor="text1"/>
                <w:szCs w:val="21"/>
              </w:rPr>
              <w:t>端口配置：10GE光口24个（满配原厂10KM光模块），GE光口24个（满配原厂10KM光模块）,GE电口96个</w:t>
            </w:r>
            <w:r>
              <w:rPr>
                <w:rFonts w:ascii="宋体" w:hAnsi="宋体"/>
                <w:color w:val="000000" w:themeColor="text1"/>
                <w:szCs w:val="21"/>
              </w:rPr>
              <w:br w:type="textWrapping"/>
            </w:r>
            <w:r>
              <w:rPr>
                <w:rFonts w:ascii="宋体" w:hAnsi="宋体"/>
                <w:color w:val="000000" w:themeColor="text1"/>
                <w:szCs w:val="21"/>
              </w:rPr>
              <w:t>路由特性：交换机要求支持静态路由、RIP、OSPF、IS-IS、BGP4等路由协议；</w:t>
            </w:r>
            <w:r>
              <w:rPr>
                <w:rFonts w:ascii="宋体" w:hAnsi="宋体"/>
                <w:color w:val="000000" w:themeColor="text1"/>
                <w:szCs w:val="21"/>
              </w:rPr>
              <w:br w:type="textWrapping"/>
            </w:r>
            <w:r>
              <w:rPr>
                <w:rFonts w:ascii="宋体" w:hAnsi="宋体"/>
                <w:color w:val="000000" w:themeColor="text1"/>
                <w:szCs w:val="21"/>
              </w:rPr>
              <w:t>支持IPv4/IPv6；支持组播；支持OPENFLOW 1.3标准；支持L3 MPLS VPN；支持L2 VPN: VLL (Martini, Kompella)；支持FTP、TFTP</w:t>
            </w:r>
            <w:r>
              <w:rPr>
                <w:rFonts w:ascii="宋体" w:hAnsi="宋体"/>
                <w:color w:val="000000" w:themeColor="text1"/>
                <w:szCs w:val="21"/>
              </w:rPr>
              <w:br w:type="textWrapping"/>
            </w:r>
            <w:r>
              <w:rPr>
                <w:rFonts w:ascii="宋体" w:hAnsi="宋体"/>
                <w:color w:val="000000" w:themeColor="text1"/>
                <w:szCs w:val="21"/>
              </w:rPr>
              <w:t>支持SNMP v1/v2/v3</w:t>
            </w:r>
          </w:p>
        </w:tc>
        <w:tc>
          <w:tcPr>
            <w:tcW w:w="544" w:type="dxa"/>
            <w:vAlign w:val="center"/>
          </w:tcPr>
          <w:p>
            <w:pPr>
              <w:rPr>
                <w:rFonts w:ascii="宋体" w:hAnsi="宋体"/>
                <w:color w:val="000000" w:themeColor="text1"/>
                <w:szCs w:val="21"/>
              </w:rPr>
            </w:pPr>
            <w:r>
              <w:rPr>
                <w:rFonts w:ascii="宋体" w:hAnsi="宋体"/>
                <w:color w:val="000000" w:themeColor="text1"/>
                <w:szCs w:val="21"/>
              </w:rPr>
              <w:t>1</w:t>
            </w:r>
          </w:p>
        </w:tc>
        <w:tc>
          <w:tcPr>
            <w:tcW w:w="815" w:type="dxa"/>
            <w:vAlign w:val="center"/>
          </w:tcPr>
          <w:p>
            <w:pPr>
              <w:rPr>
                <w:rFonts w:ascii="宋体" w:hAnsi="宋体"/>
                <w:color w:val="000000" w:themeColor="text1"/>
                <w:szCs w:val="21"/>
              </w:rPr>
            </w:pPr>
            <w:r>
              <w:rPr>
                <w:rFonts w:hint="eastAsia" w:ascii="宋体" w:hAnsi="宋体"/>
                <w:color w:val="000000" w:themeColor="text1"/>
                <w:szCs w:val="21"/>
              </w:rPr>
              <w:t>市本级1台</w:t>
            </w:r>
          </w:p>
        </w:tc>
        <w:tc>
          <w:tcPr>
            <w:tcW w:w="417" w:type="dxa"/>
            <w:vAlign w:val="center"/>
          </w:tcPr>
          <w:p>
            <w:pPr>
              <w:rPr>
                <w:rFonts w:ascii="宋体" w:hAnsi="宋体"/>
                <w:color w:val="000000" w:themeColor="text1"/>
                <w:szCs w:val="21"/>
              </w:rPr>
            </w:pPr>
            <w:r>
              <w:rPr>
                <w:rFonts w:ascii="宋体" w:hAnsi="宋体"/>
                <w:color w:val="000000" w:themeColor="text1"/>
                <w:szCs w:val="21"/>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16" w:type="dxa"/>
            <w:vMerge w:val="continue"/>
            <w:vAlign w:val="center"/>
          </w:tcPr>
          <w:p>
            <w:pPr>
              <w:ind w:firstLine="480"/>
              <w:rPr>
                <w:rFonts w:ascii="宋体" w:hAnsi="宋体"/>
                <w:bCs/>
                <w:color w:val="000000" w:themeColor="text1"/>
                <w:szCs w:val="21"/>
              </w:rPr>
            </w:pPr>
          </w:p>
        </w:tc>
        <w:tc>
          <w:tcPr>
            <w:tcW w:w="1102" w:type="dxa"/>
            <w:vAlign w:val="center"/>
          </w:tcPr>
          <w:p>
            <w:pPr>
              <w:rPr>
                <w:rFonts w:ascii="宋体" w:hAnsi="宋体"/>
                <w:color w:val="000000" w:themeColor="text1"/>
                <w:szCs w:val="21"/>
              </w:rPr>
            </w:pPr>
            <w:r>
              <w:rPr>
                <w:rFonts w:ascii="宋体" w:hAnsi="宋体"/>
                <w:color w:val="000000" w:themeColor="text1"/>
                <w:szCs w:val="21"/>
              </w:rPr>
              <w:t>各县市视频专网核心交换机</w:t>
            </w:r>
          </w:p>
        </w:tc>
        <w:tc>
          <w:tcPr>
            <w:tcW w:w="5693" w:type="dxa"/>
            <w:vAlign w:val="center"/>
          </w:tcPr>
          <w:p>
            <w:pPr>
              <w:rPr>
                <w:rFonts w:ascii="宋体" w:hAnsi="宋体"/>
                <w:color w:val="000000" w:themeColor="text1"/>
                <w:szCs w:val="21"/>
              </w:rPr>
            </w:pPr>
            <w:r>
              <w:rPr>
                <w:rFonts w:hint="eastAsia"/>
                <w:color w:val="000000" w:themeColor="text1"/>
              </w:rPr>
              <w:t>★</w:t>
            </w:r>
            <w:r>
              <w:rPr>
                <w:rFonts w:ascii="宋体" w:hAnsi="宋体"/>
                <w:color w:val="000000" w:themeColor="text1"/>
                <w:szCs w:val="21"/>
              </w:rPr>
              <w:t>双主控及双电源；</w:t>
            </w:r>
            <w:r>
              <w:rPr>
                <w:rFonts w:ascii="宋体" w:hAnsi="宋体"/>
                <w:color w:val="000000" w:themeColor="text1"/>
                <w:szCs w:val="21"/>
              </w:rPr>
              <w:br w:type="textWrapping"/>
            </w:r>
            <w:r>
              <w:rPr>
                <w:rFonts w:hint="eastAsia"/>
                <w:color w:val="000000" w:themeColor="text1"/>
              </w:rPr>
              <w:t>★</w:t>
            </w:r>
            <w:r>
              <w:rPr>
                <w:rFonts w:hint="eastAsia" w:ascii="宋体" w:hAnsi="宋体"/>
                <w:color w:val="000000" w:themeColor="text1"/>
                <w:szCs w:val="21"/>
              </w:rPr>
              <w:t>交换</w:t>
            </w:r>
            <w:r>
              <w:rPr>
                <w:rFonts w:ascii="宋体" w:hAnsi="宋体"/>
                <w:color w:val="000000" w:themeColor="text1"/>
                <w:szCs w:val="21"/>
              </w:rPr>
              <w:t>容量≥19.2Tbps（以官网参数斜线前数值为准）</w:t>
            </w:r>
            <w:r>
              <w:rPr>
                <w:rFonts w:hint="eastAsia" w:ascii="宋体" w:hAnsi="宋体"/>
                <w:color w:val="000000" w:themeColor="text1"/>
                <w:szCs w:val="21"/>
              </w:rPr>
              <w:t>（提供官网截图）</w:t>
            </w:r>
            <w:r>
              <w:rPr>
                <w:rFonts w:ascii="宋体" w:hAnsi="宋体"/>
                <w:color w:val="000000" w:themeColor="text1"/>
                <w:szCs w:val="21"/>
              </w:rPr>
              <w:br w:type="textWrapping"/>
            </w:r>
            <w:r>
              <w:rPr>
                <w:rFonts w:hint="eastAsia"/>
                <w:color w:val="000000" w:themeColor="text1"/>
              </w:rPr>
              <w:t>★</w:t>
            </w:r>
            <w:r>
              <w:rPr>
                <w:rFonts w:ascii="宋体" w:hAnsi="宋体"/>
                <w:color w:val="000000" w:themeColor="text1"/>
                <w:szCs w:val="21"/>
              </w:rPr>
              <w:t>包转发率≥2880Mpps（以官网参数斜线前数值为准）</w:t>
            </w:r>
            <w:r>
              <w:rPr>
                <w:rFonts w:hint="eastAsia" w:ascii="宋体" w:hAnsi="宋体"/>
                <w:color w:val="000000" w:themeColor="text1"/>
                <w:szCs w:val="21"/>
              </w:rPr>
              <w:t>（提供官网截图）</w:t>
            </w:r>
            <w:r>
              <w:rPr>
                <w:rFonts w:ascii="宋体" w:hAnsi="宋体"/>
                <w:color w:val="000000" w:themeColor="text1"/>
                <w:szCs w:val="21"/>
              </w:rPr>
              <w:br w:type="textWrapping"/>
            </w:r>
            <w:r>
              <w:rPr>
                <w:rFonts w:ascii="宋体" w:hAnsi="宋体"/>
                <w:color w:val="000000" w:themeColor="text1"/>
                <w:szCs w:val="21"/>
              </w:rPr>
              <w:t>业务槽位数≥6；</w:t>
            </w:r>
            <w:r>
              <w:rPr>
                <w:rFonts w:ascii="宋体" w:hAnsi="宋体"/>
                <w:color w:val="000000" w:themeColor="text1"/>
                <w:szCs w:val="21"/>
              </w:rPr>
              <w:br w:type="textWrapping"/>
            </w:r>
            <w:r>
              <w:rPr>
                <w:rFonts w:ascii="宋体" w:hAnsi="宋体"/>
                <w:color w:val="000000" w:themeColor="text1"/>
                <w:szCs w:val="21"/>
              </w:rPr>
              <w:t>可支持接口类型：GE（光/电）、10GE（光）；</w:t>
            </w:r>
            <w:r>
              <w:rPr>
                <w:rFonts w:ascii="宋体" w:hAnsi="宋体"/>
                <w:color w:val="000000" w:themeColor="text1"/>
                <w:szCs w:val="21"/>
              </w:rPr>
              <w:br w:type="textWrapping"/>
            </w:r>
            <w:r>
              <w:rPr>
                <w:rFonts w:hint="eastAsia"/>
                <w:color w:val="000000" w:themeColor="text1"/>
              </w:rPr>
              <w:t>★</w:t>
            </w:r>
            <w:r>
              <w:rPr>
                <w:rFonts w:ascii="宋体" w:hAnsi="宋体"/>
                <w:color w:val="000000" w:themeColor="text1"/>
                <w:szCs w:val="21"/>
              </w:rPr>
              <w:t>端口配置：10GE光口24个（满配原厂10KM光模块）；</w:t>
            </w:r>
            <w:r>
              <w:rPr>
                <w:rFonts w:ascii="宋体" w:hAnsi="宋体"/>
                <w:color w:val="000000" w:themeColor="text1"/>
                <w:szCs w:val="21"/>
              </w:rPr>
              <w:br w:type="textWrapping"/>
            </w:r>
            <w:r>
              <w:rPr>
                <w:rFonts w:ascii="宋体" w:hAnsi="宋体"/>
                <w:color w:val="000000" w:themeColor="text1"/>
                <w:szCs w:val="21"/>
              </w:rPr>
              <w:t>路由特性：交换机要求支持静态路由、RIP、OSPF、IS-IS、BGP4等路由协议；</w:t>
            </w:r>
            <w:r>
              <w:rPr>
                <w:rFonts w:ascii="宋体" w:hAnsi="宋体"/>
                <w:color w:val="000000" w:themeColor="text1"/>
                <w:szCs w:val="21"/>
              </w:rPr>
              <w:br w:type="textWrapping"/>
            </w:r>
            <w:r>
              <w:rPr>
                <w:rFonts w:ascii="宋体" w:hAnsi="宋体"/>
                <w:color w:val="000000" w:themeColor="text1"/>
                <w:szCs w:val="21"/>
              </w:rPr>
              <w:t>支持IPv4/IPv6；支持组播；支持OPENFLOW 1.3标准；支持VXLAN；支持L3 MPLS VPN</w:t>
            </w:r>
            <w:r>
              <w:rPr>
                <w:rFonts w:ascii="宋体" w:hAnsi="宋体"/>
                <w:color w:val="000000" w:themeColor="text1"/>
                <w:szCs w:val="21"/>
              </w:rPr>
              <w:br w:type="textWrapping"/>
            </w:r>
            <w:r>
              <w:rPr>
                <w:rFonts w:ascii="宋体" w:hAnsi="宋体"/>
                <w:color w:val="000000" w:themeColor="text1"/>
                <w:szCs w:val="21"/>
              </w:rPr>
              <w:t>支持L2 VPN: VLL (Martini, Kompella)；支持FTP、TFTP</w:t>
            </w:r>
            <w:r>
              <w:rPr>
                <w:rFonts w:ascii="宋体" w:hAnsi="宋体"/>
                <w:color w:val="000000" w:themeColor="text1"/>
                <w:szCs w:val="21"/>
              </w:rPr>
              <w:br w:type="textWrapping"/>
            </w:r>
            <w:r>
              <w:rPr>
                <w:rFonts w:ascii="宋体" w:hAnsi="宋体"/>
                <w:color w:val="000000" w:themeColor="text1"/>
                <w:szCs w:val="21"/>
              </w:rPr>
              <w:t>支持SNMP v1/v2/v3</w:t>
            </w:r>
          </w:p>
        </w:tc>
        <w:tc>
          <w:tcPr>
            <w:tcW w:w="544" w:type="dxa"/>
            <w:vAlign w:val="center"/>
          </w:tcPr>
          <w:p>
            <w:pPr>
              <w:rPr>
                <w:rFonts w:ascii="宋体" w:hAnsi="宋体"/>
                <w:color w:val="000000" w:themeColor="text1"/>
                <w:szCs w:val="21"/>
              </w:rPr>
            </w:pPr>
            <w:r>
              <w:rPr>
                <w:rFonts w:ascii="宋体" w:hAnsi="宋体"/>
                <w:color w:val="000000" w:themeColor="text1"/>
                <w:szCs w:val="21"/>
              </w:rPr>
              <w:t>8</w:t>
            </w:r>
          </w:p>
        </w:tc>
        <w:tc>
          <w:tcPr>
            <w:tcW w:w="815" w:type="dxa"/>
            <w:vAlign w:val="center"/>
          </w:tcPr>
          <w:p>
            <w:pPr>
              <w:rPr>
                <w:rFonts w:ascii="宋体" w:hAnsi="宋体"/>
                <w:color w:val="000000" w:themeColor="text1"/>
                <w:szCs w:val="21"/>
              </w:rPr>
            </w:pPr>
            <w:r>
              <w:rPr>
                <w:rFonts w:hint="eastAsia" w:ascii="宋体" w:hAnsi="宋体"/>
                <w:color w:val="000000" w:themeColor="text1"/>
                <w:szCs w:val="21"/>
              </w:rPr>
              <w:t>市本级</w:t>
            </w:r>
            <w:r>
              <w:rPr>
                <w:rFonts w:ascii="宋体" w:hAnsi="宋体"/>
                <w:color w:val="000000" w:themeColor="text1"/>
                <w:szCs w:val="21"/>
              </w:rPr>
              <w:t>、义乌、东阳、永康、浦江</w:t>
            </w:r>
            <w:r>
              <w:rPr>
                <w:rFonts w:hint="eastAsia" w:ascii="宋体" w:hAnsi="宋体"/>
                <w:color w:val="000000" w:themeColor="text1"/>
                <w:szCs w:val="21"/>
              </w:rPr>
              <w:t>、</w:t>
            </w:r>
            <w:r>
              <w:rPr>
                <w:rFonts w:ascii="宋体" w:hAnsi="宋体"/>
                <w:color w:val="000000" w:themeColor="text1"/>
                <w:szCs w:val="21"/>
              </w:rPr>
              <w:t>磐安、武义、兰溪各一台</w:t>
            </w:r>
          </w:p>
        </w:tc>
        <w:tc>
          <w:tcPr>
            <w:tcW w:w="417" w:type="dxa"/>
            <w:vAlign w:val="center"/>
          </w:tcPr>
          <w:p>
            <w:pPr>
              <w:rPr>
                <w:rFonts w:ascii="宋体" w:hAnsi="宋体"/>
                <w:color w:val="000000" w:themeColor="text1"/>
                <w:szCs w:val="21"/>
              </w:rPr>
            </w:pPr>
            <w:r>
              <w:rPr>
                <w:rFonts w:ascii="宋体" w:hAnsi="宋体"/>
                <w:color w:val="000000" w:themeColor="text1"/>
                <w:szCs w:val="21"/>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16" w:type="dxa"/>
            <w:vMerge w:val="continue"/>
            <w:vAlign w:val="center"/>
          </w:tcPr>
          <w:p>
            <w:pPr>
              <w:ind w:firstLine="480"/>
              <w:rPr>
                <w:rFonts w:ascii="宋体" w:hAnsi="宋体"/>
                <w:bCs/>
                <w:color w:val="000000" w:themeColor="text1"/>
                <w:szCs w:val="21"/>
              </w:rPr>
            </w:pPr>
          </w:p>
        </w:tc>
        <w:tc>
          <w:tcPr>
            <w:tcW w:w="1102" w:type="dxa"/>
            <w:noWrap/>
            <w:vAlign w:val="center"/>
          </w:tcPr>
          <w:p>
            <w:pPr>
              <w:rPr>
                <w:rFonts w:ascii="宋体" w:hAnsi="宋体"/>
                <w:color w:val="000000" w:themeColor="text1"/>
                <w:szCs w:val="21"/>
              </w:rPr>
            </w:pPr>
            <w:r>
              <w:rPr>
                <w:rFonts w:ascii="宋体" w:hAnsi="宋体"/>
                <w:color w:val="000000" w:themeColor="text1"/>
                <w:szCs w:val="21"/>
              </w:rPr>
              <w:t>视频专网链路租赁</w:t>
            </w:r>
          </w:p>
        </w:tc>
        <w:tc>
          <w:tcPr>
            <w:tcW w:w="5693" w:type="dxa"/>
            <w:vAlign w:val="center"/>
          </w:tcPr>
          <w:p>
            <w:pPr>
              <w:rPr>
                <w:rFonts w:ascii="宋体" w:hAnsi="宋体"/>
                <w:color w:val="000000" w:themeColor="text1"/>
                <w:szCs w:val="21"/>
              </w:rPr>
            </w:pPr>
            <w:r>
              <w:rPr>
                <w:rFonts w:ascii="宋体" w:hAnsi="宋体"/>
                <w:color w:val="000000" w:themeColor="text1"/>
                <w:szCs w:val="21"/>
              </w:rPr>
              <w:t>市-区、县之间视频专网由原VPN网改造为独立设备单独组网，运营商万兆链路租用费用，市区各公安分局和交警支队按</w:t>
            </w:r>
            <w:r>
              <w:rPr>
                <w:rFonts w:hint="eastAsia" w:ascii="宋体" w:hAnsi="宋体"/>
                <w:color w:val="000000" w:themeColor="text1"/>
                <w:szCs w:val="21"/>
              </w:rPr>
              <w:t>每</w:t>
            </w:r>
            <w:r>
              <w:rPr>
                <w:rFonts w:ascii="宋体" w:hAnsi="宋体"/>
                <w:color w:val="000000" w:themeColor="text1"/>
                <w:szCs w:val="21"/>
              </w:rPr>
              <w:t>条/月计算，下属7个县（市、区）按</w:t>
            </w:r>
            <w:r>
              <w:rPr>
                <w:rFonts w:hint="eastAsia" w:ascii="宋体" w:hAnsi="宋体"/>
                <w:color w:val="000000" w:themeColor="text1"/>
                <w:szCs w:val="21"/>
              </w:rPr>
              <w:t>每</w:t>
            </w:r>
            <w:r>
              <w:rPr>
                <w:rFonts w:ascii="宋体" w:hAnsi="宋体"/>
                <w:color w:val="000000" w:themeColor="text1"/>
                <w:szCs w:val="21"/>
              </w:rPr>
              <w:t>条/月计算</w:t>
            </w:r>
          </w:p>
        </w:tc>
        <w:tc>
          <w:tcPr>
            <w:tcW w:w="544" w:type="dxa"/>
            <w:noWrap/>
            <w:vAlign w:val="center"/>
          </w:tcPr>
          <w:p>
            <w:pPr>
              <w:rPr>
                <w:rFonts w:ascii="宋体" w:hAnsi="宋体"/>
                <w:color w:val="000000" w:themeColor="text1"/>
                <w:szCs w:val="21"/>
              </w:rPr>
            </w:pPr>
            <w:r>
              <w:rPr>
                <w:rFonts w:ascii="宋体" w:hAnsi="宋体"/>
                <w:color w:val="000000" w:themeColor="text1"/>
                <w:szCs w:val="21"/>
              </w:rPr>
              <w:t>7</w:t>
            </w:r>
          </w:p>
        </w:tc>
        <w:tc>
          <w:tcPr>
            <w:tcW w:w="815" w:type="dxa"/>
            <w:vAlign w:val="center"/>
          </w:tcPr>
          <w:p>
            <w:pPr>
              <w:rPr>
                <w:rFonts w:ascii="宋体" w:hAnsi="宋体"/>
                <w:color w:val="000000" w:themeColor="text1"/>
                <w:szCs w:val="21"/>
              </w:rPr>
            </w:pPr>
            <w:r>
              <w:rPr>
                <w:rFonts w:hint="eastAsia" w:ascii="宋体" w:hAnsi="宋体"/>
                <w:color w:val="000000" w:themeColor="text1"/>
                <w:szCs w:val="21"/>
              </w:rPr>
              <w:t>市区6*2</w:t>
            </w:r>
            <w:r>
              <w:rPr>
                <w:rFonts w:ascii="宋体" w:hAnsi="宋体"/>
                <w:color w:val="000000" w:themeColor="text1"/>
                <w:szCs w:val="21"/>
              </w:rPr>
              <w:t>=12</w:t>
            </w:r>
            <w:r>
              <w:rPr>
                <w:rFonts w:hint="eastAsia" w:ascii="宋体" w:hAnsi="宋体"/>
                <w:color w:val="000000" w:themeColor="text1"/>
                <w:szCs w:val="21"/>
              </w:rPr>
              <w:t>条</w:t>
            </w:r>
            <w:r>
              <w:rPr>
                <w:rFonts w:ascii="宋体" w:hAnsi="宋体"/>
                <w:color w:val="000000" w:themeColor="text1"/>
                <w:szCs w:val="21"/>
              </w:rPr>
              <w:t>、义乌</w:t>
            </w:r>
            <w:r>
              <w:rPr>
                <w:rFonts w:hint="eastAsia" w:ascii="宋体" w:hAnsi="宋体"/>
                <w:color w:val="000000" w:themeColor="text1"/>
                <w:szCs w:val="21"/>
              </w:rPr>
              <w:t>2条</w:t>
            </w:r>
            <w:r>
              <w:rPr>
                <w:rFonts w:ascii="宋体" w:hAnsi="宋体"/>
                <w:color w:val="000000" w:themeColor="text1"/>
                <w:szCs w:val="21"/>
              </w:rPr>
              <w:t>、东阳</w:t>
            </w:r>
            <w:r>
              <w:rPr>
                <w:rFonts w:hint="eastAsia" w:ascii="宋体" w:hAnsi="宋体"/>
                <w:color w:val="000000" w:themeColor="text1"/>
                <w:szCs w:val="21"/>
              </w:rPr>
              <w:t>2条</w:t>
            </w:r>
            <w:r>
              <w:rPr>
                <w:rFonts w:ascii="宋体" w:hAnsi="宋体"/>
                <w:color w:val="000000" w:themeColor="text1"/>
                <w:szCs w:val="21"/>
              </w:rPr>
              <w:t>、永康</w:t>
            </w:r>
            <w:r>
              <w:rPr>
                <w:rFonts w:hint="eastAsia" w:ascii="宋体" w:hAnsi="宋体"/>
                <w:color w:val="000000" w:themeColor="text1"/>
                <w:szCs w:val="21"/>
              </w:rPr>
              <w:t>2条</w:t>
            </w:r>
            <w:r>
              <w:rPr>
                <w:rFonts w:ascii="宋体" w:hAnsi="宋体"/>
                <w:color w:val="000000" w:themeColor="text1"/>
                <w:szCs w:val="21"/>
              </w:rPr>
              <w:t>、</w:t>
            </w:r>
            <w:r>
              <w:rPr>
                <w:rFonts w:hint="eastAsia" w:ascii="宋体" w:hAnsi="宋体"/>
                <w:color w:val="000000" w:themeColor="text1"/>
                <w:szCs w:val="21"/>
              </w:rPr>
              <w:t>浦江2条</w:t>
            </w:r>
            <w:r>
              <w:rPr>
                <w:rFonts w:ascii="宋体" w:hAnsi="宋体"/>
                <w:color w:val="000000" w:themeColor="text1"/>
                <w:szCs w:val="21"/>
              </w:rPr>
              <w:t>、磐安</w:t>
            </w:r>
            <w:r>
              <w:rPr>
                <w:rFonts w:hint="eastAsia" w:ascii="宋体" w:hAnsi="宋体"/>
                <w:color w:val="000000" w:themeColor="text1"/>
                <w:szCs w:val="21"/>
              </w:rPr>
              <w:t>2条</w:t>
            </w:r>
            <w:r>
              <w:rPr>
                <w:rFonts w:ascii="宋体" w:hAnsi="宋体"/>
                <w:color w:val="000000" w:themeColor="text1"/>
                <w:szCs w:val="21"/>
              </w:rPr>
              <w:t>、武义</w:t>
            </w:r>
            <w:r>
              <w:rPr>
                <w:rFonts w:hint="eastAsia" w:ascii="宋体" w:hAnsi="宋体"/>
                <w:color w:val="000000" w:themeColor="text1"/>
                <w:szCs w:val="21"/>
              </w:rPr>
              <w:t>2条</w:t>
            </w:r>
            <w:r>
              <w:rPr>
                <w:rFonts w:ascii="宋体" w:hAnsi="宋体"/>
                <w:color w:val="000000" w:themeColor="text1"/>
                <w:szCs w:val="21"/>
              </w:rPr>
              <w:t>、兰溪</w:t>
            </w:r>
            <w:r>
              <w:rPr>
                <w:rFonts w:hint="eastAsia" w:ascii="宋体" w:hAnsi="宋体"/>
                <w:color w:val="000000" w:themeColor="text1"/>
                <w:szCs w:val="21"/>
              </w:rPr>
              <w:t>2条</w:t>
            </w:r>
          </w:p>
        </w:tc>
        <w:tc>
          <w:tcPr>
            <w:tcW w:w="417" w:type="dxa"/>
            <w:noWrap/>
            <w:vAlign w:val="center"/>
          </w:tcPr>
          <w:p>
            <w:pPr>
              <w:rPr>
                <w:rFonts w:ascii="宋体" w:hAnsi="宋体"/>
                <w:color w:val="000000" w:themeColor="text1"/>
                <w:szCs w:val="21"/>
              </w:rPr>
            </w:pPr>
            <w:r>
              <w:rPr>
                <w:rFonts w:ascii="宋体" w:hAnsi="宋体"/>
                <w:color w:val="000000" w:themeColor="text1"/>
                <w:szCs w:val="21"/>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16" w:type="dxa"/>
            <w:vMerge w:val="continue"/>
            <w:vAlign w:val="center"/>
          </w:tcPr>
          <w:p>
            <w:pPr>
              <w:ind w:firstLine="480"/>
              <w:rPr>
                <w:rFonts w:ascii="宋体" w:hAnsi="宋体"/>
                <w:bCs/>
                <w:color w:val="000000" w:themeColor="text1"/>
                <w:szCs w:val="21"/>
              </w:rPr>
            </w:pPr>
          </w:p>
        </w:tc>
        <w:tc>
          <w:tcPr>
            <w:tcW w:w="1102" w:type="dxa"/>
            <w:noWrap/>
            <w:vAlign w:val="center"/>
          </w:tcPr>
          <w:p>
            <w:pPr>
              <w:rPr>
                <w:rFonts w:ascii="宋体" w:hAnsi="宋体"/>
                <w:color w:val="000000" w:themeColor="text1"/>
                <w:szCs w:val="21"/>
              </w:rPr>
            </w:pPr>
            <w:r>
              <w:rPr>
                <w:rFonts w:ascii="宋体" w:hAnsi="宋体"/>
                <w:color w:val="000000" w:themeColor="text1"/>
                <w:szCs w:val="21"/>
              </w:rPr>
              <w:t>视频专网网管系统</w:t>
            </w:r>
          </w:p>
        </w:tc>
        <w:tc>
          <w:tcPr>
            <w:tcW w:w="5693" w:type="dxa"/>
            <w:noWrap/>
            <w:vAlign w:val="center"/>
          </w:tcPr>
          <w:p>
            <w:pPr>
              <w:snapToGrid w:val="0"/>
              <w:rPr>
                <w:rFonts w:ascii="宋体" w:hAnsi="宋体"/>
                <w:color w:val="000000" w:themeColor="text1"/>
                <w:szCs w:val="21"/>
              </w:rPr>
            </w:pPr>
            <w:r>
              <w:rPr>
                <w:rFonts w:ascii="宋体" w:hAnsi="宋体"/>
                <w:color w:val="000000" w:themeColor="text1"/>
                <w:szCs w:val="21"/>
              </w:rPr>
              <w:t>不低于300个用户并发操作，平均响应时间小于1S</w:t>
            </w:r>
            <w:r>
              <w:rPr>
                <w:rFonts w:hint="eastAsia" w:ascii="宋体" w:hAnsi="宋体"/>
                <w:color w:val="000000" w:themeColor="text1"/>
                <w:szCs w:val="21"/>
              </w:rPr>
              <w:t>；</w:t>
            </w:r>
          </w:p>
          <w:p>
            <w:pPr>
              <w:snapToGrid w:val="0"/>
              <w:rPr>
                <w:rFonts w:ascii="宋体" w:hAnsi="宋体"/>
                <w:color w:val="000000" w:themeColor="text1"/>
                <w:szCs w:val="21"/>
              </w:rPr>
            </w:pPr>
            <w:r>
              <w:rPr>
                <w:rFonts w:ascii="宋体" w:hAnsi="宋体"/>
                <w:color w:val="000000" w:themeColor="text1"/>
                <w:szCs w:val="21"/>
              </w:rPr>
              <w:t>提供的系统被监控系统资源平均占用不超过被监控对象的3%；</w:t>
            </w:r>
          </w:p>
          <w:p>
            <w:pPr>
              <w:snapToGrid w:val="0"/>
              <w:rPr>
                <w:rFonts w:ascii="宋体" w:hAnsi="宋体"/>
                <w:color w:val="000000" w:themeColor="text1"/>
                <w:szCs w:val="21"/>
              </w:rPr>
            </w:pPr>
            <w:r>
              <w:rPr>
                <w:rFonts w:ascii="宋体" w:hAnsi="宋体"/>
                <w:color w:val="000000" w:themeColor="text1"/>
                <w:szCs w:val="21"/>
              </w:rPr>
              <w:t>在硬盘空间足够的情况下，性能原始数据在系统中存储≥2个月；告警原始数据在系统中存储≥1年；经系统处理后的报表数据、分析数据在系统中存储≥2年</w:t>
            </w:r>
            <w:r>
              <w:rPr>
                <w:rFonts w:hint="eastAsia" w:ascii="宋体" w:hAnsi="宋体"/>
                <w:color w:val="000000" w:themeColor="text1"/>
                <w:szCs w:val="21"/>
              </w:rPr>
              <w:t>；</w:t>
            </w:r>
          </w:p>
          <w:p>
            <w:pPr>
              <w:snapToGrid w:val="0"/>
              <w:rPr>
                <w:rFonts w:ascii="宋体" w:hAnsi="宋体"/>
                <w:color w:val="000000" w:themeColor="text1"/>
                <w:szCs w:val="21"/>
              </w:rPr>
            </w:pPr>
            <w:r>
              <w:rPr>
                <w:rFonts w:ascii="宋体" w:hAnsi="宋体"/>
                <w:color w:val="000000" w:themeColor="text1"/>
                <w:szCs w:val="21"/>
              </w:rPr>
              <w:t>管理授权点位数不少于50个</w:t>
            </w:r>
            <w:r>
              <w:rPr>
                <w:rFonts w:hint="eastAsia" w:ascii="宋体" w:hAnsi="宋体"/>
                <w:color w:val="000000" w:themeColor="text1"/>
                <w:szCs w:val="21"/>
              </w:rPr>
              <w:t>；</w:t>
            </w:r>
          </w:p>
          <w:p>
            <w:pPr>
              <w:snapToGrid w:val="0"/>
              <w:rPr>
                <w:rFonts w:ascii="宋体" w:hAnsi="宋体"/>
                <w:color w:val="000000" w:themeColor="text1"/>
                <w:szCs w:val="21"/>
              </w:rPr>
            </w:pPr>
            <w:r>
              <w:rPr>
                <w:rFonts w:ascii="宋体" w:hAnsi="宋体"/>
                <w:color w:val="000000" w:themeColor="text1"/>
                <w:szCs w:val="21"/>
              </w:rPr>
              <w:t>要求管理到市本级核心设备以及县（市、区）的公安视频专网核心设备。</w:t>
            </w:r>
          </w:p>
          <w:p>
            <w:pPr>
              <w:rPr>
                <w:rFonts w:ascii="宋体" w:hAnsi="宋体"/>
                <w:color w:val="000000" w:themeColor="text1"/>
                <w:szCs w:val="21"/>
              </w:rPr>
            </w:pPr>
          </w:p>
        </w:tc>
        <w:tc>
          <w:tcPr>
            <w:tcW w:w="544" w:type="dxa"/>
            <w:noWrap/>
            <w:vAlign w:val="center"/>
          </w:tcPr>
          <w:p>
            <w:pPr>
              <w:rPr>
                <w:rFonts w:ascii="宋体" w:hAnsi="宋体"/>
                <w:color w:val="000000" w:themeColor="text1"/>
                <w:szCs w:val="21"/>
              </w:rPr>
            </w:pPr>
            <w:r>
              <w:rPr>
                <w:rFonts w:ascii="宋体" w:hAnsi="宋体"/>
                <w:color w:val="000000" w:themeColor="text1"/>
                <w:szCs w:val="21"/>
              </w:rPr>
              <w:t>1</w:t>
            </w:r>
          </w:p>
        </w:tc>
        <w:tc>
          <w:tcPr>
            <w:tcW w:w="815" w:type="dxa"/>
            <w:vAlign w:val="center"/>
          </w:tcPr>
          <w:p>
            <w:pPr>
              <w:rPr>
                <w:rFonts w:ascii="宋体" w:hAnsi="宋体"/>
                <w:color w:val="000000" w:themeColor="text1"/>
                <w:szCs w:val="21"/>
              </w:rPr>
            </w:pPr>
            <w:r>
              <w:rPr>
                <w:rFonts w:hint="eastAsia" w:ascii="宋体" w:hAnsi="宋体"/>
                <w:color w:val="000000" w:themeColor="text1"/>
                <w:szCs w:val="21"/>
              </w:rPr>
              <w:t>市本级</w:t>
            </w:r>
          </w:p>
        </w:tc>
        <w:tc>
          <w:tcPr>
            <w:tcW w:w="417" w:type="dxa"/>
            <w:noWrap/>
            <w:vAlign w:val="center"/>
          </w:tcPr>
          <w:p>
            <w:pPr>
              <w:rPr>
                <w:rFonts w:ascii="宋体" w:hAnsi="宋体"/>
                <w:color w:val="000000" w:themeColor="text1"/>
                <w:szCs w:val="21"/>
              </w:rPr>
            </w:pPr>
            <w:r>
              <w:rPr>
                <w:rFonts w:ascii="宋体" w:hAnsi="宋体"/>
                <w:color w:val="000000" w:themeColor="text1"/>
                <w:szCs w:val="21"/>
              </w:rPr>
              <w:t>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16" w:type="dxa"/>
            <w:vMerge w:val="restart"/>
            <w:vAlign w:val="center"/>
          </w:tcPr>
          <w:p>
            <w:pPr>
              <w:ind w:firstLine="480"/>
              <w:jc w:val="center"/>
              <w:rPr>
                <w:rFonts w:ascii="宋体" w:hAnsi="宋体"/>
                <w:bCs/>
                <w:color w:val="000000" w:themeColor="text1"/>
                <w:szCs w:val="21"/>
              </w:rPr>
            </w:pPr>
            <w:r>
              <w:rPr>
                <w:rFonts w:ascii="宋体" w:hAnsi="宋体"/>
                <w:bCs/>
                <w:color w:val="000000" w:themeColor="text1"/>
                <w:szCs w:val="21"/>
              </w:rPr>
              <w:t>视频专网四级网</w:t>
            </w:r>
          </w:p>
        </w:tc>
        <w:tc>
          <w:tcPr>
            <w:tcW w:w="1102" w:type="dxa"/>
            <w:noWrap/>
            <w:vAlign w:val="center"/>
          </w:tcPr>
          <w:p>
            <w:pPr>
              <w:rPr>
                <w:rFonts w:ascii="宋体" w:hAnsi="宋体"/>
                <w:color w:val="000000" w:themeColor="text1"/>
                <w:szCs w:val="21"/>
              </w:rPr>
            </w:pPr>
            <w:r>
              <w:rPr>
                <w:rFonts w:ascii="宋体" w:hAnsi="宋体"/>
                <w:color w:val="000000" w:themeColor="text1"/>
                <w:szCs w:val="21"/>
              </w:rPr>
              <w:t>汇聚交换机配置1-义乌</w:t>
            </w:r>
          </w:p>
        </w:tc>
        <w:tc>
          <w:tcPr>
            <w:tcW w:w="5693" w:type="dxa"/>
            <w:vAlign w:val="center"/>
          </w:tcPr>
          <w:p>
            <w:pPr>
              <w:rPr>
                <w:rFonts w:ascii="宋体" w:hAnsi="宋体"/>
                <w:color w:val="000000" w:themeColor="text1"/>
                <w:szCs w:val="21"/>
              </w:rPr>
            </w:pPr>
            <w:r>
              <w:rPr>
                <w:rFonts w:hint="eastAsia"/>
                <w:color w:val="000000" w:themeColor="text1"/>
              </w:rPr>
              <w:t>★</w:t>
            </w:r>
            <w:r>
              <w:rPr>
                <w:rFonts w:ascii="宋体" w:hAnsi="宋体"/>
                <w:color w:val="000000" w:themeColor="text1"/>
                <w:szCs w:val="21"/>
              </w:rPr>
              <w:t>双主控及双电源；</w:t>
            </w:r>
            <w:r>
              <w:rPr>
                <w:rFonts w:ascii="宋体" w:hAnsi="宋体"/>
                <w:color w:val="000000" w:themeColor="text1"/>
                <w:szCs w:val="21"/>
              </w:rPr>
              <w:br w:type="textWrapping"/>
            </w:r>
            <w:r>
              <w:rPr>
                <w:rFonts w:hint="eastAsia"/>
                <w:color w:val="000000" w:themeColor="text1"/>
              </w:rPr>
              <w:t>★</w:t>
            </w:r>
            <w:r>
              <w:rPr>
                <w:rFonts w:hint="eastAsia" w:ascii="宋体" w:hAnsi="宋体"/>
                <w:color w:val="000000" w:themeColor="text1"/>
                <w:szCs w:val="21"/>
              </w:rPr>
              <w:t>交换</w:t>
            </w:r>
            <w:r>
              <w:rPr>
                <w:rFonts w:ascii="宋体" w:hAnsi="宋体"/>
                <w:color w:val="000000" w:themeColor="text1"/>
                <w:szCs w:val="21"/>
              </w:rPr>
              <w:t>容量≥19.2Tbps（以官网参数斜线前数值为准）</w:t>
            </w:r>
            <w:r>
              <w:rPr>
                <w:rFonts w:hint="eastAsia" w:ascii="宋体" w:hAnsi="宋体"/>
                <w:color w:val="000000" w:themeColor="text1"/>
                <w:szCs w:val="21"/>
              </w:rPr>
              <w:t>（提供官网截图）</w:t>
            </w:r>
            <w:r>
              <w:rPr>
                <w:rFonts w:ascii="宋体" w:hAnsi="宋体"/>
                <w:color w:val="000000" w:themeColor="text1"/>
                <w:szCs w:val="21"/>
              </w:rPr>
              <w:br w:type="textWrapping"/>
            </w:r>
            <w:r>
              <w:rPr>
                <w:rFonts w:hint="eastAsia"/>
                <w:color w:val="000000" w:themeColor="text1"/>
              </w:rPr>
              <w:t>★</w:t>
            </w:r>
            <w:r>
              <w:rPr>
                <w:rFonts w:ascii="宋体" w:hAnsi="宋体"/>
                <w:color w:val="000000" w:themeColor="text1"/>
                <w:szCs w:val="21"/>
              </w:rPr>
              <w:t>包转发率≥2880Mpps（以官网参数斜线前数值为准）</w:t>
            </w:r>
            <w:r>
              <w:rPr>
                <w:rFonts w:hint="eastAsia" w:ascii="宋体" w:hAnsi="宋体"/>
                <w:color w:val="000000" w:themeColor="text1"/>
                <w:szCs w:val="21"/>
              </w:rPr>
              <w:t>（提供官网截图）</w:t>
            </w:r>
            <w:r>
              <w:rPr>
                <w:rFonts w:ascii="宋体" w:hAnsi="宋体"/>
                <w:color w:val="000000" w:themeColor="text1"/>
                <w:szCs w:val="21"/>
              </w:rPr>
              <w:br w:type="textWrapping"/>
            </w:r>
            <w:r>
              <w:rPr>
                <w:rFonts w:ascii="宋体" w:hAnsi="宋体"/>
                <w:color w:val="000000" w:themeColor="text1"/>
                <w:szCs w:val="21"/>
              </w:rPr>
              <w:t>业务槽位数≥6；</w:t>
            </w:r>
            <w:r>
              <w:rPr>
                <w:rFonts w:ascii="宋体" w:hAnsi="宋体"/>
                <w:color w:val="000000" w:themeColor="text1"/>
                <w:szCs w:val="21"/>
              </w:rPr>
              <w:br w:type="textWrapping"/>
            </w:r>
            <w:r>
              <w:rPr>
                <w:rFonts w:ascii="宋体" w:hAnsi="宋体"/>
                <w:color w:val="000000" w:themeColor="text1"/>
                <w:szCs w:val="21"/>
              </w:rPr>
              <w:t>可支持接口类型：GE（光/电）、10GE（光）；</w:t>
            </w:r>
            <w:r>
              <w:rPr>
                <w:rFonts w:ascii="宋体" w:hAnsi="宋体"/>
                <w:color w:val="000000" w:themeColor="text1"/>
                <w:szCs w:val="21"/>
              </w:rPr>
              <w:br w:type="textWrapping"/>
            </w:r>
            <w:r>
              <w:rPr>
                <w:rFonts w:hint="eastAsia"/>
                <w:color w:val="000000" w:themeColor="text1"/>
              </w:rPr>
              <w:t>★</w:t>
            </w:r>
            <w:r>
              <w:rPr>
                <w:rFonts w:ascii="宋体" w:hAnsi="宋体"/>
                <w:color w:val="000000" w:themeColor="text1"/>
                <w:szCs w:val="21"/>
              </w:rPr>
              <w:t>端口配置：10GE光口24个（满配原厂单模10KM光模块），GE光口24个（满配原厂单模10KM光模块），GE电口96个</w:t>
            </w:r>
            <w:r>
              <w:rPr>
                <w:rFonts w:ascii="宋体" w:hAnsi="宋体"/>
                <w:color w:val="000000" w:themeColor="text1"/>
                <w:szCs w:val="21"/>
              </w:rPr>
              <w:br w:type="textWrapping"/>
            </w:r>
            <w:r>
              <w:rPr>
                <w:rFonts w:ascii="宋体" w:hAnsi="宋体"/>
                <w:color w:val="000000" w:themeColor="text1"/>
                <w:szCs w:val="21"/>
              </w:rPr>
              <w:t>路由特性：交换机要求支持静态路由、RIP、OSPF、IS-IS、BGP4等路由协议；</w:t>
            </w:r>
            <w:r>
              <w:rPr>
                <w:rFonts w:ascii="宋体" w:hAnsi="宋体"/>
                <w:color w:val="000000" w:themeColor="text1"/>
                <w:szCs w:val="21"/>
              </w:rPr>
              <w:br w:type="textWrapping"/>
            </w:r>
            <w:r>
              <w:rPr>
                <w:rFonts w:ascii="宋体" w:hAnsi="宋体"/>
                <w:color w:val="000000" w:themeColor="text1"/>
                <w:szCs w:val="21"/>
              </w:rPr>
              <w:t>支持IPv4/IPv6；支持组播；支持OPENFLOW 1.3标准；支持L3 MPLS VPN；支持L2 VPN: VLL (Martini, Kompella)；支持FTP、TFTP</w:t>
            </w:r>
            <w:r>
              <w:rPr>
                <w:rFonts w:ascii="宋体" w:hAnsi="宋体"/>
                <w:color w:val="000000" w:themeColor="text1"/>
                <w:szCs w:val="21"/>
              </w:rPr>
              <w:br w:type="textWrapping"/>
            </w:r>
            <w:r>
              <w:rPr>
                <w:rFonts w:ascii="宋体" w:hAnsi="宋体"/>
                <w:color w:val="000000" w:themeColor="text1"/>
                <w:szCs w:val="21"/>
              </w:rPr>
              <w:t>支持SNMP v1/v2/v3</w:t>
            </w:r>
          </w:p>
        </w:tc>
        <w:tc>
          <w:tcPr>
            <w:tcW w:w="544" w:type="dxa"/>
            <w:noWrap/>
            <w:vAlign w:val="center"/>
          </w:tcPr>
          <w:p>
            <w:pPr>
              <w:rPr>
                <w:rFonts w:ascii="宋体" w:hAnsi="宋体"/>
                <w:color w:val="000000" w:themeColor="text1"/>
                <w:szCs w:val="21"/>
              </w:rPr>
            </w:pPr>
            <w:r>
              <w:rPr>
                <w:rFonts w:ascii="宋体" w:hAnsi="宋体"/>
                <w:color w:val="000000" w:themeColor="text1"/>
                <w:szCs w:val="21"/>
              </w:rPr>
              <w:t>1</w:t>
            </w:r>
          </w:p>
        </w:tc>
        <w:tc>
          <w:tcPr>
            <w:tcW w:w="815" w:type="dxa"/>
            <w:vAlign w:val="center"/>
          </w:tcPr>
          <w:p>
            <w:pPr>
              <w:rPr>
                <w:rFonts w:ascii="宋体" w:hAnsi="宋体"/>
                <w:color w:val="000000" w:themeColor="text1"/>
                <w:szCs w:val="21"/>
              </w:rPr>
            </w:pPr>
            <w:r>
              <w:rPr>
                <w:rFonts w:hint="eastAsia" w:ascii="宋体" w:hAnsi="宋体"/>
                <w:color w:val="000000" w:themeColor="text1"/>
                <w:szCs w:val="21"/>
              </w:rPr>
              <w:t>义乌1台</w:t>
            </w:r>
          </w:p>
        </w:tc>
        <w:tc>
          <w:tcPr>
            <w:tcW w:w="417" w:type="dxa"/>
            <w:noWrap/>
            <w:vAlign w:val="center"/>
          </w:tcPr>
          <w:p>
            <w:pPr>
              <w:rPr>
                <w:rFonts w:ascii="宋体" w:hAnsi="宋体"/>
                <w:color w:val="000000" w:themeColor="text1"/>
                <w:szCs w:val="21"/>
              </w:rPr>
            </w:pPr>
            <w:r>
              <w:rPr>
                <w:rFonts w:ascii="宋体" w:hAnsi="宋体"/>
                <w:color w:val="000000" w:themeColor="text1"/>
                <w:szCs w:val="21"/>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16" w:type="dxa"/>
            <w:vMerge w:val="continue"/>
            <w:vAlign w:val="center"/>
          </w:tcPr>
          <w:p>
            <w:pPr>
              <w:ind w:firstLine="480"/>
              <w:rPr>
                <w:rFonts w:ascii="宋体" w:hAnsi="宋体"/>
                <w:bCs/>
                <w:color w:val="000000" w:themeColor="text1"/>
                <w:szCs w:val="21"/>
              </w:rPr>
            </w:pPr>
          </w:p>
        </w:tc>
        <w:tc>
          <w:tcPr>
            <w:tcW w:w="1102" w:type="dxa"/>
            <w:vAlign w:val="center"/>
          </w:tcPr>
          <w:p>
            <w:pPr>
              <w:rPr>
                <w:rFonts w:ascii="宋体" w:hAnsi="宋体"/>
                <w:color w:val="000000" w:themeColor="text1"/>
                <w:szCs w:val="21"/>
              </w:rPr>
            </w:pPr>
            <w:r>
              <w:rPr>
                <w:rFonts w:ascii="宋体" w:hAnsi="宋体"/>
                <w:color w:val="000000" w:themeColor="text1"/>
                <w:szCs w:val="21"/>
              </w:rPr>
              <w:t>汇聚交换机配置2-兰溪公安、永康交警、武义公安、武义交警、浦江公安</w:t>
            </w:r>
            <w:r>
              <w:rPr>
                <w:rFonts w:hint="eastAsia" w:ascii="宋体" w:hAnsi="宋体"/>
                <w:color w:val="000000" w:themeColor="text1"/>
                <w:szCs w:val="21"/>
              </w:rPr>
              <w:t>、东阳公安1台</w:t>
            </w:r>
          </w:p>
        </w:tc>
        <w:tc>
          <w:tcPr>
            <w:tcW w:w="5693" w:type="dxa"/>
            <w:vAlign w:val="center"/>
          </w:tcPr>
          <w:p>
            <w:pPr>
              <w:rPr>
                <w:rFonts w:ascii="宋体" w:hAnsi="宋体"/>
                <w:color w:val="000000" w:themeColor="text1"/>
                <w:szCs w:val="21"/>
              </w:rPr>
            </w:pPr>
            <w:r>
              <w:rPr>
                <w:rFonts w:hint="eastAsia"/>
                <w:color w:val="000000" w:themeColor="text1"/>
              </w:rPr>
              <w:t>★</w:t>
            </w:r>
            <w:r>
              <w:rPr>
                <w:rFonts w:ascii="宋体" w:hAnsi="宋体"/>
                <w:color w:val="000000" w:themeColor="text1"/>
                <w:szCs w:val="21"/>
              </w:rPr>
              <w:t>双主控及双电源；</w:t>
            </w:r>
            <w:r>
              <w:rPr>
                <w:rFonts w:ascii="宋体" w:hAnsi="宋体"/>
                <w:color w:val="000000" w:themeColor="text1"/>
                <w:szCs w:val="21"/>
              </w:rPr>
              <w:br w:type="textWrapping"/>
            </w:r>
            <w:r>
              <w:rPr>
                <w:rFonts w:hint="eastAsia"/>
                <w:color w:val="000000" w:themeColor="text1"/>
              </w:rPr>
              <w:t>★</w:t>
            </w:r>
            <w:r>
              <w:rPr>
                <w:rFonts w:hint="eastAsia" w:ascii="宋体" w:hAnsi="宋体"/>
                <w:color w:val="000000" w:themeColor="text1"/>
                <w:szCs w:val="21"/>
              </w:rPr>
              <w:t>交换</w:t>
            </w:r>
            <w:r>
              <w:rPr>
                <w:rFonts w:ascii="宋体" w:hAnsi="宋体"/>
                <w:color w:val="000000" w:themeColor="text1"/>
                <w:szCs w:val="21"/>
              </w:rPr>
              <w:t>容量≥19.2Tbps（以官网参数斜线前数值为准）</w:t>
            </w:r>
            <w:r>
              <w:rPr>
                <w:rFonts w:hint="eastAsia" w:ascii="宋体" w:hAnsi="宋体"/>
                <w:color w:val="000000" w:themeColor="text1"/>
                <w:szCs w:val="21"/>
              </w:rPr>
              <w:t>（提供官网截图）</w:t>
            </w:r>
            <w:r>
              <w:rPr>
                <w:rFonts w:ascii="宋体" w:hAnsi="宋体"/>
                <w:color w:val="000000" w:themeColor="text1"/>
                <w:szCs w:val="21"/>
              </w:rPr>
              <w:br w:type="textWrapping"/>
            </w:r>
            <w:r>
              <w:rPr>
                <w:rFonts w:hint="eastAsia"/>
                <w:color w:val="000000" w:themeColor="text1"/>
              </w:rPr>
              <w:t>★</w:t>
            </w:r>
            <w:r>
              <w:rPr>
                <w:rFonts w:ascii="宋体" w:hAnsi="宋体"/>
                <w:color w:val="000000" w:themeColor="text1"/>
                <w:szCs w:val="21"/>
              </w:rPr>
              <w:t>包转发率≥2880Mpps（以官网参数斜线前数值为准）</w:t>
            </w:r>
            <w:r>
              <w:rPr>
                <w:rFonts w:hint="eastAsia" w:ascii="宋体" w:hAnsi="宋体"/>
                <w:color w:val="000000" w:themeColor="text1"/>
                <w:szCs w:val="21"/>
              </w:rPr>
              <w:t>（提供官网截图）</w:t>
            </w:r>
            <w:r>
              <w:rPr>
                <w:rFonts w:ascii="宋体" w:hAnsi="宋体"/>
                <w:color w:val="000000" w:themeColor="text1"/>
                <w:szCs w:val="21"/>
              </w:rPr>
              <w:br w:type="textWrapping"/>
            </w:r>
            <w:r>
              <w:rPr>
                <w:rFonts w:ascii="宋体" w:hAnsi="宋体"/>
                <w:color w:val="000000" w:themeColor="text1"/>
                <w:szCs w:val="21"/>
              </w:rPr>
              <w:t>业务槽位数≥6；</w:t>
            </w:r>
            <w:r>
              <w:rPr>
                <w:rFonts w:ascii="宋体" w:hAnsi="宋体"/>
                <w:color w:val="000000" w:themeColor="text1"/>
                <w:szCs w:val="21"/>
              </w:rPr>
              <w:br w:type="textWrapping"/>
            </w:r>
            <w:r>
              <w:rPr>
                <w:rFonts w:ascii="宋体" w:hAnsi="宋体"/>
                <w:color w:val="000000" w:themeColor="text1"/>
                <w:szCs w:val="21"/>
              </w:rPr>
              <w:t>可支持接口类型：GE（光/电）、10GE（光）；</w:t>
            </w:r>
            <w:r>
              <w:rPr>
                <w:rFonts w:ascii="宋体" w:hAnsi="宋体"/>
                <w:color w:val="000000" w:themeColor="text1"/>
                <w:szCs w:val="21"/>
              </w:rPr>
              <w:br w:type="textWrapping"/>
            </w:r>
            <w:r>
              <w:rPr>
                <w:rFonts w:hint="eastAsia"/>
                <w:color w:val="000000" w:themeColor="text1"/>
              </w:rPr>
              <w:t>★</w:t>
            </w:r>
            <w:r>
              <w:rPr>
                <w:rFonts w:ascii="宋体" w:hAnsi="宋体"/>
                <w:color w:val="000000" w:themeColor="text1"/>
                <w:szCs w:val="21"/>
              </w:rPr>
              <w:t>端口配置：10GE光口16个（满配原厂单模10KM光模块），GE光口24个（满配原厂单模10KM光模块），GE电口48个。</w:t>
            </w:r>
            <w:r>
              <w:rPr>
                <w:rFonts w:ascii="宋体" w:hAnsi="宋体"/>
                <w:color w:val="000000" w:themeColor="text1"/>
                <w:szCs w:val="21"/>
              </w:rPr>
              <w:br w:type="textWrapping"/>
            </w:r>
            <w:r>
              <w:rPr>
                <w:rFonts w:ascii="宋体" w:hAnsi="宋体"/>
                <w:color w:val="000000" w:themeColor="text1"/>
                <w:szCs w:val="21"/>
              </w:rPr>
              <w:t>路由特性：交换机要求支持静态路由、RIP、OSPF、IS-IS、BGP4等路由协议；</w:t>
            </w:r>
            <w:r>
              <w:rPr>
                <w:rFonts w:ascii="宋体" w:hAnsi="宋体"/>
                <w:color w:val="000000" w:themeColor="text1"/>
                <w:szCs w:val="21"/>
              </w:rPr>
              <w:br w:type="textWrapping"/>
            </w:r>
            <w:r>
              <w:rPr>
                <w:rFonts w:ascii="宋体" w:hAnsi="宋体"/>
                <w:color w:val="000000" w:themeColor="text1"/>
                <w:szCs w:val="21"/>
              </w:rPr>
              <w:t>支持IPv4/IPv6；支持组播；支持OPENFLOW 1.3标准；支持L3 MPLS VPN；支持L2 VPN: VLL (Martini, Kompella)；支持FTP、TFTP</w:t>
            </w:r>
            <w:r>
              <w:rPr>
                <w:rFonts w:ascii="宋体" w:hAnsi="宋体"/>
                <w:color w:val="000000" w:themeColor="text1"/>
                <w:szCs w:val="21"/>
              </w:rPr>
              <w:br w:type="textWrapping"/>
            </w:r>
            <w:r>
              <w:rPr>
                <w:rFonts w:ascii="宋体" w:hAnsi="宋体"/>
                <w:color w:val="000000" w:themeColor="text1"/>
                <w:szCs w:val="21"/>
              </w:rPr>
              <w:t>支持SNMP v1/v2/v3</w:t>
            </w:r>
          </w:p>
        </w:tc>
        <w:tc>
          <w:tcPr>
            <w:tcW w:w="544" w:type="dxa"/>
            <w:noWrap/>
            <w:vAlign w:val="center"/>
          </w:tcPr>
          <w:p>
            <w:pPr>
              <w:jc w:val="center"/>
              <w:rPr>
                <w:rFonts w:ascii="宋体" w:hAnsi="宋体"/>
                <w:color w:val="000000" w:themeColor="text1"/>
                <w:szCs w:val="21"/>
              </w:rPr>
            </w:pPr>
            <w:r>
              <w:rPr>
                <w:rFonts w:ascii="宋体" w:hAnsi="宋体"/>
                <w:color w:val="000000" w:themeColor="text1"/>
                <w:szCs w:val="21"/>
              </w:rPr>
              <w:t>6</w:t>
            </w:r>
          </w:p>
        </w:tc>
        <w:tc>
          <w:tcPr>
            <w:tcW w:w="815" w:type="dxa"/>
            <w:vAlign w:val="center"/>
          </w:tcPr>
          <w:p>
            <w:pPr>
              <w:jc w:val="center"/>
              <w:rPr>
                <w:rFonts w:ascii="宋体" w:hAnsi="宋体"/>
                <w:color w:val="000000" w:themeColor="text1"/>
                <w:szCs w:val="21"/>
              </w:rPr>
            </w:pPr>
            <w:r>
              <w:rPr>
                <w:rFonts w:hint="eastAsia" w:ascii="宋体" w:hAnsi="宋体"/>
                <w:color w:val="000000" w:themeColor="text1"/>
                <w:szCs w:val="21"/>
              </w:rPr>
              <w:t>东阳公安1台</w:t>
            </w:r>
            <w:r>
              <w:rPr>
                <w:rFonts w:ascii="宋体" w:hAnsi="宋体"/>
                <w:color w:val="000000" w:themeColor="text1"/>
                <w:szCs w:val="21"/>
              </w:rPr>
              <w:t>、永康</w:t>
            </w:r>
            <w:r>
              <w:rPr>
                <w:rFonts w:hint="eastAsia" w:ascii="宋体" w:hAnsi="宋体"/>
                <w:color w:val="000000" w:themeColor="text1"/>
                <w:szCs w:val="21"/>
              </w:rPr>
              <w:t>交警1台</w:t>
            </w:r>
            <w:r>
              <w:rPr>
                <w:rFonts w:ascii="宋体" w:hAnsi="宋体"/>
                <w:color w:val="000000" w:themeColor="text1"/>
                <w:szCs w:val="21"/>
              </w:rPr>
              <w:t>、</w:t>
            </w:r>
            <w:r>
              <w:rPr>
                <w:rFonts w:hint="eastAsia" w:ascii="宋体" w:hAnsi="宋体"/>
                <w:color w:val="000000" w:themeColor="text1"/>
                <w:szCs w:val="21"/>
              </w:rPr>
              <w:t>浦江公安1台</w:t>
            </w:r>
            <w:r>
              <w:rPr>
                <w:rFonts w:ascii="宋体" w:hAnsi="宋体"/>
                <w:color w:val="000000" w:themeColor="text1"/>
                <w:szCs w:val="21"/>
              </w:rPr>
              <w:t>、</w:t>
            </w:r>
            <w:r>
              <w:rPr>
                <w:rFonts w:hint="eastAsia" w:ascii="宋体" w:hAnsi="宋体"/>
                <w:color w:val="000000" w:themeColor="text1"/>
                <w:szCs w:val="21"/>
              </w:rPr>
              <w:t>武义</w:t>
            </w:r>
            <w:r>
              <w:rPr>
                <w:rFonts w:ascii="宋体" w:hAnsi="宋体"/>
                <w:color w:val="000000" w:themeColor="text1"/>
                <w:szCs w:val="21"/>
              </w:rPr>
              <w:t>公安和武义交警2</w:t>
            </w:r>
            <w:r>
              <w:rPr>
                <w:rFonts w:hint="eastAsia" w:ascii="宋体" w:hAnsi="宋体"/>
                <w:color w:val="000000" w:themeColor="text1"/>
                <w:szCs w:val="21"/>
              </w:rPr>
              <w:t>台、</w:t>
            </w:r>
            <w:r>
              <w:rPr>
                <w:rFonts w:ascii="宋体" w:hAnsi="宋体"/>
                <w:color w:val="000000" w:themeColor="text1"/>
                <w:szCs w:val="21"/>
              </w:rPr>
              <w:t>兰溪</w:t>
            </w:r>
            <w:r>
              <w:rPr>
                <w:rFonts w:hint="eastAsia" w:ascii="宋体" w:hAnsi="宋体"/>
                <w:color w:val="000000" w:themeColor="text1"/>
                <w:szCs w:val="21"/>
              </w:rPr>
              <w:t>公安1台</w:t>
            </w:r>
          </w:p>
        </w:tc>
        <w:tc>
          <w:tcPr>
            <w:tcW w:w="417" w:type="dxa"/>
            <w:noWrap/>
            <w:vAlign w:val="center"/>
          </w:tcPr>
          <w:p>
            <w:pPr>
              <w:jc w:val="center"/>
              <w:rPr>
                <w:rFonts w:ascii="宋体" w:hAnsi="宋体"/>
                <w:color w:val="000000" w:themeColor="text1"/>
                <w:szCs w:val="21"/>
              </w:rPr>
            </w:pPr>
            <w:r>
              <w:rPr>
                <w:rFonts w:ascii="宋体" w:hAnsi="宋体"/>
                <w:color w:val="000000" w:themeColor="text1"/>
                <w:szCs w:val="21"/>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16" w:type="dxa"/>
            <w:vMerge w:val="continue"/>
            <w:vAlign w:val="center"/>
          </w:tcPr>
          <w:p>
            <w:pPr>
              <w:ind w:firstLine="480"/>
              <w:rPr>
                <w:rFonts w:ascii="宋体" w:hAnsi="宋体"/>
                <w:bCs/>
                <w:color w:val="000000" w:themeColor="text1"/>
                <w:szCs w:val="21"/>
              </w:rPr>
            </w:pPr>
          </w:p>
        </w:tc>
        <w:tc>
          <w:tcPr>
            <w:tcW w:w="1102" w:type="dxa"/>
            <w:noWrap/>
            <w:vAlign w:val="center"/>
          </w:tcPr>
          <w:p>
            <w:pPr>
              <w:rPr>
                <w:rFonts w:ascii="宋体" w:hAnsi="宋体"/>
                <w:color w:val="000000" w:themeColor="text1"/>
                <w:szCs w:val="21"/>
              </w:rPr>
            </w:pPr>
            <w:r>
              <w:rPr>
                <w:rFonts w:ascii="宋体" w:hAnsi="宋体"/>
                <w:color w:val="000000" w:themeColor="text1"/>
                <w:szCs w:val="21"/>
              </w:rPr>
              <w:t>汇聚交换机配置3-磐安公安</w:t>
            </w:r>
          </w:p>
        </w:tc>
        <w:tc>
          <w:tcPr>
            <w:tcW w:w="5693" w:type="dxa"/>
            <w:vAlign w:val="center"/>
          </w:tcPr>
          <w:p>
            <w:pPr>
              <w:rPr>
                <w:rFonts w:ascii="宋体" w:hAnsi="宋体"/>
                <w:color w:val="000000" w:themeColor="text1"/>
                <w:szCs w:val="21"/>
              </w:rPr>
            </w:pPr>
            <w:r>
              <w:rPr>
                <w:rFonts w:hint="eastAsia"/>
                <w:color w:val="000000" w:themeColor="text1"/>
              </w:rPr>
              <w:t>★</w:t>
            </w:r>
            <w:r>
              <w:rPr>
                <w:rFonts w:ascii="宋体" w:hAnsi="宋体"/>
                <w:color w:val="000000" w:themeColor="text1"/>
                <w:szCs w:val="21"/>
              </w:rPr>
              <w:t>配置双主控及冗余电源；</w:t>
            </w:r>
            <w:r>
              <w:rPr>
                <w:rFonts w:ascii="宋体" w:hAnsi="宋体"/>
                <w:color w:val="000000" w:themeColor="text1"/>
                <w:szCs w:val="21"/>
              </w:rPr>
              <w:br w:type="textWrapping"/>
            </w:r>
            <w:r>
              <w:rPr>
                <w:rFonts w:hint="eastAsia"/>
                <w:color w:val="000000" w:themeColor="text1"/>
              </w:rPr>
              <w:t>★</w:t>
            </w:r>
            <w:r>
              <w:rPr>
                <w:rFonts w:hint="eastAsia" w:ascii="宋体" w:hAnsi="宋体"/>
                <w:color w:val="000000" w:themeColor="text1"/>
                <w:szCs w:val="21"/>
              </w:rPr>
              <w:t>交换</w:t>
            </w:r>
            <w:r>
              <w:rPr>
                <w:rFonts w:ascii="宋体" w:hAnsi="宋体"/>
                <w:color w:val="000000" w:themeColor="text1"/>
                <w:szCs w:val="21"/>
              </w:rPr>
              <w:t>容量≥19.2Tbps；（以官网参数斜线前数值为准）</w:t>
            </w:r>
            <w:r>
              <w:rPr>
                <w:rFonts w:hint="eastAsia" w:ascii="宋体" w:hAnsi="宋体"/>
                <w:color w:val="000000" w:themeColor="text1"/>
                <w:szCs w:val="21"/>
              </w:rPr>
              <w:t>（提供官网截图）</w:t>
            </w:r>
            <w:r>
              <w:rPr>
                <w:rFonts w:ascii="宋体" w:hAnsi="宋体"/>
                <w:color w:val="000000" w:themeColor="text1"/>
                <w:szCs w:val="21"/>
              </w:rPr>
              <w:br w:type="textWrapping"/>
            </w:r>
            <w:r>
              <w:rPr>
                <w:rFonts w:hint="eastAsia"/>
                <w:color w:val="000000" w:themeColor="text1"/>
              </w:rPr>
              <w:t>★</w:t>
            </w:r>
            <w:r>
              <w:rPr>
                <w:rFonts w:ascii="宋体" w:hAnsi="宋体"/>
                <w:color w:val="000000" w:themeColor="text1"/>
                <w:szCs w:val="21"/>
              </w:rPr>
              <w:t>包转发率≥2880Mpps；（以官网参数斜线前数值为准）</w:t>
            </w:r>
            <w:r>
              <w:rPr>
                <w:rFonts w:hint="eastAsia" w:ascii="宋体" w:hAnsi="宋体"/>
                <w:color w:val="000000" w:themeColor="text1"/>
                <w:szCs w:val="21"/>
              </w:rPr>
              <w:t>（提供官网截图）</w:t>
            </w:r>
            <w:r>
              <w:rPr>
                <w:rFonts w:ascii="宋体" w:hAnsi="宋体"/>
                <w:color w:val="000000" w:themeColor="text1"/>
                <w:szCs w:val="21"/>
              </w:rPr>
              <w:br w:type="textWrapping"/>
            </w:r>
            <w:r>
              <w:rPr>
                <w:rFonts w:ascii="宋体" w:hAnsi="宋体"/>
                <w:color w:val="000000" w:themeColor="text1"/>
                <w:szCs w:val="21"/>
              </w:rPr>
              <w:t>业务槽位数≥6;</w:t>
            </w:r>
            <w:r>
              <w:rPr>
                <w:rFonts w:ascii="宋体" w:hAnsi="宋体"/>
                <w:color w:val="000000" w:themeColor="text1"/>
                <w:szCs w:val="21"/>
              </w:rPr>
              <w:br w:type="textWrapping"/>
            </w:r>
            <w:r>
              <w:rPr>
                <w:rFonts w:ascii="宋体" w:hAnsi="宋体"/>
                <w:color w:val="000000" w:themeColor="text1"/>
                <w:szCs w:val="21"/>
              </w:rPr>
              <w:t>可支持接口类型：GE（光/电）、10GE（光）；</w:t>
            </w:r>
            <w:r>
              <w:rPr>
                <w:rFonts w:ascii="宋体" w:hAnsi="宋体"/>
                <w:color w:val="000000" w:themeColor="text1"/>
                <w:szCs w:val="21"/>
              </w:rPr>
              <w:br w:type="textWrapping"/>
            </w:r>
            <w:r>
              <w:rPr>
                <w:rFonts w:hint="eastAsia"/>
                <w:color w:val="000000" w:themeColor="text1"/>
              </w:rPr>
              <w:t>★</w:t>
            </w:r>
            <w:r>
              <w:rPr>
                <w:rFonts w:ascii="宋体" w:hAnsi="宋体"/>
                <w:color w:val="000000" w:themeColor="text1"/>
                <w:szCs w:val="21"/>
              </w:rPr>
              <w:t>端口配置：16口万兆板卡2块（12块原厂10KM万兆光模块）、24口千兆光口板1块（千兆原厂10KM单模模块12块）、48口千兆电口板2块；</w:t>
            </w:r>
            <w:r>
              <w:rPr>
                <w:rFonts w:ascii="宋体" w:hAnsi="宋体"/>
                <w:color w:val="000000" w:themeColor="text1"/>
                <w:szCs w:val="21"/>
              </w:rPr>
              <w:br w:type="textWrapping"/>
            </w:r>
            <w:r>
              <w:rPr>
                <w:rFonts w:ascii="宋体" w:hAnsi="宋体"/>
                <w:color w:val="000000" w:themeColor="text1"/>
                <w:szCs w:val="21"/>
              </w:rPr>
              <w:t>路由特性：交换机要求支持静态路由、RIP、OSPF、IS-IS、BGP4等路由协议；</w:t>
            </w:r>
            <w:r>
              <w:rPr>
                <w:rFonts w:ascii="宋体" w:hAnsi="宋体"/>
                <w:color w:val="000000" w:themeColor="text1"/>
                <w:szCs w:val="21"/>
              </w:rPr>
              <w:br w:type="textWrapping"/>
            </w:r>
            <w:r>
              <w:rPr>
                <w:rFonts w:ascii="宋体" w:hAnsi="宋体"/>
                <w:color w:val="000000" w:themeColor="text1"/>
                <w:szCs w:val="21"/>
              </w:rPr>
              <w:t>支持IPv4/IPv6；支持组播；支持OPENFLOW 1.3标准；支持L3 MPLS VPN；支持L2 VPN: VLL (Martini, Kompella)；支持FTP、TFTP</w:t>
            </w:r>
            <w:r>
              <w:rPr>
                <w:rFonts w:ascii="宋体" w:hAnsi="宋体"/>
                <w:color w:val="000000" w:themeColor="text1"/>
                <w:szCs w:val="21"/>
              </w:rPr>
              <w:br w:type="textWrapping"/>
            </w:r>
            <w:r>
              <w:rPr>
                <w:rFonts w:ascii="宋体" w:hAnsi="宋体"/>
                <w:color w:val="000000" w:themeColor="text1"/>
                <w:szCs w:val="21"/>
              </w:rPr>
              <w:t>支持SNMP v1/v2/v3</w:t>
            </w:r>
          </w:p>
        </w:tc>
        <w:tc>
          <w:tcPr>
            <w:tcW w:w="544" w:type="dxa"/>
            <w:noWrap/>
            <w:vAlign w:val="center"/>
          </w:tcPr>
          <w:p>
            <w:pPr>
              <w:rPr>
                <w:rFonts w:ascii="宋体" w:hAnsi="宋体"/>
                <w:color w:val="000000" w:themeColor="text1"/>
                <w:szCs w:val="21"/>
              </w:rPr>
            </w:pPr>
            <w:r>
              <w:rPr>
                <w:rFonts w:ascii="宋体" w:hAnsi="宋体"/>
                <w:color w:val="000000" w:themeColor="text1"/>
                <w:szCs w:val="21"/>
              </w:rPr>
              <w:t>1</w:t>
            </w:r>
          </w:p>
        </w:tc>
        <w:tc>
          <w:tcPr>
            <w:tcW w:w="815" w:type="dxa"/>
            <w:vAlign w:val="center"/>
          </w:tcPr>
          <w:p>
            <w:pPr>
              <w:rPr>
                <w:rFonts w:ascii="宋体" w:hAnsi="宋体"/>
                <w:color w:val="000000" w:themeColor="text1"/>
                <w:szCs w:val="21"/>
              </w:rPr>
            </w:pPr>
            <w:r>
              <w:rPr>
                <w:rFonts w:hint="eastAsia" w:ascii="宋体" w:hAnsi="宋体"/>
                <w:color w:val="000000" w:themeColor="text1"/>
                <w:szCs w:val="21"/>
              </w:rPr>
              <w:t>磐安</w:t>
            </w:r>
          </w:p>
        </w:tc>
        <w:tc>
          <w:tcPr>
            <w:tcW w:w="417" w:type="dxa"/>
            <w:noWrap/>
            <w:vAlign w:val="center"/>
          </w:tcPr>
          <w:p>
            <w:pPr>
              <w:rPr>
                <w:rFonts w:ascii="宋体" w:hAnsi="宋体"/>
                <w:color w:val="000000" w:themeColor="text1"/>
                <w:szCs w:val="21"/>
              </w:rPr>
            </w:pPr>
            <w:r>
              <w:rPr>
                <w:rFonts w:ascii="宋体" w:hAnsi="宋体"/>
                <w:color w:val="000000" w:themeColor="text1"/>
                <w:szCs w:val="21"/>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16" w:type="dxa"/>
            <w:vAlign w:val="center"/>
          </w:tcPr>
          <w:p>
            <w:pPr>
              <w:rPr>
                <w:rFonts w:ascii="宋体" w:hAnsi="宋体"/>
                <w:bCs/>
                <w:color w:val="000000" w:themeColor="text1"/>
                <w:szCs w:val="21"/>
              </w:rPr>
            </w:pPr>
            <w:r>
              <w:rPr>
                <w:rFonts w:ascii="宋体" w:hAnsi="宋体"/>
                <w:bCs/>
                <w:color w:val="000000" w:themeColor="text1"/>
                <w:szCs w:val="21"/>
              </w:rPr>
              <w:t>解析中心网络</w:t>
            </w:r>
          </w:p>
        </w:tc>
        <w:tc>
          <w:tcPr>
            <w:tcW w:w="1102" w:type="dxa"/>
            <w:noWrap/>
            <w:vAlign w:val="center"/>
          </w:tcPr>
          <w:p>
            <w:pPr>
              <w:rPr>
                <w:rFonts w:ascii="宋体" w:hAnsi="宋体"/>
                <w:color w:val="000000" w:themeColor="text1"/>
                <w:szCs w:val="21"/>
              </w:rPr>
            </w:pPr>
            <w:r>
              <w:rPr>
                <w:rFonts w:hint="eastAsia"/>
                <w:color w:val="000000" w:themeColor="text1"/>
              </w:rPr>
              <w:t>▲</w:t>
            </w:r>
            <w:r>
              <w:rPr>
                <w:rFonts w:ascii="宋体" w:hAnsi="宋体"/>
                <w:color w:val="000000" w:themeColor="text1"/>
                <w:szCs w:val="21"/>
              </w:rPr>
              <w:t>解析中心核心交换机</w:t>
            </w:r>
          </w:p>
        </w:tc>
        <w:tc>
          <w:tcPr>
            <w:tcW w:w="5693" w:type="dxa"/>
            <w:vAlign w:val="center"/>
          </w:tcPr>
          <w:p>
            <w:pPr>
              <w:rPr>
                <w:rFonts w:ascii="宋体" w:hAnsi="宋体"/>
                <w:color w:val="000000" w:themeColor="text1"/>
                <w:szCs w:val="21"/>
              </w:rPr>
            </w:pPr>
            <w:r>
              <w:rPr>
                <w:rFonts w:hint="eastAsia"/>
                <w:color w:val="000000" w:themeColor="text1"/>
              </w:rPr>
              <w:t>★</w:t>
            </w:r>
            <w:r>
              <w:rPr>
                <w:rFonts w:ascii="宋体" w:hAnsi="宋体"/>
                <w:color w:val="000000" w:themeColor="text1"/>
                <w:szCs w:val="21"/>
              </w:rPr>
              <w:t>双主控及冗余电源；</w:t>
            </w:r>
            <w:r>
              <w:rPr>
                <w:rFonts w:ascii="宋体" w:hAnsi="宋体"/>
                <w:color w:val="000000" w:themeColor="text1"/>
                <w:szCs w:val="21"/>
              </w:rPr>
              <w:br w:type="textWrapping"/>
            </w:r>
            <w:r>
              <w:rPr>
                <w:rFonts w:hint="eastAsia"/>
                <w:color w:val="000000" w:themeColor="text1"/>
              </w:rPr>
              <w:t>★</w:t>
            </w:r>
            <w:r>
              <w:rPr>
                <w:rFonts w:hint="eastAsia" w:ascii="宋体" w:hAnsi="宋体"/>
                <w:color w:val="000000" w:themeColor="text1"/>
                <w:szCs w:val="21"/>
              </w:rPr>
              <w:t>交换</w:t>
            </w:r>
            <w:r>
              <w:rPr>
                <w:rFonts w:ascii="宋体" w:hAnsi="宋体"/>
                <w:color w:val="000000" w:themeColor="text1"/>
                <w:szCs w:val="21"/>
              </w:rPr>
              <w:t>容量≥28.8Tbps；（以官网参数斜线前数值为准）</w:t>
            </w:r>
            <w:r>
              <w:rPr>
                <w:rFonts w:hint="eastAsia" w:ascii="宋体" w:hAnsi="宋体"/>
                <w:color w:val="000000" w:themeColor="text1"/>
                <w:szCs w:val="21"/>
              </w:rPr>
              <w:t>（提供官网截图）</w:t>
            </w:r>
            <w:r>
              <w:rPr>
                <w:rFonts w:ascii="宋体" w:hAnsi="宋体"/>
                <w:color w:val="000000" w:themeColor="text1"/>
                <w:szCs w:val="21"/>
              </w:rPr>
              <w:br w:type="textWrapping"/>
            </w:r>
            <w:r>
              <w:rPr>
                <w:rFonts w:hint="eastAsia"/>
                <w:color w:val="000000" w:themeColor="text1"/>
              </w:rPr>
              <w:t>★</w:t>
            </w:r>
            <w:r>
              <w:rPr>
                <w:rFonts w:ascii="宋体" w:hAnsi="宋体"/>
                <w:color w:val="000000" w:themeColor="text1"/>
                <w:szCs w:val="21"/>
              </w:rPr>
              <w:t>包转发率≥3600Mpps；（以官网参数斜线前数值为准）</w:t>
            </w:r>
            <w:r>
              <w:rPr>
                <w:rFonts w:hint="eastAsia" w:ascii="宋体" w:hAnsi="宋体"/>
                <w:color w:val="000000" w:themeColor="text1"/>
                <w:szCs w:val="21"/>
              </w:rPr>
              <w:t>（提供官网截图）</w:t>
            </w:r>
            <w:r>
              <w:rPr>
                <w:rFonts w:ascii="宋体" w:hAnsi="宋体"/>
                <w:color w:val="000000" w:themeColor="text1"/>
                <w:szCs w:val="21"/>
              </w:rPr>
              <w:br w:type="textWrapping"/>
            </w:r>
            <w:r>
              <w:rPr>
                <w:rFonts w:ascii="宋体" w:hAnsi="宋体"/>
                <w:color w:val="000000" w:themeColor="text1"/>
                <w:szCs w:val="21"/>
              </w:rPr>
              <w:t>业务槽位数≥4；</w:t>
            </w:r>
            <w:r>
              <w:rPr>
                <w:rFonts w:ascii="宋体" w:hAnsi="宋体"/>
                <w:color w:val="000000" w:themeColor="text1"/>
                <w:szCs w:val="21"/>
              </w:rPr>
              <w:br w:type="textWrapping"/>
            </w:r>
            <w:r>
              <w:rPr>
                <w:rFonts w:ascii="宋体" w:hAnsi="宋体"/>
                <w:color w:val="000000" w:themeColor="text1"/>
                <w:szCs w:val="21"/>
              </w:rPr>
              <w:t>可支持接口类型：GE（光/电）、10GE（光）、40GE（光）、100GE（光）；</w:t>
            </w:r>
            <w:r>
              <w:rPr>
                <w:rFonts w:ascii="宋体" w:hAnsi="宋体"/>
                <w:color w:val="000000" w:themeColor="text1"/>
                <w:szCs w:val="21"/>
              </w:rPr>
              <w:br w:type="textWrapping"/>
            </w:r>
            <w:r>
              <w:rPr>
                <w:rFonts w:hint="eastAsia"/>
                <w:color w:val="000000" w:themeColor="text1"/>
              </w:rPr>
              <w:t>★</w:t>
            </w:r>
            <w:r>
              <w:rPr>
                <w:rFonts w:ascii="宋体" w:hAnsi="宋体"/>
                <w:color w:val="000000" w:themeColor="text1"/>
                <w:szCs w:val="21"/>
              </w:rPr>
              <w:t>端口配置：40GE光口12个（满配原厂单模10KM光模块），10GE光口96个（满配原厂单模10KM光模块）;</w:t>
            </w:r>
            <w:r>
              <w:rPr>
                <w:rFonts w:ascii="宋体" w:hAnsi="宋体"/>
                <w:color w:val="000000" w:themeColor="text1"/>
                <w:szCs w:val="21"/>
              </w:rPr>
              <w:br w:type="textWrapping"/>
            </w:r>
            <w:r>
              <w:rPr>
                <w:rFonts w:ascii="宋体" w:hAnsi="宋体"/>
                <w:color w:val="000000" w:themeColor="text1"/>
                <w:szCs w:val="21"/>
              </w:rPr>
              <w:t>路由特性：交换机要求支持静态路由、RIP、OSPF、IS-IS、BGP4等路由协议；支持IPv4/IPv6；支持组播；支持MPLS VPN/VLL/VPLS；支持VRRP；支持ACL；支持Diff-Serv QoS；支持SNMP管理协议，支持Console、TELNET、SSH、WEB等系统管理；</w:t>
            </w:r>
            <w:r>
              <w:rPr>
                <w:rFonts w:ascii="宋体" w:hAnsi="宋体"/>
                <w:color w:val="000000" w:themeColor="text1"/>
                <w:szCs w:val="21"/>
              </w:rPr>
              <w:br w:type="textWrapping"/>
            </w:r>
            <w:r>
              <w:rPr>
                <w:rFonts w:ascii="宋体" w:hAnsi="宋体"/>
                <w:color w:val="000000" w:themeColor="text1"/>
                <w:szCs w:val="21"/>
              </w:rPr>
              <w:t>能够实现设备虚拟化：N:1。</w:t>
            </w:r>
            <w:r>
              <w:rPr>
                <w:rFonts w:ascii="宋体" w:hAnsi="宋体"/>
                <w:color w:val="000000" w:themeColor="text1"/>
                <w:szCs w:val="21"/>
              </w:rPr>
              <w:br w:type="textWrapping"/>
            </w:r>
            <w:r>
              <w:rPr>
                <w:rFonts w:ascii="宋体" w:hAnsi="宋体"/>
                <w:color w:val="000000" w:themeColor="text1"/>
                <w:szCs w:val="21"/>
              </w:rPr>
              <w:t>含堆叠线缆（4*10G）</w:t>
            </w:r>
          </w:p>
        </w:tc>
        <w:tc>
          <w:tcPr>
            <w:tcW w:w="544" w:type="dxa"/>
            <w:noWrap/>
            <w:vAlign w:val="center"/>
          </w:tcPr>
          <w:p>
            <w:pPr>
              <w:rPr>
                <w:rFonts w:ascii="宋体" w:hAnsi="宋体"/>
                <w:color w:val="000000" w:themeColor="text1"/>
                <w:szCs w:val="21"/>
              </w:rPr>
            </w:pPr>
            <w:r>
              <w:rPr>
                <w:rFonts w:ascii="宋体" w:hAnsi="宋体"/>
                <w:color w:val="000000" w:themeColor="text1"/>
                <w:szCs w:val="21"/>
              </w:rPr>
              <w:t>2</w:t>
            </w:r>
          </w:p>
        </w:tc>
        <w:tc>
          <w:tcPr>
            <w:tcW w:w="815" w:type="dxa"/>
            <w:vAlign w:val="center"/>
          </w:tcPr>
          <w:p>
            <w:pPr>
              <w:rPr>
                <w:rFonts w:ascii="宋体" w:hAnsi="宋体"/>
                <w:color w:val="000000" w:themeColor="text1"/>
                <w:szCs w:val="21"/>
              </w:rPr>
            </w:pPr>
            <w:r>
              <w:rPr>
                <w:rFonts w:hint="eastAsia" w:ascii="宋体" w:hAnsi="宋体"/>
                <w:color w:val="000000" w:themeColor="text1"/>
                <w:szCs w:val="21"/>
              </w:rPr>
              <w:t>市本级2台</w:t>
            </w:r>
          </w:p>
        </w:tc>
        <w:tc>
          <w:tcPr>
            <w:tcW w:w="417" w:type="dxa"/>
            <w:noWrap/>
            <w:vAlign w:val="center"/>
          </w:tcPr>
          <w:p>
            <w:pPr>
              <w:rPr>
                <w:rFonts w:ascii="宋体" w:hAnsi="宋体"/>
                <w:color w:val="000000" w:themeColor="text1"/>
                <w:szCs w:val="21"/>
              </w:rPr>
            </w:pPr>
            <w:r>
              <w:rPr>
                <w:rFonts w:ascii="宋体" w:hAnsi="宋体"/>
                <w:color w:val="000000" w:themeColor="text1"/>
                <w:szCs w:val="21"/>
              </w:rPr>
              <w:t>台</w:t>
            </w:r>
          </w:p>
        </w:tc>
      </w:tr>
    </w:tbl>
    <w:p>
      <w:pPr>
        <w:snapToGrid w:val="0"/>
        <w:rPr>
          <w:rFonts w:ascii="宋体" w:hAnsi="宋体"/>
          <w:color w:val="000000" w:themeColor="text1"/>
        </w:rPr>
      </w:pPr>
    </w:p>
    <w:p>
      <w:pPr>
        <w:ind w:firstLine="480"/>
        <w:rPr>
          <w:rFonts w:ascii="宋体" w:hAnsi="宋体"/>
          <w:color w:val="000000" w:themeColor="text1"/>
        </w:rPr>
      </w:pPr>
      <w:r>
        <w:rPr>
          <w:rFonts w:ascii="宋体" w:hAnsi="宋体"/>
          <w:color w:val="000000" w:themeColor="text1"/>
        </w:rPr>
        <w:br w:type="page"/>
      </w:r>
    </w:p>
    <w:p>
      <w:pPr>
        <w:snapToGrid w:val="0"/>
        <w:ind w:firstLine="480"/>
        <w:rPr>
          <w:rFonts w:ascii="宋体" w:hAnsi="宋体"/>
          <w:color w:val="000000" w:themeColor="text1"/>
        </w:rPr>
      </w:pPr>
    </w:p>
    <w:p>
      <w:pPr>
        <w:pStyle w:val="3"/>
        <w:spacing w:before="120" w:after="120"/>
        <w:ind w:firstLine="562"/>
        <w:rPr>
          <w:color w:val="000000" w:themeColor="text1"/>
        </w:rPr>
      </w:pPr>
      <w:bookmarkStart w:id="292" w:name="_Toc8760709"/>
      <w:bookmarkStart w:id="293" w:name="_Toc7521685"/>
      <w:r>
        <w:rPr>
          <w:rFonts w:hint="eastAsia"/>
          <w:color w:val="000000" w:themeColor="text1"/>
        </w:rPr>
        <w:t>三、安全系统</w:t>
      </w:r>
      <w:bookmarkEnd w:id="292"/>
      <w:bookmarkEnd w:id="293"/>
    </w:p>
    <w:p>
      <w:pPr>
        <w:pStyle w:val="4"/>
        <w:ind w:firstLine="562"/>
        <w:rPr>
          <w:color w:val="000000" w:themeColor="text1"/>
        </w:rPr>
      </w:pPr>
      <w:bookmarkStart w:id="294" w:name="_Toc7521686"/>
      <w:bookmarkStart w:id="295" w:name="_Toc8760710"/>
      <w:r>
        <w:rPr>
          <w:rFonts w:hint="eastAsia"/>
          <w:color w:val="000000" w:themeColor="text1"/>
        </w:rPr>
        <w:t>（一）</w:t>
      </w:r>
      <w:r>
        <w:rPr>
          <w:color w:val="000000" w:themeColor="text1"/>
        </w:rPr>
        <w:t>项目</w:t>
      </w:r>
      <w:r>
        <w:rPr>
          <w:rFonts w:hint="eastAsia"/>
          <w:color w:val="000000" w:themeColor="text1"/>
        </w:rPr>
        <w:t>内容</w:t>
      </w:r>
      <w:bookmarkEnd w:id="294"/>
      <w:bookmarkEnd w:id="295"/>
    </w:p>
    <w:p>
      <w:pPr>
        <w:pStyle w:val="5"/>
        <w:spacing w:before="120" w:after="120"/>
        <w:ind w:firstLine="480"/>
        <w:rPr>
          <w:color w:val="000000" w:themeColor="text1"/>
        </w:rPr>
      </w:pPr>
      <w:bookmarkStart w:id="296" w:name="_Toc522260398"/>
      <w:bookmarkStart w:id="297" w:name="_Toc522260397"/>
      <w:r>
        <w:rPr>
          <w:rFonts w:hint="eastAsia"/>
          <w:color w:val="000000" w:themeColor="text1"/>
        </w:rPr>
        <w:t>1.1</w:t>
      </w:r>
      <w:r>
        <w:rPr>
          <w:color w:val="000000" w:themeColor="text1"/>
        </w:rPr>
        <w:t>总体安全架构</w:t>
      </w:r>
      <w:bookmarkEnd w:id="296"/>
    </w:p>
    <w:p>
      <w:pPr>
        <w:ind w:firstLine="480"/>
        <w:rPr>
          <w:color w:val="000000" w:themeColor="text1"/>
        </w:rPr>
      </w:pPr>
      <w:r>
        <w:rPr>
          <w:color w:val="000000" w:themeColor="text1"/>
        </w:rPr>
        <w:t>公安视频专网中已部署的安全统一管控平台在本次“雪亮工程”中对公安视频专网各类新增设备的终端安全、网络安全和数据安全进行全方位、多维度安全管控；终端安全管理系统、防病毒系统继续覆盖将来新增的公安视频专网内的终端设备；已部署联网准入系统县市对本次“雪亮工程”新增摄像机、终端设备进行准入管控，东阳与永康在本次“雪亮工程”中购置联网准入控制系统和内网安全管理等系统；漏洞扫描系统对公安视频专网中新增的终端、服务器等设备系统漏洞进行自动扫描，提供完整的流程化补丁管理，包括同步更新、补丁分类、补丁分发、补丁报表等功能。</w:t>
      </w:r>
    </w:p>
    <w:p>
      <w:pPr>
        <w:ind w:firstLine="480"/>
        <w:rPr>
          <w:color w:val="000000" w:themeColor="text1"/>
        </w:rPr>
      </w:pPr>
      <w:r>
        <w:rPr>
          <w:rFonts w:hint="eastAsia"/>
          <w:color w:val="000000" w:themeColor="text1"/>
        </w:rPr>
        <w:t>政府各</w:t>
      </w:r>
      <w:r>
        <w:rPr>
          <w:color w:val="000000" w:themeColor="text1"/>
        </w:rPr>
        <w:t>相关部门要调看监控视频，通过公安视频专网网络延伸（采用专线方式）至各部门终端，终端电脑安装相应管理客户端，新增终端安全管理由原内网安全管理系统统一管理</w:t>
      </w:r>
      <w:r>
        <w:rPr>
          <w:rFonts w:hint="eastAsia"/>
          <w:color w:val="000000" w:themeColor="text1"/>
        </w:rPr>
        <w:t>，并通过客户端认证系统认证，各部门应用系统平台调用首先在边界设备进行认证，通过后放行相应数据，并在公安视频专网共享平台需要再次认证，平台认证通过后提供相应的视频和图片数据</w:t>
      </w:r>
      <w:r>
        <w:rPr>
          <w:color w:val="000000" w:themeColor="text1"/>
        </w:rPr>
        <w:t>。</w:t>
      </w:r>
    </w:p>
    <w:p>
      <w:pPr>
        <w:ind w:firstLine="480"/>
        <w:rPr>
          <w:color w:val="000000" w:themeColor="text1"/>
        </w:rPr>
      </w:pPr>
      <w:r>
        <w:rPr>
          <w:color w:val="000000" w:themeColor="text1"/>
        </w:rPr>
        <w:t>本次在公安视频专网与电子政务外网之间部署万兆视频安全交换系统和万兆数据安全交换系统，在边界保护区配置下一代防火墙用于实现访问控制、入侵检测、日志收集等功能；公安视频专网和公安信息网之间在原有千兆视频边界基础上再部署万兆视频安全交换系统和万兆数据安全交换系统来提升交换速率；公安视频专网上各共享平台部署安全防护设备；配置日志审计系统、运维审计系统；解析中心部署安全防护等。</w:t>
      </w:r>
    </w:p>
    <w:p>
      <w:pPr>
        <w:keepNext/>
        <w:tabs>
          <w:tab w:val="left" w:pos="7200"/>
        </w:tabs>
        <w:ind w:firstLine="480"/>
        <w:jc w:val="center"/>
        <w:rPr>
          <w:color w:val="000000" w:themeColor="text1"/>
        </w:rPr>
      </w:pPr>
      <w:r>
        <w:rPr>
          <w:color w:val="000000" w:themeColor="text1"/>
        </w:rPr>
        <w:drawing>
          <wp:inline distT="0" distB="0" distL="0" distR="0">
            <wp:extent cx="5705475" cy="3581400"/>
            <wp:effectExtent l="19050" t="0" r="9525"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noChangeArrowheads="1"/>
                    </pic:cNvPicPr>
                  </pic:nvPicPr>
                  <pic:blipFill>
                    <a:blip r:embed="rId24"/>
                    <a:srcRect/>
                    <a:stretch>
                      <a:fillRect/>
                    </a:stretch>
                  </pic:blipFill>
                  <pic:spPr>
                    <a:xfrm>
                      <a:off x="0" y="0"/>
                      <a:ext cx="5705475" cy="3581400"/>
                    </a:xfrm>
                    <a:prstGeom prst="rect">
                      <a:avLst/>
                    </a:prstGeom>
                    <a:noFill/>
                    <a:ln w="9525">
                      <a:noFill/>
                      <a:miter lim="800000"/>
                      <a:headEnd/>
                      <a:tailEnd/>
                    </a:ln>
                  </pic:spPr>
                </pic:pic>
              </a:graphicData>
            </a:graphic>
          </wp:inline>
        </w:drawing>
      </w:r>
    </w:p>
    <w:p>
      <w:pPr>
        <w:tabs>
          <w:tab w:val="left" w:pos="900"/>
        </w:tabs>
        <w:snapToGrid w:val="0"/>
        <w:ind w:firstLine="480"/>
        <w:jc w:val="center"/>
        <w:rPr>
          <w:rFonts w:ascii="宋体" w:hAnsi="宋体"/>
          <w:color w:val="000000" w:themeColor="text1"/>
        </w:rPr>
      </w:pPr>
      <w:r>
        <w:rPr>
          <w:rFonts w:ascii="宋体" w:hAnsi="宋体"/>
          <w:color w:val="000000" w:themeColor="text1"/>
        </w:rPr>
        <w:t>图</w:t>
      </w:r>
      <w:r>
        <w:rPr>
          <w:rFonts w:hint="eastAsia" w:ascii="宋体" w:hAnsi="宋体"/>
          <w:color w:val="000000" w:themeColor="text1"/>
        </w:rPr>
        <w:t xml:space="preserve">1  </w:t>
      </w:r>
      <w:r>
        <w:rPr>
          <w:rFonts w:ascii="宋体" w:hAnsi="宋体"/>
          <w:color w:val="000000" w:themeColor="text1"/>
        </w:rPr>
        <w:t>安全架构图</w:t>
      </w:r>
    </w:p>
    <w:p>
      <w:pPr>
        <w:pStyle w:val="5"/>
        <w:spacing w:before="120" w:after="120"/>
        <w:ind w:firstLine="480"/>
        <w:rPr>
          <w:color w:val="000000" w:themeColor="text1"/>
        </w:rPr>
      </w:pPr>
      <w:r>
        <w:rPr>
          <w:rFonts w:hint="eastAsia"/>
          <w:color w:val="000000" w:themeColor="text1"/>
        </w:rPr>
        <w:t>1.2</w:t>
      </w:r>
      <w:r>
        <w:rPr>
          <w:color w:val="000000" w:themeColor="text1"/>
        </w:rPr>
        <w:t>安全建设</w:t>
      </w:r>
      <w:bookmarkEnd w:id="297"/>
    </w:p>
    <w:p>
      <w:pPr>
        <w:pStyle w:val="6"/>
        <w:spacing w:before="120" w:after="120"/>
        <w:ind w:firstLine="480"/>
        <w:rPr>
          <w:color w:val="000000" w:themeColor="text1"/>
        </w:rPr>
      </w:pPr>
      <w:bookmarkStart w:id="298" w:name="_Toc522260399"/>
      <w:r>
        <w:rPr>
          <w:rFonts w:hint="eastAsia"/>
          <w:color w:val="000000" w:themeColor="text1"/>
        </w:rPr>
        <w:t>1.2.1</w:t>
      </w:r>
      <w:r>
        <w:rPr>
          <w:color w:val="000000" w:themeColor="text1"/>
        </w:rPr>
        <w:t>网络安全边界</w:t>
      </w:r>
      <w:bookmarkEnd w:id="298"/>
    </w:p>
    <w:p>
      <w:pPr>
        <w:ind w:firstLine="480"/>
        <w:rPr>
          <w:color w:val="000000" w:themeColor="text1"/>
        </w:rPr>
      </w:pPr>
      <w:r>
        <w:rPr>
          <w:rFonts w:hint="eastAsia"/>
          <w:color w:val="000000" w:themeColor="text1"/>
        </w:rPr>
        <w:t>1、</w:t>
      </w:r>
      <w:r>
        <w:rPr>
          <w:color w:val="000000" w:themeColor="text1"/>
        </w:rPr>
        <w:t>安全边界总架构</w:t>
      </w:r>
    </w:p>
    <w:p>
      <w:pPr>
        <w:ind w:firstLine="480"/>
        <w:rPr>
          <w:color w:val="000000" w:themeColor="text1"/>
        </w:rPr>
      </w:pPr>
      <w:r>
        <w:rPr>
          <w:color w:val="000000" w:themeColor="text1"/>
        </w:rPr>
        <w:t>按照公安部《公安信息通信网边界接入平台安全规范（试行）--视频接入部分》的要求，建设视频安全接入与数据交换链路，满足将大量的社会面资源的视频接入到公安视频专网系统中以及电子政务外网综治管理平台和公安信息网联网平台调取公安视频专网视频资源的需求，同时又必须保证公安视频专网网络的安全性与保密性。前端接入区防护，包括前端接入的摄像机及其他设备，应建立前端安全防护机制，实现对前端接入资源的有效识别和安全管理。</w:t>
      </w:r>
    </w:p>
    <w:p>
      <w:pPr>
        <w:ind w:firstLine="480"/>
        <w:rPr>
          <w:color w:val="000000" w:themeColor="text1"/>
        </w:rPr>
      </w:pPr>
      <w:r>
        <w:rPr>
          <w:color w:val="000000" w:themeColor="text1"/>
        </w:rPr>
        <w:t>依据相关政策法规及国家和行业标准，基于安全边界建设，以安全策略为指导，提供全面的安全服务内容，覆盖从物理、网络、系统直至数据和应用平台各个层面，构建全面、完整、高效的边界安全体系，从而提高整体安全等级，提供强有力的信息安全保障。公共安全视频监控建设联网应用系统数据包括有数据流、视频流数据和信令流数据。整个数据流转流向如下图所示：</w:t>
      </w:r>
    </w:p>
    <w:p>
      <w:pPr>
        <w:keepNext/>
        <w:tabs>
          <w:tab w:val="left" w:pos="7200"/>
        </w:tabs>
        <w:ind w:firstLine="480"/>
        <w:jc w:val="center"/>
        <w:rPr>
          <w:color w:val="000000" w:themeColor="text1"/>
        </w:rPr>
      </w:pPr>
      <w:r>
        <w:rPr>
          <w:color w:val="000000" w:themeColor="text1"/>
        </w:rPr>
        <w:drawing>
          <wp:inline distT="0" distB="0" distL="0" distR="0">
            <wp:extent cx="5486400" cy="3067050"/>
            <wp:effectExtent l="19050" t="0" r="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5"/>
                    <a:srcRect/>
                    <a:stretch>
                      <a:fillRect/>
                    </a:stretch>
                  </pic:blipFill>
                  <pic:spPr>
                    <a:xfrm>
                      <a:off x="0" y="0"/>
                      <a:ext cx="5486400" cy="3067050"/>
                    </a:xfrm>
                    <a:prstGeom prst="rect">
                      <a:avLst/>
                    </a:prstGeom>
                    <a:noFill/>
                    <a:ln w="9525">
                      <a:noFill/>
                      <a:miter lim="800000"/>
                      <a:headEnd/>
                      <a:tailEnd/>
                    </a:ln>
                  </pic:spPr>
                </pic:pic>
              </a:graphicData>
            </a:graphic>
          </wp:inline>
        </w:drawing>
      </w:r>
    </w:p>
    <w:p>
      <w:pPr>
        <w:tabs>
          <w:tab w:val="left" w:pos="900"/>
        </w:tabs>
        <w:snapToGrid w:val="0"/>
        <w:ind w:firstLine="480"/>
        <w:jc w:val="center"/>
        <w:rPr>
          <w:rFonts w:ascii="宋体" w:hAnsi="宋体"/>
          <w:color w:val="000000" w:themeColor="text1"/>
        </w:rPr>
      </w:pPr>
      <w:r>
        <w:rPr>
          <w:rFonts w:ascii="宋体" w:hAnsi="宋体"/>
          <w:color w:val="000000" w:themeColor="text1"/>
        </w:rPr>
        <w:t>图</w:t>
      </w:r>
      <w:r>
        <w:rPr>
          <w:rFonts w:hint="eastAsia" w:ascii="宋体" w:hAnsi="宋体"/>
          <w:color w:val="000000" w:themeColor="text1"/>
        </w:rPr>
        <w:t xml:space="preserve">2 </w:t>
      </w:r>
      <w:r>
        <w:rPr>
          <w:rFonts w:ascii="宋体" w:hAnsi="宋体"/>
          <w:color w:val="000000" w:themeColor="text1"/>
        </w:rPr>
        <w:t>视频、数据流向图</w:t>
      </w:r>
    </w:p>
    <w:p>
      <w:pPr>
        <w:ind w:firstLine="480"/>
        <w:rPr>
          <w:color w:val="000000" w:themeColor="text1"/>
        </w:rPr>
      </w:pPr>
      <w:r>
        <w:rPr>
          <w:color w:val="000000" w:themeColor="text1"/>
        </w:rPr>
        <w:t>安全边界架构为“两级三网两边界”架构，两级分别为市级层面和县市级层面；三网分别为电子政务外网、公安信息网、公安视频专网；两边界分别为电子政务外网与公安视频专网边界、公安信息网与公安视频专网边界。</w:t>
      </w:r>
    </w:p>
    <w:p>
      <w:pPr>
        <w:ind w:firstLine="480"/>
        <w:rPr>
          <w:color w:val="000000" w:themeColor="text1"/>
        </w:rPr>
      </w:pPr>
      <w:r>
        <w:rPr>
          <w:color w:val="000000" w:themeColor="text1"/>
        </w:rPr>
        <w:t>网络安全边界确保公安视频专网与其他网络之间的安全隔离以及相互间的访问控制。视频安全交换接入系统包括视频认证服务器和视频安全隔离设备，视频认证服务器又分为视频用户认证服务器和视频接入认证服务器两类。视频用户认证服务器对使用视频资源的用户进行统一注册、身份认证及权限管理，仅允许认证通过的用户访问已授权的视频资源。视频接入认证服务器对接入对象进行设备认证，并对视频信令格式进行检查及内容过滤，只允许合法的协议和数据通过。视频安全隔离设备将视频控制信令和数据进行分别处理和传输，其中视频数据为单向传输，视频控制信令为双向传输。安全数据交换平台由专用的数据交换服务器组成，安全数据交换系统根据业务配置建立业务数据通道，并对业务数据通道上传输的数据进行过滤和审计，只允许符合安全策略的业务数据进行交换，不允许任何其它的数据传输。边界接入平台的外部接入链路使用专线。链路安全需求要做到如下几点：</w:t>
      </w:r>
    </w:p>
    <w:p>
      <w:pPr>
        <w:ind w:firstLine="480"/>
        <w:rPr>
          <w:color w:val="000000" w:themeColor="text1"/>
        </w:rPr>
      </w:pPr>
      <w:r>
        <w:rPr>
          <w:color w:val="000000" w:themeColor="text1"/>
        </w:rPr>
        <w:t>1）接入平台内部为不同接入对象提供服务的链路必须根据接入对象安全级别和业务操作方式（数据交换或视频访问）加以区分。</w:t>
      </w:r>
    </w:p>
    <w:p>
      <w:pPr>
        <w:ind w:firstLine="480"/>
        <w:rPr>
          <w:color w:val="000000" w:themeColor="text1"/>
        </w:rPr>
      </w:pPr>
      <w:r>
        <w:rPr>
          <w:color w:val="000000" w:themeColor="text1"/>
        </w:rPr>
        <w:t>2）电子政务外网等网络接入到公安视频专网中需要对接入链路进行严格的访问控制，只允许视频、图片、控制信令等业务流量。</w:t>
      </w:r>
    </w:p>
    <w:p>
      <w:pPr>
        <w:ind w:firstLine="480"/>
        <w:rPr>
          <w:color w:val="000000" w:themeColor="text1"/>
        </w:rPr>
      </w:pPr>
      <w:r>
        <w:rPr>
          <w:color w:val="000000" w:themeColor="text1"/>
        </w:rPr>
        <w:t>3）针对接入公安视频专网中链路需要进行入侵防御检测以及病毒检测。</w:t>
      </w:r>
    </w:p>
    <w:p>
      <w:pPr>
        <w:ind w:firstLine="480"/>
        <w:rPr>
          <w:color w:val="000000" w:themeColor="text1"/>
        </w:rPr>
      </w:pPr>
      <w:r>
        <w:rPr>
          <w:color w:val="000000" w:themeColor="text1"/>
        </w:rPr>
        <w:t>4）针对安全要求较高的边界数据交换，采用物理隔离设备连接的两个独立主机系统之间，使之不能存在通信的物理连接、逻辑连接、信息传输命令、信息传输协议，不存在依据协议的信息包转发，只有数据文件的无协议“摆渡”。</w:t>
      </w:r>
    </w:p>
    <w:p>
      <w:pPr>
        <w:ind w:firstLine="480"/>
        <w:rPr>
          <w:color w:val="000000" w:themeColor="text1"/>
        </w:rPr>
      </w:pPr>
      <w:r>
        <w:rPr>
          <w:color w:val="000000" w:themeColor="text1"/>
        </w:rPr>
        <w:t>公安视频专网与公安信息网两网之间</w:t>
      </w:r>
      <w:r>
        <w:rPr>
          <w:rFonts w:hint="eastAsia"/>
          <w:color w:val="000000" w:themeColor="text1"/>
        </w:rPr>
        <w:t>除</w:t>
      </w:r>
      <w:r>
        <w:rPr>
          <w:color w:val="000000" w:themeColor="text1"/>
        </w:rPr>
        <w:t>市本级已部署千兆视频边界设备</w:t>
      </w:r>
      <w:r>
        <w:rPr>
          <w:rFonts w:hint="eastAsia"/>
          <w:color w:val="000000" w:themeColor="text1"/>
        </w:rPr>
        <w:t>，其余</w:t>
      </w:r>
      <w:r>
        <w:rPr>
          <w:color w:val="000000" w:themeColor="text1"/>
        </w:rPr>
        <w:t>各分局以及各县（市、区）都</w:t>
      </w:r>
      <w:r>
        <w:rPr>
          <w:rFonts w:hint="eastAsia"/>
          <w:color w:val="000000" w:themeColor="text1"/>
        </w:rPr>
        <w:t>未安装</w:t>
      </w:r>
      <w:r>
        <w:rPr>
          <w:color w:val="000000" w:themeColor="text1"/>
        </w:rPr>
        <w:t>边界设备，由于公安信息网应用调取视频与图片等数据资源的需求增加，根据应用需求在市本级</w:t>
      </w:r>
      <w:r>
        <w:rPr>
          <w:rFonts w:hint="eastAsia"/>
          <w:color w:val="000000" w:themeColor="text1"/>
        </w:rPr>
        <w:t>需</w:t>
      </w:r>
      <w:r>
        <w:rPr>
          <w:color w:val="000000" w:themeColor="text1"/>
        </w:rPr>
        <w:t>新增1套万兆视频边界设备和1套万兆数据边界设备，</w:t>
      </w:r>
      <w:r>
        <w:rPr>
          <w:rFonts w:hint="eastAsia"/>
          <w:color w:val="000000" w:themeColor="text1"/>
        </w:rPr>
        <w:t>供</w:t>
      </w:r>
      <w:r>
        <w:rPr>
          <w:color w:val="000000" w:themeColor="text1"/>
        </w:rPr>
        <w:t>市局及各分局</w:t>
      </w:r>
      <w:r>
        <w:rPr>
          <w:rFonts w:hint="eastAsia"/>
          <w:color w:val="000000" w:themeColor="text1"/>
        </w:rPr>
        <w:t>使用；各</w:t>
      </w:r>
      <w:r>
        <w:rPr>
          <w:color w:val="000000" w:themeColor="text1"/>
        </w:rPr>
        <w:t>县市</w:t>
      </w:r>
      <w:r>
        <w:rPr>
          <w:rFonts w:hint="eastAsia"/>
          <w:color w:val="000000" w:themeColor="text1"/>
        </w:rPr>
        <w:t>分别</w:t>
      </w:r>
      <w:r>
        <w:rPr>
          <w:color w:val="000000" w:themeColor="text1"/>
        </w:rPr>
        <w:t>新增1套万兆视频</w:t>
      </w:r>
      <w:r>
        <w:rPr>
          <w:rFonts w:hint="eastAsia"/>
          <w:color w:val="000000" w:themeColor="text1"/>
        </w:rPr>
        <w:t>网闸</w:t>
      </w:r>
      <w:r>
        <w:rPr>
          <w:color w:val="000000" w:themeColor="text1"/>
        </w:rPr>
        <w:t>设备</w:t>
      </w:r>
      <w:r>
        <w:rPr>
          <w:rFonts w:hint="eastAsia"/>
          <w:color w:val="000000" w:themeColor="text1"/>
        </w:rPr>
        <w:t>供</w:t>
      </w:r>
      <w:r>
        <w:rPr>
          <w:color w:val="000000" w:themeColor="text1"/>
        </w:rPr>
        <w:t>本地使用</w:t>
      </w:r>
      <w:r>
        <w:rPr>
          <w:rFonts w:hint="eastAsia"/>
          <w:color w:val="000000" w:themeColor="text1"/>
        </w:rPr>
        <w:t>。</w:t>
      </w:r>
      <w:r>
        <w:rPr>
          <w:color w:val="000000" w:themeColor="text1"/>
        </w:rPr>
        <w:t>公安视频专网与</w:t>
      </w:r>
      <w:r>
        <w:rPr>
          <w:rFonts w:hint="eastAsia"/>
          <w:color w:val="000000" w:themeColor="text1"/>
        </w:rPr>
        <w:t>电子</w:t>
      </w:r>
      <w:r>
        <w:rPr>
          <w:color w:val="000000" w:themeColor="text1"/>
        </w:rPr>
        <w:t>政务</w:t>
      </w:r>
      <w:r>
        <w:rPr>
          <w:rFonts w:hint="eastAsia"/>
          <w:color w:val="000000" w:themeColor="text1"/>
        </w:rPr>
        <w:t>外网</w:t>
      </w:r>
      <w:r>
        <w:rPr>
          <w:color w:val="000000" w:themeColor="text1"/>
        </w:rPr>
        <w:t>两网之间</w:t>
      </w:r>
      <w:r>
        <w:rPr>
          <w:rFonts w:hint="eastAsia"/>
          <w:color w:val="000000" w:themeColor="text1"/>
        </w:rPr>
        <w:t>，</w:t>
      </w:r>
      <w:r>
        <w:rPr>
          <w:color w:val="000000" w:themeColor="text1"/>
        </w:rPr>
        <w:t>市本级各县（市、区）都</w:t>
      </w:r>
      <w:r>
        <w:rPr>
          <w:rFonts w:hint="eastAsia"/>
          <w:color w:val="000000" w:themeColor="text1"/>
        </w:rPr>
        <w:t>未安装</w:t>
      </w:r>
      <w:r>
        <w:rPr>
          <w:color w:val="000000" w:themeColor="text1"/>
        </w:rPr>
        <w:t>边界设备，由于公安</w:t>
      </w:r>
      <w:r>
        <w:rPr>
          <w:rFonts w:hint="eastAsia"/>
          <w:color w:val="000000" w:themeColor="text1"/>
        </w:rPr>
        <w:t>视频</w:t>
      </w:r>
      <w:r>
        <w:rPr>
          <w:color w:val="000000" w:themeColor="text1"/>
        </w:rPr>
        <w:t>专网</w:t>
      </w:r>
      <w:r>
        <w:rPr>
          <w:rFonts w:hint="eastAsia"/>
          <w:color w:val="000000" w:themeColor="text1"/>
        </w:rPr>
        <w:t>须向</w:t>
      </w:r>
      <w:r>
        <w:rPr>
          <w:color w:val="000000" w:themeColor="text1"/>
        </w:rPr>
        <w:t>电子政务外网提供视频与图片等数据资源</w:t>
      </w:r>
      <w:r>
        <w:rPr>
          <w:rFonts w:hint="eastAsia"/>
          <w:color w:val="000000" w:themeColor="text1"/>
        </w:rPr>
        <w:t>服务</w:t>
      </w:r>
      <w:r>
        <w:rPr>
          <w:color w:val="000000" w:themeColor="text1"/>
        </w:rPr>
        <w:t>，根据应用需求在市本级</w:t>
      </w:r>
      <w:r>
        <w:rPr>
          <w:rFonts w:hint="eastAsia"/>
          <w:color w:val="000000" w:themeColor="text1"/>
        </w:rPr>
        <w:t>须</w:t>
      </w:r>
      <w:r>
        <w:rPr>
          <w:color w:val="000000" w:themeColor="text1"/>
        </w:rPr>
        <w:t>新增1套万兆视频边界设备和1套万兆数据边界设备，</w:t>
      </w:r>
      <w:r>
        <w:rPr>
          <w:rFonts w:hint="eastAsia"/>
          <w:color w:val="000000" w:themeColor="text1"/>
        </w:rPr>
        <w:t>供</w:t>
      </w:r>
      <w:r>
        <w:rPr>
          <w:color w:val="000000" w:themeColor="text1"/>
        </w:rPr>
        <w:t>市局及各分局</w:t>
      </w:r>
      <w:r>
        <w:rPr>
          <w:rFonts w:hint="eastAsia"/>
          <w:color w:val="000000" w:themeColor="text1"/>
        </w:rPr>
        <w:t>使用；各</w:t>
      </w:r>
      <w:r>
        <w:rPr>
          <w:color w:val="000000" w:themeColor="text1"/>
        </w:rPr>
        <w:t>县市</w:t>
      </w:r>
      <w:r>
        <w:rPr>
          <w:rFonts w:hint="eastAsia"/>
          <w:color w:val="000000" w:themeColor="text1"/>
        </w:rPr>
        <w:t>（除</w:t>
      </w:r>
      <w:r>
        <w:rPr>
          <w:color w:val="000000" w:themeColor="text1"/>
        </w:rPr>
        <w:t>义乌、东阳</w:t>
      </w:r>
      <w:r>
        <w:rPr>
          <w:rFonts w:hint="eastAsia"/>
          <w:color w:val="000000" w:themeColor="text1"/>
        </w:rPr>
        <w:t>）分别</w:t>
      </w:r>
      <w:r>
        <w:rPr>
          <w:color w:val="000000" w:themeColor="text1"/>
        </w:rPr>
        <w:t>新增1套万兆视频</w:t>
      </w:r>
      <w:r>
        <w:rPr>
          <w:rFonts w:hint="eastAsia"/>
          <w:color w:val="000000" w:themeColor="text1"/>
        </w:rPr>
        <w:t>网闸</w:t>
      </w:r>
      <w:r>
        <w:rPr>
          <w:color w:val="000000" w:themeColor="text1"/>
        </w:rPr>
        <w:t>设备</w:t>
      </w:r>
      <w:r>
        <w:rPr>
          <w:rFonts w:hint="eastAsia"/>
          <w:color w:val="000000" w:themeColor="text1"/>
        </w:rPr>
        <w:t>供</w:t>
      </w:r>
      <w:r>
        <w:rPr>
          <w:color w:val="000000" w:themeColor="text1"/>
        </w:rPr>
        <w:t>本地使用</w:t>
      </w:r>
      <w:r>
        <w:rPr>
          <w:rFonts w:hint="eastAsia"/>
          <w:color w:val="000000" w:themeColor="text1"/>
        </w:rPr>
        <w:t>。</w:t>
      </w:r>
    </w:p>
    <w:p>
      <w:pPr>
        <w:ind w:firstLine="480"/>
        <w:rPr>
          <w:color w:val="000000" w:themeColor="text1"/>
        </w:rPr>
      </w:pPr>
      <w:r>
        <w:rPr>
          <w:color w:val="000000" w:themeColor="text1"/>
        </w:rPr>
        <w:t>电子政务视联网共享平台有调用公安视频专网视频资源需求，因视联网网络不属于传统IP网络架构，本身具备结构性安全，无安全漏洞和后门，结构性抗渗透攻击和信息泄露，IP报文无法穿越等特性，视联网系统需通过协议转换设备与公共安全视频图像信息共享平台对接，实现视频会议系统可以调取公共安全视频图像信息共享平台中汇聚视频图像数据，满足综治指挥调度需求。部署的协议转换设备成公安视频专网与电子政务视联网安全边界设备，视联网共享平台应用视频的安全由视联网平台统一考虑部署。</w:t>
      </w:r>
    </w:p>
    <w:p>
      <w:pPr>
        <w:ind w:firstLine="480"/>
        <w:rPr>
          <w:color w:val="000000" w:themeColor="text1"/>
        </w:rPr>
      </w:pPr>
      <w:r>
        <w:rPr>
          <w:rFonts w:hint="eastAsia"/>
          <w:color w:val="000000" w:themeColor="text1"/>
        </w:rPr>
        <w:t>2、</w:t>
      </w:r>
      <w:r>
        <w:rPr>
          <w:color w:val="000000" w:themeColor="text1"/>
        </w:rPr>
        <w:t>市本级安全边界</w:t>
      </w:r>
    </w:p>
    <w:p>
      <w:pPr>
        <w:ind w:firstLine="480"/>
        <w:rPr>
          <w:color w:val="000000" w:themeColor="text1"/>
        </w:rPr>
      </w:pPr>
      <w:r>
        <w:rPr>
          <w:color w:val="000000" w:themeColor="text1"/>
        </w:rPr>
        <w:t>本次市本级公安视频专网与电子政务外网、公安信息网各新增1套万兆视频安全交换接入系统和1套万兆安全数据交换平台，公安视频专网与电子政务外网的边界保护区配置相应的万兆下一代防火墙集成访问控制、入侵检测、日志信息收集等功能。</w:t>
      </w:r>
    </w:p>
    <w:p>
      <w:pPr>
        <w:ind w:firstLine="480"/>
        <w:rPr>
          <w:color w:val="000000" w:themeColor="text1"/>
        </w:rPr>
      </w:pPr>
      <w:r>
        <w:rPr>
          <w:color w:val="000000" w:themeColor="text1"/>
        </w:rPr>
        <w:t>市本级电子政务外网、公安信息网与公安视频专网之间应通过视频安全交换接入系统进行网络物理隔离和视频流、控制信令的传输交换。电子政务外网的综治平台应用和公安信息网联网平台调取公安视频专网的公安视频专网共享平台的视频资源时，公安视频专网的共享平台则通过视频安全交换接入系统将视频流单向传输、控制信令双向传输给电子政务外网和公安信息网的平台。委办局各部门如直接调看公安视频专网上视频资料，可通过将公安视频专网采用专线方式延伸至各部门，将各部门终端安全纳入公安视频专网现有的联网准入系统和终端安全管理系统。</w:t>
      </w:r>
    </w:p>
    <w:p>
      <w:pPr>
        <w:ind w:firstLine="480"/>
        <w:rPr>
          <w:color w:val="000000" w:themeColor="text1"/>
        </w:rPr>
      </w:pPr>
      <w:r>
        <w:rPr>
          <w:color w:val="000000" w:themeColor="text1"/>
        </w:rPr>
        <w:t>公安视频专网与电子政务外网、公安信息网之间部署的视频安全交换接入系统设备需满足以下安全功能：</w:t>
      </w:r>
    </w:p>
    <w:p>
      <w:pPr>
        <w:ind w:firstLine="480"/>
        <w:rPr>
          <w:color w:val="000000" w:themeColor="text1"/>
        </w:rPr>
      </w:pPr>
      <w:r>
        <w:rPr>
          <w:color w:val="000000" w:themeColor="text1"/>
        </w:rPr>
        <w:t>（1）视频接入认证服务器对接入对象（终端、视频服务器等）进行设备认证并与之交互，获取视频。视频用户认证服务器对公安视频专网上使用视频资源的终端用户进行统一注册、身份认证和访问控制，并提供视频服务。</w:t>
      </w:r>
    </w:p>
    <w:p>
      <w:pPr>
        <w:ind w:firstLine="480"/>
        <w:rPr>
          <w:color w:val="000000" w:themeColor="text1"/>
        </w:rPr>
      </w:pPr>
      <w:r>
        <w:rPr>
          <w:color w:val="000000" w:themeColor="text1"/>
        </w:rPr>
        <w:t>（2）对视频数据与控制信令严格区分，分别处理后进行传输。支持视频数据的单向传输模式和控制信令双向传输模式。</w:t>
      </w:r>
    </w:p>
    <w:p>
      <w:pPr>
        <w:ind w:firstLine="480"/>
        <w:rPr>
          <w:color w:val="000000" w:themeColor="text1"/>
        </w:rPr>
      </w:pPr>
      <w:r>
        <w:rPr>
          <w:color w:val="000000" w:themeColor="text1"/>
        </w:rPr>
        <w:t>（3）对视频信令格式检查及内容过滤：能够识别视频控制信令、视频传输协议，阻断未注册的协议和数据格式。</w:t>
      </w:r>
    </w:p>
    <w:p>
      <w:pPr>
        <w:ind w:firstLine="480"/>
        <w:rPr>
          <w:color w:val="000000" w:themeColor="text1"/>
        </w:rPr>
      </w:pPr>
      <w:r>
        <w:rPr>
          <w:color w:val="000000" w:themeColor="text1"/>
        </w:rPr>
        <w:t>（4）对视频接入设备进行身份认证，禁止未认证设备连接视频接入链路。</w:t>
      </w:r>
    </w:p>
    <w:p>
      <w:pPr>
        <w:ind w:firstLine="480"/>
        <w:rPr>
          <w:color w:val="000000" w:themeColor="text1"/>
        </w:rPr>
      </w:pPr>
      <w:r>
        <w:rPr>
          <w:color w:val="000000" w:themeColor="text1"/>
        </w:rPr>
        <w:t>（5）对公安视频专网内的用户进行身份认证和访问控制，保证仅允许认证通过的用户才能访问已授权的视频资源。</w:t>
      </w:r>
    </w:p>
    <w:p>
      <w:pPr>
        <w:ind w:firstLine="480"/>
        <w:rPr>
          <w:color w:val="000000" w:themeColor="text1"/>
        </w:rPr>
      </w:pPr>
      <w:r>
        <w:rPr>
          <w:color w:val="000000" w:themeColor="text1"/>
        </w:rPr>
        <w:t>（6）对视频数据实时检测，能够有效阻断夹杂恶意代码的视频数据。</w:t>
      </w:r>
    </w:p>
    <w:p>
      <w:pPr>
        <w:ind w:firstLine="480"/>
        <w:rPr>
          <w:color w:val="000000" w:themeColor="text1"/>
        </w:rPr>
      </w:pPr>
      <w:r>
        <w:rPr>
          <w:color w:val="000000" w:themeColor="text1"/>
        </w:rPr>
        <w:t>（7）支持集中监管，实时上报设备运行状态、数据流量、设备报警等信息。</w:t>
      </w:r>
    </w:p>
    <w:p>
      <w:pPr>
        <w:ind w:firstLine="480"/>
        <w:rPr>
          <w:color w:val="000000" w:themeColor="text1"/>
        </w:rPr>
      </w:pPr>
      <w:r>
        <w:rPr>
          <w:color w:val="000000" w:themeColor="text1"/>
        </w:rPr>
        <w:t>在市本级层面的电子政务外网、公安信息网与公安视频专网之间还涉及应用数据、安全数据的交互。因此，还需在电子政务外网、公安信息网与公安视频专网部署一套安全数据交换平台，进行网络物理隔离和应用数据之间的数据库同步或文件同步传输。市本级数据边界设备全市共用一套，安全数据交换平台核心设备包括数据交换外网服务器、数据网闸、数据交换内网服务器，安全数据交换平台需具备以下功能：</w:t>
      </w:r>
    </w:p>
    <w:p>
      <w:pPr>
        <w:ind w:firstLine="480"/>
        <w:rPr>
          <w:color w:val="000000" w:themeColor="text1"/>
        </w:rPr>
      </w:pPr>
      <w:r>
        <w:rPr>
          <w:color w:val="000000" w:themeColor="text1"/>
        </w:rPr>
        <w:t>（1）安全数据交换平台只允许符合安全策略的业务数据进行交换，不允许任何其它的数据传输。</w:t>
      </w:r>
    </w:p>
    <w:p>
      <w:pPr>
        <w:ind w:firstLine="480"/>
        <w:rPr>
          <w:color w:val="000000" w:themeColor="text1"/>
        </w:rPr>
      </w:pPr>
      <w:r>
        <w:rPr>
          <w:color w:val="000000" w:themeColor="text1"/>
        </w:rPr>
        <w:t>（2）能够实现对数据交换对象的身份认证；</w:t>
      </w:r>
    </w:p>
    <w:p>
      <w:pPr>
        <w:ind w:firstLine="480"/>
        <w:rPr>
          <w:color w:val="000000" w:themeColor="text1"/>
        </w:rPr>
      </w:pPr>
      <w:r>
        <w:rPr>
          <w:color w:val="000000" w:themeColor="text1"/>
        </w:rPr>
        <w:t>（3）能够保证数据交换内容的机密性和完整性；</w:t>
      </w:r>
    </w:p>
    <w:p>
      <w:pPr>
        <w:ind w:firstLine="480"/>
        <w:rPr>
          <w:color w:val="000000" w:themeColor="text1"/>
        </w:rPr>
      </w:pPr>
      <w:r>
        <w:rPr>
          <w:color w:val="000000" w:themeColor="text1"/>
        </w:rPr>
        <w:t>（4）能够区分连接内外网链路的接口；</w:t>
      </w:r>
    </w:p>
    <w:p>
      <w:pPr>
        <w:ind w:firstLine="480"/>
        <w:rPr>
          <w:color w:val="000000" w:themeColor="text1"/>
        </w:rPr>
      </w:pPr>
      <w:r>
        <w:rPr>
          <w:color w:val="000000" w:themeColor="text1"/>
        </w:rPr>
        <w:t>（5）能够验证数据源和数据完整性；</w:t>
      </w:r>
    </w:p>
    <w:p>
      <w:pPr>
        <w:ind w:firstLine="480"/>
        <w:rPr>
          <w:color w:val="000000" w:themeColor="text1"/>
        </w:rPr>
      </w:pPr>
      <w:r>
        <w:rPr>
          <w:color w:val="000000" w:themeColor="text1"/>
        </w:rPr>
        <w:t>（6）能够根据业务规则检查数据类型、格式、内容，过滤不符合安全策略的数据。</w:t>
      </w:r>
    </w:p>
    <w:p>
      <w:pPr>
        <w:ind w:firstLine="480"/>
        <w:rPr>
          <w:color w:val="000000" w:themeColor="text1"/>
        </w:rPr>
      </w:pPr>
      <w:r>
        <w:rPr>
          <w:color w:val="000000" w:themeColor="text1"/>
        </w:rPr>
        <w:t>在边界保护区配置下一代防火墙主要做逻辑隔离，提供访问控制、入侵检测和日志信息收集等功能，对流量区分视频数据和信令数据，同时结合应用识别功能，进行严格控制。用于阻止和降低边界外部安全带来的威胁和风险，起到区域隔离和接入安全控制的目的，下一代防火墙内置了视频监控设备特有的漏洞和攻击库，能够有效的识别和防御视频监控系统的漏洞和攻击。部署下一代应用层安全防护设备对病毒木马、黑客入侵、DDOS攻击、异常流量等安全威胁进行监测和防护，实现对应用服务的网络层访问控制。采用安全隔离设备，实现接入平台与监控业务之间的安全隔离。</w:t>
      </w:r>
    </w:p>
    <w:p>
      <w:pPr>
        <w:ind w:firstLine="480"/>
        <w:rPr>
          <w:color w:val="000000" w:themeColor="text1"/>
        </w:rPr>
      </w:pPr>
      <w:r>
        <w:rPr>
          <w:color w:val="000000" w:themeColor="text1"/>
        </w:rPr>
        <w:t>由于边界防护面向的主要是终端和网络，边界攻击往往来自于应用层攻击，黑客将攻击流量潜藏在正常的流量中，例如通过视频监控、指令控制等行为将木马、蠕虫等攻击流量散布到监控管理中心和业务服务端。专网边界下一代防火墙通过应用层智能识别，识别出监控网络中的路口监控流量、监控控制流量、以及非法的恶意流量。同时基于视频监控专网只上传无下载的业务流量特性，下一代防火墙制定详细的安全策略，限制任何监控视频流量的下行和外发。</w:t>
      </w:r>
    </w:p>
    <w:p>
      <w:pPr>
        <w:ind w:firstLine="480"/>
        <w:rPr>
          <w:color w:val="000000" w:themeColor="text1"/>
        </w:rPr>
      </w:pPr>
      <w:r>
        <w:rPr>
          <w:rFonts w:hint="eastAsia"/>
          <w:color w:val="000000" w:themeColor="text1"/>
        </w:rPr>
        <w:t>3、</w:t>
      </w:r>
      <w:r>
        <w:rPr>
          <w:color w:val="000000" w:themeColor="text1"/>
        </w:rPr>
        <w:t>县市级安全边界</w:t>
      </w:r>
    </w:p>
    <w:p>
      <w:pPr>
        <w:ind w:firstLine="480"/>
        <w:rPr>
          <w:color w:val="000000" w:themeColor="text1"/>
        </w:rPr>
      </w:pPr>
      <w:r>
        <w:rPr>
          <w:color w:val="000000" w:themeColor="text1"/>
        </w:rPr>
        <w:t>县市级安全边界只是涉及到视频安全边界设备，本次分别在</w:t>
      </w:r>
      <w:r>
        <w:fldChar w:fldCharType="begin"/>
      </w:r>
      <w:r>
        <w:instrText xml:space="preserve"> HYPERLINK "https://baike.so.com/doc/6086719-6299824.html" \t "_blank" </w:instrText>
      </w:r>
      <w:r>
        <w:fldChar w:fldCharType="separate"/>
      </w:r>
      <w:r>
        <w:rPr>
          <w:color w:val="000000" w:themeColor="text1"/>
        </w:rPr>
        <w:t>兰溪</w:t>
      </w:r>
      <w:r>
        <w:rPr>
          <w:color w:val="000000" w:themeColor="text1"/>
        </w:rPr>
        <w:fldChar w:fldCharType="end"/>
      </w:r>
      <w:r>
        <w:rPr>
          <w:color w:val="000000" w:themeColor="text1"/>
        </w:rPr>
        <w:t>、</w:t>
      </w:r>
      <w:r>
        <w:fldChar w:fldCharType="begin"/>
      </w:r>
      <w:r>
        <w:instrText xml:space="preserve"> HYPERLINK "https://baike.so.com/doc/2986454-3149890.html" \t "_blank" </w:instrText>
      </w:r>
      <w:r>
        <w:fldChar w:fldCharType="separate"/>
      </w:r>
      <w:r>
        <w:rPr>
          <w:color w:val="000000" w:themeColor="text1"/>
        </w:rPr>
        <w:t>义乌</w:t>
      </w:r>
      <w:r>
        <w:rPr>
          <w:color w:val="000000" w:themeColor="text1"/>
        </w:rPr>
        <w:fldChar w:fldCharType="end"/>
      </w:r>
      <w:r>
        <w:rPr>
          <w:color w:val="000000" w:themeColor="text1"/>
        </w:rPr>
        <w:t>、</w:t>
      </w:r>
      <w:r>
        <w:fldChar w:fldCharType="begin"/>
      </w:r>
      <w:r>
        <w:instrText xml:space="preserve"> HYPERLINK "https://baike.so.com/doc/3997631-4194102.html" \t "_blank" </w:instrText>
      </w:r>
      <w:r>
        <w:fldChar w:fldCharType="separate"/>
      </w:r>
      <w:r>
        <w:rPr>
          <w:color w:val="000000" w:themeColor="text1"/>
        </w:rPr>
        <w:t>东阳</w:t>
      </w:r>
      <w:r>
        <w:rPr>
          <w:color w:val="000000" w:themeColor="text1"/>
        </w:rPr>
        <w:fldChar w:fldCharType="end"/>
      </w:r>
      <w:r>
        <w:rPr>
          <w:color w:val="000000" w:themeColor="text1"/>
        </w:rPr>
        <w:t>、</w:t>
      </w:r>
      <w:r>
        <w:fldChar w:fldCharType="begin"/>
      </w:r>
      <w:r>
        <w:instrText xml:space="preserve"> HYPERLINK "https://baike.so.com/doc/5567919-5783078.html" \t "_blank" </w:instrText>
      </w:r>
      <w:r>
        <w:fldChar w:fldCharType="separate"/>
      </w:r>
      <w:r>
        <w:rPr>
          <w:color w:val="000000" w:themeColor="text1"/>
        </w:rPr>
        <w:t>永康</w:t>
      </w:r>
      <w:r>
        <w:rPr>
          <w:color w:val="000000" w:themeColor="text1"/>
        </w:rPr>
        <w:fldChar w:fldCharType="end"/>
      </w:r>
      <w:r>
        <w:rPr>
          <w:color w:val="000000" w:themeColor="text1"/>
        </w:rPr>
        <w:t>、</w:t>
      </w:r>
      <w:r>
        <w:fldChar w:fldCharType="begin"/>
      </w:r>
      <w:r>
        <w:instrText xml:space="preserve"> HYPERLINK "https://baike.so.com/doc/5116583-5345543.html" \t "_blank" </w:instrText>
      </w:r>
      <w:r>
        <w:fldChar w:fldCharType="separate"/>
      </w:r>
      <w:r>
        <w:rPr>
          <w:color w:val="000000" w:themeColor="text1"/>
        </w:rPr>
        <w:t>武义</w:t>
      </w:r>
      <w:r>
        <w:rPr>
          <w:color w:val="000000" w:themeColor="text1"/>
        </w:rPr>
        <w:fldChar w:fldCharType="end"/>
      </w:r>
      <w:r>
        <w:rPr>
          <w:color w:val="000000" w:themeColor="text1"/>
        </w:rPr>
        <w:t>、</w:t>
      </w:r>
      <w:r>
        <w:fldChar w:fldCharType="begin"/>
      </w:r>
      <w:r>
        <w:instrText xml:space="preserve"> HYPERLINK "https://baike.so.com/doc/5112239-5341042.html" \t "_blank" </w:instrText>
      </w:r>
      <w:r>
        <w:fldChar w:fldCharType="separate"/>
      </w:r>
      <w:r>
        <w:rPr>
          <w:color w:val="000000" w:themeColor="text1"/>
        </w:rPr>
        <w:t>浦江</w:t>
      </w:r>
      <w:r>
        <w:rPr>
          <w:color w:val="000000" w:themeColor="text1"/>
        </w:rPr>
        <w:fldChar w:fldCharType="end"/>
      </w:r>
      <w:r>
        <w:rPr>
          <w:color w:val="000000" w:themeColor="text1"/>
        </w:rPr>
        <w:t>、</w:t>
      </w:r>
      <w:r>
        <w:fldChar w:fldCharType="begin"/>
      </w:r>
      <w:r>
        <w:instrText xml:space="preserve"> HYPERLINK "https://baike.so.com/doc/5344551-5579996.html" \t "_blank" </w:instrText>
      </w:r>
      <w:r>
        <w:fldChar w:fldCharType="separate"/>
      </w:r>
      <w:r>
        <w:rPr>
          <w:color w:val="000000" w:themeColor="text1"/>
        </w:rPr>
        <w:t>磐安</w:t>
      </w:r>
      <w:r>
        <w:rPr>
          <w:color w:val="000000" w:themeColor="text1"/>
        </w:rPr>
        <w:fldChar w:fldCharType="end"/>
      </w:r>
      <w:r>
        <w:rPr>
          <w:color w:val="000000" w:themeColor="text1"/>
        </w:rPr>
        <w:t>7个县市的公安视频专网与公安信息网之间各部署1套万兆视频网闸，</w:t>
      </w:r>
      <w:r>
        <w:fldChar w:fldCharType="begin"/>
      </w:r>
      <w:r>
        <w:instrText xml:space="preserve"> HYPERLINK "https://baike.so.com/doc/6086719-6299824.html" \t "_blank" </w:instrText>
      </w:r>
      <w:r>
        <w:fldChar w:fldCharType="separate"/>
      </w:r>
      <w:r>
        <w:rPr>
          <w:color w:val="000000" w:themeColor="text1"/>
        </w:rPr>
        <w:t>兰溪</w:t>
      </w:r>
      <w:r>
        <w:rPr>
          <w:color w:val="000000" w:themeColor="text1"/>
        </w:rPr>
        <w:fldChar w:fldCharType="end"/>
      </w:r>
      <w:r>
        <w:rPr>
          <w:color w:val="000000" w:themeColor="text1"/>
        </w:rPr>
        <w:t>、</w:t>
      </w:r>
      <w:r>
        <w:fldChar w:fldCharType="begin"/>
      </w:r>
      <w:r>
        <w:instrText xml:space="preserve"> HYPERLINK "https://baike.so.com/doc/5567919-5783078.html" \t "_blank" </w:instrText>
      </w:r>
      <w:r>
        <w:fldChar w:fldCharType="separate"/>
      </w:r>
      <w:r>
        <w:rPr>
          <w:color w:val="000000" w:themeColor="text1"/>
        </w:rPr>
        <w:t>永康</w:t>
      </w:r>
      <w:r>
        <w:rPr>
          <w:color w:val="000000" w:themeColor="text1"/>
        </w:rPr>
        <w:fldChar w:fldCharType="end"/>
      </w:r>
      <w:r>
        <w:rPr>
          <w:color w:val="000000" w:themeColor="text1"/>
        </w:rPr>
        <w:t>、</w:t>
      </w:r>
      <w:r>
        <w:fldChar w:fldCharType="begin"/>
      </w:r>
      <w:r>
        <w:instrText xml:space="preserve"> HYPERLINK "https://baike.so.com/doc/5116583-5345543.html" \t "_blank" </w:instrText>
      </w:r>
      <w:r>
        <w:fldChar w:fldCharType="separate"/>
      </w:r>
      <w:r>
        <w:rPr>
          <w:color w:val="000000" w:themeColor="text1"/>
        </w:rPr>
        <w:t>武义</w:t>
      </w:r>
      <w:r>
        <w:rPr>
          <w:color w:val="000000" w:themeColor="text1"/>
        </w:rPr>
        <w:fldChar w:fldCharType="end"/>
      </w:r>
      <w:r>
        <w:rPr>
          <w:color w:val="000000" w:themeColor="text1"/>
        </w:rPr>
        <w:t>、</w:t>
      </w:r>
      <w:r>
        <w:fldChar w:fldCharType="begin"/>
      </w:r>
      <w:r>
        <w:instrText xml:space="preserve"> HYPERLINK "https://baike.so.com/doc/5112239-5341042.html" \t "_blank" </w:instrText>
      </w:r>
      <w:r>
        <w:fldChar w:fldCharType="separate"/>
      </w:r>
      <w:r>
        <w:rPr>
          <w:color w:val="000000" w:themeColor="text1"/>
        </w:rPr>
        <w:t>浦江</w:t>
      </w:r>
      <w:r>
        <w:rPr>
          <w:color w:val="000000" w:themeColor="text1"/>
        </w:rPr>
        <w:fldChar w:fldCharType="end"/>
      </w:r>
      <w:r>
        <w:rPr>
          <w:color w:val="000000" w:themeColor="text1"/>
        </w:rPr>
        <w:t>、</w:t>
      </w:r>
      <w:r>
        <w:fldChar w:fldCharType="begin"/>
      </w:r>
      <w:r>
        <w:instrText xml:space="preserve"> HYPERLINK "https://baike.so.com/doc/5344551-5579996.html" \t "_blank" </w:instrText>
      </w:r>
      <w:r>
        <w:fldChar w:fldCharType="separate"/>
      </w:r>
      <w:r>
        <w:rPr>
          <w:color w:val="000000" w:themeColor="text1"/>
        </w:rPr>
        <w:t>磐安</w:t>
      </w:r>
      <w:r>
        <w:rPr>
          <w:color w:val="000000" w:themeColor="text1"/>
        </w:rPr>
        <w:fldChar w:fldCharType="end"/>
      </w:r>
      <w:r>
        <w:rPr>
          <w:color w:val="000000" w:themeColor="text1"/>
        </w:rPr>
        <w:t>5个县市公安视频专网与电子政务外网之间各部署1套万兆视频网闸，其中公安视频专网与电子政务外网间配置下一代防火墙用于提供访问控制、入侵检测和日志信息收集等功能，对流量区分视频数据和信令数据，同时结合应用识别功能，进行严格控制。本次县市共配置12套万兆视频网闸，5台万兆下一代防火墙，防火墙与视频网闸直接采用串接方式互联。</w:t>
      </w:r>
    </w:p>
    <w:p>
      <w:pPr>
        <w:ind w:firstLine="480"/>
        <w:rPr>
          <w:color w:val="000000" w:themeColor="text1"/>
        </w:rPr>
      </w:pPr>
      <w:r>
        <w:rPr>
          <w:color w:val="000000" w:themeColor="text1"/>
        </w:rPr>
        <w:t>县市级层面的电子政务外网、公安信息网与公安视频专网之间应通过视频网闸进行网络物理隔离和视频流、控制信令的传输交换。边界保护区下一代防火墙采用了流模式和启发式文件扫描技术，可对HTTP、SMTP、POP3、FTP等多种协议类型的多种病毒进行查杀，包括木马、蠕虫、宏病毒、脚本病毒等，同时可对多线程并发、深层次压缩文件等进行有效控制和查杀。</w:t>
      </w:r>
    </w:p>
    <w:p>
      <w:pPr>
        <w:ind w:firstLine="480"/>
        <w:rPr>
          <w:color w:val="000000" w:themeColor="text1"/>
        </w:rPr>
      </w:pPr>
      <w:r>
        <w:rPr>
          <w:color w:val="000000" w:themeColor="text1"/>
        </w:rPr>
        <w:t>公安视频专网与电子政务外网、公安信息网之间部署的视频网闸设备需满足以下安全功能：</w:t>
      </w:r>
    </w:p>
    <w:p>
      <w:pPr>
        <w:ind w:firstLine="480"/>
        <w:rPr>
          <w:color w:val="000000" w:themeColor="text1"/>
        </w:rPr>
      </w:pPr>
      <w:r>
        <w:rPr>
          <w:color w:val="000000" w:themeColor="text1"/>
        </w:rPr>
        <w:t>（1）视频接入认证服务器对接入对象（终端、视频服务器等）进行设备认证并与之交互，获取视频。视频用户认证服务器对公安视频专网上使用视频资源的终端用户进行统一注册、身份认证和访问控制，并提供视频服务。</w:t>
      </w:r>
    </w:p>
    <w:p>
      <w:pPr>
        <w:ind w:firstLine="480"/>
        <w:rPr>
          <w:color w:val="000000" w:themeColor="text1"/>
        </w:rPr>
      </w:pPr>
      <w:r>
        <w:rPr>
          <w:color w:val="000000" w:themeColor="text1"/>
        </w:rPr>
        <w:t>（3）对视频信令格式检查及内容过滤：能够识别视频控制信令、视频传输协议，阻断未注册的协议和数据格式。</w:t>
      </w:r>
    </w:p>
    <w:p>
      <w:pPr>
        <w:ind w:firstLine="480"/>
        <w:rPr>
          <w:color w:val="000000" w:themeColor="text1"/>
        </w:rPr>
      </w:pPr>
      <w:r>
        <w:rPr>
          <w:color w:val="000000" w:themeColor="text1"/>
        </w:rPr>
        <w:t>（4）对视频接入设备进行身份认证，禁止未认证设备连接视频接入链路。</w:t>
      </w:r>
    </w:p>
    <w:p>
      <w:pPr>
        <w:ind w:firstLine="480"/>
        <w:rPr>
          <w:color w:val="000000" w:themeColor="text1"/>
        </w:rPr>
      </w:pPr>
      <w:r>
        <w:rPr>
          <w:color w:val="000000" w:themeColor="text1"/>
        </w:rPr>
        <w:t>（5）对公安视频专网内的用户进行身份认证和访问控制，保证仅允许认证通过的用户才能访问已授权的视频资源。</w:t>
      </w:r>
    </w:p>
    <w:p>
      <w:pPr>
        <w:ind w:firstLine="480"/>
        <w:rPr>
          <w:color w:val="000000" w:themeColor="text1"/>
        </w:rPr>
      </w:pPr>
      <w:r>
        <w:rPr>
          <w:color w:val="000000" w:themeColor="text1"/>
        </w:rPr>
        <w:t>（6）对视频数据实时检测，能够有效阻断夹杂恶意代码的视频数据。</w:t>
      </w:r>
    </w:p>
    <w:p>
      <w:pPr>
        <w:ind w:firstLine="480"/>
        <w:rPr>
          <w:color w:val="000000" w:themeColor="text1"/>
        </w:rPr>
      </w:pPr>
      <w:r>
        <w:rPr>
          <w:color w:val="000000" w:themeColor="text1"/>
        </w:rPr>
        <w:t>（7）支持集中监管，实时上报设备运行状态、数据流量、设备报警等信息。</w:t>
      </w:r>
    </w:p>
    <w:p>
      <w:pPr>
        <w:ind w:firstLine="480"/>
        <w:rPr>
          <w:color w:val="000000" w:themeColor="text1"/>
        </w:rPr>
      </w:pPr>
      <w:r>
        <w:rPr>
          <w:rFonts w:hint="eastAsia"/>
          <w:color w:val="000000" w:themeColor="text1"/>
        </w:rPr>
        <w:t>4、</w:t>
      </w:r>
      <w:r>
        <w:rPr>
          <w:color w:val="000000" w:themeColor="text1"/>
        </w:rPr>
        <w:t>安全边界建设规模</w:t>
      </w:r>
    </w:p>
    <w:p>
      <w:pPr>
        <w:tabs>
          <w:tab w:val="left" w:pos="900"/>
        </w:tabs>
        <w:snapToGrid w:val="0"/>
        <w:ind w:firstLine="480"/>
        <w:jc w:val="center"/>
        <w:rPr>
          <w:rFonts w:ascii="宋体" w:hAnsi="宋体"/>
          <w:color w:val="000000" w:themeColor="text1"/>
        </w:rPr>
      </w:pPr>
      <w:r>
        <w:rPr>
          <w:rFonts w:hint="eastAsia" w:ascii="宋体" w:hAnsi="宋体"/>
          <w:color w:val="000000" w:themeColor="text1"/>
        </w:rPr>
        <w:t>表 1  本次边界设备新增规模表</w:t>
      </w:r>
    </w:p>
    <w:tbl>
      <w:tblPr>
        <w:tblStyle w:val="53"/>
        <w:tblW w:w="920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76"/>
        <w:gridCol w:w="992"/>
        <w:gridCol w:w="1786"/>
        <w:gridCol w:w="1616"/>
        <w:gridCol w:w="1701"/>
        <w:gridCol w:w="21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6" w:type="dxa"/>
            <w:vAlign w:val="center"/>
          </w:tcPr>
          <w:p>
            <w:pPr>
              <w:spacing w:line="300" w:lineRule="exact"/>
              <w:rPr>
                <w:color w:val="000000" w:themeColor="text1"/>
                <w:szCs w:val="21"/>
              </w:rPr>
            </w:pPr>
            <w:r>
              <w:rPr>
                <w:rFonts w:hint="eastAsia"/>
                <w:color w:val="000000" w:themeColor="text1"/>
                <w:szCs w:val="21"/>
              </w:rPr>
              <w:t>地区</w:t>
            </w:r>
          </w:p>
        </w:tc>
        <w:tc>
          <w:tcPr>
            <w:tcW w:w="992" w:type="dxa"/>
            <w:vAlign w:val="center"/>
          </w:tcPr>
          <w:p>
            <w:pPr>
              <w:spacing w:line="300" w:lineRule="exact"/>
              <w:rPr>
                <w:color w:val="000000" w:themeColor="text1"/>
                <w:szCs w:val="21"/>
              </w:rPr>
            </w:pPr>
            <w:r>
              <w:rPr>
                <w:color w:val="000000" w:themeColor="text1"/>
                <w:szCs w:val="21"/>
              </w:rPr>
              <w:t>网络</w:t>
            </w:r>
          </w:p>
        </w:tc>
        <w:tc>
          <w:tcPr>
            <w:tcW w:w="1786" w:type="dxa"/>
            <w:vAlign w:val="center"/>
          </w:tcPr>
          <w:p>
            <w:pPr>
              <w:spacing w:line="300" w:lineRule="exact"/>
              <w:rPr>
                <w:color w:val="000000" w:themeColor="text1"/>
                <w:szCs w:val="21"/>
              </w:rPr>
            </w:pPr>
            <w:r>
              <w:rPr>
                <w:color w:val="000000" w:themeColor="text1"/>
                <w:szCs w:val="21"/>
              </w:rPr>
              <w:t>网络</w:t>
            </w:r>
          </w:p>
        </w:tc>
        <w:tc>
          <w:tcPr>
            <w:tcW w:w="1616" w:type="dxa"/>
            <w:vAlign w:val="center"/>
          </w:tcPr>
          <w:p>
            <w:pPr>
              <w:spacing w:line="300" w:lineRule="exact"/>
              <w:rPr>
                <w:color w:val="000000" w:themeColor="text1"/>
                <w:szCs w:val="21"/>
              </w:rPr>
            </w:pPr>
            <w:r>
              <w:rPr>
                <w:color w:val="000000" w:themeColor="text1"/>
                <w:szCs w:val="21"/>
              </w:rPr>
              <w:t>视频边界 (万兆)</w:t>
            </w:r>
          </w:p>
        </w:tc>
        <w:tc>
          <w:tcPr>
            <w:tcW w:w="1701" w:type="dxa"/>
            <w:vAlign w:val="center"/>
          </w:tcPr>
          <w:p>
            <w:pPr>
              <w:spacing w:line="300" w:lineRule="exact"/>
              <w:rPr>
                <w:color w:val="000000" w:themeColor="text1"/>
                <w:szCs w:val="21"/>
              </w:rPr>
            </w:pPr>
            <w:r>
              <w:rPr>
                <w:color w:val="000000" w:themeColor="text1"/>
                <w:szCs w:val="21"/>
              </w:rPr>
              <w:t>数据边界(万兆)</w:t>
            </w:r>
          </w:p>
        </w:tc>
        <w:tc>
          <w:tcPr>
            <w:tcW w:w="2135" w:type="dxa"/>
            <w:vAlign w:val="center"/>
          </w:tcPr>
          <w:p>
            <w:pPr>
              <w:spacing w:line="300" w:lineRule="exact"/>
              <w:rPr>
                <w:color w:val="000000" w:themeColor="text1"/>
                <w:szCs w:val="21"/>
              </w:rPr>
            </w:pPr>
            <w:r>
              <w:rPr>
                <w:color w:val="000000" w:themeColor="text1"/>
                <w:szCs w:val="21"/>
              </w:rPr>
              <w:t>下一代防火墙(万兆)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6" w:type="dxa"/>
            <w:vMerge w:val="restart"/>
            <w:vAlign w:val="center"/>
          </w:tcPr>
          <w:p>
            <w:pPr>
              <w:spacing w:line="300" w:lineRule="exact"/>
              <w:rPr>
                <w:color w:val="000000" w:themeColor="text1"/>
                <w:szCs w:val="21"/>
              </w:rPr>
            </w:pPr>
            <w:r>
              <w:rPr>
                <w:color w:val="000000" w:themeColor="text1"/>
                <w:szCs w:val="21"/>
              </w:rPr>
              <w:t>市本级</w:t>
            </w:r>
          </w:p>
        </w:tc>
        <w:tc>
          <w:tcPr>
            <w:tcW w:w="992" w:type="dxa"/>
            <w:vMerge w:val="restart"/>
            <w:vAlign w:val="center"/>
          </w:tcPr>
          <w:p>
            <w:pPr>
              <w:spacing w:line="300" w:lineRule="exact"/>
              <w:rPr>
                <w:color w:val="000000" w:themeColor="text1"/>
                <w:szCs w:val="21"/>
              </w:rPr>
            </w:pPr>
            <w:r>
              <w:rPr>
                <w:color w:val="000000" w:themeColor="text1"/>
                <w:szCs w:val="21"/>
              </w:rPr>
              <w:t>公安视频专网</w:t>
            </w:r>
          </w:p>
        </w:tc>
        <w:tc>
          <w:tcPr>
            <w:tcW w:w="1786" w:type="dxa"/>
            <w:vAlign w:val="center"/>
          </w:tcPr>
          <w:p>
            <w:pPr>
              <w:spacing w:line="300" w:lineRule="exact"/>
              <w:rPr>
                <w:color w:val="000000" w:themeColor="text1"/>
                <w:szCs w:val="21"/>
              </w:rPr>
            </w:pPr>
            <w:r>
              <w:rPr>
                <w:color w:val="000000" w:themeColor="text1"/>
                <w:szCs w:val="21"/>
              </w:rPr>
              <w:t>电子政务外网</w:t>
            </w:r>
          </w:p>
        </w:tc>
        <w:tc>
          <w:tcPr>
            <w:tcW w:w="1616" w:type="dxa"/>
            <w:vAlign w:val="center"/>
          </w:tcPr>
          <w:p>
            <w:pPr>
              <w:spacing w:line="300" w:lineRule="exact"/>
              <w:jc w:val="center"/>
              <w:rPr>
                <w:color w:val="000000" w:themeColor="text1"/>
                <w:szCs w:val="21"/>
              </w:rPr>
            </w:pPr>
            <w:r>
              <w:rPr>
                <w:color w:val="000000" w:themeColor="text1"/>
                <w:szCs w:val="21"/>
              </w:rPr>
              <w:t>1</w:t>
            </w:r>
          </w:p>
        </w:tc>
        <w:tc>
          <w:tcPr>
            <w:tcW w:w="1701" w:type="dxa"/>
            <w:vAlign w:val="center"/>
          </w:tcPr>
          <w:p>
            <w:pPr>
              <w:spacing w:line="300" w:lineRule="exact"/>
              <w:jc w:val="center"/>
              <w:rPr>
                <w:color w:val="000000" w:themeColor="text1"/>
                <w:szCs w:val="21"/>
              </w:rPr>
            </w:pPr>
            <w:r>
              <w:rPr>
                <w:color w:val="000000" w:themeColor="text1"/>
                <w:szCs w:val="21"/>
              </w:rPr>
              <w:t>1</w:t>
            </w:r>
          </w:p>
        </w:tc>
        <w:tc>
          <w:tcPr>
            <w:tcW w:w="2135" w:type="dxa"/>
            <w:vAlign w:val="center"/>
          </w:tcPr>
          <w:p>
            <w:pPr>
              <w:spacing w:line="300" w:lineRule="exact"/>
              <w:jc w:val="center"/>
              <w:rPr>
                <w:color w:val="000000" w:themeColor="text1"/>
                <w:szCs w:val="21"/>
              </w:rPr>
            </w:pPr>
            <w:r>
              <w:rPr>
                <w:color w:val="000000" w:themeColor="text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6" w:type="dxa"/>
            <w:vMerge w:val="continue"/>
            <w:vAlign w:val="center"/>
          </w:tcPr>
          <w:p>
            <w:pPr>
              <w:spacing w:line="300" w:lineRule="exact"/>
              <w:rPr>
                <w:color w:val="000000" w:themeColor="text1"/>
                <w:szCs w:val="21"/>
              </w:rPr>
            </w:pPr>
          </w:p>
        </w:tc>
        <w:tc>
          <w:tcPr>
            <w:tcW w:w="992" w:type="dxa"/>
            <w:vMerge w:val="continue"/>
            <w:vAlign w:val="center"/>
          </w:tcPr>
          <w:p>
            <w:pPr>
              <w:spacing w:line="300" w:lineRule="exact"/>
              <w:rPr>
                <w:color w:val="000000" w:themeColor="text1"/>
                <w:szCs w:val="21"/>
              </w:rPr>
            </w:pPr>
          </w:p>
        </w:tc>
        <w:tc>
          <w:tcPr>
            <w:tcW w:w="1786" w:type="dxa"/>
            <w:vAlign w:val="center"/>
          </w:tcPr>
          <w:p>
            <w:pPr>
              <w:spacing w:line="300" w:lineRule="exact"/>
              <w:rPr>
                <w:color w:val="000000" w:themeColor="text1"/>
                <w:szCs w:val="21"/>
              </w:rPr>
            </w:pPr>
            <w:r>
              <w:rPr>
                <w:color w:val="000000" w:themeColor="text1"/>
                <w:szCs w:val="21"/>
              </w:rPr>
              <w:t>公安信息网</w:t>
            </w:r>
          </w:p>
        </w:tc>
        <w:tc>
          <w:tcPr>
            <w:tcW w:w="1616" w:type="dxa"/>
            <w:vAlign w:val="center"/>
          </w:tcPr>
          <w:p>
            <w:pPr>
              <w:spacing w:line="300" w:lineRule="exact"/>
              <w:jc w:val="center"/>
              <w:rPr>
                <w:color w:val="000000" w:themeColor="text1"/>
                <w:szCs w:val="21"/>
              </w:rPr>
            </w:pPr>
            <w:r>
              <w:rPr>
                <w:color w:val="000000" w:themeColor="text1"/>
                <w:szCs w:val="21"/>
              </w:rPr>
              <w:t>1</w:t>
            </w:r>
          </w:p>
        </w:tc>
        <w:tc>
          <w:tcPr>
            <w:tcW w:w="1701" w:type="dxa"/>
            <w:vAlign w:val="center"/>
          </w:tcPr>
          <w:p>
            <w:pPr>
              <w:spacing w:line="300" w:lineRule="exact"/>
              <w:jc w:val="center"/>
              <w:rPr>
                <w:color w:val="000000" w:themeColor="text1"/>
                <w:szCs w:val="21"/>
              </w:rPr>
            </w:pPr>
            <w:r>
              <w:rPr>
                <w:color w:val="000000" w:themeColor="text1"/>
                <w:szCs w:val="21"/>
              </w:rPr>
              <w:t>1</w:t>
            </w:r>
          </w:p>
        </w:tc>
        <w:tc>
          <w:tcPr>
            <w:tcW w:w="2135" w:type="dxa"/>
            <w:vAlign w:val="center"/>
          </w:tcPr>
          <w:p>
            <w:pPr>
              <w:spacing w:line="300" w:lineRule="exact"/>
              <w:jc w:val="center"/>
              <w:rPr>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6" w:type="dxa"/>
            <w:vMerge w:val="restart"/>
            <w:vAlign w:val="center"/>
          </w:tcPr>
          <w:p>
            <w:pPr>
              <w:spacing w:line="300" w:lineRule="exact"/>
              <w:rPr>
                <w:color w:val="000000" w:themeColor="text1"/>
                <w:szCs w:val="21"/>
              </w:rPr>
            </w:pPr>
            <w:r>
              <w:rPr>
                <w:color w:val="000000" w:themeColor="text1"/>
                <w:szCs w:val="21"/>
              </w:rPr>
              <w:t>武义</w:t>
            </w:r>
          </w:p>
        </w:tc>
        <w:tc>
          <w:tcPr>
            <w:tcW w:w="992" w:type="dxa"/>
            <w:vMerge w:val="restart"/>
            <w:vAlign w:val="center"/>
          </w:tcPr>
          <w:p>
            <w:pPr>
              <w:spacing w:line="300" w:lineRule="exact"/>
              <w:rPr>
                <w:color w:val="000000" w:themeColor="text1"/>
                <w:szCs w:val="21"/>
              </w:rPr>
            </w:pPr>
            <w:r>
              <w:rPr>
                <w:color w:val="000000" w:themeColor="text1"/>
                <w:szCs w:val="21"/>
              </w:rPr>
              <w:t>公安视频专网</w:t>
            </w:r>
          </w:p>
        </w:tc>
        <w:tc>
          <w:tcPr>
            <w:tcW w:w="1786" w:type="dxa"/>
            <w:vAlign w:val="center"/>
          </w:tcPr>
          <w:p>
            <w:pPr>
              <w:spacing w:line="300" w:lineRule="exact"/>
              <w:rPr>
                <w:color w:val="000000" w:themeColor="text1"/>
                <w:szCs w:val="21"/>
              </w:rPr>
            </w:pPr>
            <w:r>
              <w:rPr>
                <w:color w:val="000000" w:themeColor="text1"/>
                <w:szCs w:val="21"/>
              </w:rPr>
              <w:t>电子政务外网</w:t>
            </w:r>
          </w:p>
        </w:tc>
        <w:tc>
          <w:tcPr>
            <w:tcW w:w="1616" w:type="dxa"/>
            <w:vAlign w:val="center"/>
          </w:tcPr>
          <w:p>
            <w:pPr>
              <w:spacing w:line="300" w:lineRule="exact"/>
              <w:jc w:val="center"/>
              <w:rPr>
                <w:color w:val="000000" w:themeColor="text1"/>
                <w:szCs w:val="21"/>
              </w:rPr>
            </w:pPr>
            <w:r>
              <w:rPr>
                <w:color w:val="000000" w:themeColor="text1"/>
                <w:szCs w:val="21"/>
              </w:rPr>
              <w:t>1</w:t>
            </w:r>
          </w:p>
        </w:tc>
        <w:tc>
          <w:tcPr>
            <w:tcW w:w="1701" w:type="dxa"/>
            <w:vAlign w:val="center"/>
          </w:tcPr>
          <w:p>
            <w:pPr>
              <w:spacing w:line="300" w:lineRule="exact"/>
              <w:jc w:val="center"/>
              <w:rPr>
                <w:color w:val="000000" w:themeColor="text1"/>
                <w:szCs w:val="21"/>
              </w:rPr>
            </w:pPr>
          </w:p>
        </w:tc>
        <w:tc>
          <w:tcPr>
            <w:tcW w:w="2135" w:type="dxa"/>
            <w:vAlign w:val="center"/>
          </w:tcPr>
          <w:p>
            <w:pPr>
              <w:spacing w:line="300" w:lineRule="exact"/>
              <w:jc w:val="center"/>
              <w:rPr>
                <w:color w:val="000000" w:themeColor="text1"/>
                <w:szCs w:val="21"/>
              </w:rPr>
            </w:pPr>
            <w:r>
              <w:rPr>
                <w:color w:val="000000" w:themeColor="text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6" w:type="dxa"/>
            <w:vMerge w:val="continue"/>
            <w:vAlign w:val="center"/>
          </w:tcPr>
          <w:p>
            <w:pPr>
              <w:spacing w:line="300" w:lineRule="exact"/>
              <w:rPr>
                <w:color w:val="000000" w:themeColor="text1"/>
                <w:szCs w:val="21"/>
              </w:rPr>
            </w:pPr>
          </w:p>
        </w:tc>
        <w:tc>
          <w:tcPr>
            <w:tcW w:w="992" w:type="dxa"/>
            <w:vMerge w:val="continue"/>
            <w:vAlign w:val="center"/>
          </w:tcPr>
          <w:p>
            <w:pPr>
              <w:spacing w:line="300" w:lineRule="exact"/>
              <w:rPr>
                <w:color w:val="000000" w:themeColor="text1"/>
                <w:szCs w:val="21"/>
              </w:rPr>
            </w:pPr>
          </w:p>
        </w:tc>
        <w:tc>
          <w:tcPr>
            <w:tcW w:w="1786" w:type="dxa"/>
            <w:vAlign w:val="center"/>
          </w:tcPr>
          <w:p>
            <w:pPr>
              <w:spacing w:line="300" w:lineRule="exact"/>
              <w:rPr>
                <w:color w:val="000000" w:themeColor="text1"/>
                <w:szCs w:val="21"/>
              </w:rPr>
            </w:pPr>
            <w:r>
              <w:rPr>
                <w:color w:val="000000" w:themeColor="text1"/>
                <w:szCs w:val="21"/>
              </w:rPr>
              <w:t>公安信息网</w:t>
            </w:r>
          </w:p>
        </w:tc>
        <w:tc>
          <w:tcPr>
            <w:tcW w:w="1616" w:type="dxa"/>
            <w:vAlign w:val="center"/>
          </w:tcPr>
          <w:p>
            <w:pPr>
              <w:spacing w:line="300" w:lineRule="exact"/>
              <w:jc w:val="center"/>
              <w:rPr>
                <w:color w:val="000000" w:themeColor="text1"/>
                <w:szCs w:val="21"/>
              </w:rPr>
            </w:pPr>
            <w:r>
              <w:rPr>
                <w:color w:val="000000" w:themeColor="text1"/>
                <w:szCs w:val="21"/>
              </w:rPr>
              <w:t>1</w:t>
            </w:r>
          </w:p>
        </w:tc>
        <w:tc>
          <w:tcPr>
            <w:tcW w:w="1701" w:type="dxa"/>
            <w:vAlign w:val="center"/>
          </w:tcPr>
          <w:p>
            <w:pPr>
              <w:spacing w:line="300" w:lineRule="exact"/>
              <w:jc w:val="center"/>
              <w:rPr>
                <w:color w:val="000000" w:themeColor="text1"/>
                <w:szCs w:val="21"/>
              </w:rPr>
            </w:pPr>
          </w:p>
        </w:tc>
        <w:tc>
          <w:tcPr>
            <w:tcW w:w="2135" w:type="dxa"/>
            <w:vAlign w:val="center"/>
          </w:tcPr>
          <w:p>
            <w:pPr>
              <w:spacing w:line="300" w:lineRule="exact"/>
              <w:jc w:val="center"/>
              <w:rPr>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6" w:type="dxa"/>
            <w:vMerge w:val="restart"/>
            <w:vAlign w:val="center"/>
          </w:tcPr>
          <w:p>
            <w:pPr>
              <w:spacing w:line="300" w:lineRule="exact"/>
              <w:rPr>
                <w:color w:val="000000" w:themeColor="text1"/>
                <w:szCs w:val="21"/>
              </w:rPr>
            </w:pPr>
            <w:r>
              <w:rPr>
                <w:color w:val="000000" w:themeColor="text1"/>
                <w:szCs w:val="21"/>
              </w:rPr>
              <w:t>磐安</w:t>
            </w:r>
          </w:p>
        </w:tc>
        <w:tc>
          <w:tcPr>
            <w:tcW w:w="992" w:type="dxa"/>
            <w:vMerge w:val="restart"/>
            <w:vAlign w:val="center"/>
          </w:tcPr>
          <w:p>
            <w:pPr>
              <w:spacing w:line="300" w:lineRule="exact"/>
              <w:rPr>
                <w:color w:val="000000" w:themeColor="text1"/>
                <w:szCs w:val="21"/>
              </w:rPr>
            </w:pPr>
            <w:r>
              <w:rPr>
                <w:color w:val="000000" w:themeColor="text1"/>
                <w:szCs w:val="21"/>
              </w:rPr>
              <w:t>公安视频专网</w:t>
            </w:r>
          </w:p>
        </w:tc>
        <w:tc>
          <w:tcPr>
            <w:tcW w:w="1786" w:type="dxa"/>
            <w:vAlign w:val="center"/>
          </w:tcPr>
          <w:p>
            <w:pPr>
              <w:spacing w:line="300" w:lineRule="exact"/>
              <w:rPr>
                <w:color w:val="000000" w:themeColor="text1"/>
                <w:szCs w:val="21"/>
              </w:rPr>
            </w:pPr>
            <w:r>
              <w:rPr>
                <w:color w:val="000000" w:themeColor="text1"/>
                <w:szCs w:val="21"/>
              </w:rPr>
              <w:t>电子政务外网</w:t>
            </w:r>
          </w:p>
        </w:tc>
        <w:tc>
          <w:tcPr>
            <w:tcW w:w="1616" w:type="dxa"/>
            <w:vAlign w:val="center"/>
          </w:tcPr>
          <w:p>
            <w:pPr>
              <w:spacing w:line="300" w:lineRule="exact"/>
              <w:jc w:val="center"/>
              <w:rPr>
                <w:color w:val="000000" w:themeColor="text1"/>
                <w:szCs w:val="21"/>
              </w:rPr>
            </w:pPr>
            <w:r>
              <w:rPr>
                <w:color w:val="000000" w:themeColor="text1"/>
                <w:szCs w:val="21"/>
              </w:rPr>
              <w:t>1</w:t>
            </w:r>
          </w:p>
        </w:tc>
        <w:tc>
          <w:tcPr>
            <w:tcW w:w="1701" w:type="dxa"/>
            <w:vAlign w:val="center"/>
          </w:tcPr>
          <w:p>
            <w:pPr>
              <w:spacing w:line="300" w:lineRule="exact"/>
              <w:jc w:val="center"/>
              <w:rPr>
                <w:color w:val="000000" w:themeColor="text1"/>
                <w:szCs w:val="21"/>
              </w:rPr>
            </w:pPr>
          </w:p>
        </w:tc>
        <w:tc>
          <w:tcPr>
            <w:tcW w:w="2135" w:type="dxa"/>
            <w:vAlign w:val="center"/>
          </w:tcPr>
          <w:p>
            <w:pPr>
              <w:spacing w:line="300" w:lineRule="exact"/>
              <w:jc w:val="center"/>
              <w:rPr>
                <w:color w:val="000000" w:themeColor="text1"/>
                <w:szCs w:val="21"/>
              </w:rPr>
            </w:pPr>
            <w:r>
              <w:rPr>
                <w:color w:val="000000" w:themeColor="text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6" w:type="dxa"/>
            <w:vMerge w:val="continue"/>
            <w:vAlign w:val="center"/>
          </w:tcPr>
          <w:p>
            <w:pPr>
              <w:spacing w:line="300" w:lineRule="exact"/>
              <w:rPr>
                <w:color w:val="000000" w:themeColor="text1"/>
                <w:szCs w:val="21"/>
              </w:rPr>
            </w:pPr>
          </w:p>
        </w:tc>
        <w:tc>
          <w:tcPr>
            <w:tcW w:w="992" w:type="dxa"/>
            <w:vMerge w:val="continue"/>
            <w:vAlign w:val="center"/>
          </w:tcPr>
          <w:p>
            <w:pPr>
              <w:spacing w:line="300" w:lineRule="exact"/>
              <w:rPr>
                <w:color w:val="000000" w:themeColor="text1"/>
                <w:szCs w:val="21"/>
              </w:rPr>
            </w:pPr>
          </w:p>
        </w:tc>
        <w:tc>
          <w:tcPr>
            <w:tcW w:w="1786" w:type="dxa"/>
            <w:vAlign w:val="center"/>
          </w:tcPr>
          <w:p>
            <w:pPr>
              <w:spacing w:line="300" w:lineRule="exact"/>
              <w:rPr>
                <w:color w:val="000000" w:themeColor="text1"/>
                <w:szCs w:val="21"/>
              </w:rPr>
            </w:pPr>
            <w:r>
              <w:rPr>
                <w:color w:val="000000" w:themeColor="text1"/>
                <w:szCs w:val="21"/>
              </w:rPr>
              <w:t>公安信息网</w:t>
            </w:r>
          </w:p>
        </w:tc>
        <w:tc>
          <w:tcPr>
            <w:tcW w:w="1616" w:type="dxa"/>
            <w:vAlign w:val="center"/>
          </w:tcPr>
          <w:p>
            <w:pPr>
              <w:spacing w:line="300" w:lineRule="exact"/>
              <w:jc w:val="center"/>
              <w:rPr>
                <w:color w:val="000000" w:themeColor="text1"/>
                <w:szCs w:val="21"/>
              </w:rPr>
            </w:pPr>
            <w:r>
              <w:rPr>
                <w:color w:val="000000" w:themeColor="text1"/>
                <w:szCs w:val="21"/>
              </w:rPr>
              <w:t>1</w:t>
            </w:r>
          </w:p>
        </w:tc>
        <w:tc>
          <w:tcPr>
            <w:tcW w:w="1701" w:type="dxa"/>
            <w:vAlign w:val="center"/>
          </w:tcPr>
          <w:p>
            <w:pPr>
              <w:spacing w:line="300" w:lineRule="exact"/>
              <w:jc w:val="center"/>
              <w:rPr>
                <w:color w:val="000000" w:themeColor="text1"/>
                <w:szCs w:val="21"/>
              </w:rPr>
            </w:pPr>
          </w:p>
        </w:tc>
        <w:tc>
          <w:tcPr>
            <w:tcW w:w="2135" w:type="dxa"/>
            <w:vAlign w:val="center"/>
          </w:tcPr>
          <w:p>
            <w:pPr>
              <w:spacing w:line="300" w:lineRule="exact"/>
              <w:jc w:val="center"/>
              <w:rPr>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6" w:type="dxa"/>
            <w:vMerge w:val="restart"/>
            <w:vAlign w:val="center"/>
          </w:tcPr>
          <w:p>
            <w:pPr>
              <w:spacing w:line="300" w:lineRule="exact"/>
              <w:rPr>
                <w:color w:val="000000" w:themeColor="text1"/>
                <w:szCs w:val="21"/>
              </w:rPr>
            </w:pPr>
            <w:r>
              <w:rPr>
                <w:color w:val="000000" w:themeColor="text1"/>
                <w:szCs w:val="21"/>
              </w:rPr>
              <w:t>义乌</w:t>
            </w:r>
          </w:p>
        </w:tc>
        <w:tc>
          <w:tcPr>
            <w:tcW w:w="992" w:type="dxa"/>
            <w:vMerge w:val="restart"/>
            <w:vAlign w:val="center"/>
          </w:tcPr>
          <w:p>
            <w:pPr>
              <w:spacing w:line="300" w:lineRule="exact"/>
              <w:rPr>
                <w:color w:val="000000" w:themeColor="text1"/>
                <w:szCs w:val="21"/>
              </w:rPr>
            </w:pPr>
            <w:r>
              <w:rPr>
                <w:color w:val="000000" w:themeColor="text1"/>
                <w:szCs w:val="21"/>
              </w:rPr>
              <w:t>公安视频专网</w:t>
            </w:r>
          </w:p>
        </w:tc>
        <w:tc>
          <w:tcPr>
            <w:tcW w:w="1786" w:type="dxa"/>
            <w:vAlign w:val="center"/>
          </w:tcPr>
          <w:p>
            <w:pPr>
              <w:spacing w:line="300" w:lineRule="exact"/>
              <w:rPr>
                <w:color w:val="000000" w:themeColor="text1"/>
                <w:szCs w:val="21"/>
              </w:rPr>
            </w:pPr>
            <w:r>
              <w:rPr>
                <w:color w:val="000000" w:themeColor="text1"/>
                <w:szCs w:val="21"/>
              </w:rPr>
              <w:t>电子政务外网</w:t>
            </w:r>
          </w:p>
        </w:tc>
        <w:tc>
          <w:tcPr>
            <w:tcW w:w="1616" w:type="dxa"/>
            <w:vAlign w:val="center"/>
          </w:tcPr>
          <w:p>
            <w:pPr>
              <w:spacing w:line="300" w:lineRule="exact"/>
              <w:jc w:val="center"/>
              <w:rPr>
                <w:color w:val="000000" w:themeColor="text1"/>
                <w:szCs w:val="21"/>
              </w:rPr>
            </w:pPr>
          </w:p>
        </w:tc>
        <w:tc>
          <w:tcPr>
            <w:tcW w:w="1701" w:type="dxa"/>
            <w:vAlign w:val="center"/>
          </w:tcPr>
          <w:p>
            <w:pPr>
              <w:spacing w:line="300" w:lineRule="exact"/>
              <w:jc w:val="center"/>
              <w:rPr>
                <w:color w:val="000000" w:themeColor="text1"/>
                <w:szCs w:val="21"/>
              </w:rPr>
            </w:pPr>
          </w:p>
        </w:tc>
        <w:tc>
          <w:tcPr>
            <w:tcW w:w="2135" w:type="dxa"/>
            <w:vAlign w:val="center"/>
          </w:tcPr>
          <w:p>
            <w:pPr>
              <w:spacing w:line="300" w:lineRule="exact"/>
              <w:jc w:val="center"/>
              <w:rPr>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6" w:type="dxa"/>
            <w:vMerge w:val="continue"/>
            <w:vAlign w:val="center"/>
          </w:tcPr>
          <w:p>
            <w:pPr>
              <w:spacing w:line="300" w:lineRule="exact"/>
              <w:rPr>
                <w:color w:val="000000" w:themeColor="text1"/>
                <w:szCs w:val="21"/>
              </w:rPr>
            </w:pPr>
          </w:p>
        </w:tc>
        <w:tc>
          <w:tcPr>
            <w:tcW w:w="992" w:type="dxa"/>
            <w:vMerge w:val="continue"/>
            <w:vAlign w:val="center"/>
          </w:tcPr>
          <w:p>
            <w:pPr>
              <w:spacing w:line="300" w:lineRule="exact"/>
              <w:rPr>
                <w:color w:val="000000" w:themeColor="text1"/>
                <w:szCs w:val="21"/>
              </w:rPr>
            </w:pPr>
          </w:p>
        </w:tc>
        <w:tc>
          <w:tcPr>
            <w:tcW w:w="1786" w:type="dxa"/>
            <w:vAlign w:val="center"/>
          </w:tcPr>
          <w:p>
            <w:pPr>
              <w:spacing w:line="300" w:lineRule="exact"/>
              <w:rPr>
                <w:color w:val="000000" w:themeColor="text1"/>
                <w:szCs w:val="21"/>
              </w:rPr>
            </w:pPr>
            <w:r>
              <w:rPr>
                <w:color w:val="000000" w:themeColor="text1"/>
                <w:szCs w:val="21"/>
              </w:rPr>
              <w:t>公安信息网</w:t>
            </w:r>
          </w:p>
        </w:tc>
        <w:tc>
          <w:tcPr>
            <w:tcW w:w="1616" w:type="dxa"/>
            <w:vAlign w:val="center"/>
          </w:tcPr>
          <w:p>
            <w:pPr>
              <w:spacing w:line="300" w:lineRule="exact"/>
              <w:jc w:val="center"/>
              <w:rPr>
                <w:color w:val="000000" w:themeColor="text1"/>
                <w:szCs w:val="21"/>
              </w:rPr>
            </w:pPr>
            <w:r>
              <w:rPr>
                <w:color w:val="000000" w:themeColor="text1"/>
                <w:szCs w:val="21"/>
              </w:rPr>
              <w:t>1</w:t>
            </w:r>
          </w:p>
        </w:tc>
        <w:tc>
          <w:tcPr>
            <w:tcW w:w="1701" w:type="dxa"/>
            <w:vAlign w:val="center"/>
          </w:tcPr>
          <w:p>
            <w:pPr>
              <w:spacing w:line="300" w:lineRule="exact"/>
              <w:jc w:val="center"/>
              <w:rPr>
                <w:color w:val="000000" w:themeColor="text1"/>
                <w:szCs w:val="21"/>
              </w:rPr>
            </w:pPr>
          </w:p>
        </w:tc>
        <w:tc>
          <w:tcPr>
            <w:tcW w:w="2135" w:type="dxa"/>
            <w:vAlign w:val="center"/>
          </w:tcPr>
          <w:p>
            <w:pPr>
              <w:spacing w:line="300" w:lineRule="exact"/>
              <w:jc w:val="center"/>
              <w:rPr>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6" w:type="dxa"/>
            <w:vMerge w:val="restart"/>
            <w:vAlign w:val="center"/>
          </w:tcPr>
          <w:p>
            <w:pPr>
              <w:spacing w:line="300" w:lineRule="exact"/>
              <w:rPr>
                <w:color w:val="000000" w:themeColor="text1"/>
                <w:szCs w:val="21"/>
              </w:rPr>
            </w:pPr>
            <w:r>
              <w:rPr>
                <w:color w:val="000000" w:themeColor="text1"/>
                <w:szCs w:val="21"/>
              </w:rPr>
              <w:t>东阳</w:t>
            </w:r>
          </w:p>
        </w:tc>
        <w:tc>
          <w:tcPr>
            <w:tcW w:w="992" w:type="dxa"/>
            <w:vMerge w:val="restart"/>
            <w:vAlign w:val="center"/>
          </w:tcPr>
          <w:p>
            <w:pPr>
              <w:spacing w:line="300" w:lineRule="exact"/>
              <w:rPr>
                <w:color w:val="000000" w:themeColor="text1"/>
                <w:szCs w:val="21"/>
              </w:rPr>
            </w:pPr>
            <w:r>
              <w:rPr>
                <w:color w:val="000000" w:themeColor="text1"/>
                <w:szCs w:val="21"/>
              </w:rPr>
              <w:t>公安视频专网</w:t>
            </w:r>
          </w:p>
        </w:tc>
        <w:tc>
          <w:tcPr>
            <w:tcW w:w="1786" w:type="dxa"/>
            <w:vAlign w:val="center"/>
          </w:tcPr>
          <w:p>
            <w:pPr>
              <w:spacing w:line="300" w:lineRule="exact"/>
              <w:rPr>
                <w:color w:val="000000" w:themeColor="text1"/>
                <w:szCs w:val="21"/>
              </w:rPr>
            </w:pPr>
            <w:r>
              <w:rPr>
                <w:color w:val="000000" w:themeColor="text1"/>
                <w:szCs w:val="21"/>
              </w:rPr>
              <w:t>电子政务外网</w:t>
            </w:r>
          </w:p>
        </w:tc>
        <w:tc>
          <w:tcPr>
            <w:tcW w:w="1616" w:type="dxa"/>
            <w:vAlign w:val="center"/>
          </w:tcPr>
          <w:p>
            <w:pPr>
              <w:spacing w:line="300" w:lineRule="exact"/>
              <w:jc w:val="center"/>
              <w:rPr>
                <w:color w:val="000000" w:themeColor="text1"/>
                <w:szCs w:val="21"/>
              </w:rPr>
            </w:pPr>
          </w:p>
        </w:tc>
        <w:tc>
          <w:tcPr>
            <w:tcW w:w="1701" w:type="dxa"/>
            <w:vAlign w:val="center"/>
          </w:tcPr>
          <w:p>
            <w:pPr>
              <w:spacing w:line="300" w:lineRule="exact"/>
              <w:jc w:val="center"/>
              <w:rPr>
                <w:color w:val="000000" w:themeColor="text1"/>
                <w:szCs w:val="21"/>
              </w:rPr>
            </w:pPr>
          </w:p>
        </w:tc>
        <w:tc>
          <w:tcPr>
            <w:tcW w:w="2135" w:type="dxa"/>
            <w:vAlign w:val="center"/>
          </w:tcPr>
          <w:p>
            <w:pPr>
              <w:spacing w:line="300" w:lineRule="exact"/>
              <w:jc w:val="center"/>
              <w:rPr>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6" w:type="dxa"/>
            <w:vMerge w:val="continue"/>
            <w:vAlign w:val="center"/>
          </w:tcPr>
          <w:p>
            <w:pPr>
              <w:spacing w:line="300" w:lineRule="exact"/>
              <w:rPr>
                <w:color w:val="000000" w:themeColor="text1"/>
                <w:szCs w:val="21"/>
              </w:rPr>
            </w:pPr>
          </w:p>
        </w:tc>
        <w:tc>
          <w:tcPr>
            <w:tcW w:w="992" w:type="dxa"/>
            <w:vMerge w:val="continue"/>
            <w:vAlign w:val="center"/>
          </w:tcPr>
          <w:p>
            <w:pPr>
              <w:spacing w:line="300" w:lineRule="exact"/>
              <w:rPr>
                <w:color w:val="000000" w:themeColor="text1"/>
                <w:szCs w:val="21"/>
              </w:rPr>
            </w:pPr>
          </w:p>
        </w:tc>
        <w:tc>
          <w:tcPr>
            <w:tcW w:w="1786" w:type="dxa"/>
            <w:vAlign w:val="center"/>
          </w:tcPr>
          <w:p>
            <w:pPr>
              <w:spacing w:line="300" w:lineRule="exact"/>
              <w:rPr>
                <w:color w:val="000000" w:themeColor="text1"/>
                <w:szCs w:val="21"/>
              </w:rPr>
            </w:pPr>
            <w:r>
              <w:rPr>
                <w:color w:val="000000" w:themeColor="text1"/>
                <w:szCs w:val="21"/>
              </w:rPr>
              <w:t>公安信息网</w:t>
            </w:r>
          </w:p>
        </w:tc>
        <w:tc>
          <w:tcPr>
            <w:tcW w:w="1616" w:type="dxa"/>
            <w:vAlign w:val="center"/>
          </w:tcPr>
          <w:p>
            <w:pPr>
              <w:spacing w:line="300" w:lineRule="exact"/>
              <w:jc w:val="center"/>
              <w:rPr>
                <w:color w:val="000000" w:themeColor="text1"/>
                <w:szCs w:val="21"/>
              </w:rPr>
            </w:pPr>
            <w:r>
              <w:rPr>
                <w:color w:val="000000" w:themeColor="text1"/>
                <w:szCs w:val="21"/>
              </w:rPr>
              <w:t>1</w:t>
            </w:r>
          </w:p>
        </w:tc>
        <w:tc>
          <w:tcPr>
            <w:tcW w:w="1701" w:type="dxa"/>
            <w:vAlign w:val="center"/>
          </w:tcPr>
          <w:p>
            <w:pPr>
              <w:spacing w:line="300" w:lineRule="exact"/>
              <w:jc w:val="center"/>
              <w:rPr>
                <w:color w:val="000000" w:themeColor="text1"/>
                <w:szCs w:val="21"/>
              </w:rPr>
            </w:pPr>
          </w:p>
        </w:tc>
        <w:tc>
          <w:tcPr>
            <w:tcW w:w="2135" w:type="dxa"/>
            <w:vAlign w:val="center"/>
          </w:tcPr>
          <w:p>
            <w:pPr>
              <w:spacing w:line="300" w:lineRule="exact"/>
              <w:jc w:val="center"/>
              <w:rPr>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6" w:type="dxa"/>
            <w:vMerge w:val="restart"/>
            <w:vAlign w:val="center"/>
          </w:tcPr>
          <w:p>
            <w:pPr>
              <w:spacing w:line="300" w:lineRule="exact"/>
              <w:rPr>
                <w:color w:val="000000" w:themeColor="text1"/>
                <w:szCs w:val="21"/>
              </w:rPr>
            </w:pPr>
            <w:r>
              <w:rPr>
                <w:color w:val="000000" w:themeColor="text1"/>
                <w:szCs w:val="21"/>
              </w:rPr>
              <w:t>兰溪</w:t>
            </w:r>
          </w:p>
        </w:tc>
        <w:tc>
          <w:tcPr>
            <w:tcW w:w="992" w:type="dxa"/>
            <w:vMerge w:val="restart"/>
            <w:vAlign w:val="center"/>
          </w:tcPr>
          <w:p>
            <w:pPr>
              <w:spacing w:line="300" w:lineRule="exact"/>
              <w:rPr>
                <w:color w:val="000000" w:themeColor="text1"/>
                <w:szCs w:val="21"/>
              </w:rPr>
            </w:pPr>
            <w:r>
              <w:rPr>
                <w:color w:val="000000" w:themeColor="text1"/>
                <w:szCs w:val="21"/>
              </w:rPr>
              <w:t>公安视频专网</w:t>
            </w:r>
          </w:p>
        </w:tc>
        <w:tc>
          <w:tcPr>
            <w:tcW w:w="1786" w:type="dxa"/>
            <w:vAlign w:val="center"/>
          </w:tcPr>
          <w:p>
            <w:pPr>
              <w:spacing w:line="300" w:lineRule="exact"/>
              <w:rPr>
                <w:color w:val="000000" w:themeColor="text1"/>
                <w:szCs w:val="21"/>
              </w:rPr>
            </w:pPr>
            <w:r>
              <w:rPr>
                <w:color w:val="000000" w:themeColor="text1"/>
                <w:szCs w:val="21"/>
              </w:rPr>
              <w:t>电子政务外网</w:t>
            </w:r>
          </w:p>
        </w:tc>
        <w:tc>
          <w:tcPr>
            <w:tcW w:w="1616" w:type="dxa"/>
            <w:vAlign w:val="center"/>
          </w:tcPr>
          <w:p>
            <w:pPr>
              <w:spacing w:line="300" w:lineRule="exact"/>
              <w:jc w:val="center"/>
              <w:rPr>
                <w:color w:val="000000" w:themeColor="text1"/>
                <w:szCs w:val="21"/>
              </w:rPr>
            </w:pPr>
            <w:r>
              <w:rPr>
                <w:color w:val="000000" w:themeColor="text1"/>
                <w:szCs w:val="21"/>
              </w:rPr>
              <w:t>1</w:t>
            </w:r>
          </w:p>
        </w:tc>
        <w:tc>
          <w:tcPr>
            <w:tcW w:w="1701" w:type="dxa"/>
            <w:vAlign w:val="center"/>
          </w:tcPr>
          <w:p>
            <w:pPr>
              <w:spacing w:line="300" w:lineRule="exact"/>
              <w:jc w:val="center"/>
              <w:rPr>
                <w:color w:val="000000" w:themeColor="text1"/>
                <w:szCs w:val="21"/>
              </w:rPr>
            </w:pPr>
          </w:p>
        </w:tc>
        <w:tc>
          <w:tcPr>
            <w:tcW w:w="2135" w:type="dxa"/>
            <w:vAlign w:val="center"/>
          </w:tcPr>
          <w:p>
            <w:pPr>
              <w:spacing w:line="300" w:lineRule="exact"/>
              <w:jc w:val="center"/>
              <w:rPr>
                <w:color w:val="000000" w:themeColor="text1"/>
                <w:szCs w:val="21"/>
              </w:rPr>
            </w:pPr>
            <w:r>
              <w:rPr>
                <w:color w:val="000000" w:themeColor="text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6" w:type="dxa"/>
            <w:vMerge w:val="continue"/>
            <w:vAlign w:val="center"/>
          </w:tcPr>
          <w:p>
            <w:pPr>
              <w:spacing w:line="300" w:lineRule="exact"/>
              <w:rPr>
                <w:color w:val="000000" w:themeColor="text1"/>
                <w:szCs w:val="21"/>
              </w:rPr>
            </w:pPr>
          </w:p>
        </w:tc>
        <w:tc>
          <w:tcPr>
            <w:tcW w:w="992" w:type="dxa"/>
            <w:vMerge w:val="continue"/>
            <w:vAlign w:val="center"/>
          </w:tcPr>
          <w:p>
            <w:pPr>
              <w:spacing w:line="300" w:lineRule="exact"/>
              <w:rPr>
                <w:color w:val="000000" w:themeColor="text1"/>
                <w:szCs w:val="21"/>
              </w:rPr>
            </w:pPr>
          </w:p>
        </w:tc>
        <w:tc>
          <w:tcPr>
            <w:tcW w:w="1786" w:type="dxa"/>
            <w:vAlign w:val="center"/>
          </w:tcPr>
          <w:p>
            <w:pPr>
              <w:spacing w:line="300" w:lineRule="exact"/>
              <w:rPr>
                <w:color w:val="000000" w:themeColor="text1"/>
                <w:szCs w:val="21"/>
              </w:rPr>
            </w:pPr>
            <w:r>
              <w:rPr>
                <w:color w:val="000000" w:themeColor="text1"/>
                <w:szCs w:val="21"/>
              </w:rPr>
              <w:t>公安信息网</w:t>
            </w:r>
          </w:p>
        </w:tc>
        <w:tc>
          <w:tcPr>
            <w:tcW w:w="1616" w:type="dxa"/>
            <w:vAlign w:val="center"/>
          </w:tcPr>
          <w:p>
            <w:pPr>
              <w:spacing w:line="300" w:lineRule="exact"/>
              <w:jc w:val="center"/>
              <w:rPr>
                <w:color w:val="000000" w:themeColor="text1"/>
                <w:szCs w:val="21"/>
              </w:rPr>
            </w:pPr>
            <w:r>
              <w:rPr>
                <w:color w:val="000000" w:themeColor="text1"/>
                <w:szCs w:val="21"/>
              </w:rPr>
              <w:t>1</w:t>
            </w:r>
          </w:p>
        </w:tc>
        <w:tc>
          <w:tcPr>
            <w:tcW w:w="1701" w:type="dxa"/>
            <w:vAlign w:val="center"/>
          </w:tcPr>
          <w:p>
            <w:pPr>
              <w:spacing w:line="300" w:lineRule="exact"/>
              <w:jc w:val="center"/>
              <w:rPr>
                <w:color w:val="000000" w:themeColor="text1"/>
                <w:szCs w:val="21"/>
              </w:rPr>
            </w:pPr>
          </w:p>
        </w:tc>
        <w:tc>
          <w:tcPr>
            <w:tcW w:w="2135" w:type="dxa"/>
            <w:vAlign w:val="center"/>
          </w:tcPr>
          <w:p>
            <w:pPr>
              <w:spacing w:line="300" w:lineRule="exact"/>
              <w:jc w:val="center"/>
              <w:rPr>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6" w:type="dxa"/>
            <w:vMerge w:val="restart"/>
            <w:vAlign w:val="center"/>
          </w:tcPr>
          <w:p>
            <w:pPr>
              <w:spacing w:line="300" w:lineRule="exact"/>
              <w:rPr>
                <w:color w:val="000000" w:themeColor="text1"/>
                <w:szCs w:val="21"/>
              </w:rPr>
            </w:pPr>
            <w:r>
              <w:rPr>
                <w:color w:val="000000" w:themeColor="text1"/>
                <w:szCs w:val="21"/>
              </w:rPr>
              <w:t>永康</w:t>
            </w:r>
          </w:p>
        </w:tc>
        <w:tc>
          <w:tcPr>
            <w:tcW w:w="992" w:type="dxa"/>
            <w:vMerge w:val="restart"/>
            <w:vAlign w:val="center"/>
          </w:tcPr>
          <w:p>
            <w:pPr>
              <w:spacing w:line="300" w:lineRule="exact"/>
              <w:rPr>
                <w:color w:val="000000" w:themeColor="text1"/>
                <w:szCs w:val="21"/>
              </w:rPr>
            </w:pPr>
            <w:r>
              <w:rPr>
                <w:color w:val="000000" w:themeColor="text1"/>
                <w:szCs w:val="21"/>
              </w:rPr>
              <w:t>公安视频专网</w:t>
            </w:r>
          </w:p>
        </w:tc>
        <w:tc>
          <w:tcPr>
            <w:tcW w:w="1786" w:type="dxa"/>
            <w:vAlign w:val="center"/>
          </w:tcPr>
          <w:p>
            <w:pPr>
              <w:spacing w:line="300" w:lineRule="exact"/>
              <w:rPr>
                <w:color w:val="000000" w:themeColor="text1"/>
                <w:szCs w:val="21"/>
              </w:rPr>
            </w:pPr>
            <w:r>
              <w:rPr>
                <w:color w:val="000000" w:themeColor="text1"/>
                <w:szCs w:val="21"/>
              </w:rPr>
              <w:t>电子政务外网</w:t>
            </w:r>
          </w:p>
        </w:tc>
        <w:tc>
          <w:tcPr>
            <w:tcW w:w="1616" w:type="dxa"/>
            <w:vAlign w:val="center"/>
          </w:tcPr>
          <w:p>
            <w:pPr>
              <w:spacing w:line="300" w:lineRule="exact"/>
              <w:jc w:val="center"/>
              <w:rPr>
                <w:color w:val="000000" w:themeColor="text1"/>
                <w:szCs w:val="21"/>
              </w:rPr>
            </w:pPr>
            <w:r>
              <w:rPr>
                <w:color w:val="000000" w:themeColor="text1"/>
                <w:szCs w:val="21"/>
              </w:rPr>
              <w:t>1</w:t>
            </w:r>
          </w:p>
        </w:tc>
        <w:tc>
          <w:tcPr>
            <w:tcW w:w="1701" w:type="dxa"/>
            <w:vAlign w:val="center"/>
          </w:tcPr>
          <w:p>
            <w:pPr>
              <w:spacing w:line="300" w:lineRule="exact"/>
              <w:jc w:val="center"/>
              <w:rPr>
                <w:color w:val="000000" w:themeColor="text1"/>
                <w:szCs w:val="21"/>
              </w:rPr>
            </w:pPr>
          </w:p>
        </w:tc>
        <w:tc>
          <w:tcPr>
            <w:tcW w:w="2135" w:type="dxa"/>
            <w:vAlign w:val="center"/>
          </w:tcPr>
          <w:p>
            <w:pPr>
              <w:spacing w:line="300" w:lineRule="exact"/>
              <w:jc w:val="center"/>
              <w:rPr>
                <w:color w:val="000000" w:themeColor="text1"/>
                <w:szCs w:val="21"/>
              </w:rPr>
            </w:pPr>
            <w:r>
              <w:rPr>
                <w:color w:val="000000" w:themeColor="text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6" w:type="dxa"/>
            <w:vMerge w:val="continue"/>
            <w:vAlign w:val="center"/>
          </w:tcPr>
          <w:p>
            <w:pPr>
              <w:spacing w:line="300" w:lineRule="exact"/>
              <w:rPr>
                <w:color w:val="000000" w:themeColor="text1"/>
                <w:szCs w:val="21"/>
              </w:rPr>
            </w:pPr>
          </w:p>
        </w:tc>
        <w:tc>
          <w:tcPr>
            <w:tcW w:w="992" w:type="dxa"/>
            <w:vMerge w:val="continue"/>
            <w:vAlign w:val="center"/>
          </w:tcPr>
          <w:p>
            <w:pPr>
              <w:spacing w:line="300" w:lineRule="exact"/>
              <w:rPr>
                <w:color w:val="000000" w:themeColor="text1"/>
                <w:szCs w:val="21"/>
              </w:rPr>
            </w:pPr>
          </w:p>
        </w:tc>
        <w:tc>
          <w:tcPr>
            <w:tcW w:w="1786" w:type="dxa"/>
            <w:vAlign w:val="center"/>
          </w:tcPr>
          <w:p>
            <w:pPr>
              <w:spacing w:line="300" w:lineRule="exact"/>
              <w:rPr>
                <w:color w:val="000000" w:themeColor="text1"/>
                <w:szCs w:val="21"/>
              </w:rPr>
            </w:pPr>
            <w:r>
              <w:rPr>
                <w:color w:val="000000" w:themeColor="text1"/>
                <w:szCs w:val="21"/>
              </w:rPr>
              <w:t>公安信息网</w:t>
            </w:r>
          </w:p>
        </w:tc>
        <w:tc>
          <w:tcPr>
            <w:tcW w:w="1616" w:type="dxa"/>
            <w:vAlign w:val="center"/>
          </w:tcPr>
          <w:p>
            <w:pPr>
              <w:spacing w:line="300" w:lineRule="exact"/>
              <w:jc w:val="center"/>
              <w:rPr>
                <w:color w:val="000000" w:themeColor="text1"/>
                <w:szCs w:val="21"/>
              </w:rPr>
            </w:pPr>
            <w:r>
              <w:rPr>
                <w:color w:val="000000" w:themeColor="text1"/>
                <w:szCs w:val="21"/>
              </w:rPr>
              <w:t>1</w:t>
            </w:r>
          </w:p>
        </w:tc>
        <w:tc>
          <w:tcPr>
            <w:tcW w:w="1701" w:type="dxa"/>
            <w:vAlign w:val="center"/>
          </w:tcPr>
          <w:p>
            <w:pPr>
              <w:spacing w:line="300" w:lineRule="exact"/>
              <w:jc w:val="center"/>
              <w:rPr>
                <w:color w:val="000000" w:themeColor="text1"/>
                <w:szCs w:val="21"/>
              </w:rPr>
            </w:pPr>
          </w:p>
        </w:tc>
        <w:tc>
          <w:tcPr>
            <w:tcW w:w="2135" w:type="dxa"/>
            <w:vAlign w:val="center"/>
          </w:tcPr>
          <w:p>
            <w:pPr>
              <w:spacing w:line="300" w:lineRule="exact"/>
              <w:jc w:val="center"/>
              <w:rPr>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6" w:type="dxa"/>
            <w:vMerge w:val="restart"/>
            <w:vAlign w:val="center"/>
          </w:tcPr>
          <w:p>
            <w:pPr>
              <w:spacing w:line="300" w:lineRule="exact"/>
              <w:rPr>
                <w:color w:val="000000" w:themeColor="text1"/>
                <w:szCs w:val="21"/>
              </w:rPr>
            </w:pPr>
            <w:r>
              <w:rPr>
                <w:color w:val="000000" w:themeColor="text1"/>
                <w:szCs w:val="21"/>
              </w:rPr>
              <w:t>浦江</w:t>
            </w:r>
          </w:p>
        </w:tc>
        <w:tc>
          <w:tcPr>
            <w:tcW w:w="992" w:type="dxa"/>
            <w:vMerge w:val="restart"/>
            <w:vAlign w:val="center"/>
          </w:tcPr>
          <w:p>
            <w:pPr>
              <w:spacing w:line="300" w:lineRule="exact"/>
              <w:rPr>
                <w:color w:val="000000" w:themeColor="text1"/>
                <w:szCs w:val="21"/>
              </w:rPr>
            </w:pPr>
            <w:r>
              <w:rPr>
                <w:color w:val="000000" w:themeColor="text1"/>
                <w:szCs w:val="21"/>
              </w:rPr>
              <w:t>公安视频专网</w:t>
            </w:r>
          </w:p>
        </w:tc>
        <w:tc>
          <w:tcPr>
            <w:tcW w:w="1786" w:type="dxa"/>
            <w:vAlign w:val="center"/>
          </w:tcPr>
          <w:p>
            <w:pPr>
              <w:spacing w:line="300" w:lineRule="exact"/>
              <w:rPr>
                <w:color w:val="000000" w:themeColor="text1"/>
                <w:szCs w:val="21"/>
              </w:rPr>
            </w:pPr>
            <w:r>
              <w:rPr>
                <w:color w:val="000000" w:themeColor="text1"/>
                <w:szCs w:val="21"/>
              </w:rPr>
              <w:t>电子政务外网</w:t>
            </w:r>
          </w:p>
        </w:tc>
        <w:tc>
          <w:tcPr>
            <w:tcW w:w="1616" w:type="dxa"/>
            <w:vAlign w:val="center"/>
          </w:tcPr>
          <w:p>
            <w:pPr>
              <w:spacing w:line="300" w:lineRule="exact"/>
              <w:jc w:val="center"/>
              <w:rPr>
                <w:color w:val="000000" w:themeColor="text1"/>
                <w:szCs w:val="21"/>
              </w:rPr>
            </w:pPr>
            <w:r>
              <w:rPr>
                <w:color w:val="000000" w:themeColor="text1"/>
                <w:szCs w:val="21"/>
              </w:rPr>
              <w:t>1</w:t>
            </w:r>
          </w:p>
        </w:tc>
        <w:tc>
          <w:tcPr>
            <w:tcW w:w="1701" w:type="dxa"/>
            <w:vAlign w:val="center"/>
          </w:tcPr>
          <w:p>
            <w:pPr>
              <w:spacing w:line="300" w:lineRule="exact"/>
              <w:jc w:val="center"/>
              <w:rPr>
                <w:color w:val="000000" w:themeColor="text1"/>
                <w:szCs w:val="21"/>
              </w:rPr>
            </w:pPr>
          </w:p>
        </w:tc>
        <w:tc>
          <w:tcPr>
            <w:tcW w:w="2135" w:type="dxa"/>
            <w:vAlign w:val="center"/>
          </w:tcPr>
          <w:p>
            <w:pPr>
              <w:spacing w:line="300" w:lineRule="exact"/>
              <w:jc w:val="center"/>
              <w:rPr>
                <w:color w:val="000000" w:themeColor="text1"/>
                <w:szCs w:val="21"/>
              </w:rPr>
            </w:pPr>
            <w:r>
              <w:rPr>
                <w:color w:val="000000" w:themeColor="text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6" w:type="dxa"/>
            <w:vMerge w:val="continue"/>
            <w:vAlign w:val="center"/>
          </w:tcPr>
          <w:p>
            <w:pPr>
              <w:spacing w:line="300" w:lineRule="exact"/>
              <w:rPr>
                <w:color w:val="000000" w:themeColor="text1"/>
                <w:szCs w:val="21"/>
              </w:rPr>
            </w:pPr>
          </w:p>
        </w:tc>
        <w:tc>
          <w:tcPr>
            <w:tcW w:w="992" w:type="dxa"/>
            <w:vMerge w:val="continue"/>
            <w:vAlign w:val="center"/>
          </w:tcPr>
          <w:p>
            <w:pPr>
              <w:spacing w:line="300" w:lineRule="exact"/>
              <w:rPr>
                <w:color w:val="000000" w:themeColor="text1"/>
                <w:szCs w:val="21"/>
              </w:rPr>
            </w:pPr>
          </w:p>
        </w:tc>
        <w:tc>
          <w:tcPr>
            <w:tcW w:w="1786" w:type="dxa"/>
            <w:vAlign w:val="center"/>
          </w:tcPr>
          <w:p>
            <w:pPr>
              <w:spacing w:line="300" w:lineRule="exact"/>
              <w:rPr>
                <w:color w:val="000000" w:themeColor="text1"/>
                <w:szCs w:val="21"/>
              </w:rPr>
            </w:pPr>
            <w:r>
              <w:rPr>
                <w:color w:val="000000" w:themeColor="text1"/>
                <w:szCs w:val="21"/>
              </w:rPr>
              <w:t>公安信息网</w:t>
            </w:r>
          </w:p>
        </w:tc>
        <w:tc>
          <w:tcPr>
            <w:tcW w:w="1616" w:type="dxa"/>
            <w:vAlign w:val="center"/>
          </w:tcPr>
          <w:p>
            <w:pPr>
              <w:spacing w:line="300" w:lineRule="exact"/>
              <w:jc w:val="center"/>
              <w:rPr>
                <w:color w:val="000000" w:themeColor="text1"/>
                <w:szCs w:val="21"/>
              </w:rPr>
            </w:pPr>
            <w:r>
              <w:rPr>
                <w:color w:val="000000" w:themeColor="text1"/>
                <w:szCs w:val="21"/>
              </w:rPr>
              <w:t>1</w:t>
            </w:r>
          </w:p>
        </w:tc>
        <w:tc>
          <w:tcPr>
            <w:tcW w:w="1701" w:type="dxa"/>
            <w:vAlign w:val="center"/>
          </w:tcPr>
          <w:p>
            <w:pPr>
              <w:spacing w:line="300" w:lineRule="exact"/>
              <w:jc w:val="center"/>
              <w:rPr>
                <w:color w:val="000000" w:themeColor="text1"/>
                <w:szCs w:val="21"/>
              </w:rPr>
            </w:pPr>
          </w:p>
        </w:tc>
        <w:tc>
          <w:tcPr>
            <w:tcW w:w="2135" w:type="dxa"/>
            <w:vAlign w:val="center"/>
          </w:tcPr>
          <w:p>
            <w:pPr>
              <w:spacing w:line="300" w:lineRule="exact"/>
              <w:jc w:val="center"/>
              <w:rPr>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54" w:type="dxa"/>
            <w:gridSpan w:val="3"/>
            <w:vAlign w:val="center"/>
          </w:tcPr>
          <w:p>
            <w:pPr>
              <w:spacing w:line="300" w:lineRule="exact"/>
              <w:jc w:val="center"/>
              <w:rPr>
                <w:color w:val="000000" w:themeColor="text1"/>
                <w:szCs w:val="21"/>
              </w:rPr>
            </w:pPr>
            <w:r>
              <w:rPr>
                <w:color w:val="000000" w:themeColor="text1"/>
                <w:szCs w:val="21"/>
              </w:rPr>
              <w:t>合计</w:t>
            </w:r>
          </w:p>
        </w:tc>
        <w:tc>
          <w:tcPr>
            <w:tcW w:w="1616" w:type="dxa"/>
            <w:vAlign w:val="center"/>
          </w:tcPr>
          <w:p>
            <w:pPr>
              <w:spacing w:line="300" w:lineRule="exact"/>
              <w:jc w:val="center"/>
              <w:rPr>
                <w:color w:val="000000" w:themeColor="text1"/>
                <w:szCs w:val="21"/>
              </w:rPr>
            </w:pPr>
            <w:r>
              <w:rPr>
                <w:color w:val="000000" w:themeColor="text1"/>
                <w:szCs w:val="21"/>
              </w:rPr>
              <w:t>14</w:t>
            </w:r>
          </w:p>
        </w:tc>
        <w:tc>
          <w:tcPr>
            <w:tcW w:w="1701" w:type="dxa"/>
            <w:vAlign w:val="center"/>
          </w:tcPr>
          <w:p>
            <w:pPr>
              <w:spacing w:line="300" w:lineRule="exact"/>
              <w:jc w:val="center"/>
              <w:rPr>
                <w:color w:val="000000" w:themeColor="text1"/>
                <w:szCs w:val="21"/>
              </w:rPr>
            </w:pPr>
            <w:r>
              <w:rPr>
                <w:color w:val="000000" w:themeColor="text1"/>
                <w:szCs w:val="21"/>
              </w:rPr>
              <w:t>2</w:t>
            </w:r>
          </w:p>
        </w:tc>
        <w:tc>
          <w:tcPr>
            <w:tcW w:w="2135" w:type="dxa"/>
            <w:vAlign w:val="center"/>
          </w:tcPr>
          <w:p>
            <w:pPr>
              <w:spacing w:line="300" w:lineRule="exact"/>
              <w:jc w:val="center"/>
              <w:rPr>
                <w:color w:val="000000" w:themeColor="text1"/>
                <w:szCs w:val="21"/>
              </w:rPr>
            </w:pPr>
            <w:r>
              <w:rPr>
                <w:color w:val="000000" w:themeColor="text1"/>
                <w:szCs w:val="21"/>
              </w:rPr>
              <w:t>6</w:t>
            </w:r>
          </w:p>
        </w:tc>
      </w:tr>
    </w:tbl>
    <w:p>
      <w:pPr>
        <w:tabs>
          <w:tab w:val="left" w:pos="7200"/>
        </w:tabs>
        <w:ind w:firstLine="480"/>
        <w:rPr>
          <w:color w:val="000000" w:themeColor="text1"/>
        </w:rPr>
      </w:pPr>
    </w:p>
    <w:p>
      <w:pPr>
        <w:pStyle w:val="6"/>
        <w:spacing w:before="120" w:after="120"/>
        <w:ind w:firstLine="480"/>
        <w:rPr>
          <w:color w:val="000000" w:themeColor="text1"/>
        </w:rPr>
      </w:pPr>
      <w:bookmarkStart w:id="299" w:name="_Toc522260400"/>
      <w:r>
        <w:rPr>
          <w:rFonts w:hint="eastAsia"/>
          <w:color w:val="000000" w:themeColor="text1"/>
        </w:rPr>
        <w:t>1.2.2</w:t>
      </w:r>
      <w:r>
        <w:rPr>
          <w:color w:val="000000" w:themeColor="text1"/>
        </w:rPr>
        <w:t>共享平台安全防护</w:t>
      </w:r>
      <w:bookmarkEnd w:id="299"/>
    </w:p>
    <w:p>
      <w:pPr>
        <w:ind w:firstLine="480"/>
        <w:rPr>
          <w:color w:val="000000" w:themeColor="text1"/>
        </w:rPr>
      </w:pPr>
      <w:r>
        <w:rPr>
          <w:color w:val="000000" w:themeColor="text1"/>
        </w:rPr>
        <w:t>目前在公安视频专网中部署了视频监控共享平台，市级包含市本级、</w:t>
      </w:r>
      <w:r>
        <w:rPr>
          <w:rFonts w:hint="eastAsia"/>
          <w:color w:val="000000" w:themeColor="text1"/>
        </w:rPr>
        <w:t>婺城区、江南、金东区</w:t>
      </w:r>
      <w:r>
        <w:rPr>
          <w:color w:val="000000" w:themeColor="text1"/>
        </w:rPr>
        <w:t>、</w:t>
      </w:r>
      <w:r>
        <w:rPr>
          <w:rFonts w:hint="eastAsia"/>
          <w:color w:val="000000" w:themeColor="text1"/>
        </w:rPr>
        <w:t>市</w:t>
      </w:r>
      <w:r>
        <w:rPr>
          <w:color w:val="000000" w:themeColor="text1"/>
        </w:rPr>
        <w:t>交警5个平台，7个县市各1个共享平台，为保证共享平台安全，本次在平台汇聚交换机上旁路部署</w:t>
      </w:r>
      <w:r>
        <w:rPr>
          <w:rFonts w:hint="eastAsia"/>
          <w:color w:val="000000" w:themeColor="text1"/>
        </w:rPr>
        <w:t>共12</w:t>
      </w:r>
      <w:r>
        <w:rPr>
          <w:color w:val="000000" w:themeColor="text1"/>
        </w:rPr>
        <w:t>台下一代防火墙，</w:t>
      </w:r>
      <w:r>
        <w:rPr>
          <w:rFonts w:hint="eastAsia"/>
          <w:color w:val="000000" w:themeColor="text1"/>
        </w:rPr>
        <w:t>其中市级5台下一代防火墙，县市7台下一代防火墙。</w:t>
      </w:r>
      <w:r>
        <w:rPr>
          <w:color w:val="000000" w:themeColor="text1"/>
        </w:rPr>
        <w:t>在防护能力方面必须具备：访问控制、应用控制、入侵防御、WEB防护、漏洞防护、威胁检测、风险预警、各类已知/未知攻击防护等。通过这些安全能力的融合实现事前风险预知、事中完整防护、事后检测及响应的闭环，同时依靠安全能力的融合将安全能力及数据进行集中，避免防御短板阻断高级威胁。根据数据包的源地址、目的地址、传输层协议、端口（对应请求的服务类型）、时间、用户名等信息执行访问控制规则，具体的访问控制规则包括：</w:t>
      </w:r>
    </w:p>
    <w:p>
      <w:pPr>
        <w:ind w:firstLine="480"/>
        <w:rPr>
          <w:color w:val="000000" w:themeColor="text1"/>
        </w:rPr>
      </w:pPr>
      <w:r>
        <w:rPr>
          <w:color w:val="000000" w:themeColor="text1"/>
        </w:rPr>
        <w:t>对前端接入区、外联接入区访问视频共享平台的数据进行针对性的控制策略防护，其他没必要的任何访问均被禁止；</w:t>
      </w:r>
    </w:p>
    <w:p>
      <w:pPr>
        <w:ind w:firstLine="480"/>
        <w:rPr>
          <w:color w:val="000000" w:themeColor="text1"/>
        </w:rPr>
      </w:pPr>
      <w:r>
        <w:rPr>
          <w:color w:val="000000" w:themeColor="text1"/>
        </w:rPr>
        <w:t>会话监控策略：在防火墙配置会话监控策略，当会话处于非活跃一定时间或会话结束后，防火墙自动将会话丢弃，访问来源必须重新建立会话才能继续访问资源；</w:t>
      </w:r>
    </w:p>
    <w:p>
      <w:pPr>
        <w:ind w:firstLine="480"/>
        <w:rPr>
          <w:color w:val="000000" w:themeColor="text1"/>
        </w:rPr>
      </w:pPr>
      <w:r>
        <w:rPr>
          <w:color w:val="000000" w:themeColor="text1"/>
        </w:rPr>
        <w:t>身份认证策略：配置防火墙用户认证功能，对保护的应用系统可采取身份认证的方式（包括用户名/口令方式、S/KEY方式等），实现基于用户的访问控制；</w:t>
      </w:r>
    </w:p>
    <w:p>
      <w:pPr>
        <w:ind w:firstLine="480"/>
        <w:rPr>
          <w:color w:val="000000" w:themeColor="text1"/>
        </w:rPr>
      </w:pPr>
      <w:r>
        <w:rPr>
          <w:color w:val="000000" w:themeColor="text1"/>
        </w:rPr>
        <w:t>日志审计策略：防火墙详细记录了转发的访问数据包，可提供给网络管理人员进行分析。这里应当将防火墙记录日志统一导入到集中的日志管理服务器；</w:t>
      </w:r>
    </w:p>
    <w:p>
      <w:pPr>
        <w:ind w:firstLine="480"/>
        <w:rPr>
          <w:color w:val="000000" w:themeColor="text1"/>
        </w:rPr>
      </w:pPr>
      <w:r>
        <w:rPr>
          <w:color w:val="000000" w:themeColor="text1"/>
        </w:rPr>
        <w:t>防火墙上开启IPS、AV功能，对业务区间互访流量进行深度检测，对应用层攻击，病毒攻击，蠕虫攻击的内部扩散进行阻断。</w:t>
      </w:r>
    </w:p>
    <w:p>
      <w:pPr>
        <w:pStyle w:val="6"/>
        <w:spacing w:before="120" w:after="120"/>
        <w:ind w:firstLine="480"/>
        <w:rPr>
          <w:color w:val="000000" w:themeColor="text1"/>
        </w:rPr>
      </w:pPr>
      <w:bookmarkStart w:id="300" w:name="_Toc522260401"/>
      <w:r>
        <w:rPr>
          <w:rFonts w:hint="eastAsia"/>
          <w:color w:val="000000" w:themeColor="text1"/>
        </w:rPr>
        <w:t>1.2.3</w:t>
      </w:r>
      <w:r>
        <w:rPr>
          <w:color w:val="000000" w:themeColor="text1"/>
        </w:rPr>
        <w:t>解析中心安全防护</w:t>
      </w:r>
      <w:bookmarkEnd w:id="300"/>
    </w:p>
    <w:p>
      <w:pPr>
        <w:ind w:firstLine="480"/>
        <w:rPr>
          <w:color w:val="000000" w:themeColor="text1"/>
        </w:rPr>
      </w:pPr>
      <w:r>
        <w:rPr>
          <w:color w:val="000000" w:themeColor="text1"/>
        </w:rPr>
        <w:t>依据《公安部信息安全建设指南》相关规范和标准，针对解析中心平台的边界安全，需要提供精准、灵活的访问控制、逻辑隔离、防病毒、防入侵、防攻击等，实现细粒度控制下合法访问者对网络和系统的访问。</w:t>
      </w:r>
    </w:p>
    <w:p>
      <w:pPr>
        <w:ind w:firstLine="480"/>
        <w:rPr>
          <w:color w:val="000000" w:themeColor="text1"/>
        </w:rPr>
      </w:pPr>
      <w:r>
        <w:rPr>
          <w:color w:val="000000" w:themeColor="text1"/>
        </w:rPr>
        <w:t>在市本级解析中心边界部署下一代防火墙，起到区域隔离和接入安全控制的目的，下一代防火墙内置了视频监控设备特有的漏洞和攻击库，能够有效的识别和防御视频监控系统的漏洞和攻击。部署下一代应用层安全防护设备对病毒木马、黑客入侵、DDOS攻击、异常流量等安全威胁进行监测和防护，实现对应用服务的网络层访问控制。采用安全隔离设备，实现接入平台与监控业务之间的安全隔离。</w:t>
      </w:r>
    </w:p>
    <w:p>
      <w:pPr>
        <w:ind w:firstLine="480"/>
        <w:rPr>
          <w:color w:val="000000" w:themeColor="text1"/>
        </w:rPr>
      </w:pPr>
      <w:r>
        <w:rPr>
          <w:color w:val="000000" w:themeColor="text1"/>
        </w:rPr>
        <w:t>由于平台安全防护面向的主要是终端和网络，边界攻击往往来自于应用层攻击，黑客将攻击流量潜藏在正常的流量中，例如通过视频监控、指令控制等行为将木马、蠕虫等攻击流量散布到监控管理中心和业务服务端。专网边界下一代防火墙通过应用层智能识别，识别出监控网络中的路口监控流量、监控控制流量、以及非法的恶意流量。同时下一代防火墙制定详细的安全策略，限制任何监控视频流量的下行和外发。可对接入的视频数据进行严格的安全检查，包括如下几种检查：</w:t>
      </w:r>
    </w:p>
    <w:p>
      <w:pPr>
        <w:ind w:firstLine="480"/>
        <w:rPr>
          <w:color w:val="000000" w:themeColor="text1"/>
        </w:rPr>
      </w:pPr>
      <w:r>
        <w:rPr>
          <w:color w:val="000000" w:themeColor="text1"/>
        </w:rPr>
        <w:t>（1）数据源检查：保证数据源的合法性，防止非法数据进来；</w:t>
      </w:r>
    </w:p>
    <w:p>
      <w:pPr>
        <w:ind w:firstLine="480"/>
        <w:rPr>
          <w:color w:val="000000" w:themeColor="text1"/>
        </w:rPr>
      </w:pPr>
      <w:r>
        <w:rPr>
          <w:color w:val="000000" w:themeColor="text1"/>
        </w:rPr>
        <w:t>（2）格式检查：以保障视频数据格式的正确，去除无用的“脏数据”；</w:t>
      </w:r>
    </w:p>
    <w:p>
      <w:pPr>
        <w:ind w:firstLine="480"/>
        <w:rPr>
          <w:color w:val="000000" w:themeColor="text1"/>
        </w:rPr>
      </w:pPr>
      <w:r>
        <w:rPr>
          <w:color w:val="000000" w:themeColor="text1"/>
        </w:rPr>
        <w:t>（3）协议检查：保证视频应用协议的合法性；</w:t>
      </w:r>
    </w:p>
    <w:p>
      <w:pPr>
        <w:ind w:firstLine="480"/>
        <w:rPr>
          <w:color w:val="000000" w:themeColor="text1"/>
        </w:rPr>
      </w:pPr>
      <w:r>
        <w:rPr>
          <w:color w:val="000000" w:themeColor="text1"/>
        </w:rPr>
        <w:t>（4）木马/病毒防护：保障视频数据中不含非法的木马/病毒，保障平台与内网安全。</w:t>
      </w:r>
    </w:p>
    <w:p>
      <w:pPr>
        <w:ind w:firstLine="480"/>
        <w:rPr>
          <w:color w:val="000000" w:themeColor="text1"/>
        </w:rPr>
      </w:pPr>
      <w:r>
        <w:rPr>
          <w:color w:val="000000" w:themeColor="text1"/>
        </w:rPr>
        <w:t>在解析中心边界部署下一代防火墙可以做到事前风险预知、事中积极防御、事后检测与响应。</w:t>
      </w:r>
    </w:p>
    <w:p>
      <w:pPr>
        <w:ind w:firstLine="480"/>
        <w:rPr>
          <w:color w:val="000000" w:themeColor="text1"/>
        </w:rPr>
      </w:pPr>
      <w:r>
        <w:rPr>
          <w:rFonts w:hint="eastAsia"/>
          <w:color w:val="000000" w:themeColor="text1"/>
        </w:rPr>
        <w:t>1）</w:t>
      </w:r>
      <w:r>
        <w:rPr>
          <w:color w:val="000000" w:themeColor="text1"/>
        </w:rPr>
        <w:t>事前风险预知</w:t>
      </w:r>
    </w:p>
    <w:p>
      <w:pPr>
        <w:ind w:firstLine="480"/>
        <w:rPr>
          <w:color w:val="000000" w:themeColor="text1"/>
        </w:rPr>
      </w:pPr>
      <w:r>
        <w:rPr>
          <w:color w:val="000000" w:themeColor="text1"/>
        </w:rPr>
        <w:t>在整个网络攻击的过程中，攻击者往往也遵循着一定的流程。在攻击初期进行网络探测确定攻击目标寻找安全漏洞，然后在进行边界突破获取控制权限，在通过持续渗透或横向移动获取更多的控制权，最终再进行窃取破坏获得最大的战果。为了应对此类攻击必须要构建完整的防护体系，实现针对攻击流程的全程保护。下一代防火墙在事前阶段对资产实现自动发现并进行风险及策略的评估，实现风险预知；在事中通过最新的威胁情报对L2-7层实现联动防御的效果；在事后持续检测异常行为发现潜在威胁，并对已经发现的问题提供快速响应防止事件扩大。</w:t>
      </w:r>
    </w:p>
    <w:p>
      <w:pPr>
        <w:ind w:firstLine="480"/>
        <w:rPr>
          <w:color w:val="000000" w:themeColor="text1"/>
        </w:rPr>
      </w:pPr>
      <w:r>
        <w:rPr>
          <w:color w:val="000000" w:themeColor="text1"/>
        </w:rPr>
        <w:t>下一代防火墙可以在解析中心中快速筛选并定位需要保护的资产，避免出现遗漏。通过资产发现可以保证安全策略真正的产生应有的效果。对于我们现有的资产，由于各类终端主机的操作系统及作用各不相同，所以每个资产的安全漏洞也便各不相同。针对现有资产的漏洞进行安全防护可以帮助我们更好的实现安全防护的价值。下一代防火墙结合漏洞发现的能力，能更好的进行安全防护，使之根据针对性。</w:t>
      </w:r>
    </w:p>
    <w:p>
      <w:pPr>
        <w:ind w:firstLine="480"/>
        <w:rPr>
          <w:color w:val="000000" w:themeColor="text1"/>
        </w:rPr>
      </w:pPr>
      <w:r>
        <w:rPr>
          <w:color w:val="000000" w:themeColor="text1"/>
        </w:rPr>
        <w:t>下一代防火墙利用独有的实时漏洞功能，实时发现现有漏洞进行针对性防护。通过数据包中应用的版本信息，展示相关版本中存在的漏洞。通过访问请求包中传输的信息，检测是否对输入信息进行限制，服务器是否会做出相应来判定是否存在漏洞。通过数据包中的信息发现服务器的不安全配置等信息。系统上线测试阶段通过机器智能识别访问流量记录业务相关信息，NGAF可自动生成策略避免策略遗漏造成的安全风险。系统上线后经过业务变更、新老系统增减策略会不停变化，此时通过策略检查对比现有流量及策略情况发现变更情况增减策略。</w:t>
      </w:r>
    </w:p>
    <w:p>
      <w:pPr>
        <w:ind w:firstLine="480"/>
        <w:rPr>
          <w:color w:val="000000" w:themeColor="text1"/>
        </w:rPr>
      </w:pPr>
      <w:r>
        <w:rPr>
          <w:rFonts w:hint="eastAsia"/>
          <w:color w:val="000000" w:themeColor="text1"/>
        </w:rPr>
        <w:t>2）</w:t>
      </w:r>
      <w:r>
        <w:rPr>
          <w:color w:val="000000" w:themeColor="text1"/>
        </w:rPr>
        <w:t>事中积极防御</w:t>
      </w:r>
    </w:p>
    <w:p>
      <w:pPr>
        <w:ind w:firstLine="480"/>
        <w:rPr>
          <w:color w:val="000000" w:themeColor="text1"/>
        </w:rPr>
      </w:pPr>
      <w:r>
        <w:rPr>
          <w:color w:val="000000" w:themeColor="text1"/>
        </w:rPr>
        <w:t>下一代防火墙通过对事中防御能力的整合实现了积极防御，网络攻击从早期的网络层攻击到应用层，又到现在的web层攻击，攻击手段不断演进。想要完整的实现事中防御的能力必须要整合传统防火墙、IPS、WAF防护能力。下一代防火墙在安全防护方面通过实现L2-7层的安全防护避免出现安全防护的短板。同样避免了原有防护体系中复杂的网络架构，通过能力的集中也让我们具备了对安全事件综合分析，完整解析的能力。</w:t>
      </w:r>
    </w:p>
    <w:p>
      <w:pPr>
        <w:ind w:firstLine="480"/>
        <w:rPr>
          <w:color w:val="000000" w:themeColor="text1"/>
        </w:rPr>
      </w:pPr>
      <w:r>
        <w:rPr>
          <w:color w:val="000000" w:themeColor="text1"/>
        </w:rPr>
        <w:t>对于现在的网络攻击变种速度越来越快，如果不能快速的实现防御规则的更新则无法有效的进行防御。下一代防火墙通过与态势感知平台的未知威胁检测平台对接，同步全球在线的上万台设备的威胁情报，同时与各大安全机构共享威胁情报帮助每一台在线的下一代防火墙具备防御最新威胁的能力。</w:t>
      </w:r>
    </w:p>
    <w:p>
      <w:pPr>
        <w:ind w:firstLine="480"/>
        <w:rPr>
          <w:color w:val="000000" w:themeColor="text1"/>
        </w:rPr>
      </w:pPr>
      <w:r>
        <w:rPr>
          <w:rFonts w:hint="eastAsia"/>
          <w:color w:val="000000" w:themeColor="text1"/>
        </w:rPr>
        <w:t>3）</w:t>
      </w:r>
      <w:r>
        <w:rPr>
          <w:color w:val="000000" w:themeColor="text1"/>
        </w:rPr>
        <w:t>事后检测与响应</w:t>
      </w:r>
    </w:p>
    <w:p>
      <w:pPr>
        <w:ind w:firstLine="480"/>
        <w:rPr>
          <w:color w:val="000000" w:themeColor="text1"/>
        </w:rPr>
      </w:pPr>
      <w:r>
        <w:rPr>
          <w:color w:val="000000" w:themeColor="text1"/>
        </w:rPr>
        <w:t>很多攻击都是通过先实现单点突破后再进行持续渗透或横向移动的，在这类问题的解决上通过原有的对外防御已经没有意义。为了发现此类行为必须通过分析网络中的异常行为进行判断。与CNCERT共享失陷主机行为库，通过多种异常行为检测的方式发现网络中的失陷主机掐断攻击跳板，避免隐患爆发。当安全事件发生时下一代防火墙便会基于安全事件的具体内容提供相应的策略配置模板及解决方案，进行快速的问题处理，避免因为问题处理的延误导致事件扩散造成更大的损失。</w:t>
      </w:r>
    </w:p>
    <w:p>
      <w:pPr>
        <w:pStyle w:val="6"/>
        <w:spacing w:before="120" w:after="120"/>
        <w:ind w:firstLine="480"/>
        <w:rPr>
          <w:color w:val="000000" w:themeColor="text1"/>
        </w:rPr>
      </w:pPr>
      <w:bookmarkStart w:id="301" w:name="_Toc522260402"/>
      <w:r>
        <w:rPr>
          <w:rFonts w:hint="eastAsia"/>
          <w:color w:val="000000" w:themeColor="text1"/>
        </w:rPr>
        <w:t>1.2.4</w:t>
      </w:r>
      <w:r>
        <w:rPr>
          <w:color w:val="000000" w:themeColor="text1"/>
        </w:rPr>
        <w:t>日志审计系统</w:t>
      </w:r>
      <w:bookmarkEnd w:id="301"/>
    </w:p>
    <w:p>
      <w:pPr>
        <w:ind w:firstLine="480"/>
        <w:rPr>
          <w:color w:val="000000" w:themeColor="text1"/>
        </w:rPr>
      </w:pPr>
      <w:r>
        <w:rPr>
          <w:color w:val="000000" w:themeColor="text1"/>
        </w:rPr>
        <w:t>为保障整个公安视频专网的安全和稳定运行，在市本级公安视频专网核心交换机侧旁路部署一套日志审计系统，通过收集日志数据并分析处理，对公安视频专网系统中的终端设备、安全设备、网络设备、应用系统及其运行状况进行全面的检测、分析、评估、及时掌握平台的流量情况，追溯历史记录，对整个数据采集和平台进行管理。通过边界防火墙、平台防火墙及解析中心防火墙作为采集设备来收集相关日志信息，采集整网需要审计的安全日志，通过网络将所需日志信息推送给市本级日志审计系统，并存储这些日志，建立索引已支持快速查询，提供类似搜索引擎的查询。</w:t>
      </w:r>
    </w:p>
    <w:p>
      <w:pPr>
        <w:ind w:firstLine="480"/>
        <w:rPr>
          <w:color w:val="000000" w:themeColor="text1"/>
        </w:rPr>
      </w:pPr>
      <w:r>
        <w:rPr>
          <w:color w:val="000000" w:themeColor="text1"/>
        </w:rPr>
        <w:t>审计系统提供日志源管理，采集管理，报表查询，日志审计等功能，提供北向接口供第三方查询数据，同时提供基于https的WEBGUI访问接口，管理员可以通过浏览器对整套日志审计系统进行管理，系统负责来自不同防火墙不同类别的日志的采集、分类、格式化、存储等功能。基于业务日志，实现了分布式全文索引库，提供基于关键字和表达式的快速查询能力。针对会话日志，在分布式的文件数据库的基础上，结合经过优化的，实时的分布式索引，提供了超快的查询速度。</w:t>
      </w:r>
    </w:p>
    <w:p>
      <w:pPr>
        <w:ind w:firstLine="480"/>
        <w:rPr>
          <w:color w:val="000000" w:themeColor="text1"/>
        </w:rPr>
      </w:pPr>
      <w:r>
        <w:rPr>
          <w:rFonts w:hint="eastAsia"/>
          <w:color w:val="000000" w:themeColor="text1"/>
        </w:rPr>
        <w:t>为对视频应用行为做到可审计、可溯源、可取证，通过视频专网中共享平台系统通过自身系统实现应用行为日志的收集、审计及分析溯源功能，日志系统可以提供基于时间、用户</w:t>
      </w:r>
      <w:r>
        <w:rPr>
          <w:color w:val="000000" w:themeColor="text1"/>
        </w:rPr>
        <w:t>/</w:t>
      </w:r>
      <w:r>
        <w:rPr>
          <w:rFonts w:hint="eastAsia"/>
          <w:color w:val="000000" w:themeColor="text1"/>
        </w:rPr>
        <w:t>组、终端类型、访问视频监控平台的源</w:t>
      </w:r>
      <w:r>
        <w:rPr>
          <w:color w:val="000000" w:themeColor="text1"/>
        </w:rPr>
        <w:t>IP</w:t>
      </w:r>
      <w:r>
        <w:rPr>
          <w:rFonts w:hint="eastAsia"/>
          <w:color w:val="000000" w:themeColor="text1"/>
        </w:rPr>
        <w:t>地址、目的</w:t>
      </w:r>
      <w:r>
        <w:rPr>
          <w:color w:val="000000" w:themeColor="text1"/>
        </w:rPr>
        <w:t>IP</w:t>
      </w:r>
      <w:r>
        <w:rPr>
          <w:rFonts w:hint="eastAsia"/>
          <w:color w:val="000000" w:themeColor="text1"/>
        </w:rPr>
        <w:t>地址、应用类型等的记录。可以通过日志审计查询记录内部工作人员通过视频监控平台对摄像机以及平台录像进行不同程度的操作（包括通过视频监控平台对摄像机进行实时调取或者回访录像，识别操作动作），针对访问数据进行溯源。需要记录操作人员的视频应用行为，包括内容、发生时间等，并且需要长期保存以及可以对操作行为进行快速查询，保障出现泄密事件或者网络违法事件，可以准确追溯责任人。</w:t>
      </w:r>
    </w:p>
    <w:p>
      <w:pPr>
        <w:ind w:firstLine="480"/>
        <w:rPr>
          <w:color w:val="000000" w:themeColor="text1"/>
        </w:rPr>
      </w:pPr>
      <w:r>
        <w:rPr>
          <w:color w:val="000000" w:themeColor="text1"/>
        </w:rPr>
        <w:t>综上所述，通过共享平台操作日志审计模块和部署日志审计系统实现日志的统一管理和行为溯源，保障公安视频专网视频数据流向可视与可控，实现追查重要资料、机密文件视频等外泄的情况、监督、审查、限制、规范网络使用行为、对网络访问情况进行过滤审计，做到有据可查，对公安视频专网业务访问统计，用于分析使用网络情况。</w:t>
      </w:r>
    </w:p>
    <w:p>
      <w:pPr>
        <w:pStyle w:val="6"/>
        <w:spacing w:before="120" w:after="120"/>
        <w:ind w:firstLine="480"/>
        <w:rPr>
          <w:color w:val="000000" w:themeColor="text1"/>
        </w:rPr>
      </w:pPr>
      <w:bookmarkStart w:id="302" w:name="_Toc522260403"/>
      <w:r>
        <w:rPr>
          <w:rFonts w:hint="eastAsia"/>
          <w:color w:val="000000" w:themeColor="text1"/>
        </w:rPr>
        <w:t>1.2.5</w:t>
      </w:r>
      <w:r>
        <w:rPr>
          <w:color w:val="000000" w:themeColor="text1"/>
        </w:rPr>
        <w:t>运维审计系统</w:t>
      </w:r>
      <w:bookmarkEnd w:id="302"/>
    </w:p>
    <w:p>
      <w:pPr>
        <w:ind w:firstLine="480"/>
        <w:rPr>
          <w:color w:val="000000" w:themeColor="text1"/>
        </w:rPr>
      </w:pPr>
      <w:r>
        <w:rPr>
          <w:color w:val="000000" w:themeColor="text1"/>
        </w:rPr>
        <w:t>运维审计系统通过堡垒机对主机、服务器、网络设备、安全设备等进行安全、有效的操作审计。堡垒机可以对运维人员的权限进行控制，并且对运维动作进行审计，在运维过程中如果出现误操作导致应用无法使用，可以及时查看运维操作进行回退。</w:t>
      </w:r>
      <w:r>
        <w:rPr>
          <w:rFonts w:hint="eastAsia"/>
          <w:color w:val="000000" w:themeColor="text1"/>
        </w:rPr>
        <w:t>在市本级</w:t>
      </w:r>
      <w:r>
        <w:rPr>
          <w:color w:val="000000" w:themeColor="text1"/>
        </w:rPr>
        <w:t>公安视频专网</w:t>
      </w:r>
      <w:r>
        <w:rPr>
          <w:rFonts w:hint="eastAsia"/>
          <w:color w:val="000000" w:themeColor="text1"/>
        </w:rPr>
        <w:t>和公安信息网内各</w:t>
      </w:r>
      <w:r>
        <w:rPr>
          <w:color w:val="000000" w:themeColor="text1"/>
        </w:rPr>
        <w:t>部署1台堡垒机，通过堡垒机对主机、服务器、网络设备、安全设备等进行安全、有效、直观的操作审计，对策略配置、系统维护、内部访问等进行详细的记录，提供细粒度的审计，同时将身份认证、授权、管理、审计有机地结合，保证只有合法用户才能使用其拥有运维权限的关键资源。</w:t>
      </w:r>
    </w:p>
    <w:p>
      <w:pPr>
        <w:ind w:firstLine="480"/>
        <w:rPr>
          <w:color w:val="000000" w:themeColor="text1"/>
        </w:rPr>
      </w:pPr>
      <w:r>
        <w:rPr>
          <w:color w:val="000000" w:themeColor="text1"/>
        </w:rPr>
        <w:t>其从功能上讲，它综合了核心系统</w:t>
      </w:r>
      <w:r>
        <w:fldChar w:fldCharType="begin"/>
      </w:r>
      <w:r>
        <w:instrText xml:space="preserve"> HYPERLINK "https://baike.baidu.com/item/%E8%BF%90%E7%BB%B4" \t "_blank" </w:instrText>
      </w:r>
      <w:r>
        <w:fldChar w:fldCharType="separate"/>
      </w:r>
      <w:r>
        <w:rPr>
          <w:color w:val="000000" w:themeColor="text1"/>
        </w:rPr>
        <w:t>运维</w:t>
      </w:r>
      <w:r>
        <w:rPr>
          <w:color w:val="000000" w:themeColor="text1"/>
        </w:rPr>
        <w:fldChar w:fldCharType="end"/>
      </w:r>
      <w:r>
        <w:rPr>
          <w:color w:val="000000" w:themeColor="text1"/>
        </w:rPr>
        <w:t>和</w:t>
      </w:r>
      <w:r>
        <w:fldChar w:fldCharType="begin"/>
      </w:r>
      <w:r>
        <w:instrText xml:space="preserve"> HYPERLINK "https://baike.baidu.com/item/%E5%AE%89%E5%85%A8%E5%AE%A1%E8%AE%A1" \t "_blank" </w:instrText>
      </w:r>
      <w:r>
        <w:fldChar w:fldCharType="separate"/>
      </w:r>
      <w:r>
        <w:rPr>
          <w:color w:val="000000" w:themeColor="text1"/>
        </w:rPr>
        <w:t>安全审计</w:t>
      </w:r>
      <w:r>
        <w:rPr>
          <w:color w:val="000000" w:themeColor="text1"/>
        </w:rPr>
        <w:fldChar w:fldCharType="end"/>
      </w:r>
      <w:r>
        <w:rPr>
          <w:color w:val="000000" w:themeColor="text1"/>
        </w:rPr>
        <w:t>管控两大主干功能，通过切断终端计算机对网络和服务器资源的直接访问，而采用协议代理的方式，接管了终端计算机对网络和服务器的访问。运维安全审计能够拦截非法访问，和恶意攻击，对不合法命令进行命令阻断，过滤掉所有对目标设备的非法访问行为，并对内部人员误操作和非法操作进行审计监控，以便事后责任追踪。</w:t>
      </w:r>
    </w:p>
    <w:p>
      <w:pPr>
        <w:ind w:firstLine="480"/>
        <w:rPr>
          <w:color w:val="000000" w:themeColor="text1"/>
        </w:rPr>
      </w:pPr>
      <w:r>
        <w:rPr>
          <w:color w:val="000000" w:themeColor="text1"/>
        </w:rPr>
        <w:t>设备支持统一账户管理策略，能够实现对所有服务器、网络设备、安全设备等账号进行集中管理，完成对账号整个生命周期的监控，并且可以对设备进行特殊角色设置如：</w:t>
      </w:r>
      <w:r>
        <w:fldChar w:fldCharType="begin"/>
      </w:r>
      <w:r>
        <w:instrText xml:space="preserve"> HYPERLINK "https://baike.baidu.com/item/%E5%AE%A1%E8%AE%A1/2140835" \t "_blank" </w:instrText>
      </w:r>
      <w:r>
        <w:fldChar w:fldCharType="separate"/>
      </w:r>
      <w:r>
        <w:rPr>
          <w:color w:val="000000" w:themeColor="text1"/>
        </w:rPr>
        <w:t>审计</w:t>
      </w:r>
      <w:r>
        <w:rPr>
          <w:color w:val="000000" w:themeColor="text1"/>
        </w:rPr>
        <w:fldChar w:fldCharType="end"/>
      </w:r>
      <w:r>
        <w:rPr>
          <w:color w:val="000000" w:themeColor="text1"/>
        </w:rPr>
        <w:t>巡检员、</w:t>
      </w:r>
      <w:r>
        <w:fldChar w:fldCharType="begin"/>
      </w:r>
      <w:r>
        <w:instrText xml:space="preserve"> HYPERLINK "https://baike.baidu.com/item/%E8%BF%90%E7%BB%B4" \t "_blank" </w:instrText>
      </w:r>
      <w:r>
        <w:fldChar w:fldCharType="separate"/>
      </w:r>
      <w:r>
        <w:rPr>
          <w:color w:val="000000" w:themeColor="text1"/>
        </w:rPr>
        <w:t>运维</w:t>
      </w:r>
      <w:r>
        <w:rPr>
          <w:color w:val="000000" w:themeColor="text1"/>
        </w:rPr>
        <w:fldChar w:fldCharType="end"/>
      </w:r>
      <w:r>
        <w:rPr>
          <w:color w:val="000000" w:themeColor="text1"/>
        </w:rPr>
        <w:t>操作员、</w:t>
      </w:r>
      <w:r>
        <w:fldChar w:fldCharType="begin"/>
      </w:r>
      <w:r>
        <w:instrText xml:space="preserve"> HYPERLINK "https://baike.baidu.com/item/%E8%AE%BE%E5%A4%87" \t "_blank" </w:instrText>
      </w:r>
      <w:r>
        <w:fldChar w:fldCharType="separate"/>
      </w:r>
      <w:r>
        <w:rPr>
          <w:color w:val="000000" w:themeColor="text1"/>
        </w:rPr>
        <w:t>设备</w:t>
      </w:r>
      <w:r>
        <w:rPr>
          <w:color w:val="000000" w:themeColor="text1"/>
        </w:rPr>
        <w:fldChar w:fldCharType="end"/>
      </w:r>
      <w:r>
        <w:rPr>
          <w:color w:val="000000" w:themeColor="text1"/>
        </w:rPr>
        <w:t>管理员等自定义设置，以满足审计需求，提供基于用户、目标设备、时间、协议类型</w:t>
      </w:r>
      <w:r>
        <w:fldChar w:fldCharType="begin"/>
      </w:r>
      <w:r>
        <w:instrText xml:space="preserve"> HYPERLINK "https://baike.baidu.com/item/IP/224599" \t "_blank" </w:instrText>
      </w:r>
      <w:r>
        <w:fldChar w:fldCharType="separate"/>
      </w:r>
      <w:r>
        <w:rPr>
          <w:color w:val="000000" w:themeColor="text1"/>
        </w:rPr>
        <w:t>IP</w:t>
      </w:r>
      <w:r>
        <w:rPr>
          <w:color w:val="000000" w:themeColor="text1"/>
        </w:rPr>
        <w:fldChar w:fldCharType="end"/>
      </w:r>
      <w:r>
        <w:rPr>
          <w:color w:val="000000" w:themeColor="text1"/>
        </w:rPr>
        <w:t>、行为等要素实现细粒度的操作授权，最大限度保护用户资源的安全，设备支持对不同用户进行不同策略的制定，细粒度的访问控制能够最大限度的保护用户资源的安全，严防非法、越权访问事件的发生。</w:t>
      </w:r>
    </w:p>
    <w:p>
      <w:pPr>
        <w:pStyle w:val="6"/>
        <w:spacing w:before="120" w:after="120"/>
        <w:ind w:firstLine="480"/>
        <w:rPr>
          <w:color w:val="000000" w:themeColor="text1"/>
        </w:rPr>
      </w:pPr>
      <w:r>
        <w:rPr>
          <w:rFonts w:hint="eastAsia"/>
          <w:color w:val="000000" w:themeColor="text1"/>
        </w:rPr>
        <w:t>1.2.6</w:t>
      </w:r>
      <w:r>
        <w:rPr>
          <w:color w:val="000000" w:themeColor="text1"/>
        </w:rPr>
        <w:t>准入控制及终端安全管理</w:t>
      </w:r>
    </w:p>
    <w:p>
      <w:pPr>
        <w:ind w:firstLine="480"/>
        <w:rPr>
          <w:color w:val="000000" w:themeColor="text1"/>
        </w:rPr>
      </w:pPr>
      <w:r>
        <w:rPr>
          <w:color w:val="000000" w:themeColor="text1"/>
        </w:rPr>
        <w:t>公安视频专网网络安全管理系统主要包括联网准入控制系统、终端安全管理系统、安全统一管理平台，全市除东阳和永康外均已部署了联网准入控制系统及终端安全管理系统，其中联网准入控制系统采用市、县/区跨域多级分布式部署，自动同步各节点数据到统一安全管理平台。准入系统具备终端的准入，同时加入准入审计功能。只有认证通过的终端发送的流量再经过L4-7层协议解析通过后才能通过该设备，其他流量全部阻断。终端安全管理系统需采用集中管理架构，市局部署管理、市县区分局分权管理各自辖区的资产、安全策略等，对网内各计算机终端进行安全加固，对突发异常流量行为进行监控；要求具备终端桌面水印功能，实现对拍照、截屏等泄密者的信息执行溯源跟踪。安全统一管理平台为增加东阳与永康的安全子系统做相应的扩容。</w:t>
      </w:r>
    </w:p>
    <w:p>
      <w:pPr>
        <w:ind w:firstLine="480"/>
        <w:rPr>
          <w:color w:val="000000" w:themeColor="text1"/>
        </w:rPr>
      </w:pPr>
      <w:r>
        <w:rPr>
          <w:color w:val="000000" w:themeColor="text1"/>
        </w:rPr>
        <w:t>联网准入系统分为设备资产发现和设备准入两个功能模块为设备资产发现和设备准入。</w:t>
      </w:r>
    </w:p>
    <w:p>
      <w:pPr>
        <w:ind w:firstLine="480"/>
        <w:rPr>
          <w:color w:val="000000" w:themeColor="text1"/>
        </w:rPr>
      </w:pPr>
      <w:r>
        <w:rPr>
          <w:color w:val="000000" w:themeColor="text1"/>
        </w:rPr>
        <w:t>（1）设备资产发现</w:t>
      </w:r>
    </w:p>
    <w:p>
      <w:pPr>
        <w:ind w:firstLine="480"/>
        <w:rPr>
          <w:color w:val="000000" w:themeColor="text1"/>
        </w:rPr>
      </w:pPr>
      <w:r>
        <w:rPr>
          <w:color w:val="000000" w:themeColor="text1"/>
        </w:rPr>
        <w:t>联网设备准入系统通过扫描网络设备建立所在区域的网络拓扑，根据扫描结构自动分析网络范围及设备连接情况，计算由三层交换机与路由器等构成的网络，根据内置的终端指纹库，完成包括计算机的自动扫描和识别，绘制出整个电子政务外网的网络及终端状况。在已经建立的网络拓扑和终端视图基础上，联网设备准入系统会进行网络设备和终端的动态监控，当网络设备发生变动，如宕机、更换等；或者网络终端发生变化，如离线、入网、替换、更换位置和更换IP地址时，产生报警信息并且更新网络拓扑和终端状态，及时提醒管理员采取相应的管理措施。</w:t>
      </w:r>
    </w:p>
    <w:p>
      <w:pPr>
        <w:ind w:firstLine="480"/>
        <w:rPr>
          <w:color w:val="000000" w:themeColor="text1"/>
        </w:rPr>
      </w:pPr>
      <w:r>
        <w:rPr>
          <w:color w:val="000000" w:themeColor="text1"/>
        </w:rPr>
        <w:t>（2）设备准入</w:t>
      </w:r>
    </w:p>
    <w:p>
      <w:pPr>
        <w:ind w:firstLine="480"/>
        <w:rPr>
          <w:color w:val="000000" w:themeColor="text1"/>
        </w:rPr>
      </w:pPr>
      <w:r>
        <w:rPr>
          <w:color w:val="000000" w:themeColor="text1"/>
        </w:rPr>
        <w:t>联网准入系统在终端扫描和自动类型识别的基础上完成网络设备的入网管控，对允许接入设备，系统采用白名单的方式进行准入管理并不断进行设备信息与类型检查，确保使用白名单IP及特征信息的设备没有被替换成其他类型的设备。对于系统识别出新接入的设备，根据设定的策略，自动或者由工确认该设备是否允许接入网络。</w:t>
      </w:r>
    </w:p>
    <w:p>
      <w:pPr>
        <w:ind w:firstLine="480"/>
        <w:rPr>
          <w:color w:val="000000" w:themeColor="text1"/>
        </w:rPr>
      </w:pPr>
      <w:r>
        <w:rPr>
          <w:color w:val="000000" w:themeColor="text1"/>
        </w:rPr>
        <w:t>联网设备准入系统可强制要求公安视频专网内计算机和服务器安装客户端软件。网络接入控制系统能自动判断计算机设备是否安装了客户端软件，当未注册计算机访问网络资源时，能自动将其访问地址跳转到客户端软件下载页面，引导用户下载并安装客户端软件。安装了客户端软件的计算机设备，可实行安全体检。对体检未通过的设备，可自动阻断其联网权限，直到用户进行相关的安全修复满足体检要求后才会自动恢复联网功能。</w:t>
      </w:r>
    </w:p>
    <w:p>
      <w:pPr>
        <w:ind w:firstLine="480"/>
        <w:rPr>
          <w:color w:val="000000" w:themeColor="text1"/>
        </w:rPr>
      </w:pPr>
      <w:r>
        <w:rPr>
          <w:color w:val="000000" w:themeColor="text1"/>
        </w:rPr>
        <w:t>终端安全管理涉及终端资产管理、终端安全加固、终端行为管理、补丁自动分发和管理、终端联网设备管控。终端资产管理能够识别结合终端注册信息完成运维终端和普通终端的资产管理；终端安全加固对内部使用的终端设备自身的安全防护需落实到位，包括弱口令和账户安全管理，端口及服务器管理，操作系统补丁需求，病毒防护检查，终端基线检查；终端行为管理包括：应用行为管理，离网单机管理，异常流量监控，软件和进程监控管理；补丁自动分发和管理对系统漏洞扫描与补丁分发；终端联网设备管控对接入网络的设备进行自动种类识别，区分出可以安装客户端软件的计算机类设备和不能安装客户端软件的潜入式设备如IPC等并针对设备种类采取不同的准入控制策略。</w:t>
      </w:r>
    </w:p>
    <w:p>
      <w:pPr>
        <w:snapToGrid w:val="0"/>
        <w:ind w:firstLine="482"/>
        <w:rPr>
          <w:rFonts w:ascii="宋体" w:hAnsi="宋体"/>
          <w:b/>
          <w:color w:val="000000" w:themeColor="text1"/>
        </w:rPr>
      </w:pPr>
    </w:p>
    <w:p>
      <w:pPr>
        <w:pStyle w:val="4"/>
        <w:ind w:firstLine="562"/>
        <w:rPr>
          <w:color w:val="000000" w:themeColor="text1"/>
        </w:rPr>
      </w:pPr>
      <w:bookmarkStart w:id="303" w:name="_Toc8760711"/>
      <w:bookmarkStart w:id="304" w:name="_Toc7521687"/>
      <w:r>
        <w:rPr>
          <w:rFonts w:hint="eastAsia"/>
          <w:color w:val="000000" w:themeColor="text1"/>
        </w:rPr>
        <w:t>（二）项目清单</w:t>
      </w:r>
      <w:bookmarkEnd w:id="303"/>
      <w:bookmarkEnd w:id="304"/>
    </w:p>
    <w:tbl>
      <w:tblPr>
        <w:tblStyle w:val="53"/>
        <w:tblW w:w="852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8"/>
        <w:gridCol w:w="1056"/>
        <w:gridCol w:w="5153"/>
        <w:gridCol w:w="427"/>
        <w:gridCol w:w="647"/>
        <w:gridCol w:w="4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00" w:hRule="atLeast"/>
          <w:tblHeader/>
          <w:jc w:val="center"/>
        </w:trPr>
        <w:tc>
          <w:tcPr>
            <w:tcW w:w="818" w:type="dxa"/>
            <w:vAlign w:val="center"/>
          </w:tcPr>
          <w:p>
            <w:pPr>
              <w:spacing w:line="300" w:lineRule="exact"/>
              <w:jc w:val="center"/>
              <w:rPr>
                <w:rFonts w:ascii="仿宋_GB2312" w:hAnsi="宋体"/>
                <w:b/>
                <w:bCs/>
                <w:color w:val="000000" w:themeColor="text1"/>
              </w:rPr>
            </w:pPr>
            <w:r>
              <w:rPr>
                <w:rFonts w:hint="eastAsia" w:ascii="仿宋_GB2312" w:hAnsi="宋体"/>
                <w:b/>
                <w:bCs/>
                <w:color w:val="000000" w:themeColor="text1"/>
              </w:rPr>
              <w:t>项目</w:t>
            </w:r>
          </w:p>
        </w:tc>
        <w:tc>
          <w:tcPr>
            <w:tcW w:w="1056" w:type="dxa"/>
            <w:vAlign w:val="center"/>
          </w:tcPr>
          <w:p>
            <w:pPr>
              <w:spacing w:line="300" w:lineRule="exact"/>
              <w:jc w:val="center"/>
              <w:rPr>
                <w:rFonts w:ascii="仿宋_GB2312"/>
                <w:b/>
                <w:bCs/>
                <w:color w:val="000000" w:themeColor="text1"/>
              </w:rPr>
            </w:pPr>
            <w:r>
              <w:rPr>
                <w:rFonts w:hint="eastAsia" w:ascii="仿宋_GB2312"/>
                <w:b/>
                <w:bCs/>
                <w:color w:val="000000" w:themeColor="text1"/>
              </w:rPr>
              <w:t>子项目</w:t>
            </w:r>
          </w:p>
        </w:tc>
        <w:tc>
          <w:tcPr>
            <w:tcW w:w="5153" w:type="dxa"/>
            <w:vAlign w:val="center"/>
          </w:tcPr>
          <w:p>
            <w:pPr>
              <w:spacing w:line="300" w:lineRule="exact"/>
              <w:jc w:val="center"/>
              <w:rPr>
                <w:rFonts w:ascii="仿宋_GB2312"/>
                <w:b/>
                <w:bCs/>
                <w:color w:val="000000" w:themeColor="text1"/>
              </w:rPr>
            </w:pPr>
            <w:r>
              <w:rPr>
                <w:rFonts w:hint="eastAsia" w:ascii="仿宋_GB2312"/>
                <w:b/>
                <w:bCs/>
                <w:color w:val="000000" w:themeColor="text1"/>
              </w:rPr>
              <w:t>技术参数要求</w:t>
            </w:r>
          </w:p>
        </w:tc>
        <w:tc>
          <w:tcPr>
            <w:tcW w:w="427" w:type="dxa"/>
            <w:vAlign w:val="center"/>
          </w:tcPr>
          <w:p>
            <w:pPr>
              <w:spacing w:line="300" w:lineRule="exact"/>
              <w:jc w:val="center"/>
              <w:rPr>
                <w:rFonts w:ascii="仿宋_GB2312"/>
                <w:b/>
                <w:bCs/>
                <w:color w:val="000000" w:themeColor="text1"/>
              </w:rPr>
            </w:pPr>
            <w:r>
              <w:rPr>
                <w:rFonts w:hint="eastAsia" w:ascii="仿宋_GB2312"/>
                <w:b/>
                <w:bCs/>
                <w:color w:val="000000" w:themeColor="text1"/>
              </w:rPr>
              <w:t>数量</w:t>
            </w:r>
          </w:p>
        </w:tc>
        <w:tc>
          <w:tcPr>
            <w:tcW w:w="647" w:type="dxa"/>
            <w:vAlign w:val="center"/>
          </w:tcPr>
          <w:p>
            <w:pPr>
              <w:spacing w:line="300" w:lineRule="exact"/>
              <w:jc w:val="center"/>
              <w:rPr>
                <w:rFonts w:ascii="仿宋_GB2312"/>
                <w:b/>
                <w:bCs/>
                <w:color w:val="000000" w:themeColor="text1"/>
              </w:rPr>
            </w:pPr>
            <w:r>
              <w:rPr>
                <w:rFonts w:hint="eastAsia" w:ascii="仿宋_GB2312"/>
                <w:b/>
                <w:bCs/>
                <w:color w:val="000000" w:themeColor="text1"/>
              </w:rPr>
              <w:t>县市区</w:t>
            </w:r>
          </w:p>
        </w:tc>
        <w:tc>
          <w:tcPr>
            <w:tcW w:w="427" w:type="dxa"/>
            <w:vAlign w:val="center"/>
          </w:tcPr>
          <w:p>
            <w:pPr>
              <w:spacing w:line="300" w:lineRule="exact"/>
              <w:jc w:val="center"/>
              <w:rPr>
                <w:rFonts w:ascii="仿宋_GB2312"/>
                <w:b/>
                <w:bCs/>
                <w:color w:val="000000" w:themeColor="text1"/>
              </w:rPr>
            </w:pPr>
            <w:r>
              <w:rPr>
                <w:rFonts w:hint="eastAsia" w:ascii="仿宋_GB2312"/>
                <w:b/>
                <w:bCs/>
                <w:color w:val="000000" w:themeColor="text1"/>
              </w:rPr>
              <w:t>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00" w:hRule="atLeast"/>
          <w:jc w:val="center"/>
        </w:trPr>
        <w:tc>
          <w:tcPr>
            <w:tcW w:w="818" w:type="dxa"/>
            <w:vMerge w:val="restart"/>
            <w:noWrap/>
            <w:vAlign w:val="center"/>
          </w:tcPr>
          <w:p>
            <w:pPr>
              <w:spacing w:line="300" w:lineRule="exact"/>
              <w:jc w:val="center"/>
              <w:rPr>
                <w:rFonts w:ascii="仿宋_GB2312" w:hAnsi="宋体"/>
                <w:color w:val="000000" w:themeColor="text1"/>
              </w:rPr>
            </w:pPr>
            <w:r>
              <w:rPr>
                <w:rFonts w:hint="eastAsia" w:ascii="仿宋_GB2312" w:hAnsi="宋体"/>
                <w:color w:val="000000" w:themeColor="text1"/>
              </w:rPr>
              <w:t>边界防护</w:t>
            </w:r>
          </w:p>
        </w:tc>
        <w:tc>
          <w:tcPr>
            <w:tcW w:w="1056" w:type="dxa"/>
            <w:noWrap/>
            <w:vAlign w:val="center"/>
          </w:tcPr>
          <w:p>
            <w:pPr>
              <w:spacing w:line="300" w:lineRule="exact"/>
              <w:jc w:val="center"/>
              <w:rPr>
                <w:rFonts w:ascii="仿宋_GB2312"/>
                <w:color w:val="000000" w:themeColor="text1"/>
              </w:rPr>
            </w:pPr>
            <w:r>
              <w:rPr>
                <w:rFonts w:hint="eastAsia" w:ascii="仿宋_GB2312"/>
                <w:color w:val="000000" w:themeColor="text1"/>
              </w:rPr>
              <w:t>视频边界(万兆)</w:t>
            </w:r>
          </w:p>
        </w:tc>
        <w:tc>
          <w:tcPr>
            <w:tcW w:w="5153" w:type="dxa"/>
            <w:vAlign w:val="center"/>
          </w:tcPr>
          <w:p>
            <w:pPr>
              <w:spacing w:line="300" w:lineRule="exact"/>
              <w:rPr>
                <w:rFonts w:ascii="仿宋_GB2312"/>
                <w:color w:val="000000" w:themeColor="text1"/>
              </w:rPr>
            </w:pPr>
            <w:r>
              <w:rPr>
                <w:rFonts w:hint="eastAsia" w:ascii="仿宋_GB2312"/>
                <w:color w:val="000000" w:themeColor="text1"/>
              </w:rPr>
              <w:t>1、系统采用三部件构成，包括视频用户认证服务器、视频接入认证服务器和安全隔离设备；</w:t>
            </w:r>
            <w:r>
              <w:rPr>
                <w:rFonts w:hint="eastAsia" w:ascii="仿宋_GB2312"/>
                <w:color w:val="000000" w:themeColor="text1"/>
              </w:rPr>
              <w:br w:type="textWrapping"/>
            </w:r>
            <w:r>
              <w:rPr>
                <w:rFonts w:hint="eastAsia"/>
                <w:color w:val="000000" w:themeColor="text1"/>
              </w:rPr>
              <w:t>★</w:t>
            </w:r>
            <w:r>
              <w:rPr>
                <w:rFonts w:hint="eastAsia" w:ascii="仿宋_GB2312"/>
                <w:color w:val="000000" w:themeColor="text1"/>
              </w:rPr>
              <w:t>2、用户认证服务器端口：配置≥2个千兆以太网络接口，配置≥2个万兆光纤接口（含光模块），接入认证服务器端口：配置≥2个千兆以太网络接口，配置≥2个万兆光纤接口（含光模块），安全隔离与信息交换系统端口：配置≥2个千兆以太网络接口，配置≥2个万兆光纤接口（含光模块）；</w:t>
            </w:r>
            <w:r>
              <w:rPr>
                <w:rFonts w:hint="eastAsia" w:ascii="仿宋_GB2312"/>
                <w:color w:val="000000" w:themeColor="text1"/>
              </w:rPr>
              <w:br w:type="textWrapping"/>
            </w:r>
            <w:r>
              <w:rPr>
                <w:rFonts w:hint="eastAsia"/>
                <w:color w:val="000000" w:themeColor="text1"/>
              </w:rPr>
              <w:t>★</w:t>
            </w:r>
            <w:r>
              <w:rPr>
                <w:rFonts w:hint="eastAsia" w:ascii="仿宋_GB2312"/>
                <w:color w:val="000000" w:themeColor="text1"/>
              </w:rPr>
              <w:t>3、系统吞吐量≥4Gbps，并发吞吐量≥2000路并发（标清：每路D1画质，2Mbps）；</w:t>
            </w:r>
            <w:r>
              <w:rPr>
                <w:rFonts w:hint="eastAsia" w:ascii="仿宋_GB2312"/>
                <w:color w:val="000000" w:themeColor="text1"/>
              </w:rPr>
              <w:br w:type="textWrapping"/>
            </w:r>
            <w:r>
              <w:rPr>
                <w:rFonts w:hint="eastAsia" w:ascii="仿宋_GB2312"/>
                <w:color w:val="000000" w:themeColor="text1"/>
              </w:rPr>
              <w:t>4、稳定性运行时间(MTBF)≥50000小时；</w:t>
            </w:r>
            <w:r>
              <w:rPr>
                <w:rFonts w:hint="eastAsia" w:ascii="仿宋_GB2312"/>
                <w:color w:val="000000" w:themeColor="text1"/>
              </w:rPr>
              <w:br w:type="textWrapping"/>
            </w:r>
            <w:r>
              <w:rPr>
                <w:rFonts w:hint="eastAsia"/>
                <w:color w:val="000000" w:themeColor="text1"/>
              </w:rPr>
              <w:t>★</w:t>
            </w:r>
            <w:r>
              <w:rPr>
                <w:rFonts w:hint="eastAsia" w:ascii="仿宋_GB2312"/>
                <w:color w:val="000000" w:themeColor="text1"/>
              </w:rPr>
              <w:t>5、延时＜50ms，电源冗余电源；</w:t>
            </w:r>
            <w:r>
              <w:rPr>
                <w:rFonts w:hint="eastAsia" w:ascii="仿宋_GB2312"/>
                <w:color w:val="000000" w:themeColor="text1"/>
              </w:rPr>
              <w:br w:type="textWrapping"/>
            </w:r>
            <w:r>
              <w:rPr>
                <w:rFonts w:hint="eastAsia" w:ascii="仿宋_GB2312"/>
                <w:color w:val="000000" w:themeColor="text1"/>
              </w:rPr>
              <w:t>6、能直接支持海康、大华、宇视、科达、互信互通、华为、先进视讯、天视、博康、博路、贝尔等40多种视频协议；</w:t>
            </w:r>
            <w:r>
              <w:rPr>
                <w:rFonts w:hint="eastAsia" w:ascii="仿宋_GB2312"/>
                <w:color w:val="000000" w:themeColor="text1"/>
              </w:rPr>
              <w:br w:type="textWrapping"/>
            </w:r>
            <w:r>
              <w:rPr>
                <w:rFonts w:hint="eastAsia" w:ascii="仿宋_GB2312"/>
                <w:color w:val="000000" w:themeColor="text1"/>
              </w:rPr>
              <w:t>7、能够直接识别各种主流的视频格式，仅允许合法的视频数据通过；</w:t>
            </w:r>
            <w:r>
              <w:rPr>
                <w:rFonts w:hint="eastAsia" w:ascii="仿宋_GB2312"/>
                <w:color w:val="000000" w:themeColor="text1"/>
              </w:rPr>
              <w:br w:type="textWrapping"/>
            </w:r>
            <w:r>
              <w:rPr>
                <w:rFonts w:hint="eastAsia" w:ascii="仿宋_GB2312"/>
                <w:color w:val="000000" w:themeColor="text1"/>
              </w:rPr>
              <w:t>8、支持基于IP地址的视频客户端流量控制管理功能，可设置客户端访问视频的最大带宽；</w:t>
            </w:r>
            <w:r>
              <w:rPr>
                <w:rFonts w:hint="eastAsia" w:ascii="仿宋_GB2312"/>
                <w:color w:val="000000" w:themeColor="text1"/>
              </w:rPr>
              <w:br w:type="textWrapping"/>
            </w:r>
            <w:r>
              <w:rPr>
                <w:rFonts w:hint="eastAsia" w:ascii="仿宋_GB2312"/>
                <w:color w:val="000000" w:themeColor="text1"/>
              </w:rPr>
              <w:t>9、可针对视频控制信令SIP RTSP以及视频流格式RTP等配置白名单过滤条件，支持正则表达式；</w:t>
            </w:r>
            <w:r>
              <w:rPr>
                <w:rFonts w:hint="eastAsia" w:ascii="仿宋_GB2312"/>
                <w:color w:val="000000" w:themeColor="text1"/>
              </w:rPr>
              <w:br w:type="textWrapping"/>
            </w:r>
            <w:r>
              <w:rPr>
                <w:rFonts w:hint="eastAsia" w:ascii="仿宋_GB2312"/>
                <w:color w:val="000000" w:themeColor="text1"/>
              </w:rPr>
              <w:t>10、可扩展支持公安数字集群系统（PDT）协议等音频协议，可满足海能达、承联、优能等基于标准PDT协议的公安数字集群厂家系统安全接入,支持单呼、组呼、紧急呼叫、广播呼叫、全呼、调度台互连呼叫等业务；</w:t>
            </w:r>
            <w:r>
              <w:rPr>
                <w:rFonts w:hint="eastAsia" w:ascii="仿宋_GB2312"/>
                <w:color w:val="000000" w:themeColor="text1"/>
              </w:rPr>
              <w:br w:type="textWrapping"/>
            </w:r>
            <w:r>
              <w:rPr>
                <w:rFonts w:hint="eastAsia" w:ascii="仿宋_GB2312"/>
                <w:color w:val="000000" w:themeColor="text1"/>
              </w:rPr>
              <w:t>11、要求对用户行为进行审计，包括正常登录，非法登录，非法请求，退出等；</w:t>
            </w:r>
            <w:r>
              <w:rPr>
                <w:rFonts w:hint="eastAsia" w:ascii="仿宋_GB2312"/>
                <w:color w:val="000000" w:themeColor="text1"/>
              </w:rPr>
              <w:br w:type="textWrapping"/>
            </w:r>
            <w:r>
              <w:rPr>
                <w:rFonts w:hint="eastAsia" w:ascii="仿宋_GB2312"/>
                <w:color w:val="000000" w:themeColor="text1"/>
              </w:rPr>
              <w:t>12、通过公安部组织测试的接入平台厂商名单。</w:t>
            </w:r>
          </w:p>
        </w:tc>
        <w:tc>
          <w:tcPr>
            <w:tcW w:w="427" w:type="dxa"/>
            <w:noWrap/>
            <w:vAlign w:val="center"/>
          </w:tcPr>
          <w:p>
            <w:pPr>
              <w:spacing w:line="300" w:lineRule="exact"/>
              <w:jc w:val="center"/>
              <w:rPr>
                <w:rFonts w:ascii="仿宋_GB2312"/>
                <w:color w:val="000000" w:themeColor="text1"/>
              </w:rPr>
            </w:pPr>
            <w:r>
              <w:rPr>
                <w:rFonts w:hint="eastAsia" w:ascii="仿宋_GB2312"/>
                <w:color w:val="000000" w:themeColor="text1"/>
              </w:rPr>
              <w:t>2</w:t>
            </w:r>
          </w:p>
        </w:tc>
        <w:tc>
          <w:tcPr>
            <w:tcW w:w="647" w:type="dxa"/>
            <w:vAlign w:val="center"/>
          </w:tcPr>
          <w:p>
            <w:pPr>
              <w:spacing w:line="300" w:lineRule="exact"/>
              <w:jc w:val="center"/>
              <w:rPr>
                <w:rFonts w:ascii="仿宋_GB2312"/>
                <w:color w:val="000000" w:themeColor="text1"/>
              </w:rPr>
            </w:pPr>
            <w:r>
              <w:rPr>
                <w:rFonts w:hint="eastAsia" w:ascii="仿宋_GB2312"/>
                <w:color w:val="000000" w:themeColor="text1"/>
              </w:rPr>
              <w:t>市本级2套</w:t>
            </w:r>
          </w:p>
        </w:tc>
        <w:tc>
          <w:tcPr>
            <w:tcW w:w="427" w:type="dxa"/>
            <w:noWrap/>
            <w:vAlign w:val="center"/>
          </w:tcPr>
          <w:p>
            <w:pPr>
              <w:spacing w:line="300" w:lineRule="exact"/>
              <w:jc w:val="center"/>
              <w:rPr>
                <w:rFonts w:ascii="仿宋_GB2312"/>
                <w:color w:val="000000" w:themeColor="text1"/>
              </w:rPr>
            </w:pPr>
            <w:r>
              <w:rPr>
                <w:rFonts w:hint="eastAsia" w:ascii="仿宋_GB2312"/>
                <w:color w:val="000000" w:themeColor="text1"/>
              </w:rPr>
              <w:t>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00" w:hRule="atLeast"/>
          <w:jc w:val="center"/>
        </w:trPr>
        <w:tc>
          <w:tcPr>
            <w:tcW w:w="818" w:type="dxa"/>
            <w:vMerge w:val="continue"/>
            <w:vAlign w:val="center"/>
          </w:tcPr>
          <w:p>
            <w:pPr>
              <w:spacing w:line="300" w:lineRule="exact"/>
              <w:rPr>
                <w:rFonts w:ascii="仿宋_GB2312" w:hAnsi="宋体"/>
                <w:color w:val="000000" w:themeColor="text1"/>
              </w:rPr>
            </w:pPr>
          </w:p>
        </w:tc>
        <w:tc>
          <w:tcPr>
            <w:tcW w:w="1056" w:type="dxa"/>
            <w:noWrap/>
            <w:vAlign w:val="center"/>
          </w:tcPr>
          <w:p>
            <w:pPr>
              <w:spacing w:line="300" w:lineRule="exact"/>
              <w:jc w:val="center"/>
              <w:rPr>
                <w:rFonts w:ascii="仿宋_GB2312"/>
                <w:color w:val="000000" w:themeColor="text1"/>
              </w:rPr>
            </w:pPr>
            <w:r>
              <w:rPr>
                <w:rFonts w:hint="eastAsia" w:ascii="仿宋_GB2312"/>
                <w:color w:val="000000" w:themeColor="text1"/>
              </w:rPr>
              <w:t>视频网闸(万兆)</w:t>
            </w:r>
          </w:p>
        </w:tc>
        <w:tc>
          <w:tcPr>
            <w:tcW w:w="5153" w:type="dxa"/>
            <w:vAlign w:val="center"/>
          </w:tcPr>
          <w:p>
            <w:pPr>
              <w:spacing w:line="300" w:lineRule="exact"/>
              <w:rPr>
                <w:rFonts w:ascii="仿宋_GB2312"/>
                <w:color w:val="000000" w:themeColor="text1"/>
              </w:rPr>
            </w:pPr>
            <w:r>
              <w:rPr>
                <w:rFonts w:hint="eastAsia" w:ascii="仿宋_GB2312"/>
                <w:color w:val="000000" w:themeColor="text1"/>
              </w:rPr>
              <w:t>1、采用“2+1”架构，即由两个主机系统和一个隔离交换专用硬件组成；</w:t>
            </w:r>
            <w:r>
              <w:rPr>
                <w:rFonts w:hint="eastAsia" w:ascii="仿宋_GB2312"/>
                <w:color w:val="000000" w:themeColor="text1"/>
              </w:rPr>
              <w:br w:type="textWrapping"/>
            </w:r>
            <w:r>
              <w:rPr>
                <w:rFonts w:hint="eastAsia"/>
                <w:color w:val="000000" w:themeColor="text1"/>
              </w:rPr>
              <w:t>★</w:t>
            </w:r>
            <w:r>
              <w:rPr>
                <w:rFonts w:hint="eastAsia" w:ascii="仿宋_GB2312"/>
                <w:color w:val="000000" w:themeColor="text1"/>
              </w:rPr>
              <w:t>2、设备端口：配置≥6个千兆以太网络接口，配置≥4个万兆光纤接口（含光模块）；</w:t>
            </w:r>
            <w:r>
              <w:rPr>
                <w:rFonts w:hint="eastAsia" w:ascii="仿宋_GB2312"/>
                <w:color w:val="000000" w:themeColor="text1"/>
              </w:rPr>
              <w:br w:type="textWrapping"/>
            </w:r>
            <w:r>
              <w:rPr>
                <w:rFonts w:hint="eastAsia" w:ascii="仿宋_GB2312"/>
                <w:color w:val="000000" w:themeColor="text1"/>
              </w:rPr>
              <w:t>3、稳定性运行时间(MTBF)≥50000小时；</w:t>
            </w:r>
            <w:r>
              <w:rPr>
                <w:rFonts w:hint="eastAsia" w:ascii="仿宋_GB2312"/>
                <w:color w:val="000000" w:themeColor="text1"/>
              </w:rPr>
              <w:br w:type="textWrapping"/>
            </w:r>
            <w:r>
              <w:rPr>
                <w:rFonts w:hint="eastAsia"/>
                <w:color w:val="000000" w:themeColor="text1"/>
              </w:rPr>
              <w:t>★</w:t>
            </w:r>
            <w:r>
              <w:rPr>
                <w:rFonts w:hint="eastAsia" w:ascii="仿宋_GB2312"/>
                <w:color w:val="000000" w:themeColor="text1"/>
              </w:rPr>
              <w:t>4、系统吞吐量≥4Gbps；</w:t>
            </w:r>
            <w:r>
              <w:rPr>
                <w:rFonts w:hint="eastAsia" w:ascii="仿宋_GB2312"/>
                <w:color w:val="000000" w:themeColor="text1"/>
              </w:rPr>
              <w:br w:type="textWrapping"/>
            </w:r>
            <w:r>
              <w:rPr>
                <w:rFonts w:hint="eastAsia"/>
                <w:color w:val="000000" w:themeColor="text1"/>
              </w:rPr>
              <w:t>★</w:t>
            </w:r>
            <w:r>
              <w:rPr>
                <w:rFonts w:hint="eastAsia" w:ascii="仿宋_GB2312"/>
                <w:color w:val="000000" w:themeColor="text1"/>
              </w:rPr>
              <w:t>5、并发吞吐量≥4000Mbps，支持2000路D1码流同时并发；</w:t>
            </w:r>
            <w:r>
              <w:rPr>
                <w:rFonts w:hint="eastAsia" w:ascii="仿宋_GB2312"/>
                <w:color w:val="000000" w:themeColor="text1"/>
              </w:rPr>
              <w:br w:type="textWrapping"/>
            </w:r>
            <w:r>
              <w:rPr>
                <w:rFonts w:hint="eastAsia"/>
                <w:color w:val="000000" w:themeColor="text1"/>
              </w:rPr>
              <w:t>★</w:t>
            </w:r>
            <w:r>
              <w:rPr>
                <w:rFonts w:hint="eastAsia" w:ascii="仿宋_GB2312"/>
                <w:color w:val="000000" w:themeColor="text1"/>
              </w:rPr>
              <w:t>6、延时＜15ms；</w:t>
            </w:r>
            <w:r>
              <w:rPr>
                <w:rFonts w:hint="eastAsia" w:ascii="仿宋_GB2312"/>
                <w:color w:val="000000" w:themeColor="text1"/>
              </w:rPr>
              <w:br w:type="textWrapping"/>
            </w:r>
            <w:r>
              <w:rPr>
                <w:rFonts w:hint="eastAsia" w:ascii="仿宋_GB2312"/>
                <w:color w:val="000000" w:themeColor="text1"/>
              </w:rPr>
              <w:t>7、能直接支持海康、大华、宇视、科达、互信互通、华为、先进视讯、天视、博康、博路、贝尔等40多种视频协议；</w:t>
            </w:r>
            <w:r>
              <w:rPr>
                <w:rFonts w:hint="eastAsia" w:ascii="仿宋_GB2312"/>
                <w:color w:val="000000" w:themeColor="text1"/>
              </w:rPr>
              <w:br w:type="textWrapping"/>
            </w:r>
            <w:r>
              <w:rPr>
                <w:rFonts w:hint="eastAsia" w:ascii="仿宋_GB2312"/>
                <w:color w:val="000000" w:themeColor="text1"/>
              </w:rPr>
              <w:t>8、能够直接识别各种主流的视频格式，仅允许合法的视频数据通过；</w:t>
            </w:r>
            <w:r>
              <w:rPr>
                <w:rFonts w:hint="eastAsia" w:ascii="仿宋_GB2312"/>
                <w:color w:val="000000" w:themeColor="text1"/>
              </w:rPr>
              <w:br w:type="textWrapping"/>
            </w:r>
            <w:r>
              <w:rPr>
                <w:rFonts w:hint="eastAsia" w:ascii="仿宋_GB2312"/>
                <w:color w:val="000000" w:themeColor="text1"/>
              </w:rPr>
              <w:t>9、支持基于IP地址的视频客户端流量控制管理功能，可设置客户端访问视频的最大带宽；</w:t>
            </w:r>
            <w:r>
              <w:rPr>
                <w:rFonts w:hint="eastAsia" w:ascii="仿宋_GB2312"/>
                <w:color w:val="000000" w:themeColor="text1"/>
              </w:rPr>
              <w:br w:type="textWrapping"/>
            </w:r>
            <w:r>
              <w:rPr>
                <w:rFonts w:hint="eastAsia" w:ascii="仿宋_GB2312"/>
                <w:color w:val="000000" w:themeColor="text1"/>
              </w:rPr>
              <w:t>10、可针对视频控制信令SIP RTSP以及视频流格式RTP等配置白名单过滤条件，支持正则表达式；</w:t>
            </w:r>
            <w:r>
              <w:rPr>
                <w:rFonts w:hint="eastAsia" w:ascii="仿宋_GB2312"/>
                <w:color w:val="000000" w:themeColor="text1"/>
              </w:rPr>
              <w:br w:type="textWrapping"/>
            </w:r>
            <w:r>
              <w:rPr>
                <w:rFonts w:hint="eastAsia" w:ascii="仿宋_GB2312"/>
                <w:color w:val="000000" w:themeColor="text1"/>
              </w:rPr>
              <w:t>11、可扩展支持公安数字集群系统（PDT）协议等音频协议，可满足海能达、承联、优能等基于标准PDT协议的公安数字集群厂家系统安全接入,支持单呼、组呼、紧急呼叫、广播呼叫、全呼、调度台互连呼叫等业务；</w:t>
            </w:r>
            <w:r>
              <w:rPr>
                <w:rFonts w:hint="eastAsia" w:ascii="仿宋_GB2312"/>
                <w:color w:val="000000" w:themeColor="text1"/>
              </w:rPr>
              <w:br w:type="textWrapping"/>
            </w:r>
            <w:r>
              <w:rPr>
                <w:rFonts w:hint="eastAsia" w:ascii="仿宋_GB2312"/>
                <w:color w:val="000000" w:themeColor="text1"/>
              </w:rPr>
              <w:t>12、要求对用户行为进行审计，包括正常登录，非法登录，非法请求，退出等；</w:t>
            </w:r>
            <w:r>
              <w:rPr>
                <w:rFonts w:hint="eastAsia" w:ascii="仿宋_GB2312"/>
                <w:color w:val="000000" w:themeColor="text1"/>
              </w:rPr>
              <w:br w:type="textWrapping"/>
            </w:r>
            <w:r>
              <w:rPr>
                <w:rFonts w:hint="eastAsia" w:ascii="仿宋_GB2312"/>
                <w:color w:val="000000" w:themeColor="text1"/>
              </w:rPr>
              <w:t>13、通过公安部组织测试的接入平台厂商名单。</w:t>
            </w:r>
          </w:p>
        </w:tc>
        <w:tc>
          <w:tcPr>
            <w:tcW w:w="427" w:type="dxa"/>
            <w:noWrap/>
            <w:vAlign w:val="center"/>
          </w:tcPr>
          <w:p>
            <w:pPr>
              <w:spacing w:line="300" w:lineRule="exact"/>
              <w:jc w:val="center"/>
              <w:rPr>
                <w:rFonts w:ascii="仿宋_GB2312"/>
                <w:color w:val="000000" w:themeColor="text1"/>
              </w:rPr>
            </w:pPr>
            <w:r>
              <w:rPr>
                <w:rFonts w:hint="eastAsia" w:ascii="仿宋_GB2312"/>
                <w:color w:val="000000" w:themeColor="text1"/>
              </w:rPr>
              <w:t>12</w:t>
            </w:r>
          </w:p>
        </w:tc>
        <w:tc>
          <w:tcPr>
            <w:tcW w:w="647" w:type="dxa"/>
            <w:vAlign w:val="center"/>
          </w:tcPr>
          <w:p>
            <w:pPr>
              <w:spacing w:line="300" w:lineRule="exact"/>
              <w:jc w:val="center"/>
              <w:rPr>
                <w:rFonts w:ascii="仿宋_GB2312"/>
                <w:color w:val="000000" w:themeColor="text1"/>
              </w:rPr>
            </w:pPr>
            <w:r>
              <w:rPr>
                <w:rFonts w:hint="eastAsia" w:ascii="仿宋_GB2312"/>
                <w:color w:val="000000" w:themeColor="text1"/>
              </w:rPr>
              <w:t>义乌1台</w:t>
            </w:r>
            <w:r>
              <w:rPr>
                <w:rFonts w:ascii="仿宋_GB2312"/>
                <w:color w:val="000000" w:themeColor="text1"/>
              </w:rPr>
              <w:t>、东阳</w:t>
            </w:r>
            <w:r>
              <w:rPr>
                <w:rFonts w:hint="eastAsia" w:ascii="仿宋_GB2312"/>
                <w:color w:val="000000" w:themeColor="text1"/>
              </w:rPr>
              <w:t>1台</w:t>
            </w:r>
            <w:r>
              <w:rPr>
                <w:rFonts w:ascii="仿宋_GB2312"/>
                <w:color w:val="000000" w:themeColor="text1"/>
              </w:rPr>
              <w:t>、</w:t>
            </w:r>
            <w:r>
              <w:rPr>
                <w:rFonts w:hint="eastAsia" w:ascii="仿宋_GB2312"/>
                <w:color w:val="000000" w:themeColor="text1"/>
              </w:rPr>
              <w:t>兰溪2台</w:t>
            </w:r>
            <w:r>
              <w:rPr>
                <w:rFonts w:ascii="仿宋_GB2312"/>
                <w:color w:val="000000" w:themeColor="text1"/>
              </w:rPr>
              <w:t>、武义</w:t>
            </w:r>
            <w:r>
              <w:rPr>
                <w:rFonts w:hint="eastAsia" w:ascii="仿宋_GB2312"/>
                <w:color w:val="000000" w:themeColor="text1"/>
              </w:rPr>
              <w:t>2台。</w:t>
            </w:r>
            <w:r>
              <w:rPr>
                <w:rFonts w:ascii="仿宋_GB2312"/>
                <w:color w:val="000000" w:themeColor="text1"/>
              </w:rPr>
              <w:t>浦江</w:t>
            </w:r>
            <w:r>
              <w:rPr>
                <w:rFonts w:hint="eastAsia" w:ascii="仿宋_GB2312"/>
                <w:color w:val="000000" w:themeColor="text1"/>
              </w:rPr>
              <w:t>2台</w:t>
            </w:r>
            <w:r>
              <w:rPr>
                <w:rFonts w:ascii="仿宋_GB2312"/>
                <w:color w:val="000000" w:themeColor="text1"/>
              </w:rPr>
              <w:t>、</w:t>
            </w:r>
            <w:r>
              <w:rPr>
                <w:rFonts w:hint="eastAsia" w:ascii="仿宋_GB2312"/>
                <w:color w:val="000000" w:themeColor="text1"/>
              </w:rPr>
              <w:t>永康2台</w:t>
            </w:r>
            <w:r>
              <w:rPr>
                <w:rFonts w:ascii="仿宋_GB2312"/>
                <w:color w:val="000000" w:themeColor="text1"/>
              </w:rPr>
              <w:t>、磐安</w:t>
            </w:r>
            <w:r>
              <w:rPr>
                <w:rFonts w:hint="eastAsia" w:ascii="仿宋_GB2312"/>
                <w:color w:val="000000" w:themeColor="text1"/>
              </w:rPr>
              <w:t>2台</w:t>
            </w:r>
          </w:p>
        </w:tc>
        <w:tc>
          <w:tcPr>
            <w:tcW w:w="427" w:type="dxa"/>
            <w:noWrap/>
            <w:vAlign w:val="center"/>
          </w:tcPr>
          <w:p>
            <w:pPr>
              <w:spacing w:line="300" w:lineRule="exact"/>
              <w:jc w:val="center"/>
              <w:rPr>
                <w:rFonts w:ascii="仿宋_GB2312"/>
                <w:color w:val="000000" w:themeColor="text1"/>
              </w:rPr>
            </w:pPr>
            <w:r>
              <w:rPr>
                <w:rFonts w:hint="eastAsia" w:ascii="仿宋_GB2312"/>
                <w:color w:val="000000" w:themeColor="text1"/>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00" w:hRule="atLeast"/>
          <w:jc w:val="center"/>
        </w:trPr>
        <w:tc>
          <w:tcPr>
            <w:tcW w:w="818" w:type="dxa"/>
            <w:vMerge w:val="continue"/>
            <w:vAlign w:val="center"/>
          </w:tcPr>
          <w:p>
            <w:pPr>
              <w:spacing w:line="300" w:lineRule="exact"/>
              <w:rPr>
                <w:rFonts w:ascii="仿宋_GB2312" w:hAnsi="宋体"/>
                <w:color w:val="000000" w:themeColor="text1"/>
              </w:rPr>
            </w:pPr>
          </w:p>
        </w:tc>
        <w:tc>
          <w:tcPr>
            <w:tcW w:w="1056" w:type="dxa"/>
            <w:noWrap/>
            <w:vAlign w:val="center"/>
          </w:tcPr>
          <w:p>
            <w:pPr>
              <w:spacing w:line="300" w:lineRule="exact"/>
              <w:jc w:val="center"/>
              <w:rPr>
                <w:rFonts w:ascii="仿宋_GB2312"/>
                <w:color w:val="000000" w:themeColor="text1"/>
              </w:rPr>
            </w:pPr>
            <w:r>
              <w:rPr>
                <w:rFonts w:hint="eastAsia" w:ascii="仿宋_GB2312"/>
                <w:color w:val="000000" w:themeColor="text1"/>
              </w:rPr>
              <w:t>数据边界(万兆)</w:t>
            </w:r>
          </w:p>
        </w:tc>
        <w:tc>
          <w:tcPr>
            <w:tcW w:w="5153" w:type="dxa"/>
            <w:vAlign w:val="center"/>
          </w:tcPr>
          <w:p>
            <w:pPr>
              <w:spacing w:line="300" w:lineRule="exact"/>
              <w:rPr>
                <w:rFonts w:ascii="仿宋_GB2312"/>
                <w:color w:val="000000" w:themeColor="text1"/>
              </w:rPr>
            </w:pPr>
            <w:r>
              <w:rPr>
                <w:rFonts w:hint="eastAsia" w:ascii="仿宋_GB2312"/>
                <w:color w:val="000000" w:themeColor="text1"/>
              </w:rPr>
              <w:t>内外网服务器：</w:t>
            </w:r>
            <w:r>
              <w:rPr>
                <w:rFonts w:hint="eastAsia" w:ascii="仿宋_GB2312"/>
                <w:color w:val="000000" w:themeColor="text1"/>
              </w:rPr>
              <w:br w:type="textWrapping"/>
            </w:r>
            <w:r>
              <w:rPr>
                <w:rFonts w:hint="eastAsia" w:ascii="仿宋_GB2312"/>
                <w:color w:val="000000" w:themeColor="text1"/>
              </w:rPr>
              <w:t>1、采用内外网双服务器主机架构；</w:t>
            </w:r>
            <w:r>
              <w:rPr>
                <w:rFonts w:hint="eastAsia" w:ascii="仿宋_GB2312"/>
                <w:color w:val="000000" w:themeColor="text1"/>
              </w:rPr>
              <w:br w:type="textWrapping"/>
            </w:r>
            <w:r>
              <w:rPr>
                <w:rFonts w:hint="eastAsia"/>
                <w:color w:val="000000" w:themeColor="text1"/>
              </w:rPr>
              <w:t>★</w:t>
            </w:r>
            <w:r>
              <w:rPr>
                <w:rFonts w:hint="eastAsia" w:ascii="仿宋_GB2312"/>
                <w:color w:val="000000" w:themeColor="text1"/>
              </w:rPr>
              <w:t>2、内外网服务器主机端口：配置≥2个千兆以太网络接口，配置≥2个万兆光纤接口（含光模块）；</w:t>
            </w:r>
            <w:r>
              <w:rPr>
                <w:rFonts w:hint="eastAsia" w:ascii="仿宋_GB2312"/>
                <w:color w:val="000000" w:themeColor="text1"/>
              </w:rPr>
              <w:br w:type="textWrapping"/>
            </w:r>
            <w:r>
              <w:rPr>
                <w:rFonts w:hint="eastAsia" w:ascii="仿宋_GB2312"/>
                <w:color w:val="000000" w:themeColor="text1"/>
              </w:rPr>
              <w:t>3、操作系统：使用安全加固的安全Linux操作系统；</w:t>
            </w:r>
            <w:r>
              <w:rPr>
                <w:rFonts w:hint="eastAsia" w:ascii="仿宋_GB2312"/>
                <w:color w:val="000000" w:themeColor="text1"/>
              </w:rPr>
              <w:br w:type="textWrapping"/>
            </w:r>
            <w:r>
              <w:rPr>
                <w:rFonts w:hint="eastAsia" w:ascii="仿宋_GB2312"/>
                <w:color w:val="000000" w:themeColor="text1"/>
              </w:rPr>
              <w:t>4、稳定性运行时间(MTBF)≥50000小时；</w:t>
            </w:r>
            <w:r>
              <w:rPr>
                <w:rFonts w:hint="eastAsia" w:ascii="仿宋_GB2312"/>
                <w:color w:val="000000" w:themeColor="text1"/>
              </w:rPr>
              <w:br w:type="textWrapping"/>
            </w:r>
            <w:r>
              <w:rPr>
                <w:rFonts w:hint="eastAsia"/>
                <w:color w:val="000000" w:themeColor="text1"/>
              </w:rPr>
              <w:t>★</w:t>
            </w:r>
            <w:r>
              <w:rPr>
                <w:rFonts w:hint="eastAsia" w:ascii="仿宋_GB2312"/>
                <w:color w:val="000000" w:themeColor="text1"/>
              </w:rPr>
              <w:t>5、交换能力≥4Gbps，并发会话≥30000；</w:t>
            </w:r>
            <w:r>
              <w:rPr>
                <w:rFonts w:hint="eastAsia" w:ascii="仿宋_GB2312"/>
                <w:color w:val="000000" w:themeColor="text1"/>
              </w:rPr>
              <w:br w:type="textWrapping"/>
            </w:r>
            <w:r>
              <w:rPr>
                <w:rFonts w:hint="eastAsia" w:ascii="仿宋_GB2312"/>
                <w:color w:val="000000" w:themeColor="text1"/>
              </w:rPr>
              <w:t>6、数据库到数据库交换记录数（&gt;100Kb/记录）≥3000条/秒；</w:t>
            </w:r>
            <w:r>
              <w:rPr>
                <w:rFonts w:hint="eastAsia" w:ascii="仿宋_GB2312"/>
                <w:color w:val="000000" w:themeColor="text1"/>
              </w:rPr>
              <w:br w:type="textWrapping"/>
            </w:r>
            <w:r>
              <w:rPr>
                <w:rFonts w:hint="eastAsia" w:ascii="仿宋_GB2312"/>
                <w:color w:val="000000" w:themeColor="text1"/>
              </w:rPr>
              <w:t>7、数据文件处理文件数（&gt;100Kb/记录）≥3000条/秒；</w:t>
            </w:r>
            <w:r>
              <w:rPr>
                <w:rFonts w:hint="eastAsia" w:ascii="仿宋_GB2312"/>
                <w:color w:val="000000" w:themeColor="text1"/>
              </w:rPr>
              <w:br w:type="textWrapping"/>
            </w:r>
            <w:r>
              <w:rPr>
                <w:rFonts w:hint="eastAsia" w:ascii="仿宋_GB2312"/>
                <w:color w:val="000000" w:themeColor="text1"/>
              </w:rPr>
              <w:t>8、最大数据文件≥30G；</w:t>
            </w:r>
            <w:r>
              <w:rPr>
                <w:rFonts w:hint="eastAsia" w:ascii="仿宋_GB2312"/>
                <w:color w:val="000000" w:themeColor="text1"/>
              </w:rPr>
              <w:br w:type="textWrapping"/>
            </w:r>
            <w:r>
              <w:rPr>
                <w:rFonts w:hint="eastAsia"/>
                <w:color w:val="000000" w:themeColor="text1"/>
              </w:rPr>
              <w:t>★</w:t>
            </w:r>
            <w:r>
              <w:rPr>
                <w:rFonts w:hint="eastAsia" w:ascii="仿宋_GB2312"/>
                <w:color w:val="000000" w:themeColor="text1"/>
              </w:rPr>
              <w:t>9、延时＜50ms，电源冗余电源；</w:t>
            </w:r>
            <w:r>
              <w:rPr>
                <w:rFonts w:hint="eastAsia" w:ascii="仿宋_GB2312"/>
                <w:color w:val="000000" w:themeColor="text1"/>
              </w:rPr>
              <w:br w:type="textWrapping"/>
            </w:r>
            <w:r>
              <w:rPr>
                <w:rFonts w:hint="eastAsia" w:ascii="仿宋_GB2312"/>
                <w:color w:val="000000" w:themeColor="text1"/>
              </w:rPr>
              <w:t>10、支持主流关系型数据库数据交换：Oracle、DB2、SQL Server、GreenPlum、Sybase、MYSQL的各种版本，及支持达梦、Gbase、神舟通用等国产数据库，及支持Cassandra、UDB等大数据数据库；</w:t>
            </w:r>
            <w:r>
              <w:rPr>
                <w:rFonts w:hint="eastAsia" w:ascii="仿宋_GB2312"/>
                <w:color w:val="000000" w:themeColor="text1"/>
              </w:rPr>
              <w:br w:type="textWrapping"/>
            </w:r>
            <w:r>
              <w:rPr>
                <w:rFonts w:hint="eastAsia" w:ascii="仿宋_GB2312"/>
                <w:color w:val="000000" w:themeColor="text1"/>
              </w:rPr>
              <w:t>11、支持共享、客户端、FTP、NFS等多种模式的文件交换服务；</w:t>
            </w:r>
            <w:r>
              <w:rPr>
                <w:rFonts w:hint="eastAsia" w:ascii="仿宋_GB2312"/>
                <w:color w:val="000000" w:themeColor="text1"/>
              </w:rPr>
              <w:br w:type="textWrapping"/>
            </w:r>
            <w:r>
              <w:rPr>
                <w:rFonts w:hint="eastAsia" w:ascii="仿宋_GB2312"/>
                <w:color w:val="000000" w:themeColor="text1"/>
              </w:rPr>
              <w:t>12支持灵活多样的数据库数据获取方式，如：触发器、奉献、快照日志、同表双向、全表同步、升序增量等；</w:t>
            </w:r>
            <w:r>
              <w:rPr>
                <w:rFonts w:hint="eastAsia" w:ascii="仿宋_GB2312"/>
                <w:color w:val="000000" w:themeColor="text1"/>
              </w:rPr>
              <w:br w:type="textWrapping"/>
            </w:r>
            <w:r>
              <w:rPr>
                <w:rFonts w:hint="eastAsia" w:ascii="仿宋_GB2312"/>
                <w:color w:val="000000" w:themeColor="text1"/>
              </w:rPr>
              <w:t>13、支持各种数据库之间的异构交换，如：数据库软硬件平台异构、数据库种类异构、数据库版本异构、数据库字符集异构、数据结构异构等；</w:t>
            </w:r>
            <w:r>
              <w:rPr>
                <w:rFonts w:hint="eastAsia" w:ascii="仿宋_GB2312"/>
                <w:color w:val="000000" w:themeColor="text1"/>
              </w:rPr>
              <w:br w:type="textWrapping"/>
            </w:r>
            <w:r>
              <w:rPr>
                <w:rFonts w:hint="eastAsia" w:ascii="仿宋_GB2312"/>
                <w:color w:val="000000" w:themeColor="text1"/>
              </w:rPr>
              <w:t>14、通过公安部组织测试的接入平台厂商名单。</w:t>
            </w:r>
            <w:r>
              <w:rPr>
                <w:rFonts w:hint="eastAsia" w:ascii="仿宋_GB2312"/>
                <w:color w:val="000000" w:themeColor="text1"/>
              </w:rPr>
              <w:br w:type="textWrapping"/>
            </w:r>
            <w:r>
              <w:rPr>
                <w:rFonts w:hint="eastAsia" w:ascii="仿宋_GB2312"/>
                <w:color w:val="000000" w:themeColor="text1"/>
              </w:rPr>
              <w:t>数据网闸：</w:t>
            </w:r>
            <w:r>
              <w:rPr>
                <w:rFonts w:hint="eastAsia" w:ascii="仿宋_GB2312"/>
                <w:color w:val="000000" w:themeColor="text1"/>
              </w:rPr>
              <w:br w:type="textWrapping"/>
            </w:r>
            <w:r>
              <w:rPr>
                <w:rFonts w:hint="eastAsia" w:ascii="仿宋_GB2312"/>
                <w:color w:val="000000" w:themeColor="text1"/>
              </w:rPr>
              <w:t>1、数据网闸端口：配置≥8个千兆以太网络接口，配置≥2个万兆光纤接口（含光模块）；</w:t>
            </w:r>
            <w:r>
              <w:rPr>
                <w:rFonts w:hint="eastAsia" w:ascii="仿宋_GB2312"/>
                <w:color w:val="000000" w:themeColor="text1"/>
              </w:rPr>
              <w:br w:type="textWrapping"/>
            </w:r>
            <w:r>
              <w:rPr>
                <w:rFonts w:hint="eastAsia" w:ascii="仿宋_GB2312"/>
                <w:color w:val="000000" w:themeColor="text1"/>
              </w:rPr>
              <w:t>2、稳定性运行时间(MTBF)≥50000小时；</w:t>
            </w:r>
            <w:r>
              <w:rPr>
                <w:rFonts w:hint="eastAsia" w:ascii="仿宋_GB2312"/>
                <w:color w:val="000000" w:themeColor="text1"/>
              </w:rPr>
              <w:br w:type="textWrapping"/>
            </w:r>
            <w:r>
              <w:rPr>
                <w:rFonts w:hint="eastAsia" w:ascii="仿宋_GB2312"/>
                <w:color w:val="000000" w:themeColor="text1"/>
              </w:rPr>
              <w:t>3、系统吞吐量≥4Gbps；</w:t>
            </w:r>
            <w:r>
              <w:rPr>
                <w:rFonts w:hint="eastAsia" w:ascii="仿宋_GB2312"/>
                <w:color w:val="000000" w:themeColor="text1"/>
              </w:rPr>
              <w:br w:type="textWrapping"/>
            </w:r>
            <w:r>
              <w:rPr>
                <w:rFonts w:hint="eastAsia" w:ascii="仿宋_GB2312"/>
                <w:color w:val="000000" w:themeColor="text1"/>
              </w:rPr>
              <w:t>4、内部交换带宽≥10Gbps；</w:t>
            </w:r>
            <w:r>
              <w:rPr>
                <w:rFonts w:hint="eastAsia" w:ascii="仿宋_GB2312"/>
                <w:color w:val="000000" w:themeColor="text1"/>
              </w:rPr>
              <w:br w:type="textWrapping"/>
            </w:r>
            <w:r>
              <w:rPr>
                <w:rFonts w:hint="eastAsia" w:ascii="仿宋_GB2312"/>
                <w:color w:val="000000" w:themeColor="text1"/>
              </w:rPr>
              <w:t>5、并发连接数≥30000；</w:t>
            </w:r>
            <w:r>
              <w:rPr>
                <w:rFonts w:hint="eastAsia" w:ascii="仿宋_GB2312"/>
                <w:color w:val="000000" w:themeColor="text1"/>
              </w:rPr>
              <w:br w:type="textWrapping"/>
            </w:r>
            <w:r>
              <w:rPr>
                <w:rFonts w:hint="eastAsia" w:ascii="仿宋_GB2312"/>
                <w:color w:val="000000" w:themeColor="text1"/>
              </w:rPr>
              <w:t>6、电子开关切换时间&lt;5ns；</w:t>
            </w:r>
            <w:r>
              <w:rPr>
                <w:rFonts w:hint="eastAsia" w:ascii="仿宋_GB2312"/>
                <w:color w:val="000000" w:themeColor="text1"/>
              </w:rPr>
              <w:br w:type="textWrapping"/>
            </w:r>
            <w:r>
              <w:rPr>
                <w:rFonts w:hint="eastAsia" w:ascii="仿宋_GB2312"/>
                <w:color w:val="000000" w:themeColor="text1"/>
              </w:rPr>
              <w:t>7、支持oracle、Mysql、Sql Server 、DB2、Sybase等主流数据库间的同种或异种数据库同步，支持单向和双向同步；</w:t>
            </w:r>
            <w:r>
              <w:rPr>
                <w:rFonts w:hint="eastAsia" w:ascii="仿宋_GB2312"/>
                <w:color w:val="000000" w:themeColor="text1"/>
              </w:rPr>
              <w:br w:type="textWrapping"/>
            </w:r>
            <w:r>
              <w:rPr>
                <w:rFonts w:hint="eastAsia" w:ascii="仿宋_GB2312"/>
                <w:color w:val="000000" w:themeColor="text1"/>
              </w:rPr>
              <w:t>8、管理方式采用B/S架构的Web方式管理，基于数字证书管理；支持内外网分别采用独立管理口管理；</w:t>
            </w:r>
            <w:r>
              <w:rPr>
                <w:rFonts w:hint="eastAsia" w:ascii="仿宋_GB2312"/>
                <w:color w:val="000000" w:themeColor="text1"/>
              </w:rPr>
              <w:br w:type="textWrapping"/>
            </w:r>
            <w:r>
              <w:rPr>
                <w:rFonts w:hint="eastAsia" w:ascii="仿宋_GB2312"/>
                <w:color w:val="000000" w:themeColor="text1"/>
              </w:rPr>
              <w:t>9、支持图表实时显示网口流量、CPU状态、内存状态信息；</w:t>
            </w:r>
            <w:r>
              <w:rPr>
                <w:rFonts w:hint="eastAsia" w:ascii="仿宋_GB2312"/>
                <w:color w:val="000000" w:themeColor="text1"/>
              </w:rPr>
              <w:br w:type="textWrapping"/>
            </w:r>
            <w:r>
              <w:rPr>
                <w:rFonts w:hint="eastAsia" w:ascii="仿宋_GB2312"/>
                <w:color w:val="000000" w:themeColor="text1"/>
              </w:rPr>
              <w:t>10、保证信任网络和非信任网络之间链路层的断开，彻底阻断TCP/IP协议以及其他网络协议；</w:t>
            </w:r>
            <w:r>
              <w:rPr>
                <w:rFonts w:hint="eastAsia" w:ascii="仿宋_GB2312"/>
                <w:color w:val="000000" w:themeColor="text1"/>
              </w:rPr>
              <w:br w:type="textWrapping"/>
            </w:r>
            <w:r>
              <w:rPr>
                <w:rFonts w:hint="eastAsia" w:ascii="仿宋_GB2312"/>
                <w:color w:val="000000" w:themeColor="text1"/>
              </w:rPr>
              <w:t>11、系统硬件架构采用高可靠性设计；硬件设备内部采用特殊的认证机制HLC，保证基于硬件的可信任计算体系；</w:t>
            </w:r>
            <w:r>
              <w:rPr>
                <w:rFonts w:hint="eastAsia" w:ascii="仿宋_GB2312"/>
                <w:color w:val="000000" w:themeColor="text1"/>
              </w:rPr>
              <w:br w:type="textWrapping"/>
            </w:r>
            <w:r>
              <w:rPr>
                <w:rFonts w:hint="eastAsia" w:ascii="仿宋_GB2312"/>
                <w:color w:val="000000" w:themeColor="text1"/>
              </w:rPr>
              <w:t>12、隔离硬件内部程序固化防篡改：设计以安全性为第一原则，一旦出现任何异常，就切断传输，保证不出现在数据内容检查、完整性校验功能失效的情况下继续传输数据的情况；</w:t>
            </w:r>
            <w:r>
              <w:rPr>
                <w:rFonts w:hint="eastAsia" w:ascii="仿宋_GB2312"/>
                <w:color w:val="000000" w:themeColor="text1"/>
              </w:rPr>
              <w:br w:type="textWrapping"/>
            </w:r>
            <w:r>
              <w:rPr>
                <w:rFonts w:hint="eastAsia" w:ascii="仿宋_GB2312"/>
                <w:color w:val="000000" w:themeColor="text1"/>
              </w:rPr>
              <w:t>13、采用身份认证技术对使用隔离网闸的用户进行身份鉴别，以确保只有合法用户和计算机能使用网闸系统传输数据：高强度双重口令认证、CA证书认证等；</w:t>
            </w:r>
            <w:r>
              <w:rPr>
                <w:rFonts w:hint="eastAsia" w:ascii="仿宋_GB2312"/>
                <w:color w:val="000000" w:themeColor="text1"/>
              </w:rPr>
              <w:br w:type="textWrapping"/>
            </w:r>
            <w:r>
              <w:rPr>
                <w:rFonts w:hint="eastAsia" w:ascii="仿宋_GB2312"/>
                <w:color w:val="000000" w:themeColor="text1"/>
              </w:rPr>
              <w:t>14、数据传输高度可靠，采用缓存确认机制进行保证。</w:t>
            </w:r>
          </w:p>
        </w:tc>
        <w:tc>
          <w:tcPr>
            <w:tcW w:w="427" w:type="dxa"/>
            <w:noWrap/>
            <w:vAlign w:val="center"/>
          </w:tcPr>
          <w:p>
            <w:pPr>
              <w:spacing w:line="300" w:lineRule="exact"/>
              <w:jc w:val="center"/>
              <w:rPr>
                <w:rFonts w:ascii="仿宋_GB2312"/>
                <w:color w:val="000000" w:themeColor="text1"/>
              </w:rPr>
            </w:pPr>
            <w:r>
              <w:rPr>
                <w:rFonts w:hint="eastAsia" w:ascii="仿宋_GB2312"/>
                <w:color w:val="000000" w:themeColor="text1"/>
              </w:rPr>
              <w:t>2</w:t>
            </w:r>
          </w:p>
        </w:tc>
        <w:tc>
          <w:tcPr>
            <w:tcW w:w="647" w:type="dxa"/>
            <w:vAlign w:val="center"/>
          </w:tcPr>
          <w:p>
            <w:pPr>
              <w:spacing w:line="300" w:lineRule="exact"/>
              <w:jc w:val="center"/>
              <w:rPr>
                <w:rFonts w:ascii="仿宋_GB2312"/>
                <w:color w:val="000000" w:themeColor="text1"/>
              </w:rPr>
            </w:pPr>
            <w:r>
              <w:rPr>
                <w:rFonts w:hint="eastAsia" w:ascii="仿宋_GB2312"/>
                <w:color w:val="000000" w:themeColor="text1"/>
              </w:rPr>
              <w:t>市本级2台</w:t>
            </w:r>
          </w:p>
        </w:tc>
        <w:tc>
          <w:tcPr>
            <w:tcW w:w="427" w:type="dxa"/>
            <w:noWrap/>
            <w:vAlign w:val="center"/>
          </w:tcPr>
          <w:p>
            <w:pPr>
              <w:spacing w:line="300" w:lineRule="exact"/>
              <w:jc w:val="center"/>
              <w:rPr>
                <w:rFonts w:ascii="仿宋_GB2312"/>
                <w:color w:val="000000" w:themeColor="text1"/>
              </w:rPr>
            </w:pPr>
            <w:r>
              <w:rPr>
                <w:rFonts w:hint="eastAsia" w:ascii="仿宋_GB2312"/>
                <w:color w:val="000000" w:themeColor="text1"/>
              </w:rPr>
              <w:t>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00" w:hRule="atLeast"/>
          <w:jc w:val="center"/>
        </w:trPr>
        <w:tc>
          <w:tcPr>
            <w:tcW w:w="818" w:type="dxa"/>
            <w:vMerge w:val="continue"/>
            <w:vAlign w:val="center"/>
          </w:tcPr>
          <w:p>
            <w:pPr>
              <w:spacing w:line="300" w:lineRule="exact"/>
              <w:rPr>
                <w:rFonts w:ascii="仿宋_GB2312" w:hAnsi="宋体"/>
                <w:color w:val="000000" w:themeColor="text1"/>
              </w:rPr>
            </w:pPr>
          </w:p>
        </w:tc>
        <w:tc>
          <w:tcPr>
            <w:tcW w:w="1056" w:type="dxa"/>
            <w:noWrap/>
            <w:vAlign w:val="center"/>
          </w:tcPr>
          <w:p>
            <w:pPr>
              <w:spacing w:line="300" w:lineRule="exact"/>
              <w:jc w:val="center"/>
              <w:rPr>
                <w:rFonts w:ascii="仿宋_GB2312"/>
                <w:color w:val="000000" w:themeColor="text1"/>
              </w:rPr>
            </w:pPr>
            <w:r>
              <w:rPr>
                <w:rFonts w:hint="eastAsia" w:ascii="仿宋_GB2312"/>
                <w:color w:val="000000" w:themeColor="text1"/>
              </w:rPr>
              <w:t>下一代防火墙（万兆）</w:t>
            </w:r>
          </w:p>
        </w:tc>
        <w:tc>
          <w:tcPr>
            <w:tcW w:w="5153" w:type="dxa"/>
            <w:vAlign w:val="center"/>
          </w:tcPr>
          <w:p>
            <w:pPr>
              <w:spacing w:line="300" w:lineRule="exact"/>
              <w:rPr>
                <w:rFonts w:ascii="仿宋_GB2312"/>
                <w:color w:val="000000" w:themeColor="text1"/>
              </w:rPr>
            </w:pPr>
            <w:r>
              <w:rPr>
                <w:rFonts w:hint="eastAsia"/>
                <w:color w:val="000000" w:themeColor="text1"/>
              </w:rPr>
              <w:t>★</w:t>
            </w:r>
            <w:r>
              <w:rPr>
                <w:rFonts w:hint="eastAsia" w:ascii="仿宋_GB2312"/>
                <w:color w:val="000000" w:themeColor="text1"/>
              </w:rPr>
              <w:t>1、配置双电源，10GE光口≥4，GE光口≥4，GE电口≥4；吞吐量≥30Gbps，并发连接数≥800万，整机每秒新建连接数可扩展到≥60万，配置应用层协议识别及流量控制功能，IPS功能；</w:t>
            </w:r>
            <w:r>
              <w:rPr>
                <w:rFonts w:hint="eastAsia" w:ascii="仿宋_GB2312"/>
                <w:color w:val="000000" w:themeColor="text1"/>
              </w:rPr>
              <w:br w:type="textWrapping"/>
            </w:r>
            <w:r>
              <w:rPr>
                <w:rFonts w:hint="eastAsia" w:ascii="仿宋_GB2312"/>
                <w:color w:val="000000" w:themeColor="text1"/>
              </w:rPr>
              <w:t>2、支持路由，网桥，单臂，旁路，虚拟网线以及混合部署方式。</w:t>
            </w:r>
            <w:r>
              <w:rPr>
                <w:rFonts w:hint="eastAsia" w:ascii="仿宋_GB2312"/>
                <w:color w:val="000000" w:themeColor="text1"/>
              </w:rPr>
              <w:br w:type="textWrapping"/>
            </w:r>
            <w:r>
              <w:rPr>
                <w:rFonts w:hint="eastAsia" w:ascii="仿宋_GB2312"/>
                <w:color w:val="000000" w:themeColor="text1"/>
              </w:rPr>
              <w:t>3、访问控制策略支持基于源／目的IP，源端口，源／目的区域，用户（组），应用/服务类型，时间组的细化控制方式；</w:t>
            </w:r>
            <w:r>
              <w:rPr>
                <w:rFonts w:hint="eastAsia" w:ascii="仿宋_GB2312"/>
                <w:color w:val="000000" w:themeColor="text1"/>
              </w:rPr>
              <w:br w:type="textWrapping"/>
            </w:r>
            <w:r>
              <w:rPr>
                <w:rFonts w:hint="eastAsia" w:ascii="仿宋_GB2312"/>
                <w:color w:val="000000" w:themeColor="text1"/>
              </w:rPr>
              <w:t>4、支持对信任区域主机外发的异常流量进行检测，如ICMP，UPD，SYN，DNS Flood等DDoS攻击行为；</w:t>
            </w:r>
            <w:r>
              <w:rPr>
                <w:rFonts w:hint="eastAsia" w:ascii="仿宋_GB2312"/>
                <w:color w:val="000000" w:themeColor="text1"/>
              </w:rPr>
              <w:br w:type="textWrapping"/>
            </w:r>
            <w:r>
              <w:rPr>
                <w:rFonts w:hint="eastAsia" w:ascii="仿宋_GB2312"/>
                <w:color w:val="000000" w:themeColor="text1"/>
              </w:rPr>
              <w:t>5、为了避免因黑客暴力破解导致的密码泄露事件，要求设备支持对常见应用服务（HTTP、FTP、SSH、SMTP、IMAP）和数据库软件（MySQL、Oracle、MSSQL）的口令暴力破解防护功能；</w:t>
            </w:r>
            <w:r>
              <w:rPr>
                <w:rFonts w:hint="eastAsia" w:ascii="仿宋_GB2312"/>
                <w:color w:val="000000" w:themeColor="text1"/>
              </w:rPr>
              <w:br w:type="textWrapping"/>
            </w:r>
            <w:r>
              <w:rPr>
                <w:rFonts w:hint="eastAsia" w:ascii="仿宋_GB2312"/>
                <w:color w:val="000000" w:themeColor="text1"/>
              </w:rPr>
              <w:t xml:space="preserve">6、支持SQL注入防护、XSS攻击防护、CSRF攻击防护、系统命令注入防护，文件包含攻击，目录遍历攻击，信息泄露，恶意爬虫，网站扫描; </w:t>
            </w:r>
            <w:r>
              <w:rPr>
                <w:rFonts w:hint="eastAsia" w:ascii="仿宋_GB2312"/>
                <w:color w:val="000000" w:themeColor="text1"/>
              </w:rPr>
              <w:br w:type="textWrapping"/>
            </w:r>
            <w:r>
              <w:rPr>
                <w:rFonts w:hint="eastAsia" w:ascii="仿宋_GB2312"/>
                <w:color w:val="000000" w:themeColor="text1"/>
              </w:rPr>
              <w:t>7、支持对终端已被种植了远控木马或者病毒等恶意软件进行检测，并且能够对检测到的恶意软件行为进行深入的分析，展示和外部命令控制服务器的交互行为和其他可疑行为；</w:t>
            </w:r>
            <w:r>
              <w:rPr>
                <w:rFonts w:hint="eastAsia" w:ascii="仿宋_GB2312"/>
                <w:color w:val="000000" w:themeColor="text1"/>
              </w:rPr>
              <w:br w:type="textWrapping"/>
            </w:r>
            <w:r>
              <w:rPr>
                <w:rFonts w:hint="eastAsia" w:ascii="仿宋_GB2312"/>
                <w:color w:val="000000" w:themeColor="text1"/>
              </w:rPr>
              <w:t>8、支持管理员权限分级，支持安全管理员、审计员、系统管理员三种权限</w:t>
            </w:r>
            <w:r>
              <w:rPr>
                <w:rFonts w:hint="eastAsia" w:ascii="仿宋_GB2312"/>
                <w:color w:val="000000" w:themeColor="text1"/>
              </w:rPr>
              <w:br w:type="textWrapping"/>
            </w:r>
            <w:r>
              <w:rPr>
                <w:rFonts w:hint="eastAsia" w:ascii="仿宋_GB2312"/>
                <w:color w:val="000000" w:themeColor="text1"/>
              </w:rPr>
              <w:t>9、支持日志类型Syslog、FTP，同时支持导入到第三方日志平台；</w:t>
            </w:r>
            <w:r>
              <w:rPr>
                <w:rFonts w:hint="eastAsia" w:ascii="仿宋_GB2312"/>
                <w:color w:val="000000" w:themeColor="text1"/>
              </w:rPr>
              <w:br w:type="textWrapping"/>
            </w:r>
            <w:r>
              <w:rPr>
                <w:rFonts w:hint="eastAsia" w:ascii="仿宋_GB2312"/>
                <w:color w:val="000000" w:themeColor="text1"/>
              </w:rPr>
              <w:t>10、提供本次项目所有防火墙日志管控平台。</w:t>
            </w:r>
          </w:p>
        </w:tc>
        <w:tc>
          <w:tcPr>
            <w:tcW w:w="427" w:type="dxa"/>
            <w:noWrap/>
            <w:vAlign w:val="center"/>
          </w:tcPr>
          <w:p>
            <w:pPr>
              <w:spacing w:line="300" w:lineRule="exact"/>
              <w:jc w:val="center"/>
              <w:rPr>
                <w:rFonts w:ascii="仿宋_GB2312"/>
                <w:color w:val="000000" w:themeColor="text1"/>
              </w:rPr>
            </w:pPr>
            <w:r>
              <w:rPr>
                <w:rFonts w:hint="eastAsia" w:ascii="仿宋_GB2312"/>
                <w:color w:val="000000" w:themeColor="text1"/>
              </w:rPr>
              <w:t>6</w:t>
            </w:r>
          </w:p>
        </w:tc>
        <w:tc>
          <w:tcPr>
            <w:tcW w:w="647" w:type="dxa"/>
            <w:vAlign w:val="center"/>
          </w:tcPr>
          <w:p>
            <w:pPr>
              <w:spacing w:line="300" w:lineRule="exact"/>
              <w:jc w:val="center"/>
              <w:rPr>
                <w:rFonts w:ascii="仿宋_GB2312"/>
                <w:color w:val="000000" w:themeColor="text1"/>
              </w:rPr>
            </w:pPr>
            <w:r>
              <w:rPr>
                <w:rFonts w:hint="eastAsia" w:ascii="仿宋_GB2312"/>
                <w:color w:val="000000" w:themeColor="text1"/>
              </w:rPr>
              <w:t>市本级、兰溪</w:t>
            </w:r>
            <w:r>
              <w:rPr>
                <w:rFonts w:ascii="仿宋_GB2312"/>
                <w:color w:val="000000" w:themeColor="text1"/>
              </w:rPr>
              <w:t>、</w:t>
            </w:r>
            <w:r>
              <w:rPr>
                <w:rFonts w:hint="eastAsia" w:ascii="仿宋_GB2312"/>
                <w:color w:val="000000" w:themeColor="text1"/>
              </w:rPr>
              <w:t>永康</w:t>
            </w:r>
            <w:r>
              <w:rPr>
                <w:rFonts w:ascii="仿宋_GB2312"/>
                <w:color w:val="000000" w:themeColor="text1"/>
              </w:rPr>
              <w:t>、武义、浦江、磐安各</w:t>
            </w:r>
            <w:r>
              <w:rPr>
                <w:rFonts w:hint="eastAsia" w:ascii="仿宋_GB2312"/>
                <w:color w:val="000000" w:themeColor="text1"/>
              </w:rPr>
              <w:t>1台</w:t>
            </w:r>
          </w:p>
        </w:tc>
        <w:tc>
          <w:tcPr>
            <w:tcW w:w="427" w:type="dxa"/>
            <w:noWrap/>
            <w:vAlign w:val="center"/>
          </w:tcPr>
          <w:p>
            <w:pPr>
              <w:spacing w:line="300" w:lineRule="exact"/>
              <w:jc w:val="center"/>
              <w:rPr>
                <w:rFonts w:ascii="仿宋_GB2312"/>
                <w:color w:val="000000" w:themeColor="text1"/>
              </w:rPr>
            </w:pPr>
            <w:r>
              <w:rPr>
                <w:rFonts w:hint="eastAsia" w:ascii="仿宋_GB2312"/>
                <w:color w:val="000000" w:themeColor="text1"/>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00" w:hRule="atLeast"/>
          <w:jc w:val="center"/>
        </w:trPr>
        <w:tc>
          <w:tcPr>
            <w:tcW w:w="818" w:type="dxa"/>
            <w:vMerge w:val="continue"/>
            <w:vAlign w:val="center"/>
          </w:tcPr>
          <w:p>
            <w:pPr>
              <w:spacing w:line="300" w:lineRule="exact"/>
              <w:rPr>
                <w:rFonts w:ascii="仿宋_GB2312" w:hAnsi="宋体"/>
                <w:color w:val="000000" w:themeColor="text1"/>
              </w:rPr>
            </w:pPr>
          </w:p>
        </w:tc>
        <w:tc>
          <w:tcPr>
            <w:tcW w:w="1056" w:type="dxa"/>
            <w:noWrap/>
            <w:vAlign w:val="center"/>
          </w:tcPr>
          <w:p>
            <w:pPr>
              <w:spacing w:line="300" w:lineRule="exact"/>
              <w:jc w:val="center"/>
              <w:rPr>
                <w:rFonts w:ascii="仿宋_GB2312"/>
                <w:color w:val="000000" w:themeColor="text1"/>
              </w:rPr>
            </w:pPr>
            <w:r>
              <w:rPr>
                <w:rFonts w:hint="eastAsia" w:ascii="仿宋_GB2312"/>
                <w:color w:val="000000" w:themeColor="text1"/>
              </w:rPr>
              <w:t>交换机</w:t>
            </w:r>
          </w:p>
        </w:tc>
        <w:tc>
          <w:tcPr>
            <w:tcW w:w="5153" w:type="dxa"/>
            <w:vAlign w:val="center"/>
          </w:tcPr>
          <w:p>
            <w:pPr>
              <w:spacing w:line="300" w:lineRule="exact"/>
              <w:rPr>
                <w:rFonts w:ascii="仿宋_GB2312"/>
                <w:color w:val="000000" w:themeColor="text1"/>
              </w:rPr>
            </w:pPr>
            <w:r>
              <w:rPr>
                <w:rFonts w:hint="eastAsia"/>
                <w:color w:val="000000" w:themeColor="text1"/>
              </w:rPr>
              <w:t>★</w:t>
            </w:r>
            <w:r>
              <w:rPr>
                <w:rFonts w:hint="eastAsia" w:ascii="仿宋_GB2312"/>
                <w:color w:val="000000" w:themeColor="text1"/>
              </w:rPr>
              <w:t>1、交换容量≥1.2Tbps；</w:t>
            </w:r>
            <w:r>
              <w:rPr>
                <w:rFonts w:hint="eastAsia" w:ascii="仿宋_GB2312"/>
                <w:color w:val="000000" w:themeColor="text1"/>
              </w:rPr>
              <w:br w:type="textWrapping"/>
            </w:r>
            <w:r>
              <w:rPr>
                <w:rFonts w:hint="eastAsia"/>
                <w:color w:val="000000" w:themeColor="text1"/>
              </w:rPr>
              <w:t>★</w:t>
            </w:r>
            <w:r>
              <w:rPr>
                <w:rFonts w:hint="eastAsia" w:ascii="仿宋_GB2312"/>
                <w:color w:val="000000" w:themeColor="text1"/>
              </w:rPr>
              <w:t>2、包转发率≥360Mpps；</w:t>
            </w:r>
            <w:r>
              <w:rPr>
                <w:rFonts w:hint="eastAsia" w:ascii="仿宋_GB2312"/>
                <w:color w:val="000000" w:themeColor="text1"/>
              </w:rPr>
              <w:br w:type="textWrapping"/>
            </w:r>
            <w:r>
              <w:rPr>
                <w:rFonts w:hint="eastAsia" w:ascii="仿宋_GB2312"/>
                <w:color w:val="000000" w:themeColor="text1"/>
              </w:rPr>
              <w:t>3、设备为1U盒式设备，支持24个万兆SFP+端口(满配</w:t>
            </w:r>
            <w:r>
              <w:rPr>
                <w:rFonts w:ascii="仿宋_GB2312"/>
                <w:color w:val="000000" w:themeColor="text1"/>
              </w:rPr>
              <w:t>光模块</w:t>
            </w:r>
            <w:r>
              <w:rPr>
                <w:rFonts w:hint="eastAsia" w:ascii="仿宋_GB2312"/>
                <w:color w:val="000000" w:themeColor="text1"/>
              </w:rPr>
              <w:t>)，端口线速转发；</w:t>
            </w:r>
            <w:r>
              <w:rPr>
                <w:rFonts w:hint="eastAsia" w:ascii="仿宋_GB2312"/>
                <w:color w:val="000000" w:themeColor="text1"/>
              </w:rPr>
              <w:br w:type="textWrapping"/>
            </w:r>
            <w:r>
              <w:rPr>
                <w:rFonts w:hint="eastAsia"/>
                <w:color w:val="000000" w:themeColor="text1"/>
              </w:rPr>
              <w:t>★</w:t>
            </w:r>
            <w:r>
              <w:rPr>
                <w:rFonts w:hint="eastAsia" w:ascii="仿宋_GB2312"/>
                <w:color w:val="000000" w:themeColor="text1"/>
              </w:rPr>
              <w:t>4、支持10GE端口转发时延&lt;1µs；</w:t>
            </w:r>
            <w:r>
              <w:rPr>
                <w:rFonts w:hint="eastAsia" w:ascii="仿宋_GB2312"/>
                <w:color w:val="000000" w:themeColor="text1"/>
              </w:rPr>
              <w:br w:type="textWrapping"/>
            </w:r>
            <w:r>
              <w:rPr>
                <w:rFonts w:hint="eastAsia" w:ascii="仿宋_GB2312"/>
                <w:color w:val="000000" w:themeColor="text1"/>
              </w:rPr>
              <w:t>5、支持MAC地址≥288k，支持4K个VLAN，支持Guest VLAN、Voice VLAN，支持基于MAC/协议/IP子网/策略/端口的VLAN；</w:t>
            </w:r>
            <w:r>
              <w:rPr>
                <w:rFonts w:hint="eastAsia" w:ascii="仿宋_GB2312"/>
                <w:color w:val="000000" w:themeColor="text1"/>
              </w:rPr>
              <w:br w:type="textWrapping"/>
            </w:r>
            <w:r>
              <w:rPr>
                <w:rFonts w:hint="eastAsia" w:ascii="仿宋_GB2312"/>
                <w:color w:val="000000" w:themeColor="text1"/>
              </w:rPr>
              <w:t>6、支持静态路由、RIP V1/2、URPF</w:t>
            </w:r>
            <w:r>
              <w:rPr>
                <w:rFonts w:hint="eastAsia" w:ascii="仿宋_GB2312"/>
                <w:color w:val="000000" w:themeColor="text1"/>
              </w:rPr>
              <w:br w:type="textWrapping"/>
            </w:r>
            <w:r>
              <w:rPr>
                <w:rFonts w:hint="eastAsia" w:ascii="仿宋_GB2312"/>
                <w:color w:val="000000" w:themeColor="text1"/>
              </w:rPr>
              <w:t>OSPF、IS-IS、BGP、RIPng、OSPFv3、BGP4+、ISISv6；</w:t>
            </w:r>
            <w:r>
              <w:rPr>
                <w:rFonts w:hint="eastAsia" w:ascii="仿宋_GB2312"/>
                <w:color w:val="000000" w:themeColor="text1"/>
              </w:rPr>
              <w:br w:type="textWrapping"/>
            </w:r>
            <w:r>
              <w:rPr>
                <w:rFonts w:hint="eastAsia" w:ascii="仿宋_GB2312"/>
                <w:color w:val="000000" w:themeColor="text1"/>
              </w:rPr>
              <w:t>7、支持堆叠。</w:t>
            </w:r>
          </w:p>
        </w:tc>
        <w:tc>
          <w:tcPr>
            <w:tcW w:w="427" w:type="dxa"/>
            <w:noWrap/>
            <w:vAlign w:val="center"/>
          </w:tcPr>
          <w:p>
            <w:pPr>
              <w:spacing w:line="300" w:lineRule="exact"/>
              <w:jc w:val="center"/>
              <w:rPr>
                <w:rFonts w:ascii="仿宋_GB2312"/>
                <w:color w:val="000000" w:themeColor="text1"/>
              </w:rPr>
            </w:pPr>
            <w:r>
              <w:rPr>
                <w:rFonts w:hint="eastAsia" w:ascii="仿宋_GB2312"/>
                <w:color w:val="000000" w:themeColor="text1"/>
              </w:rPr>
              <w:t>6</w:t>
            </w:r>
          </w:p>
        </w:tc>
        <w:tc>
          <w:tcPr>
            <w:tcW w:w="647" w:type="dxa"/>
            <w:vAlign w:val="center"/>
          </w:tcPr>
          <w:p>
            <w:pPr>
              <w:spacing w:line="300" w:lineRule="exact"/>
              <w:jc w:val="center"/>
              <w:rPr>
                <w:rFonts w:ascii="仿宋_GB2312"/>
                <w:color w:val="000000" w:themeColor="text1"/>
              </w:rPr>
            </w:pPr>
            <w:r>
              <w:rPr>
                <w:rFonts w:hint="eastAsia" w:ascii="仿宋_GB2312"/>
                <w:color w:val="000000" w:themeColor="text1"/>
              </w:rPr>
              <w:t>市本级、兰溪</w:t>
            </w:r>
            <w:r>
              <w:rPr>
                <w:rFonts w:ascii="仿宋_GB2312"/>
                <w:color w:val="000000" w:themeColor="text1"/>
              </w:rPr>
              <w:t>、</w:t>
            </w:r>
            <w:r>
              <w:rPr>
                <w:rFonts w:hint="eastAsia" w:ascii="仿宋_GB2312"/>
                <w:color w:val="000000" w:themeColor="text1"/>
              </w:rPr>
              <w:t>永康</w:t>
            </w:r>
            <w:r>
              <w:rPr>
                <w:rFonts w:ascii="仿宋_GB2312"/>
                <w:color w:val="000000" w:themeColor="text1"/>
              </w:rPr>
              <w:t>、武义、浦江、磐安各</w:t>
            </w:r>
            <w:r>
              <w:rPr>
                <w:rFonts w:hint="eastAsia" w:ascii="仿宋_GB2312"/>
                <w:color w:val="000000" w:themeColor="text1"/>
              </w:rPr>
              <w:t>1台</w:t>
            </w:r>
          </w:p>
        </w:tc>
        <w:tc>
          <w:tcPr>
            <w:tcW w:w="427" w:type="dxa"/>
            <w:noWrap/>
            <w:vAlign w:val="center"/>
          </w:tcPr>
          <w:p>
            <w:pPr>
              <w:spacing w:line="300" w:lineRule="exact"/>
              <w:jc w:val="center"/>
              <w:rPr>
                <w:rFonts w:ascii="仿宋_GB2312"/>
                <w:color w:val="000000" w:themeColor="text1"/>
              </w:rPr>
            </w:pPr>
            <w:r>
              <w:rPr>
                <w:rFonts w:hint="eastAsia" w:ascii="仿宋_GB2312"/>
                <w:color w:val="000000" w:themeColor="text1"/>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00" w:hRule="atLeast"/>
          <w:jc w:val="center"/>
        </w:trPr>
        <w:tc>
          <w:tcPr>
            <w:tcW w:w="818"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准入控制及终端安全管理系统</w:t>
            </w:r>
          </w:p>
        </w:tc>
        <w:tc>
          <w:tcPr>
            <w:tcW w:w="1056" w:type="dxa"/>
            <w:noWrap/>
            <w:vAlign w:val="center"/>
          </w:tcPr>
          <w:p>
            <w:pPr>
              <w:spacing w:line="300" w:lineRule="exact"/>
              <w:jc w:val="center"/>
              <w:rPr>
                <w:rFonts w:ascii="仿宋_GB2312"/>
                <w:color w:val="000000" w:themeColor="text1"/>
              </w:rPr>
            </w:pPr>
            <w:r>
              <w:rPr>
                <w:rFonts w:hint="eastAsia" w:ascii="仿宋_GB2312"/>
                <w:color w:val="000000" w:themeColor="text1"/>
              </w:rPr>
              <w:t>准入控制及终端安全管理系统</w:t>
            </w:r>
          </w:p>
        </w:tc>
        <w:tc>
          <w:tcPr>
            <w:tcW w:w="5153" w:type="dxa"/>
            <w:vAlign w:val="center"/>
          </w:tcPr>
          <w:p>
            <w:pPr>
              <w:spacing w:line="300" w:lineRule="exact"/>
              <w:rPr>
                <w:rFonts w:ascii="仿宋_GB2312"/>
                <w:color w:val="000000" w:themeColor="text1"/>
              </w:rPr>
            </w:pPr>
            <w:r>
              <w:rPr>
                <w:rFonts w:hint="eastAsia" w:ascii="仿宋_GB2312"/>
                <w:color w:val="000000" w:themeColor="text1"/>
              </w:rPr>
              <w:t>联网准入控制系统：</w:t>
            </w:r>
            <w:r>
              <w:rPr>
                <w:rFonts w:hint="eastAsia" w:ascii="仿宋_GB2312"/>
                <w:color w:val="000000" w:themeColor="text1"/>
              </w:rPr>
              <w:br w:type="textWrapping"/>
            </w:r>
            <w:r>
              <w:rPr>
                <w:rFonts w:hint="eastAsia" w:ascii="仿宋_GB2312"/>
                <w:color w:val="000000" w:themeColor="text1"/>
              </w:rPr>
              <w:t>1、具备至少4个1000BASE-T电口，1个1000BASE-T管理口，1个1000BASE-T扩展口，2个USB接口，一个RS232串口（RJ-45）；</w:t>
            </w:r>
            <w:r>
              <w:rPr>
                <w:rFonts w:hint="eastAsia" w:ascii="仿宋_GB2312"/>
                <w:color w:val="000000" w:themeColor="text1"/>
              </w:rPr>
              <w:br w:type="textWrapping"/>
            </w:r>
            <w:r>
              <w:rPr>
                <w:rFonts w:hint="eastAsia"/>
                <w:color w:val="000000" w:themeColor="text1"/>
              </w:rPr>
              <w:t>★</w:t>
            </w:r>
            <w:r>
              <w:rPr>
                <w:rFonts w:hint="eastAsia" w:ascii="仿宋_GB2312"/>
                <w:color w:val="000000" w:themeColor="text1"/>
              </w:rPr>
              <w:t>2、流量吞吐最大支持3.5Gbps,300万并发连接数，最大新建连接数48000个/S。单台至少支持4路业务控制；</w:t>
            </w:r>
            <w:r>
              <w:rPr>
                <w:rFonts w:hint="eastAsia" w:ascii="仿宋_GB2312"/>
                <w:color w:val="000000" w:themeColor="text1"/>
              </w:rPr>
              <w:br w:type="textWrapping"/>
            </w:r>
            <w:r>
              <w:rPr>
                <w:rFonts w:hint="eastAsia" w:ascii="仿宋_GB2312"/>
                <w:color w:val="000000" w:themeColor="text1"/>
              </w:rPr>
              <w:t>3、要求支持策略路由、旁路干扰、透明串接、虚拟网关等多种准入控制模式；</w:t>
            </w:r>
            <w:r>
              <w:rPr>
                <w:rFonts w:hint="eastAsia" w:ascii="仿宋_GB2312"/>
                <w:color w:val="000000" w:themeColor="text1"/>
              </w:rPr>
              <w:br w:type="textWrapping"/>
            </w:r>
            <w:r>
              <w:rPr>
                <w:rFonts w:hint="eastAsia" w:ascii="仿宋_GB2312"/>
                <w:color w:val="000000" w:themeColor="text1"/>
              </w:rPr>
              <w:t>4、支持集群式部署，可通过管理平台统一管理多台准入网关，对其统一下发策略、统一信息收集；</w:t>
            </w:r>
            <w:r>
              <w:rPr>
                <w:rFonts w:hint="eastAsia" w:ascii="仿宋_GB2312"/>
                <w:color w:val="000000" w:themeColor="text1"/>
              </w:rPr>
              <w:br w:type="textWrapping"/>
            </w:r>
            <w:r>
              <w:rPr>
                <w:rFonts w:hint="eastAsia" w:ascii="仿宋_GB2312"/>
                <w:color w:val="000000" w:themeColor="text1"/>
              </w:rPr>
              <w:t>5、认证方式支持本地认证、Radius认证、AD域同步认证、CA认证、PKI认证等；</w:t>
            </w:r>
            <w:r>
              <w:rPr>
                <w:rFonts w:hint="eastAsia" w:ascii="仿宋_GB2312"/>
                <w:color w:val="000000" w:themeColor="text1"/>
              </w:rPr>
              <w:br w:type="textWrapping"/>
            </w:r>
            <w:r>
              <w:rPr>
                <w:rFonts w:hint="eastAsia" w:ascii="仿宋_GB2312"/>
                <w:color w:val="000000" w:themeColor="text1"/>
              </w:rPr>
              <w:t>6、要求支持未认证通过用户入网时进行阻断，能够提供Web重定向提醒，并说明入网阻断原因。要求能够在重定向页面上实现终端认证、身份认证、安全检查、访客入网等功能。支持注册审核管理功能，入网终端必须通过手动、自动审核通过之后才可以接入网络，支持实名审核功能，根据导入实名信息达到自动验证的目的，并支持自定义审核字段，实现匹配审核</w:t>
            </w:r>
            <w:r>
              <w:rPr>
                <w:rFonts w:hint="eastAsia" w:ascii="仿宋_GB2312"/>
                <w:color w:val="000000" w:themeColor="text1"/>
              </w:rPr>
              <w:br w:type="textWrapping"/>
            </w:r>
            <w:r>
              <w:rPr>
                <w:rFonts w:hint="eastAsia" w:ascii="仿宋_GB2312"/>
                <w:color w:val="000000" w:themeColor="text1"/>
              </w:rPr>
              <w:t>终端安全管理系统：</w:t>
            </w:r>
            <w:r>
              <w:rPr>
                <w:rFonts w:hint="eastAsia" w:ascii="仿宋_GB2312"/>
                <w:color w:val="000000" w:themeColor="text1"/>
              </w:rPr>
              <w:br w:type="textWrapping"/>
            </w:r>
            <w:r>
              <w:rPr>
                <w:rFonts w:hint="eastAsia" w:ascii="仿宋_GB2312"/>
                <w:color w:val="000000" w:themeColor="text1"/>
              </w:rPr>
              <w:t>1、终端安全统一溯源，市级管理平台，含桌面主机防火墙、补丁管理、违规外联监测、桌面水印、网络安全应急协调平台；</w:t>
            </w:r>
            <w:r>
              <w:rPr>
                <w:rFonts w:hint="eastAsia" w:ascii="仿宋_GB2312"/>
                <w:color w:val="000000" w:themeColor="text1"/>
              </w:rPr>
              <w:br w:type="textWrapping"/>
            </w:r>
            <w:r>
              <w:rPr>
                <w:rFonts w:hint="eastAsia" w:ascii="仿宋_GB2312"/>
                <w:color w:val="000000" w:themeColor="text1"/>
              </w:rPr>
              <w:t>2、要求客户端支持在线、离线安装，支持防卸载、关闭及恶意破坏，具备有效的文件、服务及进程保护机制。支持管理员授权的在线、离线卸载</w:t>
            </w:r>
            <w:r>
              <w:rPr>
                <w:rFonts w:hint="eastAsia" w:ascii="仿宋_GB2312"/>
                <w:color w:val="000000" w:themeColor="text1"/>
              </w:rPr>
              <w:br w:type="textWrapping"/>
            </w:r>
            <w:r>
              <w:rPr>
                <w:rFonts w:hint="eastAsia" w:ascii="仿宋_GB2312"/>
                <w:color w:val="000000" w:themeColor="text1"/>
              </w:rPr>
              <w:t>3、支持矢量水印，在屏幕上布满7X7矢量点阵水印，可设置点阵大小、颜色，支持颜色自动取反；</w:t>
            </w:r>
            <w:r>
              <w:rPr>
                <w:rFonts w:hint="eastAsia" w:ascii="仿宋_GB2312"/>
                <w:color w:val="000000" w:themeColor="text1"/>
              </w:rPr>
              <w:br w:type="textWrapping"/>
            </w:r>
            <w:r>
              <w:rPr>
                <w:rFonts w:hint="eastAsia" w:ascii="仿宋_GB2312"/>
                <w:color w:val="000000" w:themeColor="text1"/>
              </w:rPr>
              <w:t>4、限定桌面终端只能访问视频共享平台相关服务IP和端口，关闭与视频业务无关的端口，保障专机专用，减少网络中不必要的交叉访问；</w:t>
            </w:r>
            <w:r>
              <w:rPr>
                <w:rFonts w:hint="eastAsia" w:ascii="仿宋_GB2312"/>
                <w:color w:val="000000" w:themeColor="text1"/>
              </w:rPr>
              <w:br w:type="textWrapping"/>
            </w:r>
            <w:r>
              <w:rPr>
                <w:rFonts w:hint="eastAsia" w:ascii="仿宋_GB2312"/>
                <w:color w:val="000000" w:themeColor="text1"/>
              </w:rPr>
              <w:t>5、对网内终端进行及时、强制补丁升级服务，自动建立补丁库，针对下载的补丁进行归类存放；</w:t>
            </w:r>
            <w:r>
              <w:rPr>
                <w:rFonts w:hint="eastAsia" w:ascii="仿宋_GB2312"/>
                <w:color w:val="000000" w:themeColor="text1"/>
              </w:rPr>
              <w:br w:type="textWrapping"/>
            </w:r>
            <w:r>
              <w:rPr>
                <w:rFonts w:hint="eastAsia" w:ascii="仿宋_GB2312"/>
                <w:color w:val="000000" w:themeColor="text1"/>
              </w:rPr>
              <w:t>6、对有客户端的终端在发现违规外联行为后，可对其进行自身进行阻断、告警。对无客户端的终端设备可实现违规外联环境探测。</w:t>
            </w:r>
          </w:p>
        </w:tc>
        <w:tc>
          <w:tcPr>
            <w:tcW w:w="427" w:type="dxa"/>
            <w:noWrap/>
            <w:vAlign w:val="center"/>
          </w:tcPr>
          <w:p>
            <w:pPr>
              <w:spacing w:line="300" w:lineRule="exact"/>
              <w:jc w:val="center"/>
              <w:rPr>
                <w:rFonts w:ascii="仿宋_GB2312"/>
                <w:color w:val="000000" w:themeColor="text1"/>
              </w:rPr>
            </w:pPr>
            <w:r>
              <w:rPr>
                <w:rFonts w:hint="eastAsia" w:ascii="仿宋_GB2312"/>
                <w:color w:val="000000" w:themeColor="text1"/>
              </w:rPr>
              <w:t>2</w:t>
            </w:r>
          </w:p>
        </w:tc>
        <w:tc>
          <w:tcPr>
            <w:tcW w:w="647" w:type="dxa"/>
            <w:vAlign w:val="center"/>
          </w:tcPr>
          <w:p>
            <w:pPr>
              <w:spacing w:line="300" w:lineRule="exact"/>
              <w:jc w:val="center"/>
              <w:rPr>
                <w:rFonts w:ascii="仿宋_GB2312"/>
                <w:color w:val="000000" w:themeColor="text1"/>
              </w:rPr>
            </w:pPr>
            <w:r>
              <w:rPr>
                <w:rFonts w:hint="eastAsia" w:ascii="仿宋_GB2312"/>
                <w:color w:val="000000" w:themeColor="text1"/>
              </w:rPr>
              <w:t>东阳1套</w:t>
            </w:r>
            <w:r>
              <w:rPr>
                <w:rFonts w:ascii="仿宋_GB2312"/>
                <w:color w:val="000000" w:themeColor="text1"/>
              </w:rPr>
              <w:t>、永康</w:t>
            </w:r>
            <w:r>
              <w:rPr>
                <w:rFonts w:hint="eastAsia" w:ascii="仿宋_GB2312"/>
                <w:color w:val="000000" w:themeColor="text1"/>
              </w:rPr>
              <w:t>1套</w:t>
            </w:r>
          </w:p>
        </w:tc>
        <w:tc>
          <w:tcPr>
            <w:tcW w:w="427" w:type="dxa"/>
            <w:noWrap/>
            <w:vAlign w:val="center"/>
          </w:tcPr>
          <w:p>
            <w:pPr>
              <w:spacing w:line="300" w:lineRule="exact"/>
              <w:jc w:val="center"/>
              <w:rPr>
                <w:rFonts w:ascii="仿宋_GB2312"/>
                <w:color w:val="000000" w:themeColor="text1"/>
              </w:rPr>
            </w:pPr>
            <w:r>
              <w:rPr>
                <w:rFonts w:hint="eastAsia" w:ascii="仿宋_GB2312"/>
                <w:color w:val="000000" w:themeColor="text1"/>
              </w:rPr>
              <w:t>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00" w:hRule="atLeast"/>
          <w:jc w:val="center"/>
        </w:trPr>
        <w:tc>
          <w:tcPr>
            <w:tcW w:w="818" w:type="dxa"/>
            <w:vMerge w:val="restart"/>
            <w:noWrap/>
            <w:vAlign w:val="center"/>
          </w:tcPr>
          <w:p>
            <w:pPr>
              <w:spacing w:line="300" w:lineRule="exact"/>
              <w:jc w:val="center"/>
              <w:rPr>
                <w:rFonts w:ascii="仿宋_GB2312" w:hAnsi="宋体"/>
                <w:color w:val="000000" w:themeColor="text1"/>
              </w:rPr>
            </w:pPr>
            <w:r>
              <w:rPr>
                <w:rFonts w:hint="eastAsia" w:ascii="仿宋_GB2312" w:hAnsi="宋体"/>
                <w:color w:val="000000" w:themeColor="text1"/>
              </w:rPr>
              <w:t>平台及系统防护</w:t>
            </w:r>
          </w:p>
        </w:tc>
        <w:tc>
          <w:tcPr>
            <w:tcW w:w="1056" w:type="dxa"/>
            <w:noWrap/>
            <w:vAlign w:val="center"/>
          </w:tcPr>
          <w:p>
            <w:pPr>
              <w:spacing w:line="300" w:lineRule="exact"/>
              <w:jc w:val="center"/>
              <w:rPr>
                <w:rFonts w:ascii="仿宋_GB2312"/>
                <w:color w:val="000000" w:themeColor="text1"/>
              </w:rPr>
            </w:pPr>
            <w:r>
              <w:rPr>
                <w:rFonts w:hint="eastAsia" w:ascii="仿宋_GB2312"/>
                <w:color w:val="000000" w:themeColor="text1"/>
              </w:rPr>
              <w:t>日志审计系统</w:t>
            </w:r>
          </w:p>
        </w:tc>
        <w:tc>
          <w:tcPr>
            <w:tcW w:w="5153" w:type="dxa"/>
            <w:vAlign w:val="center"/>
          </w:tcPr>
          <w:p>
            <w:pPr>
              <w:spacing w:line="300" w:lineRule="exact"/>
              <w:rPr>
                <w:rFonts w:ascii="仿宋_GB2312"/>
                <w:color w:val="000000" w:themeColor="text1"/>
              </w:rPr>
            </w:pPr>
            <w:r>
              <w:rPr>
                <w:rFonts w:hint="eastAsia" w:ascii="仿宋_GB2312"/>
                <w:color w:val="000000" w:themeColor="text1"/>
              </w:rPr>
              <w:t>1、支持分布式部署与集中式部署模式；</w:t>
            </w:r>
            <w:r>
              <w:rPr>
                <w:rFonts w:hint="eastAsia" w:ascii="仿宋_GB2312"/>
                <w:color w:val="000000" w:themeColor="text1"/>
              </w:rPr>
              <w:br w:type="textWrapping"/>
            </w:r>
            <w:r>
              <w:rPr>
                <w:rFonts w:hint="eastAsia" w:ascii="仿宋_GB2312"/>
                <w:color w:val="000000" w:themeColor="text1"/>
              </w:rPr>
              <w:t>2、审计系统存储不少于64TB存储；</w:t>
            </w:r>
            <w:r>
              <w:rPr>
                <w:rFonts w:hint="eastAsia" w:ascii="仿宋_GB2312"/>
                <w:color w:val="000000" w:themeColor="text1"/>
              </w:rPr>
              <w:br w:type="textWrapping"/>
            </w:r>
            <w:r>
              <w:rPr>
                <w:rFonts w:hint="eastAsia" w:ascii="仿宋_GB2312"/>
                <w:color w:val="000000" w:themeColor="text1"/>
              </w:rPr>
              <w:t>3、客户端和服务器之间，采用私有协议进行通讯，或通过SSL协议进行保护；与设备的交互，通过SSH及SNMP V3来满足安全性的要求；</w:t>
            </w:r>
            <w:r>
              <w:rPr>
                <w:rFonts w:hint="eastAsia" w:ascii="仿宋_GB2312"/>
                <w:color w:val="000000" w:themeColor="text1"/>
              </w:rPr>
              <w:br w:type="textWrapping"/>
            </w:r>
            <w:r>
              <w:rPr>
                <w:rFonts w:hint="eastAsia" w:ascii="仿宋_GB2312"/>
                <w:color w:val="000000" w:themeColor="text1"/>
              </w:rPr>
              <w:t>4、最大支持日志源数不少于1500个；</w:t>
            </w:r>
            <w:r>
              <w:rPr>
                <w:rFonts w:hint="eastAsia" w:ascii="仿宋_GB2312"/>
                <w:color w:val="000000" w:themeColor="text1"/>
              </w:rPr>
              <w:br w:type="textWrapping"/>
            </w:r>
            <w:r>
              <w:rPr>
                <w:rFonts w:hint="eastAsia" w:ascii="仿宋_GB2312"/>
                <w:color w:val="000000" w:themeColor="text1"/>
              </w:rPr>
              <w:t>5、日志采集方式：支持通过二进制会话、Syslog、Dataflow、Netflow、FTP；</w:t>
            </w:r>
            <w:r>
              <w:rPr>
                <w:rFonts w:hint="eastAsia" w:ascii="仿宋_GB2312"/>
                <w:color w:val="000000" w:themeColor="text1"/>
              </w:rPr>
              <w:br w:type="textWrapping"/>
            </w:r>
            <w:r>
              <w:rPr>
                <w:rFonts w:hint="eastAsia" w:ascii="仿宋_GB2312"/>
                <w:color w:val="000000" w:themeColor="text1"/>
              </w:rPr>
              <w:t>6、日志分类：系统能够根据日志特征对防火墙的Syslog日志进行如下分类：攻击防范、流量监控、黑名单、地址绑定、操作命令、防火墙登录、策略命中、内容过滤和其它；</w:t>
            </w:r>
            <w:r>
              <w:rPr>
                <w:rFonts w:hint="eastAsia" w:ascii="仿宋_GB2312"/>
                <w:color w:val="000000" w:themeColor="text1"/>
              </w:rPr>
              <w:br w:type="textWrapping"/>
            </w:r>
            <w:r>
              <w:rPr>
                <w:rFonts w:hint="eastAsia" w:ascii="仿宋_GB2312"/>
                <w:color w:val="000000" w:themeColor="text1"/>
              </w:rPr>
              <w:t>7、报表格式：报表格式支持PDF、Excel、Html三种文件格式；</w:t>
            </w:r>
            <w:r>
              <w:rPr>
                <w:rFonts w:hint="eastAsia" w:ascii="仿宋_GB2312"/>
                <w:color w:val="000000" w:themeColor="text1"/>
              </w:rPr>
              <w:br w:type="textWrapping"/>
            </w:r>
            <w:r>
              <w:rPr>
                <w:rFonts w:hint="eastAsia" w:ascii="仿宋_GB2312"/>
                <w:color w:val="000000" w:themeColor="text1"/>
              </w:rPr>
              <w:t>8、系统能自动对运行过程中的故障及重要状态变化进行记录，方便管理员了解系统运行情况。</w:t>
            </w:r>
          </w:p>
        </w:tc>
        <w:tc>
          <w:tcPr>
            <w:tcW w:w="427" w:type="dxa"/>
            <w:noWrap/>
            <w:vAlign w:val="center"/>
          </w:tcPr>
          <w:p>
            <w:pPr>
              <w:spacing w:line="300" w:lineRule="exact"/>
              <w:jc w:val="center"/>
              <w:rPr>
                <w:rFonts w:ascii="仿宋_GB2312"/>
                <w:color w:val="000000" w:themeColor="text1"/>
              </w:rPr>
            </w:pPr>
            <w:r>
              <w:rPr>
                <w:rFonts w:hint="eastAsia" w:ascii="仿宋_GB2312"/>
                <w:color w:val="000000" w:themeColor="text1"/>
              </w:rPr>
              <w:t>1</w:t>
            </w:r>
          </w:p>
        </w:tc>
        <w:tc>
          <w:tcPr>
            <w:tcW w:w="647" w:type="dxa"/>
            <w:vAlign w:val="center"/>
          </w:tcPr>
          <w:p>
            <w:pPr>
              <w:spacing w:line="300" w:lineRule="exact"/>
              <w:jc w:val="center"/>
              <w:rPr>
                <w:rFonts w:ascii="仿宋_GB2312"/>
                <w:color w:val="000000" w:themeColor="text1"/>
              </w:rPr>
            </w:pPr>
            <w:r>
              <w:rPr>
                <w:rFonts w:hint="eastAsia" w:ascii="仿宋_GB2312"/>
                <w:color w:val="000000" w:themeColor="text1"/>
              </w:rPr>
              <w:t>市本级1套</w:t>
            </w:r>
          </w:p>
        </w:tc>
        <w:tc>
          <w:tcPr>
            <w:tcW w:w="427" w:type="dxa"/>
            <w:noWrap/>
            <w:vAlign w:val="center"/>
          </w:tcPr>
          <w:p>
            <w:pPr>
              <w:spacing w:line="300" w:lineRule="exact"/>
              <w:jc w:val="center"/>
              <w:rPr>
                <w:rFonts w:ascii="仿宋_GB2312"/>
                <w:color w:val="000000" w:themeColor="text1"/>
              </w:rPr>
            </w:pPr>
            <w:r>
              <w:rPr>
                <w:rFonts w:hint="eastAsia" w:ascii="仿宋_GB2312"/>
                <w:color w:val="000000" w:themeColor="text1"/>
              </w:rPr>
              <w:t>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00" w:hRule="atLeast"/>
          <w:jc w:val="center"/>
        </w:trPr>
        <w:tc>
          <w:tcPr>
            <w:tcW w:w="818" w:type="dxa"/>
            <w:vMerge w:val="continue"/>
            <w:vAlign w:val="center"/>
          </w:tcPr>
          <w:p>
            <w:pPr>
              <w:spacing w:line="300" w:lineRule="exact"/>
              <w:rPr>
                <w:rFonts w:ascii="仿宋_GB2312" w:hAnsi="宋体"/>
                <w:color w:val="000000" w:themeColor="text1"/>
              </w:rPr>
            </w:pPr>
          </w:p>
        </w:tc>
        <w:tc>
          <w:tcPr>
            <w:tcW w:w="1056" w:type="dxa"/>
            <w:vAlign w:val="center"/>
          </w:tcPr>
          <w:p>
            <w:pPr>
              <w:spacing w:line="300" w:lineRule="exact"/>
              <w:jc w:val="center"/>
              <w:rPr>
                <w:rFonts w:ascii="仿宋_GB2312"/>
                <w:color w:val="000000" w:themeColor="text1"/>
              </w:rPr>
            </w:pPr>
            <w:r>
              <w:rPr>
                <w:rFonts w:hint="eastAsia" w:ascii="仿宋_GB2312"/>
                <w:color w:val="000000" w:themeColor="text1"/>
              </w:rPr>
              <w:t>解析中心安全防护-下一代防火墙（40G）</w:t>
            </w:r>
          </w:p>
        </w:tc>
        <w:tc>
          <w:tcPr>
            <w:tcW w:w="5153" w:type="dxa"/>
            <w:vAlign w:val="center"/>
          </w:tcPr>
          <w:p>
            <w:pPr>
              <w:spacing w:line="300" w:lineRule="exact"/>
              <w:rPr>
                <w:rFonts w:ascii="仿宋_GB2312"/>
                <w:color w:val="000000" w:themeColor="text1"/>
              </w:rPr>
            </w:pPr>
            <w:r>
              <w:rPr>
                <w:rFonts w:hint="eastAsia"/>
                <w:color w:val="000000" w:themeColor="text1"/>
              </w:rPr>
              <w:t>★</w:t>
            </w:r>
            <w:r>
              <w:rPr>
                <w:rFonts w:hint="eastAsia" w:ascii="仿宋_GB2312"/>
                <w:color w:val="000000" w:themeColor="text1"/>
              </w:rPr>
              <w:t>1、配置双电源，40GE光口≥2，10GE光口≥6；吞吐量≥80Gbps，并发连接≥1600万，整机每秒新建连接数可扩展到≥100万，配置应用层协议识别及流量控制功能，IPS功能；</w:t>
            </w:r>
            <w:r>
              <w:rPr>
                <w:rFonts w:hint="eastAsia" w:ascii="仿宋_GB2312"/>
                <w:color w:val="000000" w:themeColor="text1"/>
              </w:rPr>
              <w:br w:type="textWrapping"/>
            </w:r>
            <w:r>
              <w:rPr>
                <w:rFonts w:hint="eastAsia" w:ascii="仿宋_GB2312"/>
                <w:color w:val="000000" w:themeColor="text1"/>
              </w:rPr>
              <w:t>2、策略路由支持的匹配条件：输入源目的IP、端口、协议五元组信息，模拟策略匹配方式，给出最可能的匹配结果，方便排查故障，或环境部署前的调试；</w:t>
            </w:r>
            <w:r>
              <w:rPr>
                <w:rFonts w:hint="eastAsia" w:ascii="仿宋_GB2312"/>
                <w:color w:val="000000" w:themeColor="text1"/>
              </w:rPr>
              <w:br w:type="textWrapping"/>
            </w:r>
            <w:r>
              <w:rPr>
                <w:rFonts w:hint="eastAsia" w:ascii="仿宋_GB2312"/>
                <w:color w:val="000000" w:themeColor="text1"/>
              </w:rPr>
              <w:t>3、支持全面NAT功能，对多种应用层协议支持ALG功能，包括DNS、PPTP、SIP、FTP、QQ等；</w:t>
            </w:r>
            <w:r>
              <w:rPr>
                <w:rFonts w:hint="eastAsia" w:ascii="仿宋_GB2312"/>
                <w:color w:val="000000" w:themeColor="text1"/>
              </w:rPr>
              <w:br w:type="textWrapping"/>
            </w:r>
            <w:r>
              <w:rPr>
                <w:rFonts w:hint="eastAsia" w:ascii="仿宋_GB2312"/>
                <w:color w:val="000000" w:themeColor="text1"/>
              </w:rPr>
              <w:t>4、支持URL识别能力和URL地址识别库，URL识别库≥3000，支持URL过滤，支持DNS过滤；</w:t>
            </w:r>
            <w:r>
              <w:rPr>
                <w:rFonts w:hint="eastAsia" w:ascii="仿宋_GB2312"/>
                <w:color w:val="000000" w:themeColor="text1"/>
              </w:rPr>
              <w:br w:type="textWrapping"/>
            </w:r>
            <w:r>
              <w:rPr>
                <w:rFonts w:hint="eastAsia" w:ascii="仿宋_GB2312"/>
                <w:color w:val="000000" w:themeColor="text1"/>
              </w:rPr>
              <w:t>5、支持策略的模糊查询，策略组，策略规则标签，方便策略的管理及运维，支持将基于端口的安全策略转换为基于应用的安全策略；</w:t>
            </w:r>
            <w:r>
              <w:rPr>
                <w:rFonts w:hint="eastAsia" w:ascii="仿宋_GB2312"/>
                <w:color w:val="000000" w:themeColor="text1"/>
              </w:rPr>
              <w:br w:type="textWrapping"/>
            </w:r>
            <w:r>
              <w:rPr>
                <w:rFonts w:hint="eastAsia" w:ascii="仿宋_GB2312"/>
                <w:color w:val="000000" w:themeColor="text1"/>
              </w:rPr>
              <w:t>6、基于特征检测，支持超过3000种特征的攻击检测和防御，支持对常见应用服务（HTTP、FTP、SSH、SMTP、IMAP）和数据库软件（MySQL、Oracle、MSSQL）的口令暴力破解防护功能；</w:t>
            </w:r>
            <w:r>
              <w:rPr>
                <w:rFonts w:hint="eastAsia" w:ascii="仿宋_GB2312"/>
                <w:color w:val="000000" w:themeColor="text1"/>
              </w:rPr>
              <w:br w:type="textWrapping"/>
            </w:r>
            <w:r>
              <w:rPr>
                <w:rFonts w:hint="eastAsia" w:ascii="仿宋_GB2312"/>
                <w:color w:val="000000" w:themeColor="text1"/>
              </w:rPr>
              <w:t>7、支持配置向导功能，并提供攻击源IP的攻击地图展示；攻击地图需包括攻击时间，攻击源归属地和IP，被攻击者IP，攻击类型和危害等级及当日安全事件统计；</w:t>
            </w:r>
            <w:r>
              <w:rPr>
                <w:rFonts w:hint="eastAsia" w:ascii="仿宋_GB2312"/>
                <w:color w:val="000000" w:themeColor="text1"/>
              </w:rPr>
              <w:br w:type="textWrapping"/>
            </w:r>
            <w:r>
              <w:rPr>
                <w:rFonts w:hint="eastAsia" w:ascii="仿宋_GB2312"/>
                <w:color w:val="000000" w:themeColor="text1"/>
              </w:rPr>
              <w:t>8、支持对HTTPS加密流量代理解密后，并进行内容过滤，安全防护，支持基于URL分类的精细化解密；</w:t>
            </w:r>
            <w:r>
              <w:rPr>
                <w:rFonts w:hint="eastAsia" w:ascii="仿宋_GB2312"/>
                <w:color w:val="000000" w:themeColor="text1"/>
              </w:rPr>
              <w:br w:type="textWrapping"/>
            </w:r>
            <w:r>
              <w:rPr>
                <w:rFonts w:hint="eastAsia" w:ascii="仿宋_GB2312"/>
                <w:color w:val="000000" w:themeColor="text1"/>
              </w:rPr>
              <w:t>9、支持日志类型Syslog、FTP，同时支持导入到第三方日志平台。</w:t>
            </w:r>
          </w:p>
        </w:tc>
        <w:tc>
          <w:tcPr>
            <w:tcW w:w="427" w:type="dxa"/>
            <w:noWrap/>
            <w:vAlign w:val="center"/>
          </w:tcPr>
          <w:p>
            <w:pPr>
              <w:spacing w:line="300" w:lineRule="exact"/>
              <w:jc w:val="center"/>
              <w:rPr>
                <w:rFonts w:ascii="仿宋_GB2312"/>
                <w:color w:val="000000" w:themeColor="text1"/>
              </w:rPr>
            </w:pPr>
            <w:r>
              <w:rPr>
                <w:rFonts w:hint="eastAsia" w:ascii="仿宋_GB2312"/>
                <w:color w:val="000000" w:themeColor="text1"/>
              </w:rPr>
              <w:t>2</w:t>
            </w:r>
          </w:p>
        </w:tc>
        <w:tc>
          <w:tcPr>
            <w:tcW w:w="647" w:type="dxa"/>
            <w:vAlign w:val="center"/>
          </w:tcPr>
          <w:p>
            <w:pPr>
              <w:spacing w:line="300" w:lineRule="exact"/>
              <w:jc w:val="center"/>
              <w:rPr>
                <w:rFonts w:ascii="仿宋_GB2312"/>
                <w:color w:val="000000" w:themeColor="text1"/>
              </w:rPr>
            </w:pPr>
            <w:r>
              <w:rPr>
                <w:rFonts w:hint="eastAsia" w:ascii="仿宋_GB2312"/>
                <w:color w:val="000000" w:themeColor="text1"/>
              </w:rPr>
              <w:t>市本级2台</w:t>
            </w:r>
          </w:p>
        </w:tc>
        <w:tc>
          <w:tcPr>
            <w:tcW w:w="427" w:type="dxa"/>
            <w:noWrap/>
            <w:vAlign w:val="center"/>
          </w:tcPr>
          <w:p>
            <w:pPr>
              <w:spacing w:line="300" w:lineRule="exact"/>
              <w:jc w:val="center"/>
              <w:rPr>
                <w:rFonts w:ascii="仿宋_GB2312"/>
                <w:color w:val="000000" w:themeColor="text1"/>
              </w:rPr>
            </w:pPr>
            <w:r>
              <w:rPr>
                <w:rFonts w:hint="eastAsia" w:ascii="仿宋_GB2312"/>
                <w:color w:val="000000" w:themeColor="text1"/>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00" w:hRule="atLeast"/>
          <w:jc w:val="center"/>
        </w:trPr>
        <w:tc>
          <w:tcPr>
            <w:tcW w:w="818" w:type="dxa"/>
            <w:vMerge w:val="continue"/>
            <w:vAlign w:val="center"/>
          </w:tcPr>
          <w:p>
            <w:pPr>
              <w:spacing w:line="300" w:lineRule="exact"/>
              <w:rPr>
                <w:rFonts w:ascii="仿宋_GB2312" w:hAnsi="宋体"/>
                <w:color w:val="000000" w:themeColor="text1"/>
              </w:rPr>
            </w:pPr>
          </w:p>
        </w:tc>
        <w:tc>
          <w:tcPr>
            <w:tcW w:w="1056" w:type="dxa"/>
            <w:noWrap/>
            <w:vAlign w:val="center"/>
          </w:tcPr>
          <w:p>
            <w:pPr>
              <w:spacing w:line="300" w:lineRule="exact"/>
              <w:jc w:val="center"/>
              <w:rPr>
                <w:rFonts w:ascii="仿宋_GB2312"/>
                <w:color w:val="000000" w:themeColor="text1"/>
              </w:rPr>
            </w:pPr>
            <w:r>
              <w:rPr>
                <w:rFonts w:hint="eastAsia" w:ascii="仿宋_GB2312"/>
                <w:color w:val="000000" w:themeColor="text1"/>
              </w:rPr>
              <w:t>堡垒机</w:t>
            </w:r>
          </w:p>
        </w:tc>
        <w:tc>
          <w:tcPr>
            <w:tcW w:w="5153" w:type="dxa"/>
            <w:vAlign w:val="center"/>
          </w:tcPr>
          <w:p>
            <w:pPr>
              <w:spacing w:line="300" w:lineRule="exact"/>
              <w:rPr>
                <w:rFonts w:ascii="仿宋_GB2312"/>
                <w:color w:val="000000" w:themeColor="text1"/>
              </w:rPr>
            </w:pPr>
            <w:r>
              <w:rPr>
                <w:rFonts w:hint="eastAsia"/>
                <w:color w:val="000000" w:themeColor="text1"/>
              </w:rPr>
              <w:t>★</w:t>
            </w:r>
            <w:r>
              <w:rPr>
                <w:rFonts w:hint="eastAsia" w:ascii="仿宋_GB2312"/>
                <w:color w:val="000000" w:themeColor="text1"/>
              </w:rPr>
              <w:t>1、资源数≥300个，最大可管理设备数：≥2000台，字符并发会话数：≥800个，图形并发会话数：≥600个；</w:t>
            </w:r>
            <w:r>
              <w:rPr>
                <w:rFonts w:hint="eastAsia" w:ascii="仿宋_GB2312"/>
                <w:color w:val="000000" w:themeColor="text1"/>
              </w:rPr>
              <w:br w:type="textWrapping"/>
            </w:r>
            <w:r>
              <w:rPr>
                <w:rFonts w:hint="eastAsia"/>
                <w:color w:val="000000" w:themeColor="text1"/>
              </w:rPr>
              <w:t>★</w:t>
            </w:r>
            <w:r>
              <w:rPr>
                <w:rFonts w:hint="eastAsia" w:ascii="仿宋_GB2312"/>
                <w:color w:val="000000" w:themeColor="text1"/>
              </w:rPr>
              <w:t>2、2个10/100/1000BASE-TX管理口，4个10/100/1000BASE自适应电口，4个SFP插槽，2个可扩展插槽 2T存储空间；双电源；</w:t>
            </w:r>
            <w:r>
              <w:rPr>
                <w:rFonts w:hint="eastAsia" w:ascii="仿宋_GB2312"/>
                <w:color w:val="000000" w:themeColor="text1"/>
              </w:rPr>
              <w:br w:type="textWrapping"/>
            </w:r>
            <w:r>
              <w:rPr>
                <w:rFonts w:hint="eastAsia" w:ascii="仿宋_GB2312"/>
                <w:color w:val="000000" w:themeColor="text1"/>
              </w:rPr>
              <w:t>3、支持SSH，TELNET，FTP，SCP、SFTP、远程桌面RDP、VNC、X11、HTTP、HTTPS、ORACLE、MSSQL、DB2，INFORMIX，MYSQL等应用协议的集中管理与审计；</w:t>
            </w:r>
            <w:r>
              <w:rPr>
                <w:rFonts w:hint="eastAsia" w:ascii="仿宋_GB2312"/>
                <w:color w:val="000000" w:themeColor="text1"/>
              </w:rPr>
              <w:br w:type="textWrapping"/>
            </w:r>
            <w:r>
              <w:rPr>
                <w:rFonts w:hint="eastAsia" w:ascii="仿宋_GB2312"/>
                <w:color w:val="000000" w:themeColor="text1"/>
              </w:rPr>
              <w:t>4、支持批量运维，可实现批量登陆资产、批量执行命令、批量推送脚本等高级特性；</w:t>
            </w:r>
            <w:r>
              <w:rPr>
                <w:rFonts w:hint="eastAsia" w:ascii="仿宋_GB2312"/>
                <w:color w:val="000000" w:themeColor="text1"/>
              </w:rPr>
              <w:br w:type="textWrapping"/>
            </w:r>
            <w:r>
              <w:rPr>
                <w:rFonts w:hint="eastAsia" w:ascii="仿宋_GB2312"/>
                <w:color w:val="000000" w:themeColor="text1"/>
              </w:rPr>
              <w:t>5、提供对用户非法访问设备的访问控制功能，根据用户认证信息获取到的用户权限，对用户没有权限访问的资源进行访问阻断；</w:t>
            </w:r>
            <w:r>
              <w:rPr>
                <w:rFonts w:hint="eastAsia" w:ascii="仿宋_GB2312"/>
                <w:color w:val="000000" w:themeColor="text1"/>
              </w:rPr>
              <w:br w:type="textWrapping"/>
            </w:r>
            <w:r>
              <w:rPr>
                <w:rFonts w:hint="eastAsia" w:ascii="仿宋_GB2312"/>
                <w:color w:val="000000" w:themeColor="text1"/>
              </w:rPr>
              <w:t>6、支持报表功能，能够以日报、周报、月报的方式自动生成周期性报表，能够以CSV、HTML方式生成并导出报表，支持管理员自定义报表。</w:t>
            </w:r>
          </w:p>
        </w:tc>
        <w:tc>
          <w:tcPr>
            <w:tcW w:w="427" w:type="dxa"/>
            <w:noWrap/>
            <w:vAlign w:val="center"/>
          </w:tcPr>
          <w:p>
            <w:pPr>
              <w:spacing w:line="300" w:lineRule="exact"/>
              <w:jc w:val="center"/>
              <w:rPr>
                <w:rFonts w:ascii="仿宋_GB2312"/>
                <w:color w:val="000000" w:themeColor="text1"/>
              </w:rPr>
            </w:pPr>
            <w:r>
              <w:rPr>
                <w:rFonts w:hint="eastAsia" w:ascii="仿宋_GB2312"/>
                <w:color w:val="000000" w:themeColor="text1"/>
              </w:rPr>
              <w:t>2</w:t>
            </w:r>
          </w:p>
        </w:tc>
        <w:tc>
          <w:tcPr>
            <w:tcW w:w="647" w:type="dxa"/>
            <w:vAlign w:val="center"/>
          </w:tcPr>
          <w:p>
            <w:pPr>
              <w:spacing w:line="300" w:lineRule="exact"/>
              <w:jc w:val="center"/>
              <w:rPr>
                <w:rFonts w:ascii="仿宋_GB2312"/>
                <w:color w:val="000000" w:themeColor="text1"/>
              </w:rPr>
            </w:pPr>
            <w:r>
              <w:rPr>
                <w:rFonts w:hint="eastAsia" w:ascii="仿宋_GB2312"/>
                <w:color w:val="000000" w:themeColor="text1"/>
              </w:rPr>
              <w:t>市本级2套</w:t>
            </w:r>
          </w:p>
        </w:tc>
        <w:tc>
          <w:tcPr>
            <w:tcW w:w="427" w:type="dxa"/>
            <w:noWrap/>
            <w:vAlign w:val="center"/>
          </w:tcPr>
          <w:p>
            <w:pPr>
              <w:spacing w:line="300" w:lineRule="exact"/>
              <w:jc w:val="center"/>
              <w:rPr>
                <w:rFonts w:ascii="仿宋_GB2312"/>
                <w:color w:val="000000" w:themeColor="text1"/>
              </w:rPr>
            </w:pPr>
            <w:r>
              <w:rPr>
                <w:rFonts w:hint="eastAsia" w:ascii="仿宋_GB2312"/>
                <w:color w:val="000000" w:themeColor="text1"/>
              </w:rPr>
              <w:t>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00" w:hRule="atLeast"/>
          <w:jc w:val="center"/>
        </w:trPr>
        <w:tc>
          <w:tcPr>
            <w:tcW w:w="818" w:type="dxa"/>
            <w:vMerge w:val="continue"/>
            <w:vAlign w:val="center"/>
          </w:tcPr>
          <w:p>
            <w:pPr>
              <w:spacing w:line="300" w:lineRule="exact"/>
              <w:rPr>
                <w:rFonts w:ascii="仿宋_GB2312" w:hAnsi="宋体"/>
                <w:color w:val="000000" w:themeColor="text1"/>
              </w:rPr>
            </w:pPr>
          </w:p>
        </w:tc>
        <w:tc>
          <w:tcPr>
            <w:tcW w:w="1056" w:type="dxa"/>
            <w:vAlign w:val="center"/>
          </w:tcPr>
          <w:p>
            <w:pPr>
              <w:spacing w:line="300" w:lineRule="exact"/>
              <w:jc w:val="center"/>
              <w:rPr>
                <w:rFonts w:ascii="仿宋_GB2312"/>
                <w:color w:val="000000" w:themeColor="text1"/>
              </w:rPr>
            </w:pPr>
            <w:r>
              <w:rPr>
                <w:rFonts w:hint="eastAsia" w:ascii="仿宋_GB2312"/>
                <w:color w:val="000000" w:themeColor="text1"/>
              </w:rPr>
              <w:t>共享平台安全防护-下一代防火墙（千兆）</w:t>
            </w:r>
          </w:p>
        </w:tc>
        <w:tc>
          <w:tcPr>
            <w:tcW w:w="5153" w:type="dxa"/>
            <w:vAlign w:val="center"/>
          </w:tcPr>
          <w:p>
            <w:pPr>
              <w:spacing w:line="300" w:lineRule="exact"/>
              <w:rPr>
                <w:rFonts w:ascii="仿宋_GB2312"/>
                <w:color w:val="000000" w:themeColor="text1"/>
              </w:rPr>
            </w:pPr>
            <w:r>
              <w:rPr>
                <w:rFonts w:hint="eastAsia"/>
                <w:color w:val="000000" w:themeColor="text1"/>
              </w:rPr>
              <w:t>★</w:t>
            </w:r>
            <w:r>
              <w:rPr>
                <w:rFonts w:hint="eastAsia" w:ascii="仿宋_GB2312"/>
                <w:color w:val="000000" w:themeColor="text1"/>
              </w:rPr>
              <w:t>1. 配置双电源，GE光口≥4，GE电口≥4；吞吐量≥10Gbps，并发连接数≥200万，配置应用层协议识别及流量控制功能，IPS功能，WEB应用防护功能；</w:t>
            </w:r>
            <w:r>
              <w:rPr>
                <w:rFonts w:hint="eastAsia" w:ascii="仿宋_GB2312"/>
                <w:color w:val="000000" w:themeColor="text1"/>
              </w:rPr>
              <w:br w:type="textWrapping"/>
            </w:r>
            <w:r>
              <w:rPr>
                <w:rFonts w:hint="eastAsia" w:ascii="仿宋_GB2312"/>
                <w:color w:val="000000" w:themeColor="text1"/>
              </w:rPr>
              <w:t>2. 支持路由，网桥，单臂，旁路，虚拟网线以及混合部署方式；</w:t>
            </w:r>
            <w:r>
              <w:rPr>
                <w:rFonts w:hint="eastAsia" w:ascii="仿宋_GB2312"/>
                <w:color w:val="000000" w:themeColor="text1"/>
              </w:rPr>
              <w:br w:type="textWrapping"/>
            </w:r>
            <w:r>
              <w:rPr>
                <w:rFonts w:hint="eastAsia" w:ascii="仿宋_GB2312"/>
                <w:color w:val="000000" w:themeColor="text1"/>
              </w:rPr>
              <w:t>3. 访问控制策略支持基于源／目的IP，源端口，源／目的区域，用户（组），应用/服务类型，时间组的细化控制方式；</w:t>
            </w:r>
            <w:r>
              <w:rPr>
                <w:rFonts w:hint="eastAsia" w:ascii="仿宋_GB2312"/>
                <w:color w:val="000000" w:themeColor="text1"/>
              </w:rPr>
              <w:br w:type="textWrapping"/>
            </w:r>
            <w:r>
              <w:rPr>
                <w:rFonts w:hint="eastAsia" w:ascii="仿宋_GB2312"/>
                <w:color w:val="000000" w:themeColor="text1"/>
              </w:rPr>
              <w:t>4. 支持对信任区域主机外发的异常流量进行检测，如ICMP，UPD，SYN，DNS Flood等DDoS攻击行为；</w:t>
            </w:r>
            <w:r>
              <w:rPr>
                <w:rFonts w:hint="eastAsia" w:ascii="仿宋_GB2312"/>
                <w:color w:val="000000" w:themeColor="text1"/>
              </w:rPr>
              <w:br w:type="textWrapping"/>
            </w:r>
            <w:r>
              <w:rPr>
                <w:rFonts w:hint="eastAsia" w:ascii="仿宋_GB2312"/>
                <w:color w:val="000000" w:themeColor="text1"/>
              </w:rPr>
              <w:t>5. 为了避免因黑客暴力破解导致的密码泄露事件，要求设备支持对常见应用服务（HTTP、FTP、SSH、SMTP、IMAP）和数据库软件（MySQL、Oracle、MSSQL）的口令暴力破解防护功能；</w:t>
            </w:r>
            <w:r>
              <w:rPr>
                <w:rFonts w:hint="eastAsia" w:ascii="仿宋_GB2312"/>
                <w:color w:val="000000" w:themeColor="text1"/>
              </w:rPr>
              <w:br w:type="textWrapping"/>
            </w:r>
            <w:r>
              <w:rPr>
                <w:rFonts w:hint="eastAsia" w:ascii="仿宋_GB2312"/>
                <w:color w:val="000000" w:themeColor="text1"/>
              </w:rPr>
              <w:t>6. 支持SQL注入防护、XSS攻击防护、CSRF攻击防护、系统命令注入防护，文件包含攻击，目录遍历攻击，信息泄露，恶意爬虫，网站扫描；</w:t>
            </w:r>
            <w:r>
              <w:rPr>
                <w:rFonts w:hint="eastAsia" w:ascii="仿宋_GB2312"/>
                <w:color w:val="000000" w:themeColor="text1"/>
              </w:rPr>
              <w:br w:type="textWrapping"/>
            </w:r>
            <w:r>
              <w:rPr>
                <w:rFonts w:hint="eastAsia" w:ascii="仿宋_GB2312"/>
                <w:color w:val="000000" w:themeColor="text1"/>
              </w:rPr>
              <w:t>7. 支持对终端已被种植了远控木马或者病毒等恶意软件进行检测，并且能够对检测到的恶意软件行为进行深入的分析，展示和外部命令控制服务器的交互行为和其他可疑行为；</w:t>
            </w:r>
            <w:r>
              <w:rPr>
                <w:rFonts w:hint="eastAsia" w:ascii="仿宋_GB2312"/>
                <w:color w:val="000000" w:themeColor="text1"/>
              </w:rPr>
              <w:br w:type="textWrapping"/>
            </w:r>
            <w:r>
              <w:rPr>
                <w:rFonts w:hint="eastAsia" w:ascii="仿宋_GB2312"/>
                <w:color w:val="000000" w:themeColor="text1"/>
              </w:rPr>
              <w:t>8. 支持管理员权限分级，支持安全管理员、审计员、系统管理员三种权限</w:t>
            </w:r>
            <w:r>
              <w:rPr>
                <w:rFonts w:hint="eastAsia" w:ascii="仿宋_GB2312"/>
                <w:color w:val="000000" w:themeColor="text1"/>
              </w:rPr>
              <w:br w:type="textWrapping"/>
            </w:r>
            <w:r>
              <w:rPr>
                <w:rFonts w:hint="eastAsia" w:ascii="仿宋_GB2312"/>
                <w:color w:val="000000" w:themeColor="text1"/>
              </w:rPr>
              <w:t>9、支持日志类型Syslog、FTP，同时支持导入到第三方日志平台。</w:t>
            </w:r>
          </w:p>
        </w:tc>
        <w:tc>
          <w:tcPr>
            <w:tcW w:w="427" w:type="dxa"/>
            <w:noWrap/>
            <w:vAlign w:val="center"/>
          </w:tcPr>
          <w:p>
            <w:pPr>
              <w:spacing w:line="300" w:lineRule="exact"/>
              <w:jc w:val="center"/>
              <w:rPr>
                <w:rFonts w:ascii="仿宋_GB2312"/>
                <w:color w:val="000000" w:themeColor="text1"/>
              </w:rPr>
            </w:pPr>
            <w:r>
              <w:rPr>
                <w:rFonts w:hint="eastAsia" w:ascii="仿宋_GB2312"/>
                <w:color w:val="000000" w:themeColor="text1"/>
              </w:rPr>
              <w:t>12</w:t>
            </w:r>
          </w:p>
        </w:tc>
        <w:tc>
          <w:tcPr>
            <w:tcW w:w="647" w:type="dxa"/>
            <w:vAlign w:val="center"/>
          </w:tcPr>
          <w:p>
            <w:pPr>
              <w:spacing w:line="300" w:lineRule="exact"/>
              <w:jc w:val="center"/>
              <w:rPr>
                <w:rFonts w:ascii="仿宋_GB2312"/>
                <w:color w:val="000000" w:themeColor="text1"/>
              </w:rPr>
            </w:pPr>
            <w:r>
              <w:rPr>
                <w:rFonts w:hint="eastAsia" w:ascii="仿宋_GB2312"/>
                <w:color w:val="000000" w:themeColor="text1"/>
              </w:rPr>
              <w:t>市本级2台</w:t>
            </w:r>
            <w:r>
              <w:rPr>
                <w:rFonts w:ascii="仿宋_GB2312"/>
                <w:color w:val="000000" w:themeColor="text1"/>
              </w:rPr>
              <w:t>、</w:t>
            </w:r>
            <w:r>
              <w:rPr>
                <w:rFonts w:hint="eastAsia" w:ascii="仿宋_GB2312"/>
                <w:color w:val="000000" w:themeColor="text1"/>
              </w:rPr>
              <w:t>7个县市</w:t>
            </w:r>
            <w:r>
              <w:rPr>
                <w:rFonts w:ascii="仿宋_GB2312"/>
                <w:color w:val="000000" w:themeColor="text1"/>
              </w:rPr>
              <w:t>局和</w:t>
            </w:r>
            <w:r>
              <w:rPr>
                <w:rFonts w:hint="eastAsia" w:ascii="仿宋_GB2312"/>
                <w:color w:val="000000" w:themeColor="text1"/>
              </w:rPr>
              <w:t>3个</w:t>
            </w:r>
            <w:r>
              <w:rPr>
                <w:rFonts w:ascii="仿宋_GB2312"/>
                <w:color w:val="000000" w:themeColor="text1"/>
              </w:rPr>
              <w:t>分局各</w:t>
            </w:r>
            <w:r>
              <w:rPr>
                <w:rFonts w:hint="eastAsia" w:ascii="仿宋_GB2312"/>
                <w:color w:val="000000" w:themeColor="text1"/>
              </w:rPr>
              <w:t>1台</w:t>
            </w:r>
          </w:p>
        </w:tc>
        <w:tc>
          <w:tcPr>
            <w:tcW w:w="427" w:type="dxa"/>
            <w:noWrap/>
            <w:vAlign w:val="center"/>
          </w:tcPr>
          <w:p>
            <w:pPr>
              <w:spacing w:line="300" w:lineRule="exact"/>
              <w:jc w:val="center"/>
              <w:rPr>
                <w:rFonts w:ascii="仿宋_GB2312"/>
                <w:color w:val="000000" w:themeColor="text1"/>
              </w:rPr>
            </w:pPr>
            <w:r>
              <w:rPr>
                <w:rFonts w:hint="eastAsia" w:ascii="仿宋_GB2312"/>
                <w:color w:val="000000" w:themeColor="text1"/>
              </w:rPr>
              <w:t>台</w:t>
            </w:r>
          </w:p>
        </w:tc>
      </w:tr>
    </w:tbl>
    <w:p>
      <w:pPr>
        <w:snapToGrid w:val="0"/>
        <w:rPr>
          <w:rFonts w:ascii="宋体" w:hAnsi="宋体"/>
          <w:color w:val="000000" w:themeColor="text1"/>
        </w:rPr>
      </w:pPr>
    </w:p>
    <w:p>
      <w:pPr>
        <w:snapToGrid w:val="0"/>
        <w:rPr>
          <w:rFonts w:ascii="宋体" w:hAnsi="宋体"/>
          <w:color w:val="000000" w:themeColor="text1"/>
        </w:rPr>
      </w:pPr>
    </w:p>
    <w:p>
      <w:pPr>
        <w:pStyle w:val="3"/>
        <w:spacing w:before="120" w:after="120"/>
        <w:ind w:firstLine="562"/>
        <w:rPr>
          <w:rFonts w:ascii="宋体"/>
          <w:b w:val="0"/>
          <w:color w:val="000000" w:themeColor="text1"/>
          <w:sz w:val="24"/>
        </w:rPr>
      </w:pPr>
      <w:bookmarkStart w:id="305" w:name="_Toc8760712"/>
      <w:bookmarkStart w:id="306" w:name="_Toc7521688"/>
      <w:r>
        <w:rPr>
          <w:rFonts w:hint="eastAsia"/>
          <w:color w:val="000000" w:themeColor="text1"/>
        </w:rPr>
        <w:t>四、综治大厅及实战应用</w:t>
      </w:r>
      <w:bookmarkEnd w:id="305"/>
      <w:bookmarkEnd w:id="306"/>
    </w:p>
    <w:p>
      <w:pPr>
        <w:pStyle w:val="4"/>
        <w:ind w:firstLine="562"/>
        <w:rPr>
          <w:color w:val="000000" w:themeColor="text1"/>
        </w:rPr>
      </w:pPr>
      <w:bookmarkStart w:id="307" w:name="_Toc8760713"/>
      <w:bookmarkStart w:id="308" w:name="_Toc7521689"/>
      <w:bookmarkStart w:id="309" w:name="_Toc524993319"/>
      <w:bookmarkStart w:id="310" w:name="_Toc523960611"/>
      <w:bookmarkStart w:id="311" w:name="_Toc532520589"/>
      <w:r>
        <w:rPr>
          <w:rFonts w:hint="eastAsia"/>
          <w:color w:val="000000" w:themeColor="text1"/>
        </w:rPr>
        <w:t>（一）项目内容</w:t>
      </w:r>
      <w:bookmarkEnd w:id="307"/>
      <w:bookmarkEnd w:id="308"/>
    </w:p>
    <w:p>
      <w:pPr>
        <w:pStyle w:val="5"/>
        <w:spacing w:before="120" w:after="120"/>
        <w:ind w:firstLine="480"/>
        <w:rPr>
          <w:color w:val="000000" w:themeColor="text1"/>
        </w:rPr>
      </w:pPr>
      <w:r>
        <w:rPr>
          <w:rFonts w:hint="eastAsia"/>
          <w:color w:val="000000" w:themeColor="text1"/>
        </w:rPr>
        <w:t>1.</w:t>
      </w:r>
      <w:r>
        <w:rPr>
          <w:color w:val="000000" w:themeColor="text1"/>
        </w:rPr>
        <w:t>1综治业务实战应用</w:t>
      </w:r>
      <w:bookmarkEnd w:id="309"/>
      <w:bookmarkEnd w:id="310"/>
      <w:bookmarkEnd w:id="311"/>
    </w:p>
    <w:p>
      <w:pPr>
        <w:tabs>
          <w:tab w:val="left" w:pos="900"/>
        </w:tabs>
        <w:snapToGrid w:val="0"/>
        <w:ind w:firstLine="480"/>
        <w:rPr>
          <w:rFonts w:ascii="宋体" w:hAnsi="宋体"/>
          <w:color w:val="000000" w:themeColor="text1"/>
        </w:rPr>
      </w:pPr>
      <w:r>
        <w:rPr>
          <w:rFonts w:ascii="宋体" w:hAnsi="宋体"/>
          <w:color w:val="000000" w:themeColor="text1"/>
        </w:rPr>
        <w:t>推进综治中心规范化建设是推进社会治理体系和治理能力现代化的客观要求，根据《社会治安综合治理综治中心建设与管理规范》（GB/T33200-2016），建设规模合理、层级清晰、功能定位明确的各层级综治中心，纵向推动各层级综治中心运转规范、衔接有序、指挥高效，横向推动综治中心与各相关部门资源整合、信息共享，实现一体化运作，强化实战功能，突出工作实效。</w:t>
      </w:r>
    </w:p>
    <w:p>
      <w:pPr>
        <w:pStyle w:val="6"/>
        <w:spacing w:before="120" w:after="120"/>
        <w:ind w:firstLine="480"/>
        <w:rPr>
          <w:color w:val="000000" w:themeColor="text1"/>
        </w:rPr>
      </w:pPr>
      <w:r>
        <w:rPr>
          <w:rFonts w:hint="eastAsia"/>
          <w:color w:val="000000" w:themeColor="text1"/>
        </w:rPr>
        <w:t>1.1</w:t>
      </w:r>
      <w:r>
        <w:rPr>
          <w:color w:val="000000" w:themeColor="text1"/>
        </w:rPr>
        <w:t>.1</w:t>
      </w:r>
      <w:r>
        <w:rPr>
          <w:rFonts w:hint="eastAsia"/>
          <w:color w:val="000000" w:themeColor="text1"/>
        </w:rPr>
        <w:t>系统概述</w:t>
      </w:r>
    </w:p>
    <w:p>
      <w:pPr>
        <w:ind w:firstLine="480"/>
        <w:rPr>
          <w:color w:val="000000" w:themeColor="text1"/>
        </w:rPr>
      </w:pPr>
      <w:r>
        <w:rPr>
          <w:color w:val="000000" w:themeColor="text1"/>
        </w:rPr>
        <w:t>金华市雪亮工程综治实战应用分平台总结为“</w:t>
      </w:r>
      <w:r>
        <w:rPr>
          <w:rFonts w:hint="eastAsia"/>
          <w:color w:val="000000" w:themeColor="text1"/>
        </w:rPr>
        <w:t>11</w:t>
      </w:r>
      <w:r>
        <w:rPr>
          <w:color w:val="000000" w:themeColor="text1"/>
        </w:rPr>
        <w:t>13”架构设计。包括</w:t>
      </w:r>
      <w:r>
        <w:rPr>
          <w:rFonts w:hint="eastAsia"/>
          <w:color w:val="000000" w:themeColor="text1"/>
        </w:rPr>
        <w:t>综合指挥中心（1</w:t>
      </w:r>
      <w:r>
        <w:rPr>
          <w:color w:val="000000" w:themeColor="text1"/>
        </w:rPr>
        <w:t>个</w:t>
      </w:r>
      <w:r>
        <w:rPr>
          <w:rFonts w:hint="eastAsia"/>
          <w:color w:val="000000" w:themeColor="text1"/>
        </w:rPr>
        <w:t>指挥大厅</w:t>
      </w:r>
      <w:r>
        <w:rPr>
          <w:color w:val="000000" w:themeColor="text1"/>
        </w:rPr>
        <w:t>、</w:t>
      </w:r>
      <w:r>
        <w:rPr>
          <w:rFonts w:hint="eastAsia"/>
          <w:color w:val="000000" w:themeColor="text1"/>
        </w:rPr>
        <w:t>1个应急指挥室）</w:t>
      </w:r>
      <w:r>
        <w:rPr>
          <w:color w:val="000000" w:themeColor="text1"/>
        </w:rPr>
        <w:t>1个综治数据大脑、3大雪亮应用</w:t>
      </w:r>
      <w:r>
        <w:rPr>
          <w:rFonts w:hint="eastAsia"/>
          <w:color w:val="000000" w:themeColor="text1"/>
        </w:rPr>
        <w:t>以及业务系统应用集成对接</w:t>
      </w:r>
      <w:r>
        <w:rPr>
          <w:color w:val="000000" w:themeColor="text1"/>
        </w:rPr>
        <w:t>。</w:t>
      </w:r>
    </w:p>
    <w:p>
      <w:pPr>
        <w:pStyle w:val="6"/>
        <w:spacing w:before="120" w:after="120"/>
        <w:ind w:firstLine="480"/>
        <w:rPr>
          <w:color w:val="000000" w:themeColor="text1"/>
        </w:rPr>
      </w:pPr>
      <w:r>
        <w:rPr>
          <w:rFonts w:hint="eastAsia"/>
          <w:color w:val="000000" w:themeColor="text1"/>
        </w:rPr>
        <w:t>1.</w:t>
      </w:r>
      <w:r>
        <w:rPr>
          <w:color w:val="000000" w:themeColor="text1"/>
        </w:rPr>
        <w:t>1.</w:t>
      </w:r>
      <w:r>
        <w:rPr>
          <w:rFonts w:hint="eastAsia"/>
          <w:color w:val="000000" w:themeColor="text1"/>
        </w:rPr>
        <w:t>2综合指挥中心（指挥大厅）</w:t>
      </w:r>
    </w:p>
    <w:p>
      <w:pPr>
        <w:pStyle w:val="7"/>
        <w:spacing w:before="120" w:after="120"/>
        <w:ind w:firstLine="480"/>
        <w:rPr>
          <w:color w:val="000000" w:themeColor="text1"/>
        </w:rPr>
      </w:pPr>
      <w:r>
        <w:rPr>
          <w:rFonts w:hint="eastAsia"/>
          <w:color w:val="000000" w:themeColor="text1"/>
        </w:rPr>
        <w:t>1.</w:t>
      </w:r>
      <w:r>
        <w:rPr>
          <w:color w:val="000000" w:themeColor="text1"/>
        </w:rPr>
        <w:t>1.</w:t>
      </w:r>
      <w:r>
        <w:rPr>
          <w:rFonts w:hint="eastAsia"/>
          <w:color w:val="000000" w:themeColor="text1"/>
        </w:rPr>
        <w:t>2.1</w:t>
      </w:r>
      <w:r>
        <w:rPr>
          <w:color w:val="000000" w:themeColor="text1"/>
        </w:rPr>
        <w:t>概述</w:t>
      </w:r>
    </w:p>
    <w:p>
      <w:pPr>
        <w:ind w:firstLine="480"/>
        <w:rPr>
          <w:color w:val="000000" w:themeColor="text1"/>
        </w:rPr>
      </w:pPr>
      <w:r>
        <w:rPr>
          <w:rFonts w:hint="eastAsia"/>
          <w:color w:val="000000" w:themeColor="text1"/>
        </w:rPr>
        <w:t>指挥大厅</w:t>
      </w:r>
      <w:r>
        <w:rPr>
          <w:color w:val="000000" w:themeColor="text1"/>
        </w:rPr>
        <w:t>主要负责大型视频会议、会商作战功能，整个指挥大厅为大开间，主要用于应对大型应急指挥事件，配套会议、扩声等信息化设备，提高指挥中心响应速度和决策指挥能力，有效预防、及时控制和消除突发公共安全事件的危害，保障公众生命与财产安全，满足应急指挥的需要。</w:t>
      </w:r>
    </w:p>
    <w:p>
      <w:pPr>
        <w:ind w:firstLine="480"/>
        <w:rPr>
          <w:color w:val="000000" w:themeColor="text1"/>
        </w:rPr>
      </w:pPr>
      <w:r>
        <w:rPr>
          <w:rFonts w:hint="eastAsia"/>
          <w:color w:val="000000" w:themeColor="text1"/>
        </w:rPr>
        <w:t>指挥大厅总面积约为</w:t>
      </w:r>
      <w:r>
        <w:rPr>
          <w:color w:val="000000" w:themeColor="text1"/>
        </w:rPr>
        <w:t>600</w:t>
      </w:r>
      <w:r>
        <w:rPr>
          <w:rFonts w:hint="eastAsia"/>
          <w:color w:val="000000" w:themeColor="text1"/>
        </w:rPr>
        <w:t>平方米，分为会商区、研判区、候会区等。</w:t>
      </w:r>
    </w:p>
    <w:p>
      <w:pPr>
        <w:ind w:firstLine="480"/>
        <w:rPr>
          <w:color w:val="000000" w:themeColor="text1"/>
        </w:rPr>
      </w:pPr>
      <w:r>
        <w:rPr>
          <w:rFonts w:hint="eastAsia"/>
          <w:color w:val="000000" w:themeColor="text1"/>
        </w:rPr>
        <w:t>指挥大厅主要功能如下：</w:t>
      </w:r>
    </w:p>
    <w:p>
      <w:pPr>
        <w:ind w:firstLine="480"/>
        <w:rPr>
          <w:color w:val="000000" w:themeColor="text1"/>
        </w:rPr>
      </w:pPr>
      <w:r>
        <w:rPr>
          <w:rFonts w:hint="eastAsia"/>
          <w:color w:val="000000" w:themeColor="text1"/>
        </w:rPr>
        <w:t>1、场地综合化：可容纳近百人参会，集应急指挥、会商研判于一体的综合性指挥中心。</w:t>
      </w:r>
    </w:p>
    <w:p>
      <w:pPr>
        <w:ind w:firstLine="480"/>
        <w:rPr>
          <w:color w:val="000000" w:themeColor="text1"/>
        </w:rPr>
      </w:pPr>
      <w:r>
        <w:rPr>
          <w:rFonts w:hint="eastAsia"/>
          <w:color w:val="000000" w:themeColor="text1"/>
        </w:rPr>
        <w:t>2、指挥统一化：指挥大厅可实现多部门异地协同会议，达到统一指挥协调，满足防汛抗灾等大型应急指挥的会商决策需求。</w:t>
      </w:r>
    </w:p>
    <w:p>
      <w:pPr>
        <w:ind w:firstLine="480"/>
        <w:rPr>
          <w:color w:val="000000" w:themeColor="text1"/>
        </w:rPr>
      </w:pPr>
      <w:r>
        <w:rPr>
          <w:rFonts w:hint="eastAsia"/>
          <w:color w:val="000000" w:themeColor="text1"/>
        </w:rPr>
        <w:t>3、功能多样化：指挥大厅大屏等显示设备具有画面分割、拼接、多屏幕同显等多种显示功能，用于满足应急指挥决策的各种显示需求。</w:t>
      </w:r>
    </w:p>
    <w:p>
      <w:pPr>
        <w:ind w:firstLine="480"/>
        <w:rPr>
          <w:color w:val="000000" w:themeColor="text1"/>
        </w:rPr>
      </w:pPr>
      <w:r>
        <w:rPr>
          <w:rFonts w:hint="eastAsia"/>
          <w:color w:val="000000" w:themeColor="text1"/>
        </w:rPr>
        <w:t>4、控制智能化：指挥大厅高度集成智能控制系统，可实现一键或多键开关各硬件设备以及窗帘、照明等辅助设备。</w:t>
      </w:r>
    </w:p>
    <w:p>
      <w:pPr>
        <w:ind w:firstLine="480"/>
        <w:rPr>
          <w:color w:val="000000" w:themeColor="text1"/>
        </w:rPr>
      </w:pPr>
      <w:r>
        <w:rPr>
          <w:rFonts w:hint="eastAsia"/>
          <w:color w:val="000000" w:themeColor="text1"/>
        </w:rPr>
        <w:t>5、接口弹性化：指挥大厅预留操作席位，满足未来各部门进驻指挥大厅的工作需求；同时预留和开放接口，便于其他部门应用系统对接指挥大厅。</w:t>
      </w:r>
    </w:p>
    <w:p>
      <w:pPr>
        <w:ind w:firstLine="480"/>
        <w:rPr>
          <w:rFonts w:ascii="宋体" w:hAnsi="宋体"/>
          <w:color w:val="000000" w:themeColor="text1"/>
        </w:rPr>
      </w:pPr>
      <w:r>
        <w:rPr>
          <w:rFonts w:ascii="宋体" w:hAnsi="宋体"/>
          <w:color w:val="000000" w:themeColor="text1"/>
        </w:rPr>
        <w:br w:type="page"/>
      </w:r>
    </w:p>
    <w:p>
      <w:pPr>
        <w:tabs>
          <w:tab w:val="left" w:pos="900"/>
        </w:tabs>
        <w:snapToGrid w:val="0"/>
        <w:ind w:firstLine="480"/>
        <w:rPr>
          <w:rFonts w:ascii="宋体" w:hAnsi="宋体"/>
          <w:color w:val="000000" w:themeColor="text1"/>
        </w:rPr>
      </w:pPr>
    </w:p>
    <w:p>
      <w:pPr>
        <w:pStyle w:val="7"/>
        <w:spacing w:before="120" w:after="120"/>
        <w:ind w:firstLine="480"/>
        <w:rPr>
          <w:color w:val="000000" w:themeColor="text1"/>
        </w:rPr>
      </w:pPr>
      <w:r>
        <w:rPr>
          <w:rFonts w:hint="eastAsia"/>
          <w:color w:val="000000" w:themeColor="text1"/>
        </w:rPr>
        <w:t>1.</w:t>
      </w:r>
      <w:r>
        <w:rPr>
          <w:color w:val="000000" w:themeColor="text1"/>
        </w:rPr>
        <w:t>1.</w:t>
      </w:r>
      <w:r>
        <w:rPr>
          <w:rFonts w:hint="eastAsia"/>
          <w:color w:val="000000" w:themeColor="text1"/>
        </w:rPr>
        <w:t>2.2</w:t>
      </w:r>
      <w:r>
        <w:rPr>
          <w:color w:val="000000" w:themeColor="text1"/>
        </w:rPr>
        <w:t>系统构架</w:t>
      </w:r>
    </w:p>
    <w:p>
      <w:pPr>
        <w:ind w:firstLine="480"/>
        <w:jc w:val="center"/>
        <w:rPr>
          <w:color w:val="000000" w:themeColor="text1"/>
        </w:rPr>
      </w:pPr>
      <w:r>
        <w:rPr>
          <w:color w:val="000000" w:themeColor="text1"/>
        </w:rPr>
        <w:drawing>
          <wp:inline distT="0" distB="0" distL="0" distR="0">
            <wp:extent cx="5762625" cy="4000500"/>
            <wp:effectExtent l="19050" t="0" r="9525" b="0"/>
            <wp:docPr id="10" name="图片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41"/>
                    <pic:cNvPicPr>
                      <a:picLocks noChangeAspect="1" noChangeArrowheads="1"/>
                    </pic:cNvPicPr>
                  </pic:nvPicPr>
                  <pic:blipFill>
                    <a:blip r:embed="rId26"/>
                    <a:srcRect/>
                    <a:stretch>
                      <a:fillRect/>
                    </a:stretch>
                  </pic:blipFill>
                  <pic:spPr>
                    <a:xfrm>
                      <a:off x="0" y="0"/>
                      <a:ext cx="5762625" cy="4000500"/>
                    </a:xfrm>
                    <a:prstGeom prst="rect">
                      <a:avLst/>
                    </a:prstGeom>
                    <a:noFill/>
                    <a:ln w="9525">
                      <a:noFill/>
                      <a:miter lim="800000"/>
                      <a:headEnd/>
                      <a:tailEnd/>
                    </a:ln>
                  </pic:spPr>
                </pic:pic>
              </a:graphicData>
            </a:graphic>
          </wp:inline>
        </w:drawing>
      </w:r>
    </w:p>
    <w:p>
      <w:pPr>
        <w:tabs>
          <w:tab w:val="left" w:pos="900"/>
        </w:tabs>
        <w:snapToGrid w:val="0"/>
        <w:ind w:firstLine="480"/>
        <w:jc w:val="center"/>
        <w:rPr>
          <w:rFonts w:ascii="宋体" w:hAnsi="宋体"/>
          <w:color w:val="000000" w:themeColor="text1"/>
        </w:rPr>
      </w:pPr>
      <w:r>
        <w:rPr>
          <w:rFonts w:ascii="宋体" w:hAnsi="宋体"/>
          <w:color w:val="000000" w:themeColor="text1"/>
        </w:rPr>
        <w:t>图</w:t>
      </w:r>
      <w:r>
        <w:rPr>
          <w:rFonts w:ascii="宋体" w:hAnsi="宋体"/>
          <w:color w:val="000000" w:themeColor="text1"/>
        </w:rPr>
        <w:fldChar w:fldCharType="begin"/>
      </w:r>
      <w:r>
        <w:rPr>
          <w:rFonts w:ascii="宋体" w:hAnsi="宋体"/>
          <w:color w:val="000000" w:themeColor="text1"/>
        </w:rPr>
        <w:instrText xml:space="preserve"> SEQ 图 \* ARABIC \s 2 </w:instrText>
      </w:r>
      <w:r>
        <w:rPr>
          <w:rFonts w:ascii="宋体" w:hAnsi="宋体"/>
          <w:color w:val="000000" w:themeColor="text1"/>
        </w:rPr>
        <w:fldChar w:fldCharType="separate"/>
      </w:r>
      <w:r>
        <w:rPr>
          <w:rFonts w:ascii="宋体" w:hAnsi="宋体"/>
          <w:color w:val="000000" w:themeColor="text1"/>
        </w:rPr>
        <w:t>1</w:t>
      </w:r>
      <w:r>
        <w:rPr>
          <w:rFonts w:ascii="宋体" w:hAnsi="宋体"/>
          <w:color w:val="000000" w:themeColor="text1"/>
        </w:rPr>
        <w:fldChar w:fldCharType="end"/>
      </w:r>
      <w:r>
        <w:rPr>
          <w:rFonts w:hint="eastAsia" w:ascii="宋体" w:hAnsi="宋体"/>
          <w:color w:val="000000" w:themeColor="text1"/>
        </w:rPr>
        <w:t xml:space="preserve">    系统</w:t>
      </w:r>
      <w:r>
        <w:rPr>
          <w:rFonts w:ascii="宋体" w:hAnsi="宋体"/>
          <w:color w:val="000000" w:themeColor="text1"/>
        </w:rPr>
        <w:t>构架图</w:t>
      </w:r>
    </w:p>
    <w:p>
      <w:pPr>
        <w:rPr>
          <w:bCs/>
          <w:color w:val="000000" w:themeColor="text1"/>
        </w:rPr>
      </w:pPr>
    </w:p>
    <w:p>
      <w:pPr>
        <w:pStyle w:val="7"/>
        <w:spacing w:before="120" w:after="120"/>
        <w:ind w:firstLine="480"/>
        <w:rPr>
          <w:color w:val="000000" w:themeColor="text1"/>
        </w:rPr>
      </w:pPr>
      <w:r>
        <w:rPr>
          <w:rFonts w:hint="eastAsia"/>
          <w:color w:val="000000" w:themeColor="text1"/>
        </w:rPr>
        <w:t>1.</w:t>
      </w:r>
      <w:r>
        <w:rPr>
          <w:color w:val="000000" w:themeColor="text1"/>
        </w:rPr>
        <w:t>1.</w:t>
      </w:r>
      <w:r>
        <w:rPr>
          <w:rFonts w:hint="eastAsia"/>
          <w:color w:val="000000" w:themeColor="text1"/>
        </w:rPr>
        <w:t>2.3指挥大厅</w:t>
      </w:r>
      <w:r>
        <w:rPr>
          <w:color w:val="000000" w:themeColor="text1"/>
        </w:rPr>
        <w:t>总体布局</w:t>
      </w:r>
    </w:p>
    <w:p>
      <w:pPr>
        <w:keepNext/>
        <w:ind w:firstLine="480"/>
        <w:jc w:val="center"/>
        <w:rPr>
          <w:color w:val="000000" w:themeColor="text1"/>
        </w:rPr>
      </w:pPr>
      <w:r>
        <w:rPr>
          <w:color w:val="000000" w:themeColor="text1"/>
        </w:rPr>
        <w:drawing>
          <wp:inline distT="0" distB="0" distL="0" distR="0">
            <wp:extent cx="2667000" cy="7696200"/>
            <wp:effectExtent l="19050" t="0" r="0" b="0"/>
            <wp:docPr id="11" name="图片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37"/>
                    <pic:cNvPicPr>
                      <a:picLocks noChangeAspect="1" noChangeArrowheads="1"/>
                    </pic:cNvPicPr>
                  </pic:nvPicPr>
                  <pic:blipFill>
                    <a:blip r:embed="rId27"/>
                    <a:srcRect l="36385" t="1929" r="36935" b="2150"/>
                    <a:stretch>
                      <a:fillRect/>
                    </a:stretch>
                  </pic:blipFill>
                  <pic:spPr>
                    <a:xfrm>
                      <a:off x="0" y="0"/>
                      <a:ext cx="2667000" cy="7696200"/>
                    </a:xfrm>
                    <a:prstGeom prst="rect">
                      <a:avLst/>
                    </a:prstGeom>
                    <a:noFill/>
                    <a:ln w="9525">
                      <a:noFill/>
                      <a:miter lim="800000"/>
                      <a:headEnd/>
                      <a:tailEnd/>
                    </a:ln>
                  </pic:spPr>
                </pic:pic>
              </a:graphicData>
            </a:graphic>
          </wp:inline>
        </w:drawing>
      </w:r>
    </w:p>
    <w:p>
      <w:pPr>
        <w:tabs>
          <w:tab w:val="left" w:pos="900"/>
        </w:tabs>
        <w:snapToGrid w:val="0"/>
        <w:ind w:firstLine="480"/>
        <w:jc w:val="center"/>
        <w:rPr>
          <w:rFonts w:ascii="宋体" w:hAnsi="宋体"/>
          <w:color w:val="000000" w:themeColor="text1"/>
        </w:rPr>
      </w:pPr>
      <w:r>
        <w:rPr>
          <w:rFonts w:ascii="宋体" w:hAnsi="宋体"/>
          <w:color w:val="000000" w:themeColor="text1"/>
        </w:rPr>
        <w:t>图</w:t>
      </w:r>
      <w:r>
        <w:rPr>
          <w:rFonts w:hint="eastAsia" w:ascii="宋体" w:hAnsi="宋体"/>
          <w:color w:val="000000" w:themeColor="text1"/>
        </w:rPr>
        <w:t xml:space="preserve">2  </w:t>
      </w:r>
      <w:r>
        <w:rPr>
          <w:rFonts w:ascii="宋体" w:hAnsi="宋体"/>
          <w:color w:val="000000" w:themeColor="text1"/>
        </w:rPr>
        <w:t>指挥</w:t>
      </w:r>
      <w:r>
        <w:rPr>
          <w:rFonts w:hint="eastAsia" w:ascii="宋体" w:hAnsi="宋体"/>
          <w:color w:val="000000" w:themeColor="text1"/>
        </w:rPr>
        <w:t>大厅</w:t>
      </w:r>
      <w:r>
        <w:rPr>
          <w:rFonts w:ascii="宋体" w:hAnsi="宋体"/>
          <w:color w:val="000000" w:themeColor="text1"/>
        </w:rPr>
        <w:t>总体布置图</w:t>
      </w:r>
    </w:p>
    <w:p>
      <w:pPr>
        <w:tabs>
          <w:tab w:val="left" w:pos="900"/>
        </w:tabs>
        <w:snapToGrid w:val="0"/>
        <w:ind w:firstLine="480"/>
        <w:rPr>
          <w:rFonts w:ascii="宋体" w:hAnsi="宋体"/>
          <w:color w:val="000000" w:themeColor="text1"/>
        </w:rPr>
      </w:pPr>
      <w:r>
        <w:rPr>
          <w:rFonts w:ascii="宋体" w:hAnsi="宋体"/>
          <w:color w:val="000000" w:themeColor="text1"/>
        </w:rPr>
        <w:br w:type="page"/>
      </w:r>
    </w:p>
    <w:p>
      <w:pPr>
        <w:pStyle w:val="7"/>
        <w:spacing w:before="120" w:after="120"/>
        <w:ind w:firstLine="480"/>
        <w:rPr>
          <w:color w:val="000000" w:themeColor="text1"/>
        </w:rPr>
      </w:pPr>
      <w:r>
        <w:rPr>
          <w:rFonts w:hint="eastAsia"/>
          <w:color w:val="000000" w:themeColor="text1"/>
        </w:rPr>
        <w:t>1.</w:t>
      </w:r>
      <w:r>
        <w:rPr>
          <w:color w:val="000000" w:themeColor="text1"/>
        </w:rPr>
        <w:t>1.</w:t>
      </w:r>
      <w:r>
        <w:rPr>
          <w:rFonts w:hint="eastAsia"/>
          <w:color w:val="000000" w:themeColor="text1"/>
        </w:rPr>
        <w:t>2.4</w:t>
      </w:r>
      <w:r>
        <w:rPr>
          <w:color w:val="000000" w:themeColor="text1"/>
        </w:rPr>
        <w:t>系统构架图</w:t>
      </w:r>
    </w:p>
    <w:p>
      <w:pPr>
        <w:keepNext/>
        <w:ind w:firstLine="480"/>
        <w:jc w:val="center"/>
        <w:rPr>
          <w:color w:val="000000" w:themeColor="text1"/>
        </w:rPr>
      </w:pPr>
      <w:r>
        <w:rPr>
          <w:color w:val="000000" w:themeColor="text1"/>
        </w:rPr>
        <w:drawing>
          <wp:inline distT="0" distB="0" distL="0" distR="0">
            <wp:extent cx="4900295" cy="41351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900353" cy="4135582"/>
                    </a:xfrm>
                    <a:prstGeom prst="rect">
                      <a:avLst/>
                    </a:prstGeom>
                  </pic:spPr>
                </pic:pic>
              </a:graphicData>
            </a:graphic>
          </wp:inline>
        </w:drawing>
      </w:r>
    </w:p>
    <w:p>
      <w:pPr>
        <w:tabs>
          <w:tab w:val="left" w:pos="900"/>
        </w:tabs>
        <w:snapToGrid w:val="0"/>
        <w:ind w:firstLine="480"/>
        <w:jc w:val="center"/>
        <w:rPr>
          <w:rFonts w:ascii="宋体" w:hAnsi="宋体"/>
          <w:color w:val="000000" w:themeColor="text1"/>
        </w:rPr>
      </w:pPr>
      <w:r>
        <w:rPr>
          <w:rFonts w:ascii="宋体" w:hAnsi="宋体"/>
          <w:color w:val="000000" w:themeColor="text1"/>
        </w:rPr>
        <w:t>图</w:t>
      </w:r>
      <w:r>
        <w:rPr>
          <w:rFonts w:hint="eastAsia" w:ascii="宋体" w:hAnsi="宋体"/>
          <w:color w:val="000000" w:themeColor="text1"/>
        </w:rPr>
        <w:t xml:space="preserve">3   </w:t>
      </w:r>
      <w:r>
        <w:rPr>
          <w:rFonts w:ascii="宋体" w:hAnsi="宋体"/>
          <w:color w:val="000000" w:themeColor="text1"/>
        </w:rPr>
        <w:t>系统架构图</w:t>
      </w:r>
    </w:p>
    <w:p>
      <w:pPr>
        <w:pStyle w:val="7"/>
        <w:spacing w:before="120" w:after="120"/>
        <w:ind w:firstLine="480"/>
        <w:rPr>
          <w:color w:val="000000" w:themeColor="text1"/>
        </w:rPr>
      </w:pPr>
      <w:r>
        <w:rPr>
          <w:rFonts w:hint="eastAsia"/>
          <w:color w:val="000000" w:themeColor="text1"/>
        </w:rPr>
        <w:t>1.</w:t>
      </w:r>
      <w:r>
        <w:rPr>
          <w:color w:val="000000" w:themeColor="text1"/>
        </w:rPr>
        <w:t>1.</w:t>
      </w:r>
      <w:r>
        <w:rPr>
          <w:rFonts w:hint="eastAsia"/>
          <w:color w:val="000000" w:themeColor="text1"/>
        </w:rPr>
        <w:t>2.5</w:t>
      </w:r>
      <w:r>
        <w:rPr>
          <w:color w:val="000000" w:themeColor="text1"/>
        </w:rPr>
        <w:t>装饰工程</w:t>
      </w:r>
    </w:p>
    <w:p>
      <w:pPr>
        <w:ind w:firstLine="480"/>
        <w:rPr>
          <w:color w:val="000000" w:themeColor="text1"/>
        </w:rPr>
      </w:pPr>
      <w:r>
        <w:rPr>
          <w:color w:val="000000" w:themeColor="text1"/>
        </w:rPr>
        <w:t>在指挥大厅设计时结合大厅内工作人员的工作特点进行色彩的搭配，在分析了人类的色彩心理学以及与会人员的日常习惯后，具有镇静效果且有使人情绪平缓作用的浅色调是最合适的颜色。</w:t>
      </w:r>
    </w:p>
    <w:p>
      <w:pPr>
        <w:ind w:firstLine="480"/>
        <w:rPr>
          <w:color w:val="000000" w:themeColor="text1"/>
        </w:rPr>
      </w:pPr>
      <w:r>
        <w:rPr>
          <w:color w:val="000000" w:themeColor="text1"/>
        </w:rPr>
        <w:t>装修材料类型、表面形状和结构的选择都具有控制混响时间和音质缺陷的双重功效，除了配置美观又合理的扩散结构外，还应采用可行的低频强吸声结构。</w:t>
      </w:r>
    </w:p>
    <w:p>
      <w:pPr>
        <w:ind w:firstLine="480"/>
        <w:rPr>
          <w:color w:val="000000" w:themeColor="text1"/>
        </w:rPr>
      </w:pPr>
      <w:r>
        <w:rPr>
          <w:rFonts w:hint="eastAsia"/>
          <w:color w:val="000000" w:themeColor="text1"/>
        </w:rPr>
        <w:t>具体方案如下：</w:t>
      </w:r>
    </w:p>
    <w:p>
      <w:pPr>
        <w:ind w:firstLine="480"/>
        <w:rPr>
          <w:color w:val="000000" w:themeColor="text1"/>
        </w:rPr>
      </w:pPr>
      <w:r>
        <w:rPr>
          <w:rFonts w:hint="eastAsia"/>
          <w:color w:val="000000" w:themeColor="text1"/>
        </w:rPr>
        <w:t>1、天棚工程</w:t>
      </w:r>
    </w:p>
    <w:p>
      <w:pPr>
        <w:ind w:firstLine="480"/>
        <w:rPr>
          <w:color w:val="000000" w:themeColor="text1"/>
        </w:rPr>
      </w:pPr>
      <w:r>
        <w:rPr>
          <w:rFonts w:hint="eastAsia"/>
          <w:color w:val="000000" w:themeColor="text1"/>
        </w:rPr>
        <w:t>拆除指挥大厅、研讨区以及侯会区原有吊顶，安装石膏板吊顶，维修通道吊顶采用铝</w:t>
      </w:r>
      <w:r>
        <w:rPr>
          <w:color w:val="000000" w:themeColor="text1"/>
        </w:rPr>
        <w:t>扣板吊顶，安装LED筒灯、LED灯带等会议照明</w:t>
      </w:r>
      <w:r>
        <w:rPr>
          <w:rFonts w:hint="eastAsia"/>
          <w:color w:val="000000" w:themeColor="text1"/>
        </w:rPr>
        <w:t>灯具。</w:t>
      </w:r>
    </w:p>
    <w:p>
      <w:pPr>
        <w:ind w:firstLine="480"/>
        <w:rPr>
          <w:color w:val="000000" w:themeColor="text1"/>
        </w:rPr>
      </w:pPr>
      <w:r>
        <w:rPr>
          <w:rFonts w:hint="eastAsia"/>
          <w:color w:val="000000" w:themeColor="text1"/>
        </w:rPr>
        <w:t>2、地面工程</w:t>
      </w:r>
    </w:p>
    <w:p>
      <w:pPr>
        <w:ind w:firstLine="480"/>
        <w:rPr>
          <w:color w:val="000000" w:themeColor="text1"/>
        </w:rPr>
      </w:pPr>
      <w:r>
        <w:rPr>
          <w:rFonts w:hint="eastAsia"/>
          <w:color w:val="000000" w:themeColor="text1"/>
        </w:rPr>
        <w:t>指挥大厅地面主要敷设实木地板，维修通道敷设陶瓷静电地板，研讨区以及侯会区地面利旧原有地板。</w:t>
      </w:r>
    </w:p>
    <w:p>
      <w:pPr>
        <w:ind w:firstLine="480"/>
        <w:rPr>
          <w:color w:val="000000" w:themeColor="text1"/>
        </w:rPr>
      </w:pPr>
      <w:r>
        <w:rPr>
          <w:rFonts w:hint="eastAsia"/>
          <w:color w:val="000000" w:themeColor="text1"/>
        </w:rPr>
        <w:t>地面抬高：对会商区（U形大会议桌部分）进行调高30cm，对坐席区进行抬高60cm，抬高区域通道做平缓坡度处理。</w:t>
      </w:r>
    </w:p>
    <w:p>
      <w:pPr>
        <w:ind w:firstLine="480"/>
        <w:rPr>
          <w:color w:val="000000" w:themeColor="text1"/>
        </w:rPr>
      </w:pPr>
      <w:r>
        <w:rPr>
          <w:rFonts w:hint="eastAsia"/>
          <w:color w:val="000000" w:themeColor="text1"/>
        </w:rPr>
        <w:t>3、墙面工程</w:t>
      </w:r>
    </w:p>
    <w:p>
      <w:pPr>
        <w:ind w:firstLine="480"/>
        <w:rPr>
          <w:color w:val="000000" w:themeColor="text1"/>
        </w:rPr>
      </w:pPr>
      <w:r>
        <w:rPr>
          <w:rFonts w:hint="eastAsia"/>
          <w:color w:val="000000" w:themeColor="text1"/>
        </w:rPr>
        <w:t>对指挥大厅正大门进行拆除和通道扩容，并做屏风以及两扇防火门。</w:t>
      </w:r>
    </w:p>
    <w:p>
      <w:pPr>
        <w:ind w:firstLine="480"/>
        <w:rPr>
          <w:color w:val="000000" w:themeColor="text1"/>
        </w:rPr>
      </w:pPr>
      <w:r>
        <w:rPr>
          <w:color w:val="000000" w:themeColor="text1"/>
        </w:rPr>
        <w:t>指挥大厅墙面采用木饰面</w:t>
      </w:r>
      <w:r>
        <w:rPr>
          <w:rFonts w:hint="eastAsia"/>
          <w:color w:val="000000" w:themeColor="text1"/>
        </w:rPr>
        <w:t>，</w:t>
      </w:r>
      <w:r>
        <w:rPr>
          <w:color w:val="000000" w:themeColor="text1"/>
        </w:rPr>
        <w:t>饰面木夹板内装墙面</w:t>
      </w:r>
      <w:r>
        <w:rPr>
          <w:rFonts w:hint="eastAsia"/>
          <w:color w:val="000000" w:themeColor="text1"/>
        </w:rPr>
        <w:t>，</w:t>
      </w:r>
      <w:r>
        <w:rPr>
          <w:color w:val="000000" w:themeColor="text1"/>
        </w:rPr>
        <w:t>注意木质纹理的贯通美观</w:t>
      </w:r>
      <w:r>
        <w:rPr>
          <w:rFonts w:hint="eastAsia"/>
          <w:color w:val="000000" w:themeColor="text1"/>
        </w:rPr>
        <w:t>，</w:t>
      </w:r>
      <w:r>
        <w:rPr>
          <w:color w:val="000000" w:themeColor="text1"/>
        </w:rPr>
        <w:t>木质的光洁平整。研讨区以及</w:t>
      </w:r>
      <w:r>
        <w:rPr>
          <w:rFonts w:hint="eastAsia"/>
          <w:color w:val="000000" w:themeColor="text1"/>
        </w:rPr>
        <w:t>侯会区墙面乳胶漆刷白，侯会区北面窗户封堵，作为综治展示墙。立柱采用大理石包边。</w:t>
      </w:r>
    </w:p>
    <w:p>
      <w:pPr>
        <w:ind w:firstLine="480"/>
        <w:rPr>
          <w:color w:val="000000" w:themeColor="text1"/>
        </w:rPr>
      </w:pPr>
      <w:r>
        <w:rPr>
          <w:rFonts w:hint="eastAsia"/>
          <w:color w:val="000000" w:themeColor="text1"/>
        </w:rPr>
        <w:t>4、电气工程</w:t>
      </w:r>
    </w:p>
    <w:p>
      <w:pPr>
        <w:ind w:firstLine="480"/>
        <w:rPr>
          <w:color w:val="000000" w:themeColor="text1"/>
        </w:rPr>
      </w:pPr>
      <w:r>
        <w:rPr>
          <w:rFonts w:hint="eastAsia"/>
          <w:color w:val="000000" w:themeColor="text1"/>
        </w:rPr>
        <w:t>指挥大厅配置市电总配电箱、UPS配电箱及照明插座配电箱，对指挥中心内电气设备供电进行统一管理。</w:t>
      </w:r>
    </w:p>
    <w:p>
      <w:pPr>
        <w:ind w:firstLine="480"/>
        <w:rPr>
          <w:color w:val="000000" w:themeColor="text1"/>
        </w:rPr>
      </w:pPr>
      <w:r>
        <w:rPr>
          <w:rFonts w:hint="eastAsia"/>
          <w:color w:val="000000" w:themeColor="text1"/>
        </w:rPr>
        <w:t>大厅内配置4套6匹中央空调，在维修通道配置1.5匹壁挂空调，用于满足室温需求。</w:t>
      </w:r>
    </w:p>
    <w:p>
      <w:pPr>
        <w:ind w:firstLine="480"/>
        <w:rPr>
          <w:color w:val="000000" w:themeColor="text1"/>
        </w:rPr>
      </w:pPr>
      <w:r>
        <w:rPr>
          <w:rFonts w:hint="eastAsia"/>
          <w:color w:val="000000" w:themeColor="text1"/>
        </w:rPr>
        <w:t>5、油漆工程</w:t>
      </w:r>
    </w:p>
    <w:p>
      <w:pPr>
        <w:ind w:firstLine="480"/>
        <w:rPr>
          <w:color w:val="000000" w:themeColor="text1"/>
        </w:rPr>
      </w:pPr>
      <w:r>
        <w:rPr>
          <w:rFonts w:hint="eastAsia"/>
          <w:color w:val="000000" w:themeColor="text1"/>
        </w:rPr>
        <w:t>墙面层处理，墙面乳胶漆，研讨区，指挥大厅以及电梯口接待区。</w:t>
      </w:r>
    </w:p>
    <w:p>
      <w:pPr>
        <w:ind w:firstLine="480"/>
        <w:rPr>
          <w:color w:val="000000" w:themeColor="text1"/>
        </w:rPr>
      </w:pPr>
      <w:r>
        <w:rPr>
          <w:rFonts w:hint="eastAsia"/>
          <w:color w:val="000000" w:themeColor="text1"/>
        </w:rPr>
        <w:t>6、其他工程</w:t>
      </w:r>
    </w:p>
    <w:p>
      <w:pPr>
        <w:ind w:firstLine="480"/>
        <w:rPr>
          <w:color w:val="000000" w:themeColor="text1"/>
        </w:rPr>
      </w:pPr>
      <w:r>
        <w:rPr>
          <w:rFonts w:hint="eastAsia"/>
          <w:color w:val="000000" w:themeColor="text1"/>
        </w:rPr>
        <w:t>成品保护、卫生清理以及原有装修拆除。</w:t>
      </w:r>
    </w:p>
    <w:p>
      <w:pPr>
        <w:ind w:firstLine="480"/>
        <w:rPr>
          <w:color w:val="000000" w:themeColor="text1"/>
        </w:rPr>
      </w:pPr>
      <w:r>
        <w:rPr>
          <w:rFonts w:hint="eastAsia"/>
          <w:color w:val="000000" w:themeColor="text1"/>
        </w:rPr>
        <w:t>7、会议桌椅及操作台</w:t>
      </w:r>
    </w:p>
    <w:p>
      <w:pPr>
        <w:ind w:firstLine="480"/>
        <w:rPr>
          <w:color w:val="000000" w:themeColor="text1"/>
        </w:rPr>
      </w:pPr>
      <w:r>
        <w:rPr>
          <w:rFonts w:hint="eastAsia"/>
          <w:color w:val="000000" w:themeColor="text1"/>
        </w:rPr>
        <w:t>为满足指挥大厅的办公需求，本项目将在指挥大厅布置一套17席位的多功能座席，有足够的各类信号控制线接口预留，电源预留；布置14工位操作席位，以及研判会议桌、小型圆桌等，满足日常会议会商，观看席会议桌椅采用利旧原有桌椅。</w:t>
      </w:r>
    </w:p>
    <w:p>
      <w:pPr>
        <w:pStyle w:val="7"/>
        <w:spacing w:before="120" w:after="120"/>
        <w:ind w:firstLine="480"/>
        <w:rPr>
          <w:color w:val="000000" w:themeColor="text1"/>
        </w:rPr>
      </w:pPr>
      <w:r>
        <w:rPr>
          <w:rFonts w:hint="eastAsia"/>
          <w:color w:val="000000" w:themeColor="text1"/>
        </w:rPr>
        <w:t>1.</w:t>
      </w:r>
      <w:r>
        <w:rPr>
          <w:color w:val="000000" w:themeColor="text1"/>
        </w:rPr>
        <w:t>1.</w:t>
      </w:r>
      <w:r>
        <w:rPr>
          <w:rFonts w:hint="eastAsia"/>
          <w:color w:val="000000" w:themeColor="text1"/>
        </w:rPr>
        <w:t>2.6</w:t>
      </w:r>
      <w:r>
        <w:rPr>
          <w:color w:val="000000" w:themeColor="text1"/>
        </w:rPr>
        <w:t>大屏显示系统</w:t>
      </w:r>
    </w:p>
    <w:p>
      <w:pPr>
        <w:pStyle w:val="7"/>
        <w:spacing w:before="120" w:after="120"/>
        <w:ind w:firstLine="480"/>
        <w:rPr>
          <w:color w:val="000000" w:themeColor="text1"/>
        </w:rPr>
      </w:pPr>
      <w:r>
        <w:rPr>
          <w:rFonts w:hint="eastAsia"/>
          <w:color w:val="000000" w:themeColor="text1"/>
        </w:rPr>
        <w:t>1.</w:t>
      </w:r>
      <w:r>
        <w:rPr>
          <w:color w:val="000000" w:themeColor="text1"/>
        </w:rPr>
        <w:t>1.</w:t>
      </w:r>
      <w:r>
        <w:rPr>
          <w:rFonts w:hint="eastAsia"/>
          <w:color w:val="000000" w:themeColor="text1"/>
        </w:rPr>
        <w:t>2.6.1</w:t>
      </w:r>
      <w:r>
        <w:rPr>
          <w:color w:val="000000" w:themeColor="text1"/>
        </w:rPr>
        <w:t>显示层</w:t>
      </w:r>
    </w:p>
    <w:p>
      <w:pPr>
        <w:ind w:firstLine="480"/>
        <w:rPr>
          <w:color w:val="000000" w:themeColor="text1"/>
        </w:rPr>
      </w:pPr>
      <w:r>
        <w:rPr>
          <w:color w:val="000000" w:themeColor="text1"/>
        </w:rPr>
        <w:t>指挥大厅主显示屏设计为无缝拼接小间距LED高清全彩屏，主屏LED点间距设计为不大于P1.27mm，宽</w:t>
      </w:r>
      <w:r>
        <w:rPr>
          <w:rFonts w:hint="eastAsia"/>
          <w:color w:val="000000" w:themeColor="text1"/>
        </w:rPr>
        <w:t>≥12.1984m</w:t>
      </w:r>
      <w:r>
        <w:rPr>
          <w:color w:val="000000" w:themeColor="text1"/>
        </w:rPr>
        <w:t>×高</w:t>
      </w:r>
      <w:r>
        <w:rPr>
          <w:rFonts w:hint="eastAsia"/>
          <w:color w:val="000000" w:themeColor="text1"/>
        </w:rPr>
        <w:t>≥3.375</w:t>
      </w:r>
      <w:r>
        <w:rPr>
          <w:color w:val="000000" w:themeColor="text1"/>
        </w:rPr>
        <w:t>m，整体大屏面积</w:t>
      </w:r>
      <w:r>
        <w:rPr>
          <w:rFonts w:hint="eastAsia"/>
          <w:color w:val="000000" w:themeColor="text1"/>
        </w:rPr>
        <w:t>≥</w:t>
      </w:r>
      <w:r>
        <w:rPr>
          <w:color w:val="000000" w:themeColor="text1"/>
        </w:rPr>
        <w:t>41.85m²，可全屏、分屏，跨屏</w:t>
      </w:r>
      <w:r>
        <w:rPr>
          <w:rFonts w:hint="eastAsia"/>
          <w:color w:val="000000" w:themeColor="text1"/>
        </w:rPr>
        <w:t>，</w:t>
      </w:r>
      <w:r>
        <w:rPr>
          <w:color w:val="000000" w:themeColor="text1"/>
        </w:rPr>
        <w:t>开窗、漫游</w:t>
      </w:r>
      <w:r>
        <w:rPr>
          <w:rFonts w:hint="eastAsia"/>
          <w:color w:val="000000" w:themeColor="text1"/>
        </w:rPr>
        <w:t>，</w:t>
      </w:r>
      <w:r>
        <w:rPr>
          <w:color w:val="000000" w:themeColor="text1"/>
        </w:rPr>
        <w:t>叠加视频画面</w:t>
      </w:r>
      <w:r>
        <w:rPr>
          <w:rFonts w:hint="eastAsia"/>
          <w:color w:val="000000" w:themeColor="text1"/>
        </w:rPr>
        <w:t>。</w:t>
      </w:r>
      <w:r>
        <w:rPr>
          <w:color w:val="000000" w:themeColor="text1"/>
        </w:rPr>
        <w:t>在会商区两侧设置两块点间距不大于</w:t>
      </w:r>
      <w:r>
        <w:rPr>
          <w:rFonts w:hint="eastAsia"/>
          <w:color w:val="000000" w:themeColor="text1"/>
        </w:rPr>
        <w:t>P1.27（面积≥7.29m2）的小间距全彩显示屏。</w:t>
      </w:r>
    </w:p>
    <w:p>
      <w:pPr>
        <w:ind w:firstLine="480"/>
        <w:rPr>
          <w:color w:val="000000" w:themeColor="text1"/>
        </w:rPr>
      </w:pPr>
      <w:r>
        <w:rPr>
          <w:color w:val="000000" w:themeColor="text1"/>
        </w:rPr>
        <w:t>设计的指挥大厅LED大屏幕显示系统集成了视频监控信息、计算机信息、日期、天气、欢迎语等多项可视信息资源，并通过图像监控系统与综合信息显示系统的完美集成，方便指挥中心对于视频信息的调用和显示等需求实现，为指挥中心最为直观、集成度最高的内容表示窗口和集成显示平台。</w:t>
      </w:r>
    </w:p>
    <w:p>
      <w:pPr>
        <w:ind w:firstLine="480"/>
        <w:rPr>
          <w:color w:val="000000" w:themeColor="text1"/>
        </w:rPr>
      </w:pPr>
      <w:r>
        <w:rPr>
          <w:rFonts w:hint="eastAsia"/>
          <w:color w:val="000000" w:themeColor="text1"/>
        </w:rPr>
        <w:t>在研判区设置3*3共计9块液晶拼接屏，用于研判时的使用。</w:t>
      </w:r>
    </w:p>
    <w:p>
      <w:pPr>
        <w:pStyle w:val="7"/>
        <w:spacing w:before="120" w:after="120"/>
        <w:ind w:firstLine="480"/>
        <w:rPr>
          <w:color w:val="000000" w:themeColor="text1"/>
        </w:rPr>
      </w:pPr>
      <w:r>
        <w:rPr>
          <w:rFonts w:hint="eastAsia"/>
          <w:color w:val="000000" w:themeColor="text1"/>
        </w:rPr>
        <w:t>1.</w:t>
      </w:r>
      <w:r>
        <w:rPr>
          <w:color w:val="000000" w:themeColor="text1"/>
        </w:rPr>
        <w:t>1.</w:t>
      </w:r>
      <w:r>
        <w:rPr>
          <w:rFonts w:hint="eastAsia"/>
          <w:color w:val="000000" w:themeColor="text1"/>
        </w:rPr>
        <w:t>2.6.2</w:t>
      </w:r>
      <w:r>
        <w:rPr>
          <w:color w:val="000000" w:themeColor="text1"/>
        </w:rPr>
        <w:t>图像处理系统</w:t>
      </w:r>
    </w:p>
    <w:p>
      <w:pPr>
        <w:ind w:firstLine="480"/>
        <w:rPr>
          <w:color w:val="000000" w:themeColor="text1"/>
        </w:rPr>
      </w:pPr>
      <w:r>
        <w:rPr>
          <w:color w:val="000000" w:themeColor="text1"/>
        </w:rPr>
        <w:t>本项目采用一套大屏拼接处理器、LED全彩显示屏控制器、</w:t>
      </w:r>
      <w:r>
        <w:rPr>
          <w:rFonts w:hint="eastAsia"/>
          <w:color w:val="000000" w:themeColor="text1"/>
        </w:rPr>
        <w:t>大屏幕</w:t>
      </w:r>
      <w:r>
        <w:rPr>
          <w:color w:val="000000" w:themeColor="text1"/>
        </w:rPr>
        <w:t>控制软件，即可实现系统所需要的功能，使业务系统融合，实现一体化可视化应用。</w:t>
      </w:r>
    </w:p>
    <w:p>
      <w:pPr>
        <w:ind w:firstLine="480"/>
        <w:rPr>
          <w:color w:val="000000" w:themeColor="text1"/>
        </w:rPr>
      </w:pPr>
      <w:r>
        <w:rPr>
          <w:color w:val="000000" w:themeColor="text1"/>
        </w:rPr>
        <w:t>本系统需要实现对指挥中心多块显示单元、视频信号、计算机信号、RGB信号及网络信号源能够互联互通。平台应该实现多类型信号的统一接入、切换调用、预案应用等功能。同时作为业务系统的核心图像业务信息交换和处理平台，需具有一体化操控体验。</w:t>
      </w:r>
    </w:p>
    <w:p>
      <w:pPr>
        <w:ind w:firstLine="480"/>
        <w:rPr>
          <w:color w:val="000000" w:themeColor="text1"/>
        </w:rPr>
      </w:pPr>
      <w:r>
        <w:rPr>
          <w:color w:val="000000" w:themeColor="text1"/>
        </w:rPr>
        <w:t>大屏拼接处理器采用无阻塞背板设计的数字视频高速交换总线和千兆以太网交换总线。数字视频高速交换总线用于传输非压缩的视频数据，保证视频的低延时和高质量的性能，以太网总线用于传输编码后的视频数据，实现视频数据的存储、预览、回放等应用。</w:t>
      </w:r>
    </w:p>
    <w:p>
      <w:pPr>
        <w:ind w:firstLine="480"/>
        <w:rPr>
          <w:color w:val="000000" w:themeColor="text1"/>
        </w:rPr>
      </w:pPr>
      <w:r>
        <w:rPr>
          <w:color w:val="000000" w:themeColor="text1"/>
        </w:rPr>
        <w:t>前端多种类型的视频输入信号，通过大屏控制器相应的视频输入板，实现信号的输入和编码（编码后的码流可网络预览，也可存储），通过输出板实现视频信号输出，支持拼接、分割、漫游等多种显示模式。LED控制器接受DVI信号，驱动LED显示屏显示。</w:t>
      </w:r>
    </w:p>
    <w:p>
      <w:pPr>
        <w:pStyle w:val="7"/>
        <w:spacing w:before="120" w:after="120"/>
        <w:ind w:firstLine="480"/>
        <w:rPr>
          <w:color w:val="000000" w:themeColor="text1"/>
        </w:rPr>
      </w:pPr>
      <w:r>
        <w:rPr>
          <w:rFonts w:hint="eastAsia"/>
          <w:color w:val="000000" w:themeColor="text1"/>
        </w:rPr>
        <w:t>1.</w:t>
      </w:r>
      <w:r>
        <w:rPr>
          <w:color w:val="000000" w:themeColor="text1"/>
        </w:rPr>
        <w:t>1.</w:t>
      </w:r>
      <w:r>
        <w:rPr>
          <w:rFonts w:hint="eastAsia"/>
          <w:color w:val="000000" w:themeColor="text1"/>
        </w:rPr>
        <w:t>2.7</w:t>
      </w:r>
      <w:r>
        <w:rPr>
          <w:color w:val="000000" w:themeColor="text1"/>
        </w:rPr>
        <w:t>会议扩声系统</w:t>
      </w:r>
    </w:p>
    <w:p>
      <w:pPr>
        <w:ind w:firstLine="480"/>
        <w:rPr>
          <w:color w:val="000000" w:themeColor="text1"/>
        </w:rPr>
      </w:pPr>
      <w:r>
        <w:rPr>
          <w:color w:val="000000" w:themeColor="text1"/>
        </w:rPr>
        <w:t>指挥中心大厅是应急指挥的中枢，是网络中心、信息中心、信息发布中心、</w:t>
      </w:r>
      <w:r>
        <w:rPr>
          <w:rFonts w:hint="eastAsia"/>
          <w:color w:val="000000" w:themeColor="text1"/>
        </w:rPr>
        <w:t>通讯</w:t>
      </w:r>
      <w:r>
        <w:rPr>
          <w:color w:val="000000" w:themeColor="text1"/>
        </w:rPr>
        <w:t>中心、调度中心、监控中心的功能汇集，必须满足指挥、信息、监控、调度、会议等功能需求。该系统的设计应采用符合国际及国内领先水平的技术，并尽可能结合指挥中心的业务特点，从实际使用出发，最大限度地满足用户提出的功能需求。</w:t>
      </w:r>
    </w:p>
    <w:p>
      <w:pPr>
        <w:ind w:firstLine="480"/>
        <w:rPr>
          <w:color w:val="000000" w:themeColor="text1"/>
        </w:rPr>
      </w:pPr>
      <w:r>
        <w:rPr>
          <w:color w:val="000000" w:themeColor="text1"/>
        </w:rPr>
        <w:t>本次指挥中心大厅会议系统包括音响扩声系统、</w:t>
      </w:r>
      <w:r>
        <w:rPr>
          <w:rFonts w:hint="eastAsia"/>
          <w:color w:val="000000" w:themeColor="text1"/>
        </w:rPr>
        <w:t>数字会议系统以及</w:t>
      </w:r>
      <w:r>
        <w:rPr>
          <w:color w:val="000000" w:themeColor="text1"/>
        </w:rPr>
        <w:t>视联网视频指挥系统。</w:t>
      </w:r>
    </w:p>
    <w:p>
      <w:pPr>
        <w:pStyle w:val="7"/>
        <w:spacing w:before="120" w:after="120"/>
        <w:ind w:firstLine="480"/>
        <w:rPr>
          <w:color w:val="000000" w:themeColor="text1"/>
        </w:rPr>
      </w:pPr>
      <w:r>
        <w:rPr>
          <w:rFonts w:hint="eastAsia"/>
          <w:color w:val="000000" w:themeColor="text1"/>
        </w:rPr>
        <w:t>1.</w:t>
      </w:r>
      <w:r>
        <w:rPr>
          <w:color w:val="000000" w:themeColor="text1"/>
        </w:rPr>
        <w:t>1.</w:t>
      </w:r>
      <w:r>
        <w:rPr>
          <w:rFonts w:hint="eastAsia"/>
          <w:color w:val="000000" w:themeColor="text1"/>
        </w:rPr>
        <w:t>2.7.1</w:t>
      </w:r>
      <w:r>
        <w:rPr>
          <w:color w:val="000000" w:themeColor="text1"/>
        </w:rPr>
        <w:t>音响扩声系统</w:t>
      </w:r>
    </w:p>
    <w:p>
      <w:pPr>
        <w:ind w:firstLine="480"/>
        <w:rPr>
          <w:color w:val="000000" w:themeColor="text1"/>
        </w:rPr>
      </w:pPr>
      <w:r>
        <w:rPr>
          <w:color w:val="000000" w:themeColor="text1"/>
        </w:rPr>
        <w:t>包括数字音频处理器、专业功放、专业音箱、调音台、话筒等</w:t>
      </w:r>
      <w:r>
        <w:rPr>
          <w:rFonts w:hint="eastAsia"/>
          <w:color w:val="000000" w:themeColor="text1"/>
        </w:rPr>
        <w:t>。</w:t>
      </w:r>
    </w:p>
    <w:p>
      <w:pPr>
        <w:pStyle w:val="7"/>
        <w:spacing w:before="120" w:after="120"/>
        <w:ind w:firstLine="480"/>
        <w:rPr>
          <w:color w:val="000000" w:themeColor="text1"/>
        </w:rPr>
      </w:pPr>
      <w:r>
        <w:rPr>
          <w:rFonts w:hint="eastAsia"/>
          <w:color w:val="000000" w:themeColor="text1"/>
        </w:rPr>
        <w:t>1.</w:t>
      </w:r>
      <w:r>
        <w:rPr>
          <w:color w:val="000000" w:themeColor="text1"/>
        </w:rPr>
        <w:t>1.</w:t>
      </w:r>
      <w:r>
        <w:rPr>
          <w:rFonts w:hint="eastAsia"/>
          <w:color w:val="000000" w:themeColor="text1"/>
        </w:rPr>
        <w:t>2.7.2</w:t>
      </w:r>
      <w:r>
        <w:rPr>
          <w:color w:val="000000" w:themeColor="text1"/>
        </w:rPr>
        <w:t>数字会议系统</w:t>
      </w:r>
    </w:p>
    <w:p>
      <w:pPr>
        <w:ind w:firstLine="480"/>
        <w:rPr>
          <w:color w:val="000000" w:themeColor="text1"/>
        </w:rPr>
      </w:pPr>
      <w:r>
        <w:rPr>
          <w:color w:val="000000" w:themeColor="text1"/>
        </w:rPr>
        <w:t>考虑指挥大厅会议系统需求，在指挥长席位配置桌面式数字会议系统1套，配置主席单元1套，客席单元1</w:t>
      </w:r>
      <w:r>
        <w:rPr>
          <w:rFonts w:hint="eastAsia"/>
          <w:color w:val="000000" w:themeColor="text1"/>
        </w:rPr>
        <w:t>6</w:t>
      </w:r>
      <w:r>
        <w:rPr>
          <w:color w:val="000000" w:themeColor="text1"/>
        </w:rPr>
        <w:t>套。</w:t>
      </w:r>
    </w:p>
    <w:p>
      <w:pPr>
        <w:tabs>
          <w:tab w:val="left" w:pos="900"/>
        </w:tabs>
        <w:snapToGrid w:val="0"/>
        <w:ind w:firstLine="482"/>
        <w:jc w:val="center"/>
        <w:rPr>
          <w:rFonts w:ascii="宋体" w:hAnsi="宋体"/>
          <w:b/>
          <w:color w:val="000000" w:themeColor="text1"/>
        </w:rPr>
      </w:pPr>
      <w:r>
        <w:rPr>
          <w:color w:val="000000" w:themeColor="text1"/>
        </w:rPr>
        <w:drawing>
          <wp:inline distT="0" distB="0" distL="0" distR="0">
            <wp:extent cx="5266055" cy="2980055"/>
            <wp:effectExtent l="0" t="0" r="0" b="0"/>
            <wp:docPr id="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266113" cy="2980113"/>
                    </a:xfrm>
                    <a:prstGeom prst="rect">
                      <a:avLst/>
                    </a:prstGeom>
                  </pic:spPr>
                </pic:pic>
              </a:graphicData>
            </a:graphic>
          </wp:inline>
        </w:drawing>
      </w:r>
      <w:r>
        <w:rPr>
          <w:rFonts w:ascii="宋体" w:hAnsi="宋体"/>
          <w:b/>
          <w:color w:val="000000" w:themeColor="text1"/>
        </w:rPr>
        <w:t>图</w:t>
      </w:r>
      <w:r>
        <w:rPr>
          <w:rFonts w:hint="eastAsia" w:ascii="宋体" w:hAnsi="宋体"/>
          <w:b/>
          <w:color w:val="000000" w:themeColor="text1"/>
        </w:rPr>
        <w:t>4 会议</w:t>
      </w:r>
      <w:r>
        <w:rPr>
          <w:rFonts w:ascii="宋体" w:hAnsi="宋体"/>
          <w:b/>
          <w:color w:val="000000" w:themeColor="text1"/>
        </w:rPr>
        <w:t>系统架构图</w:t>
      </w:r>
    </w:p>
    <w:p>
      <w:pPr>
        <w:pStyle w:val="7"/>
        <w:spacing w:before="120" w:after="120"/>
        <w:ind w:firstLine="480"/>
        <w:rPr>
          <w:color w:val="000000" w:themeColor="text1"/>
        </w:rPr>
      </w:pPr>
      <w:r>
        <w:rPr>
          <w:rFonts w:hint="eastAsia"/>
          <w:color w:val="000000" w:themeColor="text1"/>
        </w:rPr>
        <w:t>1.</w:t>
      </w:r>
      <w:r>
        <w:rPr>
          <w:color w:val="000000" w:themeColor="text1"/>
        </w:rPr>
        <w:t>1.</w:t>
      </w:r>
      <w:r>
        <w:rPr>
          <w:rFonts w:hint="eastAsia"/>
          <w:color w:val="000000" w:themeColor="text1"/>
        </w:rPr>
        <w:t>2.7.3</w:t>
      </w:r>
      <w:r>
        <w:rPr>
          <w:color w:val="000000" w:themeColor="text1"/>
        </w:rPr>
        <w:t>视联网视频指挥系统</w:t>
      </w:r>
    </w:p>
    <w:p>
      <w:pPr>
        <w:ind w:firstLine="480"/>
        <w:rPr>
          <w:color w:val="000000" w:themeColor="text1"/>
        </w:rPr>
      </w:pPr>
      <w:r>
        <w:rPr>
          <w:color w:val="000000" w:themeColor="text1"/>
        </w:rPr>
        <w:t>指挥中心新增一套视频指挥系统，用于应急指挥时的视频会议指挥。</w:t>
      </w:r>
    </w:p>
    <w:p>
      <w:pPr>
        <w:ind w:firstLine="480"/>
        <w:rPr>
          <w:color w:val="000000" w:themeColor="text1"/>
        </w:rPr>
      </w:pPr>
      <w:r>
        <w:rPr>
          <w:color w:val="000000" w:themeColor="text1"/>
        </w:rPr>
        <w:t>视联网平台采用实时高清视联网交换技术，结合新三网融合架构技术，可以实现大规模、高品质、实时、双向对称的高清视频全交换，平台采用“分散控制，集中管理”的架构，可以在一个平台上支持包括高清数字电视、高清视频会议、视频点播、视频监控、现场直播、多媒体信息发布等数十种各种形态的视频多媒体服务，可以大大满足对高清视频通信、培训、应急指挥等需求。</w:t>
      </w:r>
    </w:p>
    <w:p>
      <w:pPr>
        <w:ind w:firstLine="480"/>
        <w:rPr>
          <w:color w:val="000000" w:themeColor="text1"/>
        </w:rPr>
      </w:pPr>
      <w:r>
        <w:rPr>
          <w:color w:val="000000" w:themeColor="text1"/>
        </w:rPr>
        <w:t>高清视频会议：通过电子政务高清视联网服务平台的高清视频会议功能，政府内部、政府与分支机构之间，可随时召开高清视频会议，迅速掌握各方面汇集上来的信息，为政府缩短了决策时间，提高了部门的运作效率。</w:t>
      </w:r>
    </w:p>
    <w:p>
      <w:pPr>
        <w:ind w:firstLine="480"/>
        <w:rPr>
          <w:color w:val="000000" w:themeColor="text1"/>
        </w:rPr>
      </w:pPr>
      <w:r>
        <w:rPr>
          <w:color w:val="000000" w:themeColor="text1"/>
        </w:rPr>
        <w:t>视频监控：平台可全面兼容政府及分支机构现有视频监控系统，统一存储，统一调度，在授权范围内可以对需要区域实施集中的、实时的监控，监控图像进行存储录像，还可随时查看所保存的任意时间的录像资料。平台还具备周界防范、人流量统计功能，同时具备基本事件自动检测技术，可对任意监控区域内的事件自动检测、报警、自动识别，用于更好地预警和实施管理。</w:t>
      </w:r>
    </w:p>
    <w:p>
      <w:pPr>
        <w:ind w:firstLine="480"/>
        <w:rPr>
          <w:color w:val="000000" w:themeColor="text1"/>
        </w:rPr>
      </w:pPr>
      <w:r>
        <w:rPr>
          <w:color w:val="000000" w:themeColor="text1"/>
        </w:rPr>
        <w:t>远程培训：可使用高清视联网的双向视频或者点播功能为分支政府机构展开远程培训活动。实时培训内容均可以通过电子政务高清视联网服务平台进行录像，存入系统资料库内，随时播放。</w:t>
      </w:r>
    </w:p>
    <w:p>
      <w:pPr>
        <w:ind w:firstLine="480"/>
        <w:rPr>
          <w:color w:val="000000" w:themeColor="text1"/>
        </w:rPr>
      </w:pPr>
      <w:r>
        <w:rPr>
          <w:color w:val="000000" w:themeColor="text1"/>
        </w:rPr>
        <w:t>多媒体信息发布：可使用高清视联网的多媒体信息发布功能将重要新闻、广告、紧急通知等“一键发布”到所有联网终端。</w:t>
      </w:r>
    </w:p>
    <w:p>
      <w:pPr>
        <w:ind w:firstLine="480"/>
        <w:rPr>
          <w:color w:val="000000" w:themeColor="text1"/>
        </w:rPr>
      </w:pPr>
      <w:r>
        <w:rPr>
          <w:color w:val="000000" w:themeColor="text1"/>
        </w:rPr>
        <w:t>应急指挥：平台可以提供一个高效的视频应急指挥调度平台，用于各种突发事件的可视化指挥调度，可以在紧急状态下调度其他部门处理突发事件，协调各部门协同工作。还可随时应对各种突发性自然灾害、传染性疫情，甚至恐怖主义活动的侵袭。</w:t>
      </w:r>
    </w:p>
    <w:p>
      <w:pPr>
        <w:ind w:firstLine="480"/>
        <w:rPr>
          <w:color w:val="000000" w:themeColor="text1"/>
        </w:rPr>
      </w:pPr>
      <w:r>
        <w:rPr>
          <w:color w:val="000000" w:themeColor="text1"/>
        </w:rPr>
        <w:t>互动点播：政府人员可以点播存储于核心视频服务器中的政务新闻、电影、军事节目、纪录片和科普节目等（视存储容量而定）。公众通过此功能可以随时点播查询政府发布的市场信息、政务信息等资料方面信息。</w:t>
      </w:r>
    </w:p>
    <w:p>
      <w:pPr>
        <w:pStyle w:val="7"/>
        <w:spacing w:before="120" w:after="120"/>
        <w:ind w:firstLine="480"/>
        <w:rPr>
          <w:color w:val="000000" w:themeColor="text1"/>
        </w:rPr>
      </w:pPr>
      <w:r>
        <w:rPr>
          <w:rFonts w:hint="eastAsia"/>
          <w:color w:val="000000" w:themeColor="text1"/>
        </w:rPr>
        <w:t>1.</w:t>
      </w:r>
      <w:r>
        <w:rPr>
          <w:color w:val="000000" w:themeColor="text1"/>
        </w:rPr>
        <w:t>1.</w:t>
      </w:r>
      <w:r>
        <w:rPr>
          <w:rFonts w:hint="eastAsia"/>
          <w:color w:val="000000" w:themeColor="text1"/>
        </w:rPr>
        <w:t>2.8</w:t>
      </w:r>
      <w:r>
        <w:rPr>
          <w:color w:val="000000" w:themeColor="text1"/>
        </w:rPr>
        <w:t>中央控制系统</w:t>
      </w:r>
    </w:p>
    <w:p>
      <w:pPr>
        <w:pStyle w:val="7"/>
        <w:spacing w:before="120" w:after="120"/>
        <w:ind w:firstLine="480"/>
        <w:rPr>
          <w:color w:val="000000" w:themeColor="text1"/>
        </w:rPr>
      </w:pPr>
      <w:r>
        <w:rPr>
          <w:rFonts w:hint="eastAsia"/>
          <w:color w:val="000000" w:themeColor="text1"/>
        </w:rPr>
        <w:t>1.</w:t>
      </w:r>
      <w:r>
        <w:rPr>
          <w:color w:val="000000" w:themeColor="text1"/>
        </w:rPr>
        <w:t>1.</w:t>
      </w:r>
      <w:r>
        <w:rPr>
          <w:rFonts w:hint="eastAsia"/>
          <w:color w:val="000000" w:themeColor="text1"/>
        </w:rPr>
        <w:t>2.8.1</w:t>
      </w:r>
      <w:r>
        <w:rPr>
          <w:color w:val="000000" w:themeColor="text1"/>
        </w:rPr>
        <w:t>系统概述</w:t>
      </w:r>
    </w:p>
    <w:p>
      <w:pPr>
        <w:ind w:firstLine="480"/>
        <w:rPr>
          <w:color w:val="000000" w:themeColor="text1"/>
        </w:rPr>
      </w:pPr>
      <w:r>
        <w:rPr>
          <w:color w:val="000000" w:themeColor="text1"/>
        </w:rPr>
        <w:t>在本系统设计中，采用技术成熟、功能齐全，用途广泛的中央控制系统，实现指挥中心、会议厅等重要区域中各种电子设备的集中控制。根据这一领域的需求以及设计的实际经验，将整个指挥中心的功能分成以下几个子系统。</w:t>
      </w:r>
    </w:p>
    <w:p>
      <w:pPr>
        <w:ind w:firstLine="480"/>
        <w:rPr>
          <w:color w:val="000000" w:themeColor="text1"/>
        </w:rPr>
      </w:pPr>
      <w:r>
        <w:rPr>
          <w:color w:val="000000" w:themeColor="text1"/>
        </w:rPr>
        <w:t>中央控制系统</w:t>
      </w:r>
    </w:p>
    <w:p>
      <w:pPr>
        <w:ind w:firstLine="480"/>
        <w:rPr>
          <w:color w:val="000000" w:themeColor="text1"/>
        </w:rPr>
      </w:pPr>
      <w:r>
        <w:rPr>
          <w:color w:val="000000" w:themeColor="text1"/>
        </w:rPr>
        <w:t>大屏联动</w:t>
      </w:r>
    </w:p>
    <w:p>
      <w:pPr>
        <w:ind w:firstLine="480"/>
        <w:rPr>
          <w:color w:val="000000" w:themeColor="text1"/>
        </w:rPr>
      </w:pPr>
      <w:r>
        <w:rPr>
          <w:color w:val="000000" w:themeColor="text1"/>
        </w:rPr>
        <w:t>设备电源管理（工作电脑主机、图形工作站等）备用</w:t>
      </w:r>
    </w:p>
    <w:p>
      <w:pPr>
        <w:ind w:firstLine="480"/>
        <w:rPr>
          <w:color w:val="000000" w:themeColor="text1"/>
        </w:rPr>
      </w:pPr>
      <w:r>
        <w:rPr>
          <w:color w:val="000000" w:themeColor="text1"/>
        </w:rPr>
        <w:t>室内环境灯光系统控制</w:t>
      </w:r>
    </w:p>
    <w:p>
      <w:pPr>
        <w:ind w:firstLine="480"/>
        <w:rPr>
          <w:color w:val="000000" w:themeColor="text1"/>
        </w:rPr>
      </w:pPr>
      <w:r>
        <w:rPr>
          <w:color w:val="000000" w:themeColor="text1"/>
        </w:rPr>
        <w:t>音频控制</w:t>
      </w:r>
    </w:p>
    <w:p>
      <w:pPr>
        <w:ind w:firstLine="480"/>
        <w:rPr>
          <w:color w:val="000000" w:themeColor="text1"/>
        </w:rPr>
      </w:pPr>
      <w:r>
        <w:rPr>
          <w:color w:val="000000" w:themeColor="text1"/>
        </w:rPr>
        <w:t>通过集中控制主机的控制处理,对各种不同设备根据实际情况进行内部的编程,使用触摸屏以达到各类信号源切换方便、快捷地切换到视音频终端输出,本地的环境设备,灯光的开关、亮度调节、灯光模式的调用与保存，空调温度与湿度的调节，窗帘的开关控制等等，都可以通过触摸屏实现可视化、实时化的操控。</w:t>
      </w:r>
    </w:p>
    <w:p>
      <w:pPr>
        <w:ind w:firstLine="480"/>
        <w:rPr>
          <w:color w:val="000000" w:themeColor="text1"/>
        </w:rPr>
      </w:pPr>
      <w:r>
        <w:rPr>
          <w:color w:val="000000" w:themeColor="text1"/>
        </w:rPr>
        <w:t>触摸屏可自动化、模式化控制多媒体系统中各类设备的视频信号源和来自数字AV管理中心、电脑、会议话筒、远程终端等的音频信号源</w:t>
      </w:r>
      <w:r>
        <w:rPr>
          <w:rFonts w:hint="eastAsia"/>
          <w:color w:val="000000" w:themeColor="text1"/>
        </w:rPr>
        <w:t>，</w:t>
      </w:r>
      <w:r>
        <w:rPr>
          <w:color w:val="000000" w:themeColor="text1"/>
        </w:rPr>
        <w:t>方便、快捷地切换到音视频终端输出。</w:t>
      </w:r>
    </w:p>
    <w:p>
      <w:pPr>
        <w:pStyle w:val="7"/>
        <w:spacing w:before="120" w:after="120"/>
        <w:ind w:firstLine="480"/>
        <w:rPr>
          <w:color w:val="000000" w:themeColor="text1"/>
        </w:rPr>
      </w:pPr>
      <w:r>
        <w:rPr>
          <w:rFonts w:hint="eastAsia"/>
          <w:color w:val="000000" w:themeColor="text1"/>
        </w:rPr>
        <w:t>1.</w:t>
      </w:r>
      <w:r>
        <w:rPr>
          <w:color w:val="000000" w:themeColor="text1"/>
        </w:rPr>
        <w:t>1.</w:t>
      </w:r>
      <w:r>
        <w:rPr>
          <w:rFonts w:hint="eastAsia"/>
          <w:color w:val="000000" w:themeColor="text1"/>
        </w:rPr>
        <w:t>2.8.2</w:t>
      </w:r>
      <w:r>
        <w:rPr>
          <w:color w:val="000000" w:themeColor="text1"/>
        </w:rPr>
        <w:t>主要功能说明</w:t>
      </w:r>
    </w:p>
    <w:p>
      <w:pPr>
        <w:ind w:firstLine="480"/>
        <w:rPr>
          <w:color w:val="000000" w:themeColor="text1"/>
        </w:rPr>
      </w:pPr>
      <w:r>
        <w:rPr>
          <w:color w:val="000000" w:themeColor="text1"/>
        </w:rPr>
        <w:t>通过安装中央控制系统，可以将各种操控复杂的专业设备及相关的周边环境设备等通过合理的配置及编程控制达到轻松的实现智能化、人性化的控制。</w:t>
      </w:r>
    </w:p>
    <w:p>
      <w:pPr>
        <w:ind w:firstLine="480"/>
        <w:rPr>
          <w:color w:val="000000" w:themeColor="text1"/>
        </w:rPr>
      </w:pPr>
      <w:r>
        <w:rPr>
          <w:color w:val="000000" w:themeColor="text1"/>
        </w:rPr>
        <w:t>通过串口模块的串口（RS232端口）控制大屏幕拼接系统的所有功能，如开/关机；并且能够自动实现关联动作。</w:t>
      </w:r>
    </w:p>
    <w:p>
      <w:pPr>
        <w:ind w:firstLine="480"/>
        <w:rPr>
          <w:color w:val="000000" w:themeColor="text1"/>
        </w:rPr>
      </w:pPr>
      <w:r>
        <w:rPr>
          <w:color w:val="000000" w:themeColor="text1"/>
        </w:rPr>
        <w:t>通过串口模块的串口（RS232端口）控制数字会议系统，电源开关，会议主机//会议终端/交换机电源一起接入中控设备电源管理同时开启或关闭。</w:t>
      </w:r>
    </w:p>
    <w:p>
      <w:pPr>
        <w:ind w:firstLine="480"/>
        <w:rPr>
          <w:color w:val="000000" w:themeColor="text1"/>
        </w:rPr>
      </w:pPr>
      <w:r>
        <w:rPr>
          <w:color w:val="000000" w:themeColor="text1"/>
        </w:rPr>
        <w:t>通过8路强电继电器控制系统设备电源，并且能够自动实现关联动作，当开启系统的时候，自动时序的开启设备电源，当系统关是时序的关闭设备电源。</w:t>
      </w:r>
    </w:p>
    <w:p>
      <w:pPr>
        <w:ind w:firstLine="480"/>
        <w:rPr>
          <w:color w:val="000000" w:themeColor="text1"/>
        </w:rPr>
      </w:pPr>
      <w:r>
        <w:rPr>
          <w:color w:val="000000" w:themeColor="text1"/>
        </w:rPr>
        <w:t>通过8路强电继电器控制各类灯光的开、关、全开、全关，并支持模式控制。</w:t>
      </w:r>
    </w:p>
    <w:p>
      <w:pPr>
        <w:ind w:firstLine="480"/>
        <w:rPr>
          <w:color w:val="000000" w:themeColor="text1"/>
        </w:rPr>
      </w:pPr>
      <w:r>
        <w:rPr>
          <w:color w:val="000000" w:themeColor="text1"/>
        </w:rPr>
        <w:t>所有筒灯及日光灯等环境灯光系统通过中控系统控制，全部操作动作由中控设备统一管理，避免传统系统因繁复动作所引起的误操作，大大提高工作效率，使用者更能集中于指挥、监测</w:t>
      </w:r>
      <w:r>
        <w:rPr>
          <w:rFonts w:hint="eastAsia"/>
          <w:color w:val="000000" w:themeColor="text1"/>
        </w:rPr>
        <w:t>内容</w:t>
      </w:r>
      <w:r>
        <w:rPr>
          <w:color w:val="000000" w:themeColor="text1"/>
        </w:rPr>
        <w:t>，不必为系统操作而分心。</w:t>
      </w:r>
    </w:p>
    <w:p>
      <w:pPr>
        <w:pStyle w:val="7"/>
        <w:spacing w:before="120" w:after="120"/>
        <w:ind w:firstLine="480"/>
        <w:rPr>
          <w:color w:val="000000" w:themeColor="text1"/>
        </w:rPr>
      </w:pPr>
      <w:r>
        <w:rPr>
          <w:rFonts w:hint="eastAsia"/>
          <w:color w:val="000000" w:themeColor="text1"/>
        </w:rPr>
        <w:t>1.</w:t>
      </w:r>
      <w:r>
        <w:rPr>
          <w:color w:val="000000" w:themeColor="text1"/>
        </w:rPr>
        <w:t>1.</w:t>
      </w:r>
      <w:r>
        <w:rPr>
          <w:rFonts w:hint="eastAsia"/>
          <w:color w:val="000000" w:themeColor="text1"/>
        </w:rPr>
        <w:t>2.9</w:t>
      </w:r>
      <w:r>
        <w:rPr>
          <w:color w:val="000000" w:themeColor="text1"/>
        </w:rPr>
        <w:t>计算机网络系统</w:t>
      </w:r>
    </w:p>
    <w:p>
      <w:pPr>
        <w:ind w:firstLine="480"/>
        <w:rPr>
          <w:color w:val="000000" w:themeColor="text1"/>
        </w:rPr>
      </w:pPr>
      <w:r>
        <w:rPr>
          <w:color w:val="000000" w:themeColor="text1"/>
        </w:rPr>
        <w:t>在指挥中心增加</w:t>
      </w:r>
      <w:r>
        <w:rPr>
          <w:rFonts w:hint="eastAsia"/>
          <w:color w:val="000000" w:themeColor="text1"/>
        </w:rPr>
        <w:t>2</w:t>
      </w:r>
      <w:r>
        <w:rPr>
          <w:color w:val="000000" w:themeColor="text1"/>
        </w:rPr>
        <w:t>台汇聚交换机</w:t>
      </w:r>
      <w:r>
        <w:rPr>
          <w:rFonts w:hint="eastAsia"/>
          <w:color w:val="000000" w:themeColor="text1"/>
        </w:rPr>
        <w:t>进行热备</w:t>
      </w:r>
      <w:r>
        <w:rPr>
          <w:color w:val="000000" w:themeColor="text1"/>
        </w:rPr>
        <w:t>，</w:t>
      </w:r>
      <w:r>
        <w:rPr>
          <w:rFonts w:hint="eastAsia"/>
          <w:color w:val="000000" w:themeColor="text1"/>
        </w:rPr>
        <w:t>4</w:t>
      </w:r>
      <w:r>
        <w:rPr>
          <w:color w:val="000000" w:themeColor="text1"/>
        </w:rPr>
        <w:t>台接入交换机，配备相应的光模块，用于政务网、视频专网等的接入，实现应急指挥基础网络的贯通。</w:t>
      </w:r>
    </w:p>
    <w:p>
      <w:pPr>
        <w:pStyle w:val="7"/>
        <w:spacing w:before="120" w:after="120"/>
        <w:ind w:firstLine="480"/>
        <w:rPr>
          <w:color w:val="000000" w:themeColor="text1"/>
        </w:rPr>
      </w:pPr>
      <w:bookmarkStart w:id="312" w:name="_Toc518771972"/>
      <w:r>
        <w:rPr>
          <w:rFonts w:hint="eastAsia"/>
          <w:color w:val="000000" w:themeColor="text1"/>
        </w:rPr>
        <w:t>1.</w:t>
      </w:r>
      <w:r>
        <w:rPr>
          <w:color w:val="000000" w:themeColor="text1"/>
        </w:rPr>
        <w:t>1.</w:t>
      </w:r>
      <w:r>
        <w:rPr>
          <w:rFonts w:hint="eastAsia"/>
          <w:color w:val="000000" w:themeColor="text1"/>
        </w:rPr>
        <w:t>2.10</w:t>
      </w:r>
      <w:r>
        <w:rPr>
          <w:color w:val="000000" w:themeColor="text1"/>
        </w:rPr>
        <w:t>安防系统</w:t>
      </w:r>
      <w:bookmarkEnd w:id="312"/>
    </w:p>
    <w:p>
      <w:pPr>
        <w:ind w:firstLine="480"/>
        <w:rPr>
          <w:color w:val="000000" w:themeColor="text1"/>
        </w:rPr>
      </w:pPr>
      <w:r>
        <w:rPr>
          <w:color w:val="000000" w:themeColor="text1"/>
        </w:rPr>
        <w:t>根据指挥中心的实际需求，在指挥中心安装高清半球，用于日常无人值守时的安保工作。</w:t>
      </w:r>
    </w:p>
    <w:p>
      <w:pPr>
        <w:pStyle w:val="7"/>
        <w:spacing w:before="120" w:after="120"/>
        <w:ind w:firstLine="480"/>
        <w:rPr>
          <w:color w:val="000000" w:themeColor="text1"/>
        </w:rPr>
      </w:pPr>
      <w:r>
        <w:rPr>
          <w:rFonts w:hint="eastAsia"/>
          <w:color w:val="000000" w:themeColor="text1"/>
        </w:rPr>
        <w:t>1.</w:t>
      </w:r>
      <w:r>
        <w:rPr>
          <w:color w:val="000000" w:themeColor="text1"/>
        </w:rPr>
        <w:t>1.</w:t>
      </w:r>
      <w:r>
        <w:rPr>
          <w:rFonts w:hint="eastAsia"/>
          <w:color w:val="000000" w:themeColor="text1"/>
        </w:rPr>
        <w:t>2.11</w:t>
      </w:r>
      <w:r>
        <w:rPr>
          <w:color w:val="000000" w:themeColor="text1"/>
        </w:rPr>
        <w:t>综合布线系统</w:t>
      </w:r>
    </w:p>
    <w:p>
      <w:pPr>
        <w:ind w:firstLine="480"/>
        <w:rPr>
          <w:color w:val="000000" w:themeColor="text1"/>
        </w:rPr>
      </w:pPr>
      <w:r>
        <w:rPr>
          <w:color w:val="000000" w:themeColor="text1"/>
        </w:rPr>
        <w:t>1、工作区</w:t>
      </w:r>
    </w:p>
    <w:p>
      <w:pPr>
        <w:ind w:firstLine="480"/>
        <w:rPr>
          <w:color w:val="000000" w:themeColor="text1"/>
        </w:rPr>
      </w:pPr>
      <w:r>
        <w:rPr>
          <w:color w:val="000000" w:themeColor="text1"/>
        </w:rPr>
        <w:t>本次综合布线系统在指挥大厅布放信息点，并配套相应的管线工程。</w:t>
      </w:r>
    </w:p>
    <w:p>
      <w:pPr>
        <w:ind w:firstLine="480"/>
        <w:rPr>
          <w:color w:val="000000" w:themeColor="text1"/>
        </w:rPr>
      </w:pPr>
      <w:r>
        <w:rPr>
          <w:color w:val="000000" w:themeColor="text1"/>
        </w:rPr>
        <w:t>桌面信息点采用信息点管理盒封装，并直接连接到地插内。墙面信息点采用单/双口信息面板封装。信息点管理盒、信息面板均可安装信号点标签，并配有防尘盖。</w:t>
      </w:r>
    </w:p>
    <w:p>
      <w:pPr>
        <w:ind w:firstLine="480"/>
        <w:rPr>
          <w:color w:val="000000" w:themeColor="text1"/>
        </w:rPr>
      </w:pPr>
      <w:r>
        <w:rPr>
          <w:color w:val="000000" w:themeColor="text1"/>
        </w:rPr>
        <w:t>2、配线子系统</w:t>
      </w:r>
    </w:p>
    <w:p>
      <w:pPr>
        <w:ind w:firstLine="480"/>
        <w:rPr>
          <w:color w:val="000000" w:themeColor="text1"/>
        </w:rPr>
      </w:pPr>
      <w:r>
        <w:rPr>
          <w:color w:val="000000" w:themeColor="text1"/>
        </w:rPr>
        <w:t>配线子系统包括水平数据电缆、六类非屏蔽配线架、与主干光纤相连的光纤配线架等，所有设备均安装在机柜内。</w:t>
      </w:r>
    </w:p>
    <w:p>
      <w:pPr>
        <w:ind w:firstLine="480"/>
        <w:rPr>
          <w:color w:val="000000" w:themeColor="text1"/>
        </w:rPr>
      </w:pPr>
      <w:r>
        <w:rPr>
          <w:color w:val="000000" w:themeColor="text1"/>
        </w:rPr>
        <w:t>水平数据电缆采用六类非屏蔽双绞电缆。</w:t>
      </w:r>
    </w:p>
    <w:p>
      <w:pPr>
        <w:ind w:firstLine="480"/>
        <w:rPr>
          <w:color w:val="000000" w:themeColor="text1"/>
        </w:rPr>
      </w:pPr>
      <w:r>
        <w:rPr>
          <w:color w:val="000000" w:themeColor="text1"/>
        </w:rPr>
        <w:t>语音、配用、外网、专网的点位采用普通1HU空口配线架+模块的组合方式，并配置相应数量的2米原厂六类非屏蔽跳线、水平管理架。</w:t>
      </w:r>
    </w:p>
    <w:p>
      <w:pPr>
        <w:ind w:firstLine="480"/>
        <w:rPr>
          <w:color w:val="000000" w:themeColor="text1"/>
        </w:rPr>
      </w:pPr>
      <w:r>
        <w:rPr>
          <w:color w:val="000000" w:themeColor="text1"/>
        </w:rPr>
        <w:t>3、干线子系统</w:t>
      </w:r>
    </w:p>
    <w:p>
      <w:pPr>
        <w:ind w:firstLine="480"/>
        <w:rPr>
          <w:color w:val="000000" w:themeColor="text1"/>
        </w:rPr>
      </w:pPr>
      <w:r>
        <w:rPr>
          <w:color w:val="000000" w:themeColor="text1"/>
        </w:rPr>
        <w:t>干线子系统包括机房与指挥厅相连的主干光纤、安装在机房内的光纤配线架等。干线子系统利旧。</w:t>
      </w:r>
    </w:p>
    <w:p>
      <w:pPr>
        <w:ind w:firstLine="480"/>
        <w:rPr>
          <w:color w:val="000000" w:themeColor="text1"/>
        </w:rPr>
      </w:pPr>
      <w:r>
        <w:rPr>
          <w:color w:val="000000" w:themeColor="text1"/>
        </w:rPr>
        <w:t>4、多媒体线缆的敷设</w:t>
      </w:r>
    </w:p>
    <w:p>
      <w:pPr>
        <w:ind w:firstLine="480"/>
        <w:rPr>
          <w:color w:val="000000" w:themeColor="text1"/>
        </w:rPr>
      </w:pPr>
      <w:r>
        <w:rPr>
          <w:color w:val="000000" w:themeColor="text1"/>
        </w:rPr>
        <w:t>监控信号分为三种：视频信号、控制信号及电源。</w:t>
      </w:r>
    </w:p>
    <w:p>
      <w:pPr>
        <w:ind w:firstLine="480"/>
        <w:rPr>
          <w:color w:val="000000" w:themeColor="text1"/>
        </w:rPr>
      </w:pPr>
      <w:r>
        <w:rPr>
          <w:color w:val="000000" w:themeColor="text1"/>
        </w:rPr>
        <w:t>（1）视频信号</w:t>
      </w:r>
    </w:p>
    <w:p>
      <w:pPr>
        <w:ind w:firstLine="480"/>
        <w:rPr>
          <w:color w:val="000000" w:themeColor="text1"/>
        </w:rPr>
      </w:pPr>
      <w:r>
        <w:rPr>
          <w:color w:val="000000" w:themeColor="text1"/>
        </w:rPr>
        <w:t>视频传输采用同轴视频电缆基带传输方式。</w:t>
      </w:r>
    </w:p>
    <w:p>
      <w:pPr>
        <w:ind w:firstLine="480"/>
        <w:rPr>
          <w:color w:val="000000" w:themeColor="text1"/>
        </w:rPr>
      </w:pPr>
      <w:r>
        <w:rPr>
          <w:color w:val="000000" w:themeColor="text1"/>
        </w:rPr>
        <w:t>（2）高清信号</w:t>
      </w:r>
    </w:p>
    <w:p>
      <w:pPr>
        <w:ind w:firstLine="480"/>
        <w:rPr>
          <w:color w:val="000000" w:themeColor="text1"/>
        </w:rPr>
      </w:pPr>
      <w:r>
        <w:rPr>
          <w:color w:val="000000" w:themeColor="text1"/>
        </w:rPr>
        <w:t>高清信号在15米之内（显示屏周边区域和设备机柜之间连接）使用DVI、HDMI、SDI或VGA电缆与高清矩阵经过适配器直接连接。超过上述距离的信号传输使用DVI双绞线传输器与设备连接。</w:t>
      </w:r>
    </w:p>
    <w:p>
      <w:pPr>
        <w:ind w:firstLine="480"/>
        <w:rPr>
          <w:color w:val="000000" w:themeColor="text1"/>
        </w:rPr>
      </w:pPr>
      <w:r>
        <w:rPr>
          <w:color w:val="000000" w:themeColor="text1"/>
        </w:rPr>
        <w:t>控制信号：本系统中，控制信号传输线使用RVVP线缆用于支持RS-485、RS-422或RS-232的传输连接方式。</w:t>
      </w:r>
    </w:p>
    <w:p>
      <w:pPr>
        <w:ind w:firstLine="480"/>
        <w:rPr>
          <w:color w:val="000000" w:themeColor="text1"/>
        </w:rPr>
      </w:pPr>
      <w:r>
        <w:rPr>
          <w:color w:val="000000" w:themeColor="text1"/>
        </w:rPr>
        <w:t>电源：为保证整个系统的视频稳定，本系统采用电源同步方式，即整个系统所有设备采用同一相电源供电。</w:t>
      </w:r>
    </w:p>
    <w:p>
      <w:pPr>
        <w:ind w:firstLine="480"/>
        <w:rPr>
          <w:color w:val="000000" w:themeColor="text1"/>
        </w:rPr>
      </w:pPr>
      <w:r>
        <w:rPr>
          <w:color w:val="000000" w:themeColor="text1"/>
        </w:rPr>
        <w:t>监控系统的所有供电回路必须专用，不可与其它系统或设备混合使用。</w:t>
      </w:r>
    </w:p>
    <w:p>
      <w:pPr>
        <w:ind w:firstLine="480"/>
        <w:rPr>
          <w:color w:val="000000" w:themeColor="text1"/>
        </w:rPr>
      </w:pPr>
      <w:r>
        <w:rPr>
          <w:color w:val="000000" w:themeColor="text1"/>
        </w:rPr>
        <w:t>5、管槽敷设</w:t>
      </w:r>
    </w:p>
    <w:p>
      <w:pPr>
        <w:ind w:firstLine="480"/>
        <w:rPr>
          <w:color w:val="000000" w:themeColor="text1"/>
        </w:rPr>
      </w:pPr>
      <w:r>
        <w:rPr>
          <w:color w:val="000000" w:themeColor="text1"/>
        </w:rPr>
        <w:t>为增强弱电系统抗干扰性能，同时满足防火要求，设计采用镀锌钢管敷设，并做防雷接地处理。</w:t>
      </w:r>
    </w:p>
    <w:p>
      <w:pPr>
        <w:ind w:firstLine="480"/>
        <w:rPr>
          <w:color w:val="000000" w:themeColor="text1"/>
        </w:rPr>
      </w:pPr>
      <w:r>
        <w:rPr>
          <w:color w:val="000000" w:themeColor="text1"/>
        </w:rPr>
        <w:t>6、布线预埋</w:t>
      </w:r>
    </w:p>
    <w:p>
      <w:pPr>
        <w:ind w:firstLine="480"/>
        <w:rPr>
          <w:color w:val="000000" w:themeColor="text1"/>
        </w:rPr>
      </w:pPr>
      <w:r>
        <w:rPr>
          <w:color w:val="000000" w:themeColor="text1"/>
        </w:rPr>
        <w:t>根据指挥大厅整体布局，设计足够空间的布线环境。</w:t>
      </w:r>
    </w:p>
    <w:p>
      <w:pPr>
        <w:ind w:firstLine="480"/>
        <w:rPr>
          <w:color w:val="000000" w:themeColor="text1"/>
        </w:rPr>
      </w:pPr>
      <w:r>
        <w:rPr>
          <w:color w:val="000000" w:themeColor="text1"/>
        </w:rPr>
        <w:t>所有电源、音频、视频、网络、通信（公网、专网）、控制和光缆等线缆做到有序分类布放，并有适当的线缆线槽。</w:t>
      </w:r>
    </w:p>
    <w:p>
      <w:pPr>
        <w:pStyle w:val="7"/>
        <w:spacing w:before="120" w:after="120"/>
        <w:ind w:firstLine="480"/>
        <w:rPr>
          <w:color w:val="000000" w:themeColor="text1"/>
        </w:rPr>
      </w:pPr>
      <w:r>
        <w:rPr>
          <w:rFonts w:hint="eastAsia"/>
          <w:color w:val="000000" w:themeColor="text1"/>
        </w:rPr>
        <w:t>1.</w:t>
      </w:r>
      <w:r>
        <w:rPr>
          <w:color w:val="000000" w:themeColor="text1"/>
        </w:rPr>
        <w:t>1.</w:t>
      </w:r>
      <w:r>
        <w:rPr>
          <w:rFonts w:hint="eastAsia"/>
          <w:color w:val="000000" w:themeColor="text1"/>
        </w:rPr>
        <w:t>2.12 1702会议室改造</w:t>
      </w:r>
    </w:p>
    <w:p>
      <w:pPr>
        <w:ind w:firstLine="480"/>
        <w:rPr>
          <w:color w:val="000000" w:themeColor="text1"/>
        </w:rPr>
      </w:pPr>
      <w:r>
        <w:rPr>
          <w:color w:val="000000" w:themeColor="text1"/>
        </w:rPr>
        <w:t>对市政府</w:t>
      </w:r>
      <w:r>
        <w:rPr>
          <w:rFonts w:hint="eastAsia"/>
          <w:color w:val="000000" w:themeColor="text1"/>
        </w:rPr>
        <w:t>1702会议室进行改造，主要实现综治应用系统的大屏幕展示，实现对小型会议的商讨和研判。主要改造内容如下：</w:t>
      </w:r>
    </w:p>
    <w:p>
      <w:pPr>
        <w:ind w:firstLine="480"/>
        <w:rPr>
          <w:color w:val="000000" w:themeColor="text1"/>
        </w:rPr>
      </w:pPr>
      <w:r>
        <w:rPr>
          <w:rFonts w:hint="eastAsia"/>
          <w:color w:val="000000" w:themeColor="text1"/>
        </w:rPr>
        <w:t>1、对原有的拼接控制器进行扩容，增加一块输入板卡，实现更多高清信号的接入。</w:t>
      </w:r>
    </w:p>
    <w:p>
      <w:pPr>
        <w:ind w:firstLine="480"/>
        <w:rPr>
          <w:color w:val="000000" w:themeColor="text1"/>
        </w:rPr>
      </w:pPr>
      <w:r>
        <w:rPr>
          <w:rFonts w:hint="eastAsia"/>
          <w:color w:val="000000" w:themeColor="text1"/>
        </w:rPr>
        <w:t>2、增加一台工作电脑，用于会议时各类系统的大屏显示操作。</w:t>
      </w:r>
    </w:p>
    <w:p>
      <w:pPr>
        <w:ind w:firstLine="480"/>
        <w:rPr>
          <w:color w:val="000000" w:themeColor="text1"/>
        </w:rPr>
      </w:pPr>
      <w:r>
        <w:rPr>
          <w:rFonts w:hint="eastAsia"/>
          <w:color w:val="000000" w:themeColor="text1"/>
        </w:rPr>
        <w:t>3、增加一套高清解码器，用于图像的解码上墙显示。</w:t>
      </w:r>
    </w:p>
    <w:p>
      <w:pPr>
        <w:ind w:firstLine="480"/>
        <w:rPr>
          <w:color w:val="000000" w:themeColor="text1"/>
        </w:rPr>
      </w:pPr>
      <w:r>
        <w:rPr>
          <w:rFonts w:hint="eastAsia"/>
          <w:color w:val="000000" w:themeColor="text1"/>
        </w:rPr>
        <w:t>4、更换原有老旧的会议设备（话筒、音箱等）。</w:t>
      </w:r>
    </w:p>
    <w:p>
      <w:pPr>
        <w:pStyle w:val="6"/>
        <w:spacing w:before="120" w:after="120"/>
        <w:ind w:firstLine="480"/>
        <w:rPr>
          <w:color w:val="000000" w:themeColor="text1"/>
        </w:rPr>
      </w:pPr>
      <w:r>
        <w:rPr>
          <w:rFonts w:hint="eastAsia"/>
          <w:color w:val="000000" w:themeColor="text1"/>
        </w:rPr>
        <w:t>1.</w:t>
      </w:r>
      <w:r>
        <w:rPr>
          <w:color w:val="000000" w:themeColor="text1"/>
        </w:rPr>
        <w:t>1.</w:t>
      </w:r>
      <w:r>
        <w:rPr>
          <w:rFonts w:hint="eastAsia"/>
          <w:color w:val="000000" w:themeColor="text1"/>
        </w:rPr>
        <w:t>3综合指挥中心（应急指挥室）</w:t>
      </w:r>
    </w:p>
    <w:p>
      <w:pPr>
        <w:pStyle w:val="7"/>
        <w:spacing w:before="120" w:after="120"/>
        <w:ind w:firstLine="480"/>
        <w:rPr>
          <w:color w:val="000000" w:themeColor="text1"/>
        </w:rPr>
      </w:pPr>
      <w:r>
        <w:rPr>
          <w:rFonts w:hint="eastAsia"/>
          <w:color w:val="000000" w:themeColor="text1"/>
        </w:rPr>
        <w:t>1.</w:t>
      </w:r>
      <w:r>
        <w:rPr>
          <w:color w:val="000000" w:themeColor="text1"/>
        </w:rPr>
        <w:t>1.</w:t>
      </w:r>
      <w:r>
        <w:rPr>
          <w:rFonts w:hint="eastAsia"/>
          <w:color w:val="000000" w:themeColor="text1"/>
        </w:rPr>
        <w:t>3.1概述</w:t>
      </w:r>
    </w:p>
    <w:p>
      <w:pPr>
        <w:tabs>
          <w:tab w:val="left" w:pos="900"/>
        </w:tabs>
        <w:snapToGrid w:val="0"/>
        <w:ind w:firstLine="480"/>
        <w:rPr>
          <w:rFonts w:ascii="宋体" w:hAnsi="宋体"/>
          <w:color w:val="000000" w:themeColor="text1"/>
        </w:rPr>
      </w:pPr>
      <w:r>
        <w:rPr>
          <w:rFonts w:hint="eastAsia"/>
          <w:color w:val="000000" w:themeColor="text1"/>
        </w:rPr>
        <w:t>应急指挥室主要用于组织各类中小型会议和应急指挥，规划各业务功能区域，满足指挥中心日常指挥调度、会商研判、视频会议等业务功能的需要。应急指挥室总面积约为320平方米，分为会商区、研判区等</w:t>
      </w:r>
      <w:r>
        <w:rPr>
          <w:rFonts w:hint="eastAsia" w:ascii="宋体" w:hAnsi="宋体"/>
          <w:color w:val="000000" w:themeColor="text1"/>
        </w:rPr>
        <w:t>。</w:t>
      </w:r>
    </w:p>
    <w:p>
      <w:pPr>
        <w:pStyle w:val="7"/>
        <w:spacing w:before="120" w:after="120"/>
        <w:ind w:firstLine="480"/>
        <w:rPr>
          <w:color w:val="000000" w:themeColor="text1"/>
        </w:rPr>
      </w:pPr>
      <w:r>
        <w:rPr>
          <w:rFonts w:hint="eastAsia"/>
          <w:color w:val="000000" w:themeColor="text1"/>
        </w:rPr>
        <w:t>1.</w:t>
      </w:r>
      <w:r>
        <w:rPr>
          <w:color w:val="000000" w:themeColor="text1"/>
        </w:rPr>
        <w:t>1.</w:t>
      </w:r>
      <w:r>
        <w:rPr>
          <w:rFonts w:hint="eastAsia"/>
          <w:color w:val="000000" w:themeColor="text1"/>
        </w:rPr>
        <w:t>3.2 应急指挥室</w:t>
      </w:r>
      <w:r>
        <w:rPr>
          <w:color w:val="000000" w:themeColor="text1"/>
        </w:rPr>
        <w:t>总体布局</w:t>
      </w:r>
    </w:p>
    <w:p>
      <w:pPr>
        <w:ind w:firstLine="480"/>
        <w:rPr>
          <w:color w:val="000000" w:themeColor="text1"/>
        </w:rPr>
      </w:pPr>
      <w:r>
        <w:rPr>
          <w:color w:val="000000" w:themeColor="text1"/>
        </w:rPr>
        <w:t>整个</w:t>
      </w:r>
      <w:r>
        <w:rPr>
          <w:rFonts w:hint="eastAsia"/>
          <w:color w:val="000000" w:themeColor="text1"/>
        </w:rPr>
        <w:t>应急指挥室</w:t>
      </w:r>
      <w:r>
        <w:rPr>
          <w:color w:val="000000" w:themeColor="text1"/>
        </w:rPr>
        <w:t>总体上分为三楼指挥业务大厅及四楼会商研判区域两部分，两部分区域相互隔离，互不干扰。</w:t>
      </w:r>
    </w:p>
    <w:p>
      <w:pPr>
        <w:jc w:val="center"/>
        <w:rPr>
          <w:color w:val="000000" w:themeColor="text1"/>
        </w:rPr>
      </w:pPr>
      <w:r>
        <w:rPr>
          <w:color w:val="000000" w:themeColor="text1"/>
        </w:rPr>
        <w:drawing>
          <wp:inline distT="0" distB="0" distL="0" distR="0">
            <wp:extent cx="3905250" cy="2752725"/>
            <wp:effectExtent l="19050" t="0" r="0" b="0"/>
            <wp:docPr id="14" name="图片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10"/>
                    <pic:cNvPicPr>
                      <a:picLocks noChangeAspect="1" noChangeArrowheads="1"/>
                    </pic:cNvPicPr>
                  </pic:nvPicPr>
                  <pic:blipFill>
                    <a:blip r:embed="rId30"/>
                    <a:srcRect/>
                    <a:stretch>
                      <a:fillRect/>
                    </a:stretch>
                  </pic:blipFill>
                  <pic:spPr>
                    <a:xfrm>
                      <a:off x="0" y="0"/>
                      <a:ext cx="3905250" cy="2752725"/>
                    </a:xfrm>
                    <a:prstGeom prst="rect">
                      <a:avLst/>
                    </a:prstGeom>
                    <a:noFill/>
                    <a:ln w="9525">
                      <a:noFill/>
                      <a:miter lim="800000"/>
                      <a:headEnd/>
                      <a:tailEnd/>
                    </a:ln>
                  </pic:spPr>
                </pic:pic>
              </a:graphicData>
            </a:graphic>
          </wp:inline>
        </w:drawing>
      </w:r>
    </w:p>
    <w:p>
      <w:pPr>
        <w:tabs>
          <w:tab w:val="left" w:pos="900"/>
        </w:tabs>
        <w:snapToGrid w:val="0"/>
        <w:ind w:firstLine="482"/>
        <w:jc w:val="center"/>
        <w:rPr>
          <w:rFonts w:ascii="宋体" w:hAnsi="宋体"/>
          <w:b/>
          <w:color w:val="000000" w:themeColor="text1"/>
        </w:rPr>
      </w:pPr>
      <w:r>
        <w:rPr>
          <w:rFonts w:ascii="宋体" w:hAnsi="宋体"/>
          <w:b/>
          <w:color w:val="000000" w:themeColor="text1"/>
        </w:rPr>
        <w:t>图</w:t>
      </w:r>
      <w:r>
        <w:rPr>
          <w:rFonts w:hint="eastAsia" w:ascii="宋体" w:hAnsi="宋体"/>
          <w:b/>
          <w:color w:val="000000" w:themeColor="text1"/>
        </w:rPr>
        <w:t xml:space="preserve">5  </w:t>
      </w:r>
      <w:r>
        <w:rPr>
          <w:rFonts w:ascii="宋体" w:hAnsi="宋体"/>
          <w:b/>
          <w:color w:val="000000" w:themeColor="text1"/>
        </w:rPr>
        <w:t>三楼</w:t>
      </w:r>
      <w:r>
        <w:rPr>
          <w:rFonts w:hint="eastAsia" w:ascii="宋体" w:hAnsi="宋体"/>
          <w:b/>
          <w:color w:val="000000" w:themeColor="text1"/>
        </w:rPr>
        <w:t>应急指挥室</w:t>
      </w:r>
      <w:r>
        <w:rPr>
          <w:rFonts w:ascii="宋体" w:hAnsi="宋体"/>
          <w:b/>
          <w:color w:val="000000" w:themeColor="text1"/>
        </w:rPr>
        <w:t>布局图</w:t>
      </w:r>
    </w:p>
    <w:p>
      <w:pPr>
        <w:ind w:firstLine="480"/>
        <w:rPr>
          <w:color w:val="000000" w:themeColor="text1"/>
        </w:rPr>
      </w:pPr>
      <w:r>
        <w:rPr>
          <w:color w:val="000000" w:themeColor="text1"/>
        </w:rPr>
        <w:t>四楼指挥会商研判区域主要负责视频会议、会商作战和</w:t>
      </w:r>
      <w:r>
        <w:rPr>
          <w:rFonts w:hint="eastAsia"/>
          <w:color w:val="000000" w:themeColor="text1"/>
        </w:rPr>
        <w:t>侯会室等</w:t>
      </w:r>
      <w:r>
        <w:rPr>
          <w:color w:val="000000" w:themeColor="text1"/>
        </w:rPr>
        <w:t>功能，设置会商作战室、视频会议室、休息室三个功能区。会商作战室设置在</w:t>
      </w:r>
      <w:r>
        <w:rPr>
          <w:rFonts w:hint="eastAsia"/>
          <w:color w:val="000000" w:themeColor="text1"/>
        </w:rPr>
        <w:t>应急指挥室大厅</w:t>
      </w:r>
      <w:r>
        <w:rPr>
          <w:color w:val="000000" w:themeColor="text1"/>
        </w:rPr>
        <w:t>二层平台位置，上、下层之间不封闭，与</w:t>
      </w:r>
      <w:r>
        <w:rPr>
          <w:rFonts w:hint="eastAsia"/>
          <w:color w:val="000000" w:themeColor="text1"/>
        </w:rPr>
        <w:t>应急指挥室大厅</w:t>
      </w:r>
      <w:r>
        <w:rPr>
          <w:color w:val="000000" w:themeColor="text1"/>
        </w:rPr>
        <w:t>即联通，但又相对分离。视频会议室和休息室设置在四楼新拓展区域，用于召开</w:t>
      </w:r>
      <w:r>
        <w:rPr>
          <w:rFonts w:hint="eastAsia"/>
          <w:color w:val="000000" w:themeColor="text1"/>
        </w:rPr>
        <w:t>应急指挥室</w:t>
      </w:r>
      <w:r>
        <w:rPr>
          <w:color w:val="000000" w:themeColor="text1"/>
        </w:rPr>
        <w:t>视频会议使用，与</w:t>
      </w:r>
      <w:r>
        <w:rPr>
          <w:rFonts w:hint="eastAsia"/>
          <w:color w:val="000000" w:themeColor="text1"/>
        </w:rPr>
        <w:t>应急指挥室</w:t>
      </w:r>
      <w:r>
        <w:rPr>
          <w:color w:val="000000" w:themeColor="text1"/>
        </w:rPr>
        <w:t>大厅视频议系统互为备份。视频会议室与</w:t>
      </w:r>
      <w:r>
        <w:rPr>
          <w:rFonts w:hint="eastAsia"/>
          <w:color w:val="000000" w:themeColor="text1"/>
        </w:rPr>
        <w:t>应急指挥室</w:t>
      </w:r>
      <w:r>
        <w:rPr>
          <w:color w:val="000000" w:themeColor="text1"/>
        </w:rPr>
        <w:t>其他功能区域相对独立，保证视频会议业务与接处警、指挥调度业务互不干扰。</w:t>
      </w:r>
    </w:p>
    <w:p>
      <w:pPr>
        <w:jc w:val="center"/>
        <w:rPr>
          <w:color w:val="000000" w:themeColor="text1"/>
        </w:rPr>
      </w:pPr>
      <w:r>
        <w:rPr>
          <w:color w:val="000000" w:themeColor="text1"/>
        </w:rPr>
        <w:drawing>
          <wp:inline distT="0" distB="0" distL="0" distR="0">
            <wp:extent cx="5762625" cy="4219575"/>
            <wp:effectExtent l="19050" t="0" r="9525" b="0"/>
            <wp:docPr id="15" name="图片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13"/>
                    <pic:cNvPicPr>
                      <a:picLocks noChangeAspect="1" noChangeArrowheads="1"/>
                    </pic:cNvPicPr>
                  </pic:nvPicPr>
                  <pic:blipFill>
                    <a:blip r:embed="rId31"/>
                    <a:srcRect/>
                    <a:stretch>
                      <a:fillRect/>
                    </a:stretch>
                  </pic:blipFill>
                  <pic:spPr>
                    <a:xfrm>
                      <a:off x="0" y="0"/>
                      <a:ext cx="5762625" cy="4219575"/>
                    </a:xfrm>
                    <a:prstGeom prst="rect">
                      <a:avLst/>
                    </a:prstGeom>
                    <a:noFill/>
                    <a:ln w="9525">
                      <a:noFill/>
                      <a:miter lim="800000"/>
                      <a:headEnd/>
                      <a:tailEnd/>
                    </a:ln>
                  </pic:spPr>
                </pic:pic>
              </a:graphicData>
            </a:graphic>
          </wp:inline>
        </w:drawing>
      </w:r>
    </w:p>
    <w:p>
      <w:pPr>
        <w:ind w:firstLine="480"/>
        <w:jc w:val="center"/>
        <w:rPr>
          <w:rFonts w:ascii="宋体" w:hAnsi="宋体"/>
          <w:color w:val="000000" w:themeColor="text1"/>
        </w:rPr>
      </w:pPr>
      <w:r>
        <w:rPr>
          <w:rFonts w:ascii="宋体" w:hAnsi="宋体"/>
          <w:color w:val="000000" w:themeColor="text1"/>
        </w:rPr>
        <w:t>图</w:t>
      </w:r>
      <w:r>
        <w:rPr>
          <w:rFonts w:hint="eastAsia" w:ascii="宋体" w:hAnsi="宋体"/>
          <w:color w:val="000000" w:themeColor="text1"/>
        </w:rPr>
        <w:t xml:space="preserve">6  </w:t>
      </w:r>
      <w:r>
        <w:rPr>
          <w:rFonts w:ascii="宋体" w:hAnsi="宋体"/>
          <w:color w:val="000000" w:themeColor="text1"/>
        </w:rPr>
        <w:t>四楼</w:t>
      </w:r>
      <w:r>
        <w:rPr>
          <w:rFonts w:hint="eastAsia" w:ascii="宋体" w:hAnsi="宋体"/>
          <w:color w:val="000000" w:themeColor="text1"/>
        </w:rPr>
        <w:t>应急指挥室</w:t>
      </w:r>
      <w:r>
        <w:rPr>
          <w:rFonts w:ascii="宋体" w:hAnsi="宋体"/>
          <w:color w:val="000000" w:themeColor="text1"/>
        </w:rPr>
        <w:t>布局图</w:t>
      </w:r>
    </w:p>
    <w:p>
      <w:pPr>
        <w:pStyle w:val="7"/>
        <w:spacing w:before="120" w:after="120"/>
        <w:ind w:firstLine="480"/>
        <w:rPr>
          <w:color w:val="000000" w:themeColor="text1"/>
        </w:rPr>
      </w:pPr>
      <w:bookmarkStart w:id="313" w:name="_Toc443863021"/>
      <w:bookmarkStart w:id="314" w:name="_Toc518771947"/>
      <w:r>
        <w:rPr>
          <w:rFonts w:hint="eastAsia"/>
          <w:color w:val="000000" w:themeColor="text1"/>
        </w:rPr>
        <w:t>1.</w:t>
      </w:r>
      <w:r>
        <w:rPr>
          <w:color w:val="000000" w:themeColor="text1"/>
        </w:rPr>
        <w:t>1.</w:t>
      </w:r>
      <w:r>
        <w:rPr>
          <w:rFonts w:hint="eastAsia"/>
          <w:color w:val="000000" w:themeColor="text1"/>
        </w:rPr>
        <w:t>3.3</w:t>
      </w:r>
      <w:r>
        <w:rPr>
          <w:color w:val="000000" w:themeColor="text1"/>
        </w:rPr>
        <w:t>系统</w:t>
      </w:r>
      <w:bookmarkEnd w:id="313"/>
      <w:bookmarkEnd w:id="314"/>
      <w:r>
        <w:rPr>
          <w:color w:val="000000" w:themeColor="text1"/>
        </w:rPr>
        <w:t>构架图</w:t>
      </w:r>
    </w:p>
    <w:p>
      <w:pPr>
        <w:ind w:firstLine="480"/>
        <w:rPr>
          <w:rFonts w:hint="eastAsia"/>
          <w:color w:val="000000" w:themeColor="text1"/>
        </w:rPr>
      </w:pPr>
      <w:r>
        <w:rPr>
          <w:color w:val="000000" w:themeColor="text1"/>
        </w:rPr>
        <w:t>视频显示系统由显示层、控制调度层、应用业务层（视频源）三部分组成，其系统拓扑图如下：</w:t>
      </w:r>
    </w:p>
    <w:p>
      <w:pPr>
        <w:ind w:firstLine="480"/>
        <w:rPr>
          <w:color w:val="000000" w:themeColor="text1"/>
        </w:rPr>
      </w:pPr>
      <w:r>
        <w:rPr>
          <w:color w:val="000000" w:themeColor="text1"/>
        </w:rPr>
        <w:drawing>
          <wp:inline distT="0" distB="0" distL="0" distR="0">
            <wp:extent cx="5278120" cy="3627120"/>
            <wp:effectExtent l="19050" t="0" r="0" b="0"/>
            <wp:docPr id="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9"/>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278120" cy="3627120"/>
                    </a:xfrm>
                    <a:prstGeom prst="rect">
                      <a:avLst/>
                    </a:prstGeom>
                  </pic:spPr>
                </pic:pic>
              </a:graphicData>
            </a:graphic>
          </wp:inline>
        </w:drawing>
      </w:r>
    </w:p>
    <w:p>
      <w:pPr>
        <w:tabs>
          <w:tab w:val="left" w:pos="900"/>
        </w:tabs>
        <w:snapToGrid w:val="0"/>
        <w:jc w:val="center"/>
        <w:rPr>
          <w:rFonts w:ascii="宋体" w:hAnsi="宋体"/>
          <w:color w:val="000000" w:themeColor="text1"/>
        </w:rPr>
      </w:pPr>
      <w:r>
        <w:rPr>
          <w:rFonts w:ascii="宋体" w:hAnsi="宋体"/>
          <w:color w:val="000000" w:themeColor="text1"/>
        </w:rPr>
        <w:t>图</w:t>
      </w:r>
      <w:r>
        <w:rPr>
          <w:rFonts w:hint="eastAsia" w:ascii="宋体" w:hAnsi="宋体"/>
          <w:color w:val="000000" w:themeColor="text1"/>
        </w:rPr>
        <w:t>7  系统构架图</w:t>
      </w:r>
    </w:p>
    <w:p>
      <w:pPr>
        <w:pStyle w:val="7"/>
        <w:spacing w:before="120" w:after="120"/>
        <w:ind w:firstLine="480"/>
        <w:rPr>
          <w:color w:val="000000" w:themeColor="text1"/>
        </w:rPr>
      </w:pPr>
      <w:r>
        <w:rPr>
          <w:rFonts w:hint="eastAsia"/>
          <w:color w:val="000000" w:themeColor="text1"/>
        </w:rPr>
        <w:t>1</w:t>
      </w:r>
      <w:r>
        <w:rPr>
          <w:rStyle w:val="123"/>
          <w:rFonts w:hint="eastAsia"/>
          <w:bCs w:val="0"/>
          <w:color w:val="000000" w:themeColor="text1"/>
        </w:rPr>
        <w:t>.</w:t>
      </w:r>
      <w:r>
        <w:rPr>
          <w:rStyle w:val="123"/>
          <w:bCs w:val="0"/>
          <w:color w:val="000000" w:themeColor="text1"/>
        </w:rPr>
        <w:t>1.</w:t>
      </w:r>
      <w:r>
        <w:rPr>
          <w:rStyle w:val="123"/>
          <w:rFonts w:hint="eastAsia"/>
          <w:bCs w:val="0"/>
          <w:color w:val="000000" w:themeColor="text1"/>
        </w:rPr>
        <w:t>3.4</w:t>
      </w:r>
      <w:r>
        <w:rPr>
          <w:rStyle w:val="123"/>
          <w:bCs w:val="0"/>
          <w:color w:val="000000" w:themeColor="text1"/>
        </w:rPr>
        <w:t>装饰工程</w:t>
      </w:r>
    </w:p>
    <w:p>
      <w:pPr>
        <w:ind w:firstLine="480"/>
        <w:rPr>
          <w:color w:val="000000" w:themeColor="text1"/>
        </w:rPr>
      </w:pPr>
      <w:r>
        <w:rPr>
          <w:color w:val="000000" w:themeColor="text1"/>
        </w:rPr>
        <w:t>在</w:t>
      </w:r>
      <w:r>
        <w:rPr>
          <w:rFonts w:hint="eastAsia"/>
          <w:color w:val="000000" w:themeColor="text1"/>
        </w:rPr>
        <w:t>应急</w:t>
      </w:r>
      <w:r>
        <w:rPr>
          <w:color w:val="000000" w:themeColor="text1"/>
        </w:rPr>
        <w:t>指挥室设计时结合大厅内工作人员的工作特点进行色彩的搭配，在分析了人类的色彩心理学以及公安的日常习惯后，具有镇静效果且有使人情绪平缓作用的浅色调是最合适的颜色。</w:t>
      </w:r>
    </w:p>
    <w:p>
      <w:pPr>
        <w:ind w:firstLine="480"/>
        <w:rPr>
          <w:color w:val="000000" w:themeColor="text1"/>
        </w:rPr>
      </w:pPr>
      <w:r>
        <w:rPr>
          <w:color w:val="000000" w:themeColor="text1"/>
        </w:rPr>
        <w:t>装修材料类型、表面形状和结构的选择都具有控制混响时间和音质缺陷的双重功效，除了配置美观又合理的扩散结构外，还应采用可行的低频强吸声结构。</w:t>
      </w:r>
    </w:p>
    <w:p>
      <w:pPr>
        <w:ind w:firstLine="480"/>
        <w:rPr>
          <w:color w:val="000000" w:themeColor="text1"/>
        </w:rPr>
      </w:pPr>
      <w:r>
        <w:rPr>
          <w:rFonts w:hint="eastAsia"/>
          <w:color w:val="000000" w:themeColor="text1"/>
        </w:rPr>
        <w:t>具体方案如下：</w:t>
      </w:r>
    </w:p>
    <w:p>
      <w:pPr>
        <w:ind w:firstLine="480"/>
        <w:rPr>
          <w:color w:val="000000" w:themeColor="text1"/>
        </w:rPr>
      </w:pPr>
      <w:r>
        <w:rPr>
          <w:rFonts w:hint="eastAsia"/>
          <w:color w:val="000000" w:themeColor="text1"/>
        </w:rPr>
        <w:t>1、天棚工程</w:t>
      </w:r>
    </w:p>
    <w:p>
      <w:pPr>
        <w:ind w:firstLine="480"/>
        <w:rPr>
          <w:color w:val="000000" w:themeColor="text1"/>
        </w:rPr>
      </w:pPr>
      <w:r>
        <w:rPr>
          <w:rFonts w:hint="eastAsia"/>
          <w:color w:val="000000" w:themeColor="text1"/>
        </w:rPr>
        <w:t>拆除应急指挥室原有吊顶，安装石膏板吊顶、铝塑板饰面吊顶，灯光带（暖色）、吸顶筒灯</w:t>
      </w:r>
      <w:r>
        <w:rPr>
          <w:color w:val="000000" w:themeColor="text1"/>
        </w:rPr>
        <w:t>等会议照明</w:t>
      </w:r>
      <w:r>
        <w:rPr>
          <w:rFonts w:hint="eastAsia"/>
          <w:color w:val="000000" w:themeColor="text1"/>
        </w:rPr>
        <w:t>灯具。</w:t>
      </w:r>
    </w:p>
    <w:p>
      <w:pPr>
        <w:ind w:firstLine="480"/>
        <w:rPr>
          <w:color w:val="000000" w:themeColor="text1"/>
        </w:rPr>
      </w:pPr>
      <w:r>
        <w:rPr>
          <w:rFonts w:hint="eastAsia"/>
          <w:color w:val="000000" w:themeColor="text1"/>
        </w:rPr>
        <w:t>2、地面工程</w:t>
      </w:r>
    </w:p>
    <w:p>
      <w:pPr>
        <w:ind w:firstLine="480"/>
        <w:rPr>
          <w:color w:val="000000" w:themeColor="text1"/>
        </w:rPr>
      </w:pPr>
      <w:r>
        <w:rPr>
          <w:rFonts w:hint="eastAsia"/>
          <w:color w:val="000000" w:themeColor="text1"/>
        </w:rPr>
        <w:t>应急指挥室大厅地面主要敷设陶瓷静电地板，会商作战区、视频会议室采用大理石地板，接待室采用实木地板地面。</w:t>
      </w:r>
    </w:p>
    <w:p>
      <w:pPr>
        <w:ind w:firstLine="480"/>
        <w:rPr>
          <w:color w:val="000000" w:themeColor="text1"/>
        </w:rPr>
      </w:pPr>
      <w:r>
        <w:rPr>
          <w:rFonts w:hint="eastAsia"/>
          <w:color w:val="000000" w:themeColor="text1"/>
        </w:rPr>
        <w:t>3、墙面工程</w:t>
      </w:r>
    </w:p>
    <w:p>
      <w:pPr>
        <w:ind w:firstLine="480"/>
        <w:rPr>
          <w:color w:val="000000" w:themeColor="text1"/>
        </w:rPr>
      </w:pPr>
      <w:r>
        <w:rPr>
          <w:color w:val="000000" w:themeColor="text1"/>
        </w:rPr>
        <w:t>应急指挥室墙面采用木饰面及吸音板材料</w:t>
      </w:r>
      <w:r>
        <w:rPr>
          <w:rFonts w:hint="eastAsia"/>
          <w:color w:val="000000" w:themeColor="text1"/>
        </w:rPr>
        <w:t>，</w:t>
      </w:r>
      <w:r>
        <w:rPr>
          <w:color w:val="000000" w:themeColor="text1"/>
        </w:rPr>
        <w:t>饰面木夹板内装墙面</w:t>
      </w:r>
      <w:r>
        <w:rPr>
          <w:rFonts w:hint="eastAsia"/>
          <w:color w:val="000000" w:themeColor="text1"/>
        </w:rPr>
        <w:t>，</w:t>
      </w:r>
      <w:r>
        <w:rPr>
          <w:color w:val="000000" w:themeColor="text1"/>
        </w:rPr>
        <w:t>注意木质纹理的贯通美观</w:t>
      </w:r>
      <w:r>
        <w:rPr>
          <w:rFonts w:hint="eastAsia"/>
          <w:color w:val="000000" w:themeColor="text1"/>
        </w:rPr>
        <w:t>，</w:t>
      </w:r>
      <w:r>
        <w:rPr>
          <w:color w:val="000000" w:themeColor="text1"/>
        </w:rPr>
        <w:t>木质的光洁平整。四楼会商作战室采用钢化玻璃隔断以及大理石背景墙</w:t>
      </w:r>
      <w:r>
        <w:rPr>
          <w:rFonts w:hint="eastAsia"/>
          <w:color w:val="000000" w:themeColor="text1"/>
        </w:rPr>
        <w:t>。更换</w:t>
      </w:r>
      <w:r>
        <w:rPr>
          <w:color w:val="000000" w:themeColor="text1"/>
        </w:rPr>
        <w:t>应急指挥室</w:t>
      </w:r>
      <w:r>
        <w:rPr>
          <w:rFonts w:hint="eastAsia"/>
          <w:color w:val="000000" w:themeColor="text1"/>
        </w:rPr>
        <w:t>6扇门，采用双开防火门。更换室内窗帘。</w:t>
      </w:r>
    </w:p>
    <w:p>
      <w:pPr>
        <w:ind w:firstLine="480"/>
        <w:rPr>
          <w:color w:val="000000" w:themeColor="text1"/>
        </w:rPr>
      </w:pPr>
      <w:r>
        <w:rPr>
          <w:rFonts w:hint="eastAsia"/>
          <w:color w:val="000000" w:themeColor="text1"/>
        </w:rPr>
        <w:t>4、电气工程</w:t>
      </w:r>
    </w:p>
    <w:p>
      <w:pPr>
        <w:ind w:firstLine="480"/>
        <w:rPr>
          <w:color w:val="000000" w:themeColor="text1"/>
        </w:rPr>
      </w:pPr>
      <w:r>
        <w:rPr>
          <w:rFonts w:hint="eastAsia"/>
          <w:color w:val="000000" w:themeColor="text1"/>
        </w:rPr>
        <w:t>应急指挥室更换新的照明插座配电箱，对指挥中心内照明设备供电进行统一管理。</w:t>
      </w:r>
    </w:p>
    <w:p>
      <w:pPr>
        <w:ind w:firstLine="480"/>
        <w:rPr>
          <w:color w:val="000000" w:themeColor="text1"/>
        </w:rPr>
      </w:pPr>
      <w:r>
        <w:rPr>
          <w:rFonts w:hint="eastAsia"/>
          <w:color w:val="000000" w:themeColor="text1"/>
        </w:rPr>
        <w:t>大厅内配置4套6匹中央空调，用于满足室温需求。</w:t>
      </w:r>
    </w:p>
    <w:p>
      <w:pPr>
        <w:ind w:firstLine="480"/>
        <w:rPr>
          <w:color w:val="000000" w:themeColor="text1"/>
        </w:rPr>
      </w:pPr>
      <w:r>
        <w:rPr>
          <w:rFonts w:hint="eastAsia"/>
          <w:color w:val="000000" w:themeColor="text1"/>
        </w:rPr>
        <w:t>5、油漆工程</w:t>
      </w:r>
    </w:p>
    <w:p>
      <w:pPr>
        <w:ind w:firstLine="480"/>
        <w:rPr>
          <w:color w:val="000000" w:themeColor="text1"/>
        </w:rPr>
      </w:pPr>
      <w:r>
        <w:rPr>
          <w:rFonts w:hint="eastAsia"/>
          <w:color w:val="000000" w:themeColor="text1"/>
        </w:rPr>
        <w:t>应急指挥室墙面层处理，墙面乳胶漆。</w:t>
      </w:r>
    </w:p>
    <w:p>
      <w:pPr>
        <w:ind w:firstLine="480"/>
        <w:rPr>
          <w:color w:val="000000" w:themeColor="text1"/>
        </w:rPr>
      </w:pPr>
      <w:r>
        <w:rPr>
          <w:rFonts w:hint="eastAsia"/>
          <w:color w:val="000000" w:themeColor="text1"/>
        </w:rPr>
        <w:t>6、拆除及其他工程</w:t>
      </w:r>
    </w:p>
    <w:p>
      <w:pPr>
        <w:ind w:firstLine="480"/>
        <w:rPr>
          <w:color w:val="000000" w:themeColor="text1"/>
        </w:rPr>
      </w:pPr>
      <w:r>
        <w:rPr>
          <w:rFonts w:hint="eastAsia"/>
          <w:color w:val="000000" w:themeColor="text1"/>
        </w:rPr>
        <w:t>成品保护、卫生清理以及原有装修拆除。</w:t>
      </w:r>
    </w:p>
    <w:p>
      <w:pPr>
        <w:ind w:firstLine="480"/>
        <w:rPr>
          <w:color w:val="000000" w:themeColor="text1"/>
        </w:rPr>
      </w:pPr>
      <w:r>
        <w:rPr>
          <w:rFonts w:hint="eastAsia"/>
          <w:color w:val="000000" w:themeColor="text1"/>
        </w:rPr>
        <w:t>7、成品家具</w:t>
      </w:r>
    </w:p>
    <w:p>
      <w:pPr>
        <w:ind w:firstLine="480"/>
        <w:rPr>
          <w:color w:val="000000" w:themeColor="text1"/>
        </w:rPr>
      </w:pPr>
      <w:r>
        <w:rPr>
          <w:rFonts w:hint="eastAsia"/>
          <w:color w:val="000000" w:themeColor="text1"/>
        </w:rPr>
        <w:t>为满足应急指挥室的办公需求，配置文件柜、茶水柜、沙发等日常办公用具。</w:t>
      </w:r>
    </w:p>
    <w:p>
      <w:pPr>
        <w:tabs>
          <w:tab w:val="left" w:pos="900"/>
        </w:tabs>
        <w:snapToGrid w:val="0"/>
        <w:ind w:firstLine="480"/>
        <w:rPr>
          <w:rFonts w:ascii="宋体" w:hAnsi="宋体"/>
          <w:color w:val="000000" w:themeColor="text1"/>
        </w:rPr>
      </w:pPr>
    </w:p>
    <w:p>
      <w:pPr>
        <w:pStyle w:val="7"/>
        <w:spacing w:before="120" w:after="120"/>
        <w:ind w:firstLine="480"/>
        <w:rPr>
          <w:color w:val="000000" w:themeColor="text1"/>
        </w:rPr>
      </w:pPr>
      <w:bookmarkStart w:id="315" w:name="_Toc518771946"/>
      <w:r>
        <w:rPr>
          <w:rFonts w:hint="eastAsia"/>
          <w:color w:val="000000" w:themeColor="text1"/>
        </w:rPr>
        <w:t>1.</w:t>
      </w:r>
      <w:r>
        <w:rPr>
          <w:color w:val="000000" w:themeColor="text1"/>
        </w:rPr>
        <w:t>1.</w:t>
      </w:r>
      <w:r>
        <w:rPr>
          <w:rFonts w:hint="eastAsia"/>
          <w:color w:val="000000" w:themeColor="text1"/>
        </w:rPr>
        <w:t>3.5</w:t>
      </w:r>
      <w:r>
        <w:rPr>
          <w:color w:val="000000" w:themeColor="text1"/>
        </w:rPr>
        <w:t>综合信息显示系统</w:t>
      </w:r>
      <w:bookmarkEnd w:id="315"/>
    </w:p>
    <w:p>
      <w:pPr>
        <w:pStyle w:val="8"/>
        <w:spacing w:before="120" w:after="120"/>
        <w:ind w:firstLine="480"/>
        <w:rPr>
          <w:color w:val="000000" w:themeColor="text1"/>
        </w:rPr>
      </w:pPr>
      <w:bookmarkStart w:id="316" w:name="_Toc518771948"/>
      <w:r>
        <w:rPr>
          <w:rFonts w:hint="eastAsia"/>
          <w:color w:val="000000" w:themeColor="text1"/>
        </w:rPr>
        <w:t>1.</w:t>
      </w:r>
      <w:r>
        <w:rPr>
          <w:color w:val="000000" w:themeColor="text1"/>
        </w:rPr>
        <w:t>1.</w:t>
      </w:r>
      <w:r>
        <w:rPr>
          <w:rFonts w:hint="eastAsia"/>
          <w:color w:val="000000" w:themeColor="text1"/>
        </w:rPr>
        <w:t>3.5.1</w:t>
      </w:r>
      <w:r>
        <w:rPr>
          <w:color w:val="000000" w:themeColor="text1"/>
        </w:rPr>
        <w:t>显示层</w:t>
      </w:r>
      <w:bookmarkEnd w:id="316"/>
    </w:p>
    <w:p>
      <w:pPr>
        <w:ind w:firstLine="480"/>
        <w:rPr>
          <w:color w:val="000000" w:themeColor="text1"/>
        </w:rPr>
      </w:pPr>
      <w:r>
        <w:rPr>
          <w:color w:val="000000" w:themeColor="text1"/>
        </w:rPr>
        <w:t>1、</w:t>
      </w:r>
      <w:r>
        <w:rPr>
          <w:rFonts w:hint="eastAsia"/>
          <w:color w:val="000000" w:themeColor="text1"/>
        </w:rPr>
        <w:t>应急指挥室</w:t>
      </w:r>
      <w:r>
        <w:rPr>
          <w:color w:val="000000" w:themeColor="text1"/>
        </w:rPr>
        <w:t>显示层</w:t>
      </w:r>
    </w:p>
    <w:p>
      <w:pPr>
        <w:ind w:firstLine="480"/>
        <w:rPr>
          <w:color w:val="000000" w:themeColor="text1"/>
        </w:rPr>
      </w:pPr>
      <w:r>
        <w:rPr>
          <w:color w:val="000000" w:themeColor="text1"/>
        </w:rPr>
        <w:t>设计为无缝拼接小间距LED高清全彩屏，主屏LED点间距设计为P1.25mm，宽7.2m×高3.375m，整体大屏面积：24.3m²，主屏分辨率5700×2700，可全屏、分屏，跨屏，开窗、漫游，叠加视频画面。大屏顶部，采用P4全彩屏作为字幕及欢迎图片等播放，设计尺寸：7.2x0.48。整体采用平面后维护结构，为整个三楼</w:t>
      </w:r>
      <w:r>
        <w:rPr>
          <w:rFonts w:hint="eastAsia"/>
          <w:color w:val="000000" w:themeColor="text1"/>
        </w:rPr>
        <w:t>应急指挥室</w:t>
      </w:r>
      <w:r>
        <w:rPr>
          <w:color w:val="000000" w:themeColor="text1"/>
        </w:rPr>
        <w:t>大厅、四楼领导指挥观摩区提供显示调度服务。</w:t>
      </w:r>
    </w:p>
    <w:p>
      <w:pPr>
        <w:ind w:firstLine="480"/>
        <w:rPr>
          <w:color w:val="000000" w:themeColor="text1"/>
        </w:rPr>
      </w:pPr>
      <w:r>
        <w:rPr>
          <w:color w:val="000000" w:themeColor="text1"/>
        </w:rPr>
        <w:t>设计的</w:t>
      </w:r>
      <w:r>
        <w:rPr>
          <w:rFonts w:hint="eastAsia"/>
          <w:color w:val="000000" w:themeColor="text1"/>
        </w:rPr>
        <w:t>应急指挥室</w:t>
      </w:r>
      <w:r>
        <w:rPr>
          <w:color w:val="000000" w:themeColor="text1"/>
        </w:rPr>
        <w:t>大厅LED大屏幕显示系统集成了视频监控信息、电子地图、计算机信息、值班情况、日期、天气、欢迎语等多项可视信息资源，并通过图像监控系统与综合信息显示系统的完美集成，方便指挥中心对于视频信息的调用和显示等需求实现，为指挥中心最为直观、集成度最高的内容表示窗口和集成显示平台。</w:t>
      </w:r>
    </w:p>
    <w:p>
      <w:pPr>
        <w:ind w:firstLine="480"/>
        <w:rPr>
          <w:color w:val="000000" w:themeColor="text1"/>
        </w:rPr>
      </w:pPr>
      <w:r>
        <w:rPr>
          <w:rFonts w:hint="eastAsia"/>
          <w:color w:val="000000" w:themeColor="text1"/>
        </w:rPr>
        <w:t>应急指挥室</w:t>
      </w:r>
      <w:r>
        <w:rPr>
          <w:color w:val="000000" w:themeColor="text1"/>
        </w:rPr>
        <w:t>大厅LED主屏尺寸图：</w:t>
      </w:r>
    </w:p>
    <w:p>
      <w:pPr>
        <w:jc w:val="center"/>
        <w:rPr>
          <w:color w:val="000000" w:themeColor="text1"/>
        </w:rPr>
      </w:pPr>
      <w:r>
        <w:rPr>
          <w:color w:val="000000" w:themeColor="text1"/>
        </w:rPr>
        <w:drawing>
          <wp:inline distT="0" distB="0" distL="0" distR="0">
            <wp:extent cx="3857625" cy="2762250"/>
            <wp:effectExtent l="19050" t="0" r="9525" b="0"/>
            <wp:docPr id="17" name="图片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20"/>
                    <pic:cNvPicPr>
                      <a:picLocks noChangeAspect="1" noChangeArrowheads="1"/>
                    </pic:cNvPicPr>
                  </pic:nvPicPr>
                  <pic:blipFill>
                    <a:blip r:embed="rId33"/>
                    <a:srcRect/>
                    <a:stretch>
                      <a:fillRect/>
                    </a:stretch>
                  </pic:blipFill>
                  <pic:spPr>
                    <a:xfrm>
                      <a:off x="0" y="0"/>
                      <a:ext cx="3857625" cy="2762250"/>
                    </a:xfrm>
                    <a:prstGeom prst="rect">
                      <a:avLst/>
                    </a:prstGeom>
                    <a:noFill/>
                    <a:ln w="9525">
                      <a:noFill/>
                      <a:miter lim="800000"/>
                      <a:headEnd/>
                      <a:tailEnd/>
                    </a:ln>
                  </pic:spPr>
                </pic:pic>
              </a:graphicData>
            </a:graphic>
          </wp:inline>
        </w:drawing>
      </w:r>
    </w:p>
    <w:p>
      <w:pPr>
        <w:tabs>
          <w:tab w:val="left" w:pos="900"/>
        </w:tabs>
        <w:snapToGrid w:val="0"/>
        <w:jc w:val="center"/>
        <w:rPr>
          <w:rFonts w:ascii="宋体" w:hAnsi="宋体"/>
          <w:color w:val="000000" w:themeColor="text1"/>
        </w:rPr>
      </w:pPr>
      <w:r>
        <w:rPr>
          <w:rFonts w:ascii="宋体" w:hAnsi="宋体"/>
          <w:color w:val="000000" w:themeColor="text1"/>
        </w:rPr>
        <w:t>图</w:t>
      </w:r>
      <w:r>
        <w:rPr>
          <w:rFonts w:hint="eastAsia" w:ascii="宋体" w:hAnsi="宋体"/>
          <w:color w:val="000000" w:themeColor="text1"/>
        </w:rPr>
        <w:t>8    LED主屏尺寸</w:t>
      </w:r>
    </w:p>
    <w:p>
      <w:pPr>
        <w:ind w:firstLine="480"/>
        <w:rPr>
          <w:color w:val="000000" w:themeColor="text1"/>
        </w:rPr>
      </w:pPr>
      <w:r>
        <w:rPr>
          <w:color w:val="000000" w:themeColor="text1"/>
        </w:rPr>
        <w:t>指挥调度席位设置转轴式超薄屏升降显示屏5组，均采用15.6英寸高清显示器，可调用接入视频综合管理平台的任一路视频信号，以满足领导指挥调度之应用。同时配置配套工作主机5台，分别接入公安网和互联网，满足本次办公使用。</w:t>
      </w:r>
    </w:p>
    <w:p>
      <w:pPr>
        <w:ind w:firstLine="480"/>
        <w:rPr>
          <w:color w:val="000000" w:themeColor="text1"/>
        </w:rPr>
      </w:pPr>
      <w:r>
        <w:rPr>
          <w:color w:val="000000" w:themeColor="text1"/>
        </w:rPr>
        <w:t>2、四楼作战会商室显示部分</w:t>
      </w:r>
    </w:p>
    <w:p>
      <w:pPr>
        <w:ind w:firstLine="480"/>
        <w:rPr>
          <w:color w:val="000000" w:themeColor="text1"/>
        </w:rPr>
      </w:pPr>
      <w:r>
        <w:rPr>
          <w:color w:val="000000" w:themeColor="text1"/>
        </w:rPr>
        <w:t>四楼作战会商室新增1块8</w:t>
      </w:r>
      <w:r>
        <w:rPr>
          <w:rFonts w:hint="eastAsia"/>
          <w:color w:val="000000" w:themeColor="text1"/>
        </w:rPr>
        <w:t>6</w:t>
      </w:r>
      <w:r>
        <w:rPr>
          <w:color w:val="000000" w:themeColor="text1"/>
        </w:rPr>
        <w:t>寸液晶显示屏，可调用接入视频综合管理平台的任一路视频信号，满足供会商研判使用需求。同时液晶显示屏配置红外触摸框，方便会议使用。</w:t>
      </w:r>
    </w:p>
    <w:p>
      <w:pPr>
        <w:jc w:val="center"/>
        <w:rPr>
          <w:color w:val="000000" w:themeColor="text1"/>
        </w:rPr>
      </w:pPr>
      <w:r>
        <w:rPr>
          <w:color w:val="000000" w:themeColor="text1"/>
        </w:rPr>
        <w:drawing>
          <wp:inline distT="0" distB="0" distL="0" distR="0">
            <wp:extent cx="2733675" cy="2486025"/>
            <wp:effectExtent l="19050" t="0" r="9525" b="0"/>
            <wp:docPr id="18" name="图片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21"/>
                    <pic:cNvPicPr>
                      <a:picLocks noChangeAspect="1" noChangeArrowheads="1"/>
                    </pic:cNvPicPr>
                  </pic:nvPicPr>
                  <pic:blipFill>
                    <a:blip r:embed="rId34"/>
                    <a:srcRect/>
                    <a:stretch>
                      <a:fillRect/>
                    </a:stretch>
                  </pic:blipFill>
                  <pic:spPr>
                    <a:xfrm>
                      <a:off x="0" y="0"/>
                      <a:ext cx="2733675" cy="2486025"/>
                    </a:xfrm>
                    <a:prstGeom prst="rect">
                      <a:avLst/>
                    </a:prstGeom>
                    <a:noFill/>
                    <a:ln w="9525">
                      <a:noFill/>
                      <a:miter lim="800000"/>
                      <a:headEnd/>
                      <a:tailEnd/>
                    </a:ln>
                  </pic:spPr>
                </pic:pic>
              </a:graphicData>
            </a:graphic>
          </wp:inline>
        </w:drawing>
      </w:r>
    </w:p>
    <w:p>
      <w:pPr>
        <w:tabs>
          <w:tab w:val="left" w:pos="900"/>
        </w:tabs>
        <w:snapToGrid w:val="0"/>
        <w:jc w:val="center"/>
        <w:rPr>
          <w:rFonts w:ascii="宋体" w:hAnsi="宋体"/>
          <w:color w:val="000000" w:themeColor="text1"/>
        </w:rPr>
      </w:pPr>
      <w:r>
        <w:rPr>
          <w:rFonts w:ascii="宋体" w:hAnsi="宋体"/>
          <w:color w:val="000000" w:themeColor="text1"/>
        </w:rPr>
        <w:t>图</w:t>
      </w:r>
      <w:r>
        <w:rPr>
          <w:rFonts w:hint="eastAsia" w:ascii="宋体" w:hAnsi="宋体"/>
          <w:color w:val="000000" w:themeColor="text1"/>
        </w:rPr>
        <w:t xml:space="preserve">9  </w:t>
      </w:r>
      <w:r>
        <w:rPr>
          <w:rFonts w:ascii="宋体" w:hAnsi="宋体"/>
          <w:color w:val="000000" w:themeColor="text1"/>
        </w:rPr>
        <w:t>四楼作战会商室平面布局图</w:t>
      </w:r>
    </w:p>
    <w:p>
      <w:pPr>
        <w:ind w:firstLine="480"/>
        <w:rPr>
          <w:color w:val="000000" w:themeColor="text1"/>
        </w:rPr>
      </w:pPr>
      <w:r>
        <w:rPr>
          <w:color w:val="000000" w:themeColor="text1"/>
        </w:rPr>
        <w:t>3、四楼视频会议室显示部分</w:t>
      </w:r>
    </w:p>
    <w:p>
      <w:pPr>
        <w:ind w:firstLine="480"/>
        <w:rPr>
          <w:color w:val="000000" w:themeColor="text1"/>
        </w:rPr>
      </w:pPr>
      <w:r>
        <w:rPr>
          <w:color w:val="000000" w:themeColor="text1"/>
        </w:rPr>
        <w:t>该区域主要用于召开视频会商，日常会议为主。在视频会议室设置</w:t>
      </w:r>
      <w:r>
        <w:rPr>
          <w:rFonts w:hint="eastAsia"/>
          <w:color w:val="000000" w:themeColor="text1"/>
        </w:rPr>
        <w:t>一组3*3的55寸液晶拼接屏</w:t>
      </w:r>
      <w:r>
        <w:rPr>
          <w:color w:val="000000" w:themeColor="text1"/>
        </w:rPr>
        <w:t>，可全屏、分屏，跨屏，开窗、漫游，叠加视频画面，安装方式采用旋转支架前维护结构。</w:t>
      </w:r>
    </w:p>
    <w:p>
      <w:pPr>
        <w:jc w:val="center"/>
        <w:rPr>
          <w:color w:val="000000" w:themeColor="text1"/>
        </w:rPr>
      </w:pPr>
      <w:r>
        <w:rPr>
          <w:color w:val="000000" w:themeColor="text1"/>
        </w:rPr>
        <w:drawing>
          <wp:inline distT="0" distB="0" distL="0" distR="0">
            <wp:extent cx="3943350" cy="4638675"/>
            <wp:effectExtent l="19050" t="0" r="0" b="0"/>
            <wp:docPr id="1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pic:cNvPicPr>
                      <a:picLocks noChangeAspect="1" noChangeArrowheads="1"/>
                    </pic:cNvPicPr>
                  </pic:nvPicPr>
                  <pic:blipFill>
                    <a:blip r:embed="rId35"/>
                    <a:srcRect b="5318"/>
                    <a:stretch>
                      <a:fillRect/>
                    </a:stretch>
                  </pic:blipFill>
                  <pic:spPr>
                    <a:xfrm>
                      <a:off x="0" y="0"/>
                      <a:ext cx="3943350" cy="4638675"/>
                    </a:xfrm>
                    <a:prstGeom prst="rect">
                      <a:avLst/>
                    </a:prstGeom>
                    <a:noFill/>
                    <a:ln w="9525">
                      <a:noFill/>
                      <a:miter lim="800000"/>
                      <a:headEnd/>
                      <a:tailEnd/>
                    </a:ln>
                  </pic:spPr>
                </pic:pic>
              </a:graphicData>
            </a:graphic>
          </wp:inline>
        </w:drawing>
      </w:r>
    </w:p>
    <w:p>
      <w:pPr>
        <w:tabs>
          <w:tab w:val="left" w:pos="900"/>
        </w:tabs>
        <w:snapToGrid w:val="0"/>
        <w:jc w:val="center"/>
        <w:rPr>
          <w:rFonts w:ascii="宋体" w:hAnsi="宋体"/>
          <w:color w:val="000000" w:themeColor="text1"/>
        </w:rPr>
      </w:pPr>
      <w:r>
        <w:rPr>
          <w:rFonts w:ascii="宋体" w:hAnsi="宋体"/>
          <w:color w:val="000000" w:themeColor="text1"/>
        </w:rPr>
        <w:t>图</w:t>
      </w:r>
      <w:r>
        <w:rPr>
          <w:rFonts w:hint="eastAsia" w:ascii="宋体" w:hAnsi="宋体"/>
          <w:color w:val="000000" w:themeColor="text1"/>
        </w:rPr>
        <w:t xml:space="preserve">10  </w:t>
      </w:r>
      <w:r>
        <w:rPr>
          <w:rFonts w:ascii="宋体" w:hAnsi="宋体"/>
          <w:color w:val="000000" w:themeColor="text1"/>
        </w:rPr>
        <w:t>四楼视频会议室平面布局图</w:t>
      </w:r>
    </w:p>
    <w:p>
      <w:pPr>
        <w:ind w:firstLine="480"/>
        <w:rPr>
          <w:color w:val="000000" w:themeColor="text1"/>
        </w:rPr>
      </w:pPr>
      <w:r>
        <w:rPr>
          <w:color w:val="000000" w:themeColor="text1"/>
        </w:rPr>
        <w:t>会商室</w:t>
      </w:r>
      <w:r>
        <w:rPr>
          <w:rFonts w:hint="eastAsia"/>
          <w:color w:val="000000" w:themeColor="text1"/>
        </w:rPr>
        <w:t>拼接</w:t>
      </w:r>
      <w:r>
        <w:rPr>
          <w:color w:val="000000" w:themeColor="text1"/>
        </w:rPr>
        <w:t>屏即可接入远程视频会议，也可通过视频综合管理平台调用</w:t>
      </w:r>
      <w:r>
        <w:rPr>
          <w:rFonts w:hint="eastAsia"/>
          <w:color w:val="000000" w:themeColor="text1"/>
        </w:rPr>
        <w:t>应急指挥室</w:t>
      </w:r>
      <w:r>
        <w:rPr>
          <w:color w:val="000000" w:themeColor="text1"/>
        </w:rPr>
        <w:t>大厅工作席位电脑画面，以及各种应用平台数据，以供领导指挥决策之用，真正实现互联互通。</w:t>
      </w:r>
    </w:p>
    <w:p>
      <w:pPr>
        <w:pStyle w:val="8"/>
        <w:spacing w:before="120" w:after="120"/>
        <w:ind w:firstLine="480"/>
        <w:rPr>
          <w:color w:val="000000" w:themeColor="text1"/>
        </w:rPr>
      </w:pPr>
      <w:bookmarkStart w:id="317" w:name="_Toc518771950"/>
      <w:bookmarkStart w:id="318" w:name="_Toc443863026"/>
      <w:r>
        <w:rPr>
          <w:rFonts w:hint="eastAsia"/>
          <w:color w:val="000000" w:themeColor="text1"/>
        </w:rPr>
        <w:t>1.</w:t>
      </w:r>
      <w:r>
        <w:rPr>
          <w:color w:val="000000" w:themeColor="text1"/>
        </w:rPr>
        <w:t>1.</w:t>
      </w:r>
      <w:r>
        <w:rPr>
          <w:rFonts w:hint="eastAsia"/>
          <w:color w:val="000000" w:themeColor="text1"/>
        </w:rPr>
        <w:t>3.5.2</w:t>
      </w:r>
      <w:r>
        <w:rPr>
          <w:color w:val="000000" w:themeColor="text1"/>
        </w:rPr>
        <w:t>视频综合管理平台</w:t>
      </w:r>
      <w:bookmarkEnd w:id="317"/>
      <w:bookmarkEnd w:id="318"/>
    </w:p>
    <w:p>
      <w:pPr>
        <w:ind w:firstLine="480"/>
        <w:rPr>
          <w:color w:val="000000" w:themeColor="text1"/>
        </w:rPr>
      </w:pPr>
      <w:r>
        <w:rPr>
          <w:color w:val="000000" w:themeColor="text1"/>
        </w:rPr>
        <w:t>本项目采用一套数字视频综合平台，综合平台包括视频处理器、管理服务器，控制终端组成，即可实现系统所需要的功能，使业务系统融合，实现一体化可视化应用。</w:t>
      </w:r>
    </w:p>
    <w:p>
      <w:pPr>
        <w:ind w:firstLine="480"/>
        <w:rPr>
          <w:color w:val="000000" w:themeColor="text1"/>
        </w:rPr>
      </w:pPr>
      <w:r>
        <w:rPr>
          <w:color w:val="000000" w:themeColor="text1"/>
        </w:rPr>
        <w:t>本项目基于视频综合平台建设的图像显示综合管理系统需要实现对指挥中心多块显示单元、视频信号、计算机信号、RGB信号及网络信号源能够互联互通。平台应该实现多类型信号的统一接入、切换调用、预案应用等功能。同时作为业务系统的核心图像业务信息交换和处理平台，需具有一体化操控体验。</w:t>
      </w:r>
    </w:p>
    <w:p>
      <w:pPr>
        <w:ind w:firstLine="480"/>
        <w:rPr>
          <w:color w:val="000000" w:themeColor="text1"/>
        </w:rPr>
      </w:pPr>
      <w:r>
        <w:rPr>
          <w:color w:val="000000" w:themeColor="text1"/>
        </w:rPr>
        <w:t>同时系统还具备远端视频信号接入功能，前端的信号源经过信号编码盒接入指挥中心，指挥中心输出接入解码盒进行解码输出到相应的信号系统，同时解码盒可以支持鼠标和键盘的接入，通过鼠标键盘的接入，可以对前端的接入计算机信号源进行操作。</w:t>
      </w:r>
    </w:p>
    <w:p>
      <w:pPr>
        <w:pStyle w:val="7"/>
        <w:spacing w:before="120" w:after="120"/>
        <w:ind w:firstLine="480"/>
        <w:rPr>
          <w:color w:val="000000" w:themeColor="text1"/>
        </w:rPr>
      </w:pPr>
      <w:bookmarkStart w:id="319" w:name="_Toc518771954"/>
      <w:r>
        <w:rPr>
          <w:rFonts w:hint="eastAsia"/>
          <w:color w:val="000000" w:themeColor="text1"/>
        </w:rPr>
        <w:t>1.</w:t>
      </w:r>
      <w:r>
        <w:rPr>
          <w:color w:val="000000" w:themeColor="text1"/>
        </w:rPr>
        <w:t>1.</w:t>
      </w:r>
      <w:r>
        <w:rPr>
          <w:rFonts w:hint="eastAsia"/>
          <w:color w:val="000000" w:themeColor="text1"/>
        </w:rPr>
        <w:t>3.6</w:t>
      </w:r>
      <w:r>
        <w:rPr>
          <w:color w:val="000000" w:themeColor="text1"/>
        </w:rPr>
        <w:t>扩声数字会议系统</w:t>
      </w:r>
      <w:bookmarkEnd w:id="319"/>
    </w:p>
    <w:p>
      <w:pPr>
        <w:ind w:firstLine="480"/>
        <w:rPr>
          <w:color w:val="000000" w:themeColor="text1"/>
        </w:rPr>
      </w:pPr>
      <w:r>
        <w:rPr>
          <w:color w:val="000000" w:themeColor="text1"/>
        </w:rPr>
        <w:t>系统拓扑图如下图：</w:t>
      </w:r>
    </w:p>
    <w:p>
      <w:pPr>
        <w:jc w:val="center"/>
        <w:rPr>
          <w:color w:val="000000" w:themeColor="text1"/>
        </w:rPr>
      </w:pPr>
      <w:r>
        <w:rPr>
          <w:color w:val="000000" w:themeColor="text1"/>
        </w:rPr>
        <w:drawing>
          <wp:inline distT="0" distB="0" distL="0" distR="0">
            <wp:extent cx="5278120" cy="3145790"/>
            <wp:effectExtent l="1905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8120" cy="3145790"/>
                    </a:xfrm>
                    <a:prstGeom prst="rect">
                      <a:avLst/>
                    </a:prstGeom>
                  </pic:spPr>
                </pic:pic>
              </a:graphicData>
            </a:graphic>
          </wp:inline>
        </w:drawing>
      </w:r>
    </w:p>
    <w:p>
      <w:pPr>
        <w:jc w:val="center"/>
        <w:rPr>
          <w:color w:val="000000" w:themeColor="text1"/>
        </w:rPr>
      </w:pPr>
      <w:r>
        <w:rPr>
          <w:color w:val="000000" w:themeColor="text1"/>
        </w:rPr>
        <w:t>图</w:t>
      </w:r>
      <w:r>
        <w:rPr>
          <w:rFonts w:hint="eastAsia"/>
          <w:color w:val="000000" w:themeColor="text1"/>
        </w:rPr>
        <w:t>11  系统拓扑图</w:t>
      </w:r>
    </w:p>
    <w:p>
      <w:pPr>
        <w:pStyle w:val="8"/>
        <w:spacing w:before="120" w:after="120"/>
        <w:ind w:firstLine="480"/>
        <w:rPr>
          <w:color w:val="000000" w:themeColor="text1"/>
        </w:rPr>
      </w:pPr>
      <w:bookmarkStart w:id="320" w:name="_Toc443863046"/>
      <w:r>
        <w:rPr>
          <w:rFonts w:hint="eastAsia"/>
          <w:color w:val="000000" w:themeColor="text1"/>
        </w:rPr>
        <w:t>1.</w:t>
      </w:r>
      <w:r>
        <w:rPr>
          <w:color w:val="000000" w:themeColor="text1"/>
        </w:rPr>
        <w:t>1.</w:t>
      </w:r>
      <w:r>
        <w:rPr>
          <w:rFonts w:hint="eastAsia"/>
          <w:color w:val="000000" w:themeColor="text1"/>
        </w:rPr>
        <w:t>3.6.1</w:t>
      </w:r>
      <w:r>
        <w:rPr>
          <w:color w:val="000000" w:themeColor="text1"/>
        </w:rPr>
        <w:t>指挥中心大厅</w:t>
      </w:r>
      <w:bookmarkEnd w:id="320"/>
    </w:p>
    <w:p>
      <w:pPr>
        <w:ind w:firstLine="480"/>
        <w:rPr>
          <w:color w:val="000000" w:themeColor="text1"/>
        </w:rPr>
      </w:pPr>
      <w:r>
        <w:rPr>
          <w:color w:val="000000" w:themeColor="text1"/>
        </w:rPr>
        <w:t>指挥中心大厅是应急指挥的中枢，是网络中心、信息中心、信息发布中心、通</w:t>
      </w:r>
      <w:r>
        <w:rPr>
          <w:rFonts w:hint="eastAsia"/>
          <w:color w:val="000000" w:themeColor="text1"/>
        </w:rPr>
        <w:t>讯</w:t>
      </w:r>
      <w:r>
        <w:rPr>
          <w:color w:val="000000" w:themeColor="text1"/>
        </w:rPr>
        <w:t>中心、调度中心、监控中心的功能汇集，必须满足指挥、信息、监控、调度、会议等功能需求。该系统的设计应采用符合国际及国内领先水平的技术，并尽可能结合指挥中心的业务特点，从实际使用出发，最大限度地满足用户提出的功能需求。</w:t>
      </w:r>
    </w:p>
    <w:p>
      <w:pPr>
        <w:ind w:firstLine="480"/>
        <w:rPr>
          <w:color w:val="000000" w:themeColor="text1"/>
        </w:rPr>
      </w:pPr>
      <w:r>
        <w:rPr>
          <w:color w:val="000000" w:themeColor="text1"/>
        </w:rPr>
        <w:t>本次指挥中心大厅会议系统包括音响扩声系统、数字会议系统、会议摄像跟踪系统。</w:t>
      </w:r>
    </w:p>
    <w:p>
      <w:pPr>
        <w:ind w:firstLine="480"/>
        <w:rPr>
          <w:color w:val="000000" w:themeColor="text1"/>
        </w:rPr>
      </w:pPr>
      <w:r>
        <w:rPr>
          <w:rFonts w:hint="eastAsia"/>
          <w:color w:val="000000" w:themeColor="text1"/>
        </w:rPr>
        <w:t>1、</w:t>
      </w:r>
      <w:r>
        <w:rPr>
          <w:color w:val="000000" w:themeColor="text1"/>
        </w:rPr>
        <w:t>音响扩声系统</w:t>
      </w:r>
    </w:p>
    <w:p>
      <w:pPr>
        <w:ind w:firstLine="480"/>
        <w:rPr>
          <w:color w:val="000000" w:themeColor="text1"/>
        </w:rPr>
      </w:pPr>
      <w:r>
        <w:rPr>
          <w:color w:val="000000" w:themeColor="text1"/>
        </w:rPr>
        <w:t>包括数字音频处理器、专业功放、专业音箱、调音台、话筒等。</w:t>
      </w:r>
    </w:p>
    <w:p>
      <w:pPr>
        <w:ind w:firstLine="480"/>
        <w:rPr>
          <w:color w:val="000000" w:themeColor="text1"/>
        </w:rPr>
      </w:pPr>
      <w:r>
        <w:rPr>
          <w:color w:val="000000" w:themeColor="text1"/>
        </w:rPr>
        <w:t>指挥中心大厅面积约105平方米，长16米，宽7.5米，架空层高6.5米，对于扩声系统设计选用扬声器设备，在大屏两侧采用2只线性音柱作为左右主扩声音箱，提供全场主扩声。</w:t>
      </w:r>
    </w:p>
    <w:p>
      <w:pPr>
        <w:ind w:firstLine="480"/>
        <w:rPr>
          <w:color w:val="000000" w:themeColor="text1"/>
        </w:rPr>
      </w:pPr>
      <w:r>
        <w:rPr>
          <w:color w:val="000000" w:themeColor="text1"/>
        </w:rPr>
        <w:t>考虑</w:t>
      </w:r>
      <w:r>
        <w:rPr>
          <w:rFonts w:hint="eastAsia"/>
          <w:color w:val="000000" w:themeColor="text1"/>
        </w:rPr>
        <w:t>应急指挥室</w:t>
      </w:r>
      <w:r>
        <w:rPr>
          <w:color w:val="000000" w:themeColor="text1"/>
        </w:rPr>
        <w:t>后部隔成二层，一楼高度3米，二层高度3米，一层区域为</w:t>
      </w:r>
      <w:r>
        <w:rPr>
          <w:rFonts w:hint="eastAsia"/>
          <w:color w:val="000000" w:themeColor="text1"/>
        </w:rPr>
        <w:t>应急指挥室大厅</w:t>
      </w:r>
      <w:r>
        <w:rPr>
          <w:color w:val="000000" w:themeColor="text1"/>
        </w:rPr>
        <w:t>区域，大厅音箱扩声覆盖有指向性，该部分地方扩声有盲区，为了使全场声压级更均匀，选用了2只辅助音柱进行扩声覆盖。方便视频会议召开、视频点评。</w:t>
      </w:r>
    </w:p>
    <w:p>
      <w:pPr>
        <w:ind w:firstLine="480"/>
        <w:rPr>
          <w:color w:val="000000" w:themeColor="text1"/>
        </w:rPr>
      </w:pPr>
      <w:r>
        <w:rPr>
          <w:color w:val="000000" w:themeColor="text1"/>
        </w:rPr>
        <w:t>采用了12进8出的网络数字音频处理器；该处理器支持Dante协议，延时低，支持路由、管理，可升级AVB协议，满足系统的兼容性、前瞻性，可以精细地对音箱特性进行修正和补偿，也可以对音源特性进行调整和修饰，使得扩声系统更好地适应建筑环境的声学特性。</w:t>
      </w:r>
    </w:p>
    <w:p>
      <w:pPr>
        <w:ind w:firstLine="480"/>
        <w:rPr>
          <w:color w:val="000000" w:themeColor="text1"/>
        </w:rPr>
      </w:pPr>
      <w:r>
        <w:rPr>
          <w:color w:val="000000" w:themeColor="text1"/>
        </w:rPr>
        <w:t>采用了24路数字调音台，该调音台带5"800×480 像素的彩色触摸屏能够超快速方便进行所有设置、100mm的电动推子、快速复制和设置和重置场景、100种场景记忆，并可场景安全设置、U盘或硬盘立体声和18轨录音/播放、通过USB连接电脑做DAW音频工作站32x30轨录音（支持Windows和MAC）、MIDI DAW控制驱动器为Mac、USB导出场景、库、SHOWS、通过Qu-Pad软件可用iPad进行无线控制。</w:t>
      </w:r>
    </w:p>
    <w:p>
      <w:pPr>
        <w:ind w:firstLine="480"/>
        <w:rPr>
          <w:color w:val="000000" w:themeColor="text1"/>
        </w:rPr>
      </w:pPr>
      <w:r>
        <w:rPr>
          <w:color w:val="000000" w:themeColor="text1"/>
        </w:rPr>
        <w:t>网络数字音频处理器与24路数字调音台的配置，使</w:t>
      </w:r>
      <w:r>
        <w:rPr>
          <w:rFonts w:hint="eastAsia"/>
          <w:color w:val="000000" w:themeColor="text1"/>
        </w:rPr>
        <w:t>应急指挥室</w:t>
      </w:r>
      <w:r>
        <w:rPr>
          <w:color w:val="000000" w:themeColor="text1"/>
        </w:rPr>
        <w:t>大厅与会商室、领导指挥区会议的设备共享，互联互通，可分可合得以实现。</w:t>
      </w:r>
    </w:p>
    <w:p>
      <w:pPr>
        <w:ind w:firstLine="480"/>
        <w:rPr>
          <w:color w:val="000000" w:themeColor="text1"/>
        </w:rPr>
      </w:pPr>
      <w:r>
        <w:rPr>
          <w:color w:val="000000" w:themeColor="text1"/>
        </w:rPr>
        <w:t>会议语音音源采用一套数字会议系统和2套无线手持话筒举行活动等功能互动使用。</w:t>
      </w:r>
    </w:p>
    <w:p>
      <w:pPr>
        <w:ind w:firstLine="480"/>
        <w:rPr>
          <w:color w:val="000000" w:themeColor="text1"/>
        </w:rPr>
      </w:pPr>
      <w:r>
        <w:rPr>
          <w:rFonts w:hint="eastAsia"/>
          <w:color w:val="000000" w:themeColor="text1"/>
        </w:rPr>
        <w:t>2、</w:t>
      </w:r>
      <w:r>
        <w:rPr>
          <w:color w:val="000000" w:themeColor="text1"/>
        </w:rPr>
        <w:t>数字会议系统</w:t>
      </w:r>
    </w:p>
    <w:p>
      <w:pPr>
        <w:ind w:firstLine="480"/>
        <w:rPr>
          <w:color w:val="000000" w:themeColor="text1"/>
        </w:rPr>
      </w:pPr>
      <w:r>
        <w:rPr>
          <w:color w:val="000000" w:themeColor="text1"/>
        </w:rPr>
        <w:t>考虑</w:t>
      </w:r>
      <w:r>
        <w:rPr>
          <w:rFonts w:hint="eastAsia"/>
          <w:color w:val="000000" w:themeColor="text1"/>
        </w:rPr>
        <w:t>应急指挥室</w:t>
      </w:r>
      <w:r>
        <w:rPr>
          <w:color w:val="000000" w:themeColor="text1"/>
        </w:rPr>
        <w:t>会议系统需求，在指挥长席位配置桌面式数字会议系统1套，配置主席单元1套，客席单元4套。</w:t>
      </w:r>
    </w:p>
    <w:p>
      <w:pPr>
        <w:ind w:firstLine="480"/>
        <w:rPr>
          <w:color w:val="000000" w:themeColor="text1"/>
        </w:rPr>
      </w:pPr>
      <w:r>
        <w:rPr>
          <w:rFonts w:hint="eastAsia"/>
          <w:color w:val="000000" w:themeColor="text1"/>
        </w:rPr>
        <w:t>3、</w:t>
      </w:r>
      <w:r>
        <w:rPr>
          <w:color w:val="000000" w:themeColor="text1"/>
        </w:rPr>
        <w:t>会议摄像跟踪系统</w:t>
      </w:r>
    </w:p>
    <w:p>
      <w:pPr>
        <w:ind w:firstLine="480"/>
        <w:rPr>
          <w:color w:val="000000" w:themeColor="text1"/>
        </w:rPr>
      </w:pPr>
      <w:r>
        <w:rPr>
          <w:color w:val="000000" w:themeColor="text1"/>
        </w:rPr>
        <w:t>配置1只室内高清摄像机，设置在接警席位上支架安装，用于</w:t>
      </w:r>
      <w:r>
        <w:rPr>
          <w:rFonts w:hint="eastAsia"/>
          <w:color w:val="000000" w:themeColor="text1"/>
        </w:rPr>
        <w:t>应急指挥室</w:t>
      </w:r>
      <w:r>
        <w:rPr>
          <w:color w:val="000000" w:themeColor="text1"/>
        </w:rPr>
        <w:t>视频会议使用，监视画面可同步显示于监视器、大屏幕投影，或作为视频会议图像传送；配合硬盘录象机可将会议资料保存。</w:t>
      </w:r>
    </w:p>
    <w:p>
      <w:pPr>
        <w:pStyle w:val="8"/>
        <w:spacing w:before="120" w:after="120"/>
        <w:ind w:firstLine="480"/>
        <w:rPr>
          <w:color w:val="000000" w:themeColor="text1"/>
        </w:rPr>
      </w:pPr>
      <w:r>
        <w:rPr>
          <w:rFonts w:hint="eastAsia"/>
          <w:color w:val="000000" w:themeColor="text1"/>
        </w:rPr>
        <w:t>1.</w:t>
      </w:r>
      <w:r>
        <w:rPr>
          <w:color w:val="000000" w:themeColor="text1"/>
        </w:rPr>
        <w:t>1.</w:t>
      </w:r>
      <w:r>
        <w:rPr>
          <w:rFonts w:hint="eastAsia"/>
          <w:color w:val="000000" w:themeColor="text1"/>
        </w:rPr>
        <w:t xml:space="preserve">3.6.2 </w:t>
      </w:r>
      <w:r>
        <w:rPr>
          <w:color w:val="000000" w:themeColor="text1"/>
        </w:rPr>
        <w:t>会商作战区</w:t>
      </w:r>
    </w:p>
    <w:p>
      <w:pPr>
        <w:ind w:firstLine="480"/>
        <w:rPr>
          <w:color w:val="000000" w:themeColor="text1"/>
        </w:rPr>
      </w:pPr>
      <w:r>
        <w:rPr>
          <w:color w:val="000000" w:themeColor="text1"/>
        </w:rPr>
        <w:t>该区域主要会商作战、</w:t>
      </w:r>
      <w:r>
        <w:rPr>
          <w:rFonts w:hint="eastAsia"/>
          <w:color w:val="000000" w:themeColor="text1"/>
        </w:rPr>
        <w:t>指挥</w:t>
      </w:r>
      <w:r>
        <w:rPr>
          <w:color w:val="000000" w:themeColor="text1"/>
        </w:rPr>
        <w:t>等功能；采用音响扩声系统、数字会议系统、会议摄像跟踪系统和远程视频会议系统。</w:t>
      </w:r>
    </w:p>
    <w:p>
      <w:pPr>
        <w:ind w:firstLine="480"/>
        <w:rPr>
          <w:color w:val="000000" w:themeColor="text1"/>
        </w:rPr>
      </w:pPr>
      <w:r>
        <w:rPr>
          <w:rFonts w:hint="eastAsia"/>
          <w:color w:val="000000" w:themeColor="text1"/>
        </w:rPr>
        <w:t>1、</w:t>
      </w:r>
      <w:r>
        <w:rPr>
          <w:color w:val="000000" w:themeColor="text1"/>
        </w:rPr>
        <w:t>音响扩声系统</w:t>
      </w:r>
    </w:p>
    <w:p>
      <w:pPr>
        <w:ind w:firstLine="480"/>
        <w:rPr>
          <w:color w:val="000000" w:themeColor="text1"/>
        </w:rPr>
      </w:pPr>
      <w:r>
        <w:rPr>
          <w:color w:val="000000" w:themeColor="text1"/>
        </w:rPr>
        <w:t>包括数字音频处理器、专业功放、专业音箱、调音台、话筒等。</w:t>
      </w:r>
    </w:p>
    <w:p>
      <w:pPr>
        <w:ind w:firstLine="480"/>
        <w:rPr>
          <w:color w:val="000000" w:themeColor="text1"/>
        </w:rPr>
      </w:pPr>
      <w:r>
        <w:rPr>
          <w:color w:val="000000" w:themeColor="text1"/>
        </w:rPr>
        <w:t>视频会议室面积约37平方米，长5.1米，宽7.3米，对于扩声系统设计选用扬声器设备，在会商作战室两侧采用2只会议音箱作为左右扩声音箱，提供全场扩声。</w:t>
      </w:r>
    </w:p>
    <w:p>
      <w:pPr>
        <w:ind w:firstLine="480"/>
        <w:rPr>
          <w:color w:val="000000" w:themeColor="text1"/>
        </w:rPr>
      </w:pPr>
      <w:r>
        <w:rPr>
          <w:color w:val="000000" w:themeColor="text1"/>
        </w:rPr>
        <w:t>采用专业功放，为高品质的音质再现提供保证。</w:t>
      </w:r>
    </w:p>
    <w:p>
      <w:pPr>
        <w:ind w:firstLine="480"/>
        <w:rPr>
          <w:color w:val="000000" w:themeColor="text1"/>
        </w:rPr>
      </w:pPr>
      <w:r>
        <w:rPr>
          <w:color w:val="000000" w:themeColor="text1"/>
        </w:rPr>
        <w:t>共享</w:t>
      </w:r>
      <w:r>
        <w:rPr>
          <w:rFonts w:hint="eastAsia"/>
          <w:color w:val="000000" w:themeColor="text1"/>
        </w:rPr>
        <w:t>应急指挥室</w:t>
      </w:r>
      <w:r>
        <w:rPr>
          <w:color w:val="000000" w:themeColor="text1"/>
        </w:rPr>
        <w:t>12进8出的网络数字音频处理器及24路数字调音台；</w:t>
      </w:r>
    </w:p>
    <w:p>
      <w:pPr>
        <w:ind w:firstLine="480"/>
        <w:rPr>
          <w:color w:val="000000" w:themeColor="text1"/>
        </w:rPr>
      </w:pPr>
      <w:r>
        <w:rPr>
          <w:color w:val="000000" w:themeColor="text1"/>
        </w:rPr>
        <w:t>采用了1台电源净化管理器实现对电源进行滤波、高级浪涌保护、极高电压关断功能，保护后端设备，使音箱出最好的声音。</w:t>
      </w:r>
    </w:p>
    <w:p>
      <w:pPr>
        <w:ind w:firstLine="480"/>
        <w:rPr>
          <w:color w:val="000000" w:themeColor="text1"/>
        </w:rPr>
      </w:pPr>
      <w:r>
        <w:rPr>
          <w:rFonts w:hint="eastAsia"/>
          <w:color w:val="000000" w:themeColor="text1"/>
        </w:rPr>
        <w:t>2、</w:t>
      </w:r>
      <w:r>
        <w:rPr>
          <w:color w:val="000000" w:themeColor="text1"/>
        </w:rPr>
        <w:t>数字会议系统</w:t>
      </w:r>
    </w:p>
    <w:p>
      <w:pPr>
        <w:ind w:firstLine="480"/>
        <w:rPr>
          <w:color w:val="000000" w:themeColor="text1"/>
        </w:rPr>
      </w:pPr>
      <w:r>
        <w:rPr>
          <w:color w:val="000000" w:themeColor="text1"/>
        </w:rPr>
        <w:t>考虑会商作战区会议系统的需求，在指挥观摩席配置客席单元4套，接入</w:t>
      </w:r>
      <w:r>
        <w:rPr>
          <w:rFonts w:hint="eastAsia"/>
          <w:color w:val="000000" w:themeColor="text1"/>
        </w:rPr>
        <w:t>应急指挥室</w:t>
      </w:r>
      <w:r>
        <w:rPr>
          <w:color w:val="000000" w:themeColor="text1"/>
        </w:rPr>
        <w:t>数字会议系统主机。</w:t>
      </w:r>
    </w:p>
    <w:p>
      <w:pPr>
        <w:ind w:firstLine="480"/>
        <w:rPr>
          <w:color w:val="000000" w:themeColor="text1"/>
        </w:rPr>
      </w:pPr>
      <w:r>
        <w:rPr>
          <w:color w:val="000000" w:themeColor="text1"/>
        </w:rPr>
        <w:t>代表机具有发言、讨论、旁听等功能。</w:t>
      </w:r>
    </w:p>
    <w:p>
      <w:pPr>
        <w:pStyle w:val="8"/>
        <w:spacing w:before="120" w:after="120"/>
        <w:ind w:firstLine="480"/>
        <w:rPr>
          <w:color w:val="000000" w:themeColor="text1"/>
        </w:rPr>
      </w:pPr>
      <w:r>
        <w:rPr>
          <w:rFonts w:hint="eastAsia"/>
          <w:color w:val="000000" w:themeColor="text1"/>
        </w:rPr>
        <w:t>1.</w:t>
      </w:r>
      <w:r>
        <w:rPr>
          <w:color w:val="000000" w:themeColor="text1"/>
        </w:rPr>
        <w:t>1.</w:t>
      </w:r>
      <w:r>
        <w:rPr>
          <w:rFonts w:hint="eastAsia"/>
          <w:color w:val="000000" w:themeColor="text1"/>
        </w:rPr>
        <w:t>3.6.3</w:t>
      </w:r>
      <w:r>
        <w:rPr>
          <w:color w:val="000000" w:themeColor="text1"/>
        </w:rPr>
        <w:t>视频会议室</w:t>
      </w:r>
    </w:p>
    <w:p>
      <w:pPr>
        <w:ind w:firstLine="480"/>
        <w:rPr>
          <w:color w:val="000000" w:themeColor="text1"/>
        </w:rPr>
      </w:pPr>
      <w:r>
        <w:rPr>
          <w:color w:val="000000" w:themeColor="text1"/>
        </w:rPr>
        <w:t>该区域主要召开作战指挥、视频会议等功能；采用音响扩声系统、数字会议系统、会议摄像跟踪系统和远程视频会议系统。</w:t>
      </w:r>
    </w:p>
    <w:p>
      <w:pPr>
        <w:ind w:firstLine="480"/>
        <w:rPr>
          <w:color w:val="000000" w:themeColor="text1"/>
        </w:rPr>
      </w:pPr>
      <w:r>
        <w:rPr>
          <w:rFonts w:hint="eastAsia"/>
          <w:color w:val="000000" w:themeColor="text1"/>
        </w:rPr>
        <w:t>1、</w:t>
      </w:r>
      <w:r>
        <w:rPr>
          <w:color w:val="000000" w:themeColor="text1"/>
        </w:rPr>
        <w:t>音响扩声系统</w:t>
      </w:r>
    </w:p>
    <w:p>
      <w:pPr>
        <w:ind w:firstLine="480"/>
        <w:rPr>
          <w:color w:val="000000" w:themeColor="text1"/>
        </w:rPr>
      </w:pPr>
      <w:r>
        <w:rPr>
          <w:color w:val="000000" w:themeColor="text1"/>
        </w:rPr>
        <w:t>包括数字音频处理器、专业功放、专业音箱、调音台、话筒等。</w:t>
      </w:r>
    </w:p>
    <w:p>
      <w:pPr>
        <w:ind w:firstLine="480"/>
        <w:rPr>
          <w:color w:val="000000" w:themeColor="text1"/>
        </w:rPr>
      </w:pPr>
      <w:r>
        <w:rPr>
          <w:color w:val="000000" w:themeColor="text1"/>
        </w:rPr>
        <w:t>视频会议室面积约57平方米，长7.8米，宽7.3米，对于扩声系统设计选用扬声器设备，在大屏两侧采用2只线性音柱作为左右主扩声音箱，提供全场主扩声。</w:t>
      </w:r>
    </w:p>
    <w:p>
      <w:pPr>
        <w:ind w:firstLine="480"/>
        <w:rPr>
          <w:color w:val="000000" w:themeColor="text1"/>
        </w:rPr>
      </w:pPr>
      <w:r>
        <w:rPr>
          <w:color w:val="000000" w:themeColor="text1"/>
        </w:rPr>
        <w:t>采用专业功放，为高品质的音质再现提供保证。</w:t>
      </w:r>
    </w:p>
    <w:p>
      <w:pPr>
        <w:ind w:firstLine="480"/>
        <w:rPr>
          <w:color w:val="000000" w:themeColor="text1"/>
        </w:rPr>
      </w:pPr>
      <w:r>
        <w:rPr>
          <w:color w:val="000000" w:themeColor="text1"/>
        </w:rPr>
        <w:t>共享</w:t>
      </w:r>
      <w:r>
        <w:rPr>
          <w:rFonts w:hint="eastAsia"/>
          <w:color w:val="000000" w:themeColor="text1"/>
        </w:rPr>
        <w:t>应急指挥室</w:t>
      </w:r>
      <w:r>
        <w:rPr>
          <w:color w:val="000000" w:themeColor="text1"/>
        </w:rPr>
        <w:t>12进8出的网络数字音频处理器及24路数字调音台；</w:t>
      </w:r>
    </w:p>
    <w:p>
      <w:pPr>
        <w:ind w:firstLine="480"/>
        <w:rPr>
          <w:color w:val="000000" w:themeColor="text1"/>
        </w:rPr>
      </w:pPr>
      <w:r>
        <w:rPr>
          <w:color w:val="000000" w:themeColor="text1"/>
        </w:rPr>
        <w:t>该厅堂具有视频会议室功能，要进行视频会议，选用处理器支持AEC回声消除功能，可满足视频会议室要求。</w:t>
      </w:r>
    </w:p>
    <w:p>
      <w:pPr>
        <w:ind w:firstLine="480"/>
        <w:rPr>
          <w:color w:val="000000" w:themeColor="text1"/>
        </w:rPr>
      </w:pPr>
      <w:r>
        <w:rPr>
          <w:color w:val="000000" w:themeColor="text1"/>
        </w:rPr>
        <w:t>采用了1台电源净化管理器实现对电源进行滤波、高级浪涌保护、极高电压关断功能，保护后端设备，使音箱出最好的声音。</w:t>
      </w:r>
    </w:p>
    <w:p>
      <w:pPr>
        <w:ind w:firstLine="480"/>
        <w:rPr>
          <w:color w:val="000000" w:themeColor="text1"/>
        </w:rPr>
      </w:pPr>
      <w:r>
        <w:rPr>
          <w:color w:val="000000" w:themeColor="text1"/>
        </w:rPr>
        <w:t>会议语音音源采用一套数字会议系统和2套无线手持话筒举行活动等功能互动使用。</w:t>
      </w:r>
    </w:p>
    <w:p>
      <w:pPr>
        <w:ind w:firstLine="480"/>
        <w:rPr>
          <w:color w:val="000000" w:themeColor="text1"/>
        </w:rPr>
      </w:pPr>
      <w:r>
        <w:rPr>
          <w:rFonts w:hint="eastAsia"/>
          <w:color w:val="000000" w:themeColor="text1"/>
        </w:rPr>
        <w:t>2、</w:t>
      </w:r>
      <w:r>
        <w:rPr>
          <w:color w:val="000000" w:themeColor="text1"/>
        </w:rPr>
        <w:t>数字会议系统</w:t>
      </w:r>
    </w:p>
    <w:p>
      <w:pPr>
        <w:ind w:firstLine="480"/>
        <w:rPr>
          <w:color w:val="000000" w:themeColor="text1"/>
        </w:rPr>
      </w:pPr>
      <w:r>
        <w:rPr>
          <w:color w:val="000000" w:themeColor="text1"/>
        </w:rPr>
        <w:t>考虑视频会议室数字会议系统的需求，会议系统采用嵌入式数字会议系统1套，配置主席单元1套，客席单元5套。</w:t>
      </w:r>
    </w:p>
    <w:p>
      <w:pPr>
        <w:ind w:firstLine="480"/>
        <w:rPr>
          <w:color w:val="000000" w:themeColor="text1"/>
        </w:rPr>
      </w:pPr>
      <w:r>
        <w:rPr>
          <w:color w:val="000000" w:themeColor="text1"/>
        </w:rPr>
        <w:t>代表机具有发言、讨论、旁听等功能。</w:t>
      </w:r>
    </w:p>
    <w:p>
      <w:pPr>
        <w:ind w:firstLine="480"/>
        <w:rPr>
          <w:color w:val="000000" w:themeColor="text1"/>
        </w:rPr>
      </w:pPr>
      <w:r>
        <w:rPr>
          <w:color w:val="000000" w:themeColor="text1"/>
        </w:rPr>
        <w:t>主席机除了代表机的功能外，还具有主席优先功能，可控制会议进程。</w:t>
      </w:r>
    </w:p>
    <w:p>
      <w:pPr>
        <w:ind w:firstLine="480"/>
        <w:rPr>
          <w:color w:val="000000" w:themeColor="text1"/>
        </w:rPr>
      </w:pPr>
      <w:r>
        <w:rPr>
          <w:color w:val="000000" w:themeColor="text1"/>
        </w:rPr>
        <w:t>同时配置2套无线手持话筒举行活动等功能互动使用。</w:t>
      </w:r>
    </w:p>
    <w:p>
      <w:pPr>
        <w:ind w:firstLine="480"/>
        <w:rPr>
          <w:color w:val="000000" w:themeColor="text1"/>
        </w:rPr>
      </w:pPr>
      <w:r>
        <w:rPr>
          <w:rFonts w:hint="eastAsia"/>
          <w:color w:val="000000" w:themeColor="text1"/>
        </w:rPr>
        <w:t>3、</w:t>
      </w:r>
      <w:r>
        <w:rPr>
          <w:color w:val="000000" w:themeColor="text1"/>
        </w:rPr>
        <w:t>会议摄像跟踪系统</w:t>
      </w:r>
    </w:p>
    <w:p>
      <w:pPr>
        <w:ind w:firstLine="480"/>
        <w:rPr>
          <w:color w:val="000000" w:themeColor="text1"/>
        </w:rPr>
      </w:pPr>
      <w:r>
        <w:rPr>
          <w:color w:val="000000" w:themeColor="text1"/>
        </w:rPr>
        <w:t>配置1只专业会议摄像机，从不同角度配合数字会议系统摄像跟踪功能，该系统经过软件设置，使每个会议单元与摄像机的预置位一一对应，实现摄像自动跟随功能，即当发言人按下发言键，摄像机自动拍摄该人图像；当无人按键发言时，则拍摄会场全景，以上监视画面可同步显示于监视器、大屏幕投影，或作为视频会议图像传送；配合硬盘录象机可将会议资料保存。</w:t>
      </w:r>
    </w:p>
    <w:p>
      <w:pPr>
        <w:pStyle w:val="7"/>
        <w:spacing w:before="120" w:after="120"/>
        <w:ind w:firstLine="480"/>
        <w:rPr>
          <w:color w:val="000000" w:themeColor="text1"/>
        </w:rPr>
      </w:pPr>
      <w:r>
        <w:rPr>
          <w:rFonts w:hint="eastAsia"/>
          <w:color w:val="000000" w:themeColor="text1"/>
        </w:rPr>
        <w:t>1.</w:t>
      </w:r>
      <w:r>
        <w:rPr>
          <w:color w:val="000000" w:themeColor="text1"/>
        </w:rPr>
        <w:t>1.</w:t>
      </w:r>
      <w:r>
        <w:rPr>
          <w:rFonts w:hint="eastAsia"/>
          <w:color w:val="000000" w:themeColor="text1"/>
        </w:rPr>
        <w:t>3.7</w:t>
      </w:r>
      <w:r>
        <w:rPr>
          <w:color w:val="000000" w:themeColor="text1"/>
        </w:rPr>
        <w:t>中央控制系统</w:t>
      </w:r>
    </w:p>
    <w:p>
      <w:pPr>
        <w:pStyle w:val="8"/>
        <w:spacing w:before="120" w:after="120"/>
        <w:ind w:firstLine="480"/>
        <w:rPr>
          <w:color w:val="000000" w:themeColor="text1"/>
        </w:rPr>
      </w:pPr>
      <w:bookmarkStart w:id="321" w:name="_Toc443863051"/>
      <w:bookmarkStart w:id="322" w:name="_Toc518771958"/>
      <w:r>
        <w:rPr>
          <w:rFonts w:hint="eastAsia"/>
          <w:color w:val="000000" w:themeColor="text1"/>
        </w:rPr>
        <w:t>1.</w:t>
      </w:r>
      <w:r>
        <w:rPr>
          <w:color w:val="000000" w:themeColor="text1"/>
        </w:rPr>
        <w:t>1.</w:t>
      </w:r>
      <w:r>
        <w:rPr>
          <w:rFonts w:hint="eastAsia"/>
          <w:color w:val="000000" w:themeColor="text1"/>
        </w:rPr>
        <w:t>3.7.1</w:t>
      </w:r>
      <w:r>
        <w:rPr>
          <w:color w:val="000000" w:themeColor="text1"/>
        </w:rPr>
        <w:t>系统概述</w:t>
      </w:r>
      <w:bookmarkEnd w:id="321"/>
      <w:bookmarkEnd w:id="322"/>
    </w:p>
    <w:p>
      <w:pPr>
        <w:ind w:firstLine="480"/>
        <w:rPr>
          <w:color w:val="000000" w:themeColor="text1"/>
        </w:rPr>
      </w:pPr>
      <w:r>
        <w:rPr>
          <w:color w:val="000000" w:themeColor="text1"/>
        </w:rPr>
        <w:t>在本系统设计中，采用技术成熟、功能齐全，用途广泛的中央控制系统，实现指挥中心、会议厅等重要区域中各种电子设备的集中控制。根据这一领域的需求以及设计的实际经验，将整个指挥中心的功能分成以下几个子系统。</w:t>
      </w:r>
    </w:p>
    <w:p>
      <w:pPr>
        <w:ind w:firstLine="480"/>
        <w:rPr>
          <w:color w:val="000000" w:themeColor="text1"/>
        </w:rPr>
      </w:pPr>
      <w:r>
        <w:rPr>
          <w:color w:val="000000" w:themeColor="text1"/>
        </w:rPr>
        <w:t>中央控制系统</w:t>
      </w:r>
    </w:p>
    <w:p>
      <w:pPr>
        <w:ind w:firstLine="480"/>
        <w:rPr>
          <w:color w:val="000000" w:themeColor="text1"/>
        </w:rPr>
      </w:pPr>
      <w:r>
        <w:rPr>
          <w:color w:val="000000" w:themeColor="text1"/>
        </w:rPr>
        <w:t>大屏联动</w:t>
      </w:r>
    </w:p>
    <w:p>
      <w:pPr>
        <w:ind w:firstLine="480"/>
        <w:rPr>
          <w:color w:val="000000" w:themeColor="text1"/>
        </w:rPr>
      </w:pPr>
      <w:r>
        <w:rPr>
          <w:color w:val="000000" w:themeColor="text1"/>
        </w:rPr>
        <w:t>设备电源管理（工作电脑主机、图形工作站等）备用</w:t>
      </w:r>
    </w:p>
    <w:p>
      <w:pPr>
        <w:ind w:firstLine="480"/>
        <w:rPr>
          <w:color w:val="000000" w:themeColor="text1"/>
        </w:rPr>
      </w:pPr>
      <w:r>
        <w:rPr>
          <w:color w:val="000000" w:themeColor="text1"/>
        </w:rPr>
        <w:t>室内环境灯光系统控制</w:t>
      </w:r>
    </w:p>
    <w:p>
      <w:pPr>
        <w:ind w:firstLine="480"/>
        <w:rPr>
          <w:color w:val="000000" w:themeColor="text1"/>
        </w:rPr>
      </w:pPr>
      <w:r>
        <w:rPr>
          <w:color w:val="000000" w:themeColor="text1"/>
        </w:rPr>
        <w:t>音频控制</w:t>
      </w:r>
    </w:p>
    <w:p>
      <w:pPr>
        <w:ind w:firstLine="480"/>
        <w:rPr>
          <w:color w:val="000000" w:themeColor="text1"/>
        </w:rPr>
      </w:pPr>
      <w:r>
        <w:rPr>
          <w:color w:val="000000" w:themeColor="text1"/>
        </w:rPr>
        <w:t>通过集中控制主机的控制处理,对各种不同设备根据实际情况进行内部的编程,使用触摸屏以达到各类信号源切换方便、快捷地切换到视音频终端输出</w:t>
      </w:r>
      <w:r>
        <w:rPr>
          <w:rFonts w:hint="eastAsia"/>
          <w:color w:val="000000" w:themeColor="text1"/>
        </w:rPr>
        <w:t>，</w:t>
      </w:r>
      <w:r>
        <w:rPr>
          <w:color w:val="000000" w:themeColor="text1"/>
        </w:rPr>
        <w:t>本地的环境设备</w:t>
      </w:r>
      <w:r>
        <w:rPr>
          <w:rFonts w:hint="eastAsia"/>
          <w:color w:val="000000" w:themeColor="text1"/>
        </w:rPr>
        <w:t>，</w:t>
      </w:r>
      <w:r>
        <w:rPr>
          <w:color w:val="000000" w:themeColor="text1"/>
        </w:rPr>
        <w:t>灯光的开关、亮度调节、灯光模式的调用与保存，空调温度与湿度的调节，窗帘的开关控制等等，都可以通过触摸屏实现可视化、实时化的操控。</w:t>
      </w:r>
    </w:p>
    <w:p>
      <w:pPr>
        <w:ind w:firstLine="480"/>
        <w:rPr>
          <w:color w:val="000000" w:themeColor="text1"/>
        </w:rPr>
      </w:pPr>
      <w:r>
        <w:rPr>
          <w:color w:val="000000" w:themeColor="text1"/>
        </w:rPr>
        <w:t>触摸屏可自动化、模式化控制多媒体系统中配置各类设备的视频信号源，和来自数字AV管理中心、电脑、会议话筒、远程终端等的音频信号源方便、快捷地切换到音视频终端输出。</w:t>
      </w:r>
    </w:p>
    <w:p>
      <w:pPr>
        <w:jc w:val="center"/>
        <w:rPr>
          <w:color w:val="000000" w:themeColor="text1"/>
        </w:rPr>
      </w:pPr>
      <w:r>
        <w:rPr>
          <w:color w:val="000000" w:themeColor="text1"/>
        </w:rPr>
        <w:drawing>
          <wp:inline distT="0" distB="0" distL="0" distR="0">
            <wp:extent cx="5278120" cy="3646170"/>
            <wp:effectExtent l="1905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278120" cy="3646170"/>
                    </a:xfrm>
                    <a:prstGeom prst="rect">
                      <a:avLst/>
                    </a:prstGeom>
                  </pic:spPr>
                </pic:pic>
              </a:graphicData>
            </a:graphic>
          </wp:inline>
        </w:drawing>
      </w:r>
    </w:p>
    <w:p>
      <w:pPr>
        <w:tabs>
          <w:tab w:val="left" w:pos="900"/>
        </w:tabs>
        <w:snapToGrid w:val="0"/>
        <w:jc w:val="center"/>
        <w:rPr>
          <w:rFonts w:ascii="宋体" w:hAnsi="宋体"/>
          <w:color w:val="000000" w:themeColor="text1"/>
        </w:rPr>
      </w:pPr>
      <w:r>
        <w:rPr>
          <w:rFonts w:ascii="宋体" w:hAnsi="宋体"/>
          <w:color w:val="000000" w:themeColor="text1"/>
        </w:rPr>
        <w:t>图</w:t>
      </w:r>
      <w:r>
        <w:rPr>
          <w:rFonts w:hint="eastAsia" w:ascii="宋体" w:hAnsi="宋体"/>
          <w:color w:val="000000" w:themeColor="text1"/>
        </w:rPr>
        <w:t>12  构架图</w:t>
      </w:r>
    </w:p>
    <w:p>
      <w:pPr>
        <w:pStyle w:val="8"/>
        <w:spacing w:before="120" w:after="120"/>
        <w:ind w:firstLine="480"/>
        <w:rPr>
          <w:color w:val="000000" w:themeColor="text1"/>
        </w:rPr>
      </w:pPr>
      <w:bookmarkStart w:id="323" w:name="_Toc443863058"/>
      <w:r>
        <w:rPr>
          <w:rFonts w:hint="eastAsia"/>
          <w:color w:val="000000" w:themeColor="text1"/>
        </w:rPr>
        <w:t>1.</w:t>
      </w:r>
      <w:r>
        <w:rPr>
          <w:color w:val="000000" w:themeColor="text1"/>
        </w:rPr>
        <w:t>1.</w:t>
      </w:r>
      <w:r>
        <w:rPr>
          <w:rFonts w:hint="eastAsia"/>
          <w:color w:val="000000" w:themeColor="text1"/>
        </w:rPr>
        <w:t>3.7.2</w:t>
      </w:r>
      <w:r>
        <w:rPr>
          <w:color w:val="000000" w:themeColor="text1"/>
        </w:rPr>
        <w:t>主要功能说明</w:t>
      </w:r>
      <w:bookmarkEnd w:id="323"/>
    </w:p>
    <w:p>
      <w:pPr>
        <w:ind w:firstLine="480"/>
        <w:rPr>
          <w:color w:val="000000" w:themeColor="text1"/>
        </w:rPr>
      </w:pPr>
      <w:r>
        <w:rPr>
          <w:color w:val="000000" w:themeColor="text1"/>
        </w:rPr>
        <w:t>通过安装中央控制系统</w:t>
      </w:r>
      <w:r>
        <w:rPr>
          <w:rFonts w:hint="eastAsia"/>
          <w:color w:val="000000" w:themeColor="text1"/>
        </w:rPr>
        <w:t>，</w:t>
      </w:r>
      <w:r>
        <w:rPr>
          <w:color w:val="000000" w:themeColor="text1"/>
        </w:rPr>
        <w:t>可以将各种操控复杂的专业设备及相关的周边环境设备等通过合理的配置及编程控制达到轻松的实现智能化、人性化的控制。</w:t>
      </w:r>
    </w:p>
    <w:p>
      <w:pPr>
        <w:ind w:firstLine="480"/>
        <w:rPr>
          <w:color w:val="000000" w:themeColor="text1"/>
        </w:rPr>
      </w:pPr>
      <w:r>
        <w:rPr>
          <w:color w:val="000000" w:themeColor="text1"/>
        </w:rPr>
        <w:t>通过串口模块的串口（RS232端口）控制大屏幕拼接系统的所有功能，如开/关机；并且能够自动实现关联动作。</w:t>
      </w:r>
    </w:p>
    <w:p>
      <w:pPr>
        <w:ind w:firstLine="480"/>
        <w:rPr>
          <w:color w:val="000000" w:themeColor="text1"/>
        </w:rPr>
      </w:pPr>
      <w:r>
        <w:rPr>
          <w:color w:val="000000" w:themeColor="text1"/>
        </w:rPr>
        <w:t>通过串口模块的串口（RS232端口）控制液晶屏自动升降器的功能，实现液晶屏的上升、下降、停止；并且能够自动实现关联动作。</w:t>
      </w:r>
    </w:p>
    <w:p>
      <w:pPr>
        <w:ind w:firstLine="480"/>
        <w:rPr>
          <w:color w:val="000000" w:themeColor="text1"/>
        </w:rPr>
      </w:pPr>
      <w:r>
        <w:rPr>
          <w:color w:val="000000" w:themeColor="text1"/>
        </w:rPr>
        <w:t>通过串口模块的串口（RS232端口）控制无纸化数字会议系统，视频会议室15.6"手写触控屏的升降，电源开关，会议主机/手写屏/会议终端/翻转器/编码器/交换机电源一起接入中控设备电源管理同时开启或关闭。</w:t>
      </w:r>
    </w:p>
    <w:p>
      <w:pPr>
        <w:ind w:firstLine="480"/>
        <w:rPr>
          <w:color w:val="000000" w:themeColor="text1"/>
        </w:rPr>
      </w:pPr>
      <w:r>
        <w:rPr>
          <w:color w:val="000000" w:themeColor="text1"/>
        </w:rPr>
        <w:t>通过8路强电继电器控制系统设备电源，并且能够自动实现关联动作，当开启系统的时候，自动时序的开启设备电源，当系统关是时序的关闭设备电源。</w:t>
      </w:r>
    </w:p>
    <w:p>
      <w:pPr>
        <w:ind w:firstLine="480"/>
        <w:rPr>
          <w:color w:val="000000" w:themeColor="text1"/>
        </w:rPr>
      </w:pPr>
      <w:r>
        <w:rPr>
          <w:color w:val="000000" w:themeColor="text1"/>
        </w:rPr>
        <w:t>通过8路强电继电器控制各类灯光的开、关、全开、全关，并支持模式控制。</w:t>
      </w:r>
    </w:p>
    <w:p>
      <w:pPr>
        <w:ind w:firstLine="480"/>
        <w:rPr>
          <w:color w:val="000000" w:themeColor="text1"/>
        </w:rPr>
      </w:pPr>
      <w:r>
        <w:rPr>
          <w:color w:val="000000" w:themeColor="text1"/>
        </w:rPr>
        <w:t>所有筒灯及日光灯等环境灯光系统通过中控系统控制，全部操作动作由中控设备统一管理，避免传统系统因繁复动作所引起的误操作，大大提高工作效率，使用者更能集中于指挥、监测</w:t>
      </w:r>
      <w:r>
        <w:rPr>
          <w:rFonts w:hint="eastAsia"/>
          <w:color w:val="000000" w:themeColor="text1"/>
        </w:rPr>
        <w:t>内</w:t>
      </w:r>
      <w:r>
        <w:rPr>
          <w:color w:val="000000" w:themeColor="text1"/>
        </w:rPr>
        <w:t>容，不必为系统操作而分心。</w:t>
      </w:r>
    </w:p>
    <w:p>
      <w:pPr>
        <w:pStyle w:val="7"/>
        <w:spacing w:before="120" w:after="120"/>
        <w:ind w:firstLine="480"/>
        <w:rPr>
          <w:color w:val="000000" w:themeColor="text1"/>
        </w:rPr>
      </w:pPr>
      <w:bookmarkStart w:id="324" w:name="_Toc518771961"/>
      <w:r>
        <w:rPr>
          <w:rFonts w:hint="eastAsia"/>
          <w:color w:val="000000" w:themeColor="text1"/>
        </w:rPr>
        <w:t>1.</w:t>
      </w:r>
      <w:r>
        <w:rPr>
          <w:color w:val="000000" w:themeColor="text1"/>
        </w:rPr>
        <w:t>1.</w:t>
      </w:r>
      <w:r>
        <w:rPr>
          <w:rFonts w:hint="eastAsia"/>
          <w:color w:val="000000" w:themeColor="text1"/>
        </w:rPr>
        <w:t>3.8</w:t>
      </w:r>
      <w:r>
        <w:rPr>
          <w:color w:val="000000" w:themeColor="text1"/>
        </w:rPr>
        <w:t>计算机网络系统</w:t>
      </w:r>
      <w:bookmarkEnd w:id="324"/>
    </w:p>
    <w:p>
      <w:pPr>
        <w:ind w:firstLine="480"/>
        <w:rPr>
          <w:color w:val="000000" w:themeColor="text1"/>
        </w:rPr>
      </w:pPr>
      <w:bookmarkStart w:id="325" w:name="_Toc22341"/>
      <w:bookmarkStart w:id="326" w:name="_Toc5483"/>
      <w:r>
        <w:rPr>
          <w:color w:val="000000" w:themeColor="text1"/>
        </w:rPr>
        <w:t>1、内网系统结构</w:t>
      </w:r>
      <w:bookmarkEnd w:id="325"/>
      <w:bookmarkEnd w:id="326"/>
      <w:r>
        <w:rPr>
          <w:color w:val="000000" w:themeColor="text1"/>
        </w:rPr>
        <w:t>设计</w:t>
      </w:r>
    </w:p>
    <w:p>
      <w:pPr>
        <w:ind w:firstLine="480"/>
        <w:rPr>
          <w:color w:val="000000" w:themeColor="text1"/>
        </w:rPr>
      </w:pPr>
      <w:r>
        <w:rPr>
          <w:color w:val="000000" w:themeColor="text1"/>
        </w:rPr>
        <w:t>本次项目中指挥中心新增1台内网千兆接入交换机，负责指挥中心三楼大厅和四楼功能区的内网信息点位接入，采用千兆链路分别上行至三楼信息机房内网核心交换机设备。</w:t>
      </w:r>
    </w:p>
    <w:p>
      <w:pPr>
        <w:ind w:firstLine="480"/>
        <w:rPr>
          <w:color w:val="000000" w:themeColor="text1"/>
        </w:rPr>
      </w:pPr>
      <w:bookmarkStart w:id="327" w:name="_Toc22138"/>
      <w:r>
        <w:rPr>
          <w:color w:val="000000" w:themeColor="text1"/>
        </w:rPr>
        <w:t>2、互联网系统结构</w:t>
      </w:r>
      <w:bookmarkEnd w:id="327"/>
      <w:r>
        <w:rPr>
          <w:color w:val="000000" w:themeColor="text1"/>
        </w:rPr>
        <w:t>设计</w:t>
      </w:r>
    </w:p>
    <w:p>
      <w:pPr>
        <w:ind w:firstLine="480"/>
        <w:rPr>
          <w:color w:val="000000" w:themeColor="text1"/>
        </w:rPr>
      </w:pPr>
      <w:r>
        <w:rPr>
          <w:color w:val="000000" w:themeColor="text1"/>
        </w:rPr>
        <w:t>本次项目中指挥中心新增1台互联网千兆接入交换机，负责指挥中心三楼大厅和四楼功能区的互联网信息点位接入，采用千兆链路分别上行至三楼信息机房互联网核心交换机设备。</w:t>
      </w:r>
    </w:p>
    <w:p>
      <w:pPr>
        <w:ind w:firstLine="480"/>
        <w:rPr>
          <w:color w:val="000000" w:themeColor="text1"/>
        </w:rPr>
      </w:pPr>
      <w:bookmarkStart w:id="328" w:name="_Toc2674"/>
      <w:bookmarkStart w:id="329" w:name="_Toc25540"/>
      <w:r>
        <w:rPr>
          <w:color w:val="000000" w:themeColor="text1"/>
        </w:rPr>
        <w:t>3、指挥专网系统结构</w:t>
      </w:r>
      <w:bookmarkEnd w:id="328"/>
      <w:bookmarkEnd w:id="329"/>
      <w:r>
        <w:rPr>
          <w:color w:val="000000" w:themeColor="text1"/>
        </w:rPr>
        <w:t>设计</w:t>
      </w:r>
    </w:p>
    <w:p>
      <w:pPr>
        <w:ind w:firstLine="480"/>
        <w:rPr>
          <w:color w:val="000000" w:themeColor="text1"/>
        </w:rPr>
      </w:pPr>
      <w:r>
        <w:rPr>
          <w:color w:val="000000" w:themeColor="text1"/>
        </w:rPr>
        <w:t>本次项目中指挥中心新增1台指挥专网千兆接入交换机，负责指挥中心三楼大厅和四楼功能区的指挥专网信息点位接入，采用千兆链路分别上行至三楼信息指挥专网核心交换机设备。</w:t>
      </w:r>
    </w:p>
    <w:p>
      <w:pPr>
        <w:pStyle w:val="7"/>
        <w:spacing w:before="120" w:after="120"/>
        <w:ind w:firstLine="480"/>
        <w:rPr>
          <w:color w:val="000000" w:themeColor="text1"/>
        </w:rPr>
      </w:pPr>
      <w:bookmarkStart w:id="330" w:name="_Toc518771967"/>
      <w:r>
        <w:rPr>
          <w:rFonts w:hint="eastAsia"/>
          <w:color w:val="000000" w:themeColor="text1"/>
        </w:rPr>
        <w:t>1.</w:t>
      </w:r>
      <w:r>
        <w:rPr>
          <w:color w:val="000000" w:themeColor="text1"/>
        </w:rPr>
        <w:t>1.</w:t>
      </w:r>
      <w:r>
        <w:rPr>
          <w:rFonts w:hint="eastAsia"/>
          <w:color w:val="000000" w:themeColor="text1"/>
        </w:rPr>
        <w:t>3.9</w:t>
      </w:r>
      <w:r>
        <w:rPr>
          <w:color w:val="000000" w:themeColor="text1"/>
        </w:rPr>
        <w:t>综合布线系统</w:t>
      </w:r>
      <w:bookmarkEnd w:id="330"/>
    </w:p>
    <w:p>
      <w:pPr>
        <w:pStyle w:val="8"/>
        <w:spacing w:before="120" w:after="120"/>
        <w:ind w:firstLine="480"/>
        <w:rPr>
          <w:color w:val="000000" w:themeColor="text1"/>
        </w:rPr>
      </w:pPr>
      <w:bookmarkStart w:id="331" w:name="_Toc413158833"/>
      <w:bookmarkStart w:id="332" w:name="_Toc518771969"/>
      <w:r>
        <w:rPr>
          <w:rFonts w:hint="eastAsia"/>
          <w:color w:val="000000" w:themeColor="text1"/>
        </w:rPr>
        <w:t>1.</w:t>
      </w:r>
      <w:r>
        <w:rPr>
          <w:color w:val="000000" w:themeColor="text1"/>
        </w:rPr>
        <w:t>1.</w:t>
      </w:r>
      <w:r>
        <w:rPr>
          <w:rFonts w:hint="eastAsia"/>
          <w:color w:val="000000" w:themeColor="text1"/>
        </w:rPr>
        <w:t>3.9.1应急指挥室</w:t>
      </w:r>
      <w:r>
        <w:rPr>
          <w:color w:val="000000" w:themeColor="text1"/>
        </w:rPr>
        <w:t>综合布线设计</w:t>
      </w:r>
      <w:bookmarkEnd w:id="331"/>
      <w:r>
        <w:rPr>
          <w:color w:val="000000" w:themeColor="text1"/>
        </w:rPr>
        <w:t>方案</w:t>
      </w:r>
      <w:bookmarkEnd w:id="332"/>
    </w:p>
    <w:p>
      <w:pPr>
        <w:ind w:firstLine="480"/>
        <w:rPr>
          <w:color w:val="000000" w:themeColor="text1"/>
        </w:rPr>
      </w:pPr>
      <w:r>
        <w:rPr>
          <w:color w:val="000000" w:themeColor="text1"/>
        </w:rPr>
        <w:t>1、工作区</w:t>
      </w:r>
    </w:p>
    <w:p>
      <w:pPr>
        <w:ind w:firstLine="480"/>
        <w:rPr>
          <w:color w:val="000000" w:themeColor="text1"/>
        </w:rPr>
      </w:pPr>
      <w:r>
        <w:rPr>
          <w:color w:val="000000" w:themeColor="text1"/>
        </w:rPr>
        <w:t>本次综合布线系统在</w:t>
      </w:r>
      <w:r>
        <w:rPr>
          <w:rFonts w:hint="eastAsia"/>
          <w:color w:val="000000" w:themeColor="text1"/>
        </w:rPr>
        <w:t>应急指挥室</w:t>
      </w:r>
      <w:r>
        <w:rPr>
          <w:color w:val="000000" w:themeColor="text1"/>
        </w:rPr>
        <w:t>运行操作区域、作战会商室和视频会议室等区域根据需求不同配置不同类型的信息点位约100个。</w:t>
      </w:r>
    </w:p>
    <w:p>
      <w:pPr>
        <w:ind w:firstLine="480"/>
        <w:rPr>
          <w:color w:val="000000" w:themeColor="text1"/>
        </w:rPr>
      </w:pPr>
      <w:r>
        <w:rPr>
          <w:color w:val="000000" w:themeColor="text1"/>
        </w:rPr>
        <w:t>桌面信息点采用信息点管理盒封装，并直接连接到地插内。墙面信息点采用单/双口信息面板封装。信息点管理盒、信息面板均可安装信号点标签，并配有防尘盖。</w:t>
      </w:r>
    </w:p>
    <w:p>
      <w:pPr>
        <w:ind w:firstLine="480"/>
        <w:rPr>
          <w:color w:val="000000" w:themeColor="text1"/>
        </w:rPr>
      </w:pPr>
      <w:r>
        <w:rPr>
          <w:color w:val="000000" w:themeColor="text1"/>
        </w:rPr>
        <w:t>2、配线子系统</w:t>
      </w:r>
    </w:p>
    <w:p>
      <w:pPr>
        <w:ind w:firstLine="480"/>
        <w:rPr>
          <w:color w:val="000000" w:themeColor="text1"/>
        </w:rPr>
      </w:pPr>
      <w:r>
        <w:rPr>
          <w:color w:val="000000" w:themeColor="text1"/>
        </w:rPr>
        <w:t>配线子系统包括水平数据电缆、六类非屏蔽配线架、与主干光纤相连的光纤配线架等，所有设备均安装在机柜内。</w:t>
      </w:r>
    </w:p>
    <w:p>
      <w:pPr>
        <w:ind w:firstLine="480"/>
        <w:rPr>
          <w:color w:val="000000" w:themeColor="text1"/>
        </w:rPr>
      </w:pPr>
      <w:r>
        <w:rPr>
          <w:color w:val="000000" w:themeColor="text1"/>
        </w:rPr>
        <w:t>水平数据电缆采用六类非屏蔽双绞电缆。</w:t>
      </w:r>
    </w:p>
    <w:p>
      <w:pPr>
        <w:ind w:firstLine="480"/>
        <w:rPr>
          <w:color w:val="000000" w:themeColor="text1"/>
        </w:rPr>
      </w:pPr>
      <w:r>
        <w:rPr>
          <w:color w:val="000000" w:themeColor="text1"/>
        </w:rPr>
        <w:t>语音、配用、外网、专网的点位采用普通1HU空口配线架+模块的组合方式，并配置相应数量的2米原厂六类非屏蔽跳线、水平管理架。</w:t>
      </w:r>
    </w:p>
    <w:p>
      <w:pPr>
        <w:ind w:firstLine="480"/>
        <w:rPr>
          <w:color w:val="000000" w:themeColor="text1"/>
        </w:rPr>
      </w:pPr>
      <w:r>
        <w:rPr>
          <w:color w:val="000000" w:themeColor="text1"/>
        </w:rPr>
        <w:t>3、干线子系统</w:t>
      </w:r>
    </w:p>
    <w:p>
      <w:pPr>
        <w:ind w:firstLine="480"/>
        <w:rPr>
          <w:color w:val="000000" w:themeColor="text1"/>
        </w:rPr>
      </w:pPr>
      <w:r>
        <w:rPr>
          <w:color w:val="000000" w:themeColor="text1"/>
        </w:rPr>
        <w:t>干线子系统包括机房与指挥厅相连的主干光纤、安装在机房内的光纤配线架等。干线子系统利旧。</w:t>
      </w:r>
    </w:p>
    <w:p>
      <w:pPr>
        <w:ind w:firstLine="480"/>
        <w:rPr>
          <w:color w:val="000000" w:themeColor="text1"/>
        </w:rPr>
      </w:pPr>
      <w:r>
        <w:rPr>
          <w:color w:val="000000" w:themeColor="text1"/>
        </w:rPr>
        <w:t>4、多媒体线缆的敷设</w:t>
      </w:r>
    </w:p>
    <w:p>
      <w:pPr>
        <w:ind w:firstLine="480"/>
        <w:rPr>
          <w:color w:val="000000" w:themeColor="text1"/>
        </w:rPr>
      </w:pPr>
      <w:r>
        <w:rPr>
          <w:color w:val="000000" w:themeColor="text1"/>
        </w:rPr>
        <w:t>监控信号分为三种：视频信号、控制信号及电源。</w:t>
      </w:r>
    </w:p>
    <w:p>
      <w:pPr>
        <w:ind w:firstLine="480"/>
        <w:rPr>
          <w:color w:val="000000" w:themeColor="text1"/>
        </w:rPr>
      </w:pPr>
      <w:r>
        <w:rPr>
          <w:color w:val="000000" w:themeColor="text1"/>
        </w:rPr>
        <w:t>（1）视频信号</w:t>
      </w:r>
    </w:p>
    <w:p>
      <w:pPr>
        <w:ind w:firstLine="480"/>
        <w:rPr>
          <w:color w:val="000000" w:themeColor="text1"/>
        </w:rPr>
      </w:pPr>
      <w:r>
        <w:rPr>
          <w:color w:val="000000" w:themeColor="text1"/>
        </w:rPr>
        <w:t>视频传输采用同轴视频电缆基带传输方式。</w:t>
      </w:r>
    </w:p>
    <w:p>
      <w:pPr>
        <w:ind w:firstLine="480"/>
        <w:rPr>
          <w:color w:val="000000" w:themeColor="text1"/>
        </w:rPr>
      </w:pPr>
      <w:r>
        <w:rPr>
          <w:color w:val="000000" w:themeColor="text1"/>
        </w:rPr>
        <w:t>（2）高清信号</w:t>
      </w:r>
    </w:p>
    <w:p>
      <w:pPr>
        <w:ind w:firstLine="480"/>
        <w:rPr>
          <w:color w:val="000000" w:themeColor="text1"/>
        </w:rPr>
      </w:pPr>
      <w:r>
        <w:rPr>
          <w:color w:val="000000" w:themeColor="text1"/>
        </w:rPr>
        <w:t>高清信号在15米之内（显示屏周边区域和设备机柜之间连接）使用DVI、HDMI、SDI或VGA电缆与高清矩阵经过适配器直接连接。超过上述距离的信号传输使用DVI双绞线传输器与设备连接。</w:t>
      </w:r>
    </w:p>
    <w:p>
      <w:pPr>
        <w:ind w:firstLine="480"/>
        <w:rPr>
          <w:color w:val="000000" w:themeColor="text1"/>
        </w:rPr>
      </w:pPr>
      <w:r>
        <w:rPr>
          <w:color w:val="000000" w:themeColor="text1"/>
        </w:rPr>
        <w:t>控制信号：本系统中，控制信号传输线使用RVVP线缆用于支持RS-485、RS-422或RS-232的传输连接方式。</w:t>
      </w:r>
    </w:p>
    <w:p>
      <w:pPr>
        <w:ind w:firstLine="480"/>
        <w:rPr>
          <w:color w:val="000000" w:themeColor="text1"/>
        </w:rPr>
      </w:pPr>
      <w:r>
        <w:rPr>
          <w:color w:val="000000" w:themeColor="text1"/>
        </w:rPr>
        <w:t>电源：为保证整个系统的视频稳定，本系统采用电源同步方式，即整个系统所有设备采用同一相电源供电。</w:t>
      </w:r>
    </w:p>
    <w:p>
      <w:pPr>
        <w:ind w:firstLine="480"/>
        <w:rPr>
          <w:color w:val="000000" w:themeColor="text1"/>
        </w:rPr>
      </w:pPr>
      <w:r>
        <w:rPr>
          <w:color w:val="000000" w:themeColor="text1"/>
        </w:rPr>
        <w:t>监控系统的所有供电回路必须专用，不可与其它系统或设备混合使用。</w:t>
      </w:r>
    </w:p>
    <w:p>
      <w:pPr>
        <w:ind w:firstLine="480"/>
        <w:rPr>
          <w:color w:val="000000" w:themeColor="text1"/>
        </w:rPr>
      </w:pPr>
      <w:r>
        <w:rPr>
          <w:color w:val="000000" w:themeColor="text1"/>
        </w:rPr>
        <w:t>5、管槽敷设</w:t>
      </w:r>
    </w:p>
    <w:p>
      <w:pPr>
        <w:ind w:firstLine="480"/>
        <w:rPr>
          <w:color w:val="000000" w:themeColor="text1"/>
        </w:rPr>
      </w:pPr>
      <w:r>
        <w:rPr>
          <w:color w:val="000000" w:themeColor="text1"/>
        </w:rPr>
        <w:t>为增强弱电系统抗干扰性能，同时满足防火要求，设计采用镀锌线槽、镀锌钢管敷设，并做防雷接地处理。</w:t>
      </w:r>
    </w:p>
    <w:p>
      <w:pPr>
        <w:ind w:firstLine="480"/>
        <w:rPr>
          <w:color w:val="000000" w:themeColor="text1"/>
        </w:rPr>
      </w:pPr>
      <w:r>
        <w:rPr>
          <w:color w:val="000000" w:themeColor="text1"/>
        </w:rPr>
        <w:t>6、布线预埋</w:t>
      </w:r>
    </w:p>
    <w:p>
      <w:pPr>
        <w:ind w:firstLine="480"/>
        <w:rPr>
          <w:color w:val="000000" w:themeColor="text1"/>
        </w:rPr>
      </w:pPr>
      <w:r>
        <w:rPr>
          <w:color w:val="000000" w:themeColor="text1"/>
        </w:rPr>
        <w:t>根据</w:t>
      </w:r>
      <w:r>
        <w:rPr>
          <w:rFonts w:hint="eastAsia"/>
          <w:color w:val="000000" w:themeColor="text1"/>
        </w:rPr>
        <w:t>应急指挥室</w:t>
      </w:r>
      <w:r>
        <w:rPr>
          <w:color w:val="000000" w:themeColor="text1"/>
        </w:rPr>
        <w:t>整体布局，设计足够空间的布线环境。</w:t>
      </w:r>
    </w:p>
    <w:p>
      <w:pPr>
        <w:ind w:firstLine="480"/>
        <w:rPr>
          <w:color w:val="000000" w:themeColor="text1"/>
        </w:rPr>
      </w:pPr>
      <w:r>
        <w:rPr>
          <w:color w:val="000000" w:themeColor="text1"/>
        </w:rPr>
        <w:t>所有电源、音频、视频、网络、通信（公网、专网）、控制和光缆等线缆做到有序分类布放，并有适当的线缆线槽。</w:t>
      </w:r>
    </w:p>
    <w:p>
      <w:pPr>
        <w:pStyle w:val="8"/>
        <w:spacing w:before="120" w:after="120"/>
        <w:ind w:firstLine="480"/>
        <w:rPr>
          <w:color w:val="000000" w:themeColor="text1"/>
        </w:rPr>
      </w:pPr>
      <w:bookmarkStart w:id="333" w:name="_Toc518771971"/>
      <w:r>
        <w:rPr>
          <w:rFonts w:hint="eastAsia"/>
          <w:color w:val="000000" w:themeColor="text1"/>
        </w:rPr>
        <w:t>1.</w:t>
      </w:r>
      <w:r>
        <w:rPr>
          <w:color w:val="000000" w:themeColor="text1"/>
        </w:rPr>
        <w:t>1.</w:t>
      </w:r>
      <w:r>
        <w:rPr>
          <w:rFonts w:hint="eastAsia"/>
          <w:color w:val="000000" w:themeColor="text1"/>
        </w:rPr>
        <w:t>3.9.2应急指挥室</w:t>
      </w:r>
      <w:r>
        <w:rPr>
          <w:color w:val="000000" w:themeColor="text1"/>
        </w:rPr>
        <w:t>大厅UPS电缆布放和等电位接地</w:t>
      </w:r>
      <w:bookmarkEnd w:id="333"/>
    </w:p>
    <w:p>
      <w:pPr>
        <w:ind w:firstLine="480"/>
        <w:rPr>
          <w:color w:val="000000" w:themeColor="text1"/>
        </w:rPr>
      </w:pPr>
      <w:r>
        <w:rPr>
          <w:color w:val="000000" w:themeColor="text1"/>
        </w:rPr>
        <w:t>1、UPS电缆布放</w:t>
      </w:r>
    </w:p>
    <w:p>
      <w:pPr>
        <w:ind w:firstLine="480"/>
        <w:rPr>
          <w:color w:val="000000" w:themeColor="text1"/>
        </w:rPr>
      </w:pPr>
      <w:r>
        <w:rPr>
          <w:color w:val="000000" w:themeColor="text1"/>
        </w:rPr>
        <w:t>根据指挥中心业务上的需要，指挥中心音视频控制设备、中控核心设备、网络交换机和指挥中心坐席计算机需要UPS系统来提供7*24小时不间断连续的高质量电力供应。</w:t>
      </w:r>
    </w:p>
    <w:p>
      <w:pPr>
        <w:ind w:firstLine="480"/>
        <w:rPr>
          <w:color w:val="000000" w:themeColor="text1"/>
        </w:rPr>
      </w:pPr>
      <w:r>
        <w:rPr>
          <w:color w:val="000000" w:themeColor="text1"/>
        </w:rPr>
        <w:t>办公大楼现有1套1+1备份的40kVA的UPS系统，保障三楼信息机房UPS供电。另有一套10kVA UPS电源，保障三楼</w:t>
      </w:r>
      <w:r>
        <w:rPr>
          <w:rFonts w:hint="eastAsia"/>
          <w:color w:val="000000" w:themeColor="text1"/>
        </w:rPr>
        <w:t>应急指挥室大厅</w:t>
      </w:r>
      <w:r>
        <w:rPr>
          <w:color w:val="000000" w:themeColor="text1"/>
        </w:rPr>
        <w:t>坐席UPS供电。</w:t>
      </w:r>
    </w:p>
    <w:p>
      <w:pPr>
        <w:ind w:firstLine="480"/>
        <w:rPr>
          <w:color w:val="000000" w:themeColor="text1"/>
        </w:rPr>
      </w:pPr>
      <w:r>
        <w:rPr>
          <w:color w:val="000000" w:themeColor="text1"/>
        </w:rPr>
        <w:t>本次项目中音视频控制设备、中控核心设备、网络交换机等安装在三楼信息机房机柜内，电源从机柜UPS电源接入。整改后的指挥大厅坐席计算机UPS仍然从三楼指挥中心配电箱引接，UPS交流电缆经活动地板下方重新。</w:t>
      </w:r>
    </w:p>
    <w:p>
      <w:pPr>
        <w:ind w:firstLine="480"/>
        <w:rPr>
          <w:color w:val="000000" w:themeColor="text1"/>
        </w:rPr>
      </w:pPr>
      <w:r>
        <w:rPr>
          <w:color w:val="000000" w:themeColor="text1"/>
        </w:rPr>
        <w:t>2、</w:t>
      </w:r>
      <w:r>
        <w:rPr>
          <w:rFonts w:hint="eastAsia"/>
          <w:color w:val="000000" w:themeColor="text1"/>
        </w:rPr>
        <w:t>应急指挥室</w:t>
      </w:r>
      <w:r>
        <w:rPr>
          <w:color w:val="000000" w:themeColor="text1"/>
        </w:rPr>
        <w:t>大厅等电位接地</w:t>
      </w:r>
    </w:p>
    <w:p>
      <w:pPr>
        <w:ind w:firstLine="480"/>
        <w:rPr>
          <w:color w:val="000000" w:themeColor="text1"/>
        </w:rPr>
      </w:pPr>
      <w:r>
        <w:rPr>
          <w:color w:val="000000" w:themeColor="text1"/>
        </w:rPr>
        <w:t>本次项目</w:t>
      </w:r>
      <w:r>
        <w:rPr>
          <w:rFonts w:hint="eastAsia"/>
          <w:color w:val="000000" w:themeColor="text1"/>
        </w:rPr>
        <w:t>应急指挥室</w:t>
      </w:r>
      <w:r>
        <w:rPr>
          <w:color w:val="000000" w:themeColor="text1"/>
        </w:rPr>
        <w:t>大厅等电位接地体采用联合接地，接地电阻≤1欧姆。</w:t>
      </w:r>
    </w:p>
    <w:p>
      <w:pPr>
        <w:ind w:firstLine="480"/>
        <w:rPr>
          <w:color w:val="000000" w:themeColor="text1"/>
        </w:rPr>
      </w:pPr>
      <w:r>
        <w:rPr>
          <w:color w:val="000000" w:themeColor="text1"/>
        </w:rPr>
        <w:t>机房及大厅接地从大楼楼层接地铜排引入。在机房活动地板下方沿机柜设备位置用30*3紫铜排敷设成环网状接地排，通过2条软电缆就近连接至两个接地引出点。该环网状接地排采用绝缘子架空安装，每隔0.6米打一个ø6mm的孔，方便设备接地。除了打孔位置和固定位置，该接地排全程套绝缘热缩套管。</w:t>
      </w:r>
    </w:p>
    <w:p>
      <w:pPr>
        <w:ind w:firstLine="480"/>
        <w:rPr>
          <w:color w:val="000000" w:themeColor="text1"/>
        </w:rPr>
      </w:pPr>
      <w:r>
        <w:rPr>
          <w:color w:val="000000" w:themeColor="text1"/>
        </w:rPr>
        <w:t>设备机柜、空调、活动地板、走线槽（架）等接地通过接地线缆就近与环网状接地排相连接。</w:t>
      </w:r>
    </w:p>
    <w:p>
      <w:pPr>
        <w:pStyle w:val="7"/>
        <w:spacing w:before="120" w:after="120"/>
        <w:ind w:firstLine="480"/>
        <w:rPr>
          <w:color w:val="000000" w:themeColor="text1"/>
        </w:rPr>
      </w:pPr>
      <w:bookmarkStart w:id="334" w:name="_Toc518771973"/>
      <w:bookmarkStart w:id="335" w:name="_Toc486840133"/>
      <w:r>
        <w:rPr>
          <w:rFonts w:hint="eastAsia"/>
          <w:color w:val="000000" w:themeColor="text1"/>
        </w:rPr>
        <w:t>1.</w:t>
      </w:r>
      <w:r>
        <w:rPr>
          <w:color w:val="000000" w:themeColor="text1"/>
        </w:rPr>
        <w:t>1.</w:t>
      </w:r>
      <w:r>
        <w:rPr>
          <w:rFonts w:hint="eastAsia"/>
          <w:color w:val="000000" w:themeColor="text1"/>
        </w:rPr>
        <w:t>3.10</w:t>
      </w:r>
      <w:r>
        <w:rPr>
          <w:color w:val="000000" w:themeColor="text1"/>
        </w:rPr>
        <w:t>操作控制台</w:t>
      </w:r>
      <w:bookmarkEnd w:id="334"/>
      <w:bookmarkEnd w:id="335"/>
    </w:p>
    <w:p>
      <w:pPr>
        <w:pStyle w:val="8"/>
        <w:spacing w:before="120" w:after="120"/>
        <w:ind w:firstLine="480"/>
        <w:rPr>
          <w:color w:val="000000" w:themeColor="text1"/>
        </w:rPr>
      </w:pPr>
      <w:bookmarkStart w:id="336" w:name="_Toc518771974"/>
      <w:bookmarkStart w:id="337" w:name="_Toc486840134"/>
      <w:r>
        <w:rPr>
          <w:rFonts w:hint="eastAsia"/>
          <w:color w:val="000000" w:themeColor="text1"/>
        </w:rPr>
        <w:t>1.</w:t>
      </w:r>
      <w:r>
        <w:rPr>
          <w:color w:val="000000" w:themeColor="text1"/>
        </w:rPr>
        <w:t>1.</w:t>
      </w:r>
      <w:r>
        <w:rPr>
          <w:rFonts w:hint="eastAsia"/>
          <w:color w:val="000000" w:themeColor="text1"/>
        </w:rPr>
        <w:t>3.10.1</w:t>
      </w:r>
      <w:r>
        <w:rPr>
          <w:color w:val="000000" w:themeColor="text1"/>
        </w:rPr>
        <w:t>概述</w:t>
      </w:r>
      <w:bookmarkEnd w:id="336"/>
      <w:bookmarkEnd w:id="337"/>
    </w:p>
    <w:p>
      <w:pPr>
        <w:ind w:firstLine="480"/>
        <w:rPr>
          <w:color w:val="000000" w:themeColor="text1"/>
        </w:rPr>
      </w:pPr>
      <w:r>
        <w:rPr>
          <w:color w:val="000000" w:themeColor="text1"/>
        </w:rPr>
        <w:t>操作控制台包括</w:t>
      </w:r>
      <w:r>
        <w:rPr>
          <w:rFonts w:hint="eastAsia"/>
          <w:color w:val="000000" w:themeColor="text1"/>
        </w:rPr>
        <w:t>应急指挥室</w:t>
      </w:r>
      <w:r>
        <w:rPr>
          <w:color w:val="000000" w:themeColor="text1"/>
        </w:rPr>
        <w:t>操作控制台、视频会议室专业会议桌、3楼情报中心控制台以及相关配件。详细配置见下表：</w:t>
      </w:r>
    </w:p>
    <w:tbl>
      <w:tblPr>
        <w:tblStyle w:val="53"/>
        <w:tblW w:w="928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5188"/>
        <w:gridCol w:w="1530"/>
        <w:gridCol w:w="13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jc w:val="center"/>
        </w:trPr>
        <w:tc>
          <w:tcPr>
            <w:tcW w:w="1206" w:type="dxa"/>
            <w:vAlign w:val="center"/>
          </w:tcPr>
          <w:p>
            <w:pPr>
              <w:spacing w:line="300" w:lineRule="exact"/>
              <w:jc w:val="center"/>
              <w:rPr>
                <w:rFonts w:ascii="仿宋_GB2312"/>
                <w:b/>
                <w:bCs/>
                <w:color w:val="000000" w:themeColor="text1"/>
              </w:rPr>
            </w:pPr>
            <w:r>
              <w:rPr>
                <w:rFonts w:hint="eastAsia" w:ascii="仿宋_GB2312"/>
                <w:b/>
                <w:bCs/>
                <w:color w:val="000000" w:themeColor="text1"/>
              </w:rPr>
              <w:t>序号</w:t>
            </w:r>
          </w:p>
        </w:tc>
        <w:tc>
          <w:tcPr>
            <w:tcW w:w="5188" w:type="dxa"/>
            <w:vAlign w:val="center"/>
          </w:tcPr>
          <w:p>
            <w:pPr>
              <w:spacing w:line="300" w:lineRule="exact"/>
              <w:jc w:val="center"/>
              <w:rPr>
                <w:rFonts w:ascii="仿宋_GB2312"/>
                <w:b/>
                <w:bCs/>
                <w:color w:val="000000" w:themeColor="text1"/>
              </w:rPr>
            </w:pPr>
            <w:r>
              <w:rPr>
                <w:rFonts w:hint="eastAsia" w:ascii="仿宋_GB2312"/>
                <w:b/>
                <w:bCs/>
                <w:color w:val="000000" w:themeColor="text1"/>
              </w:rPr>
              <w:t>设备名称</w:t>
            </w:r>
          </w:p>
        </w:tc>
        <w:tc>
          <w:tcPr>
            <w:tcW w:w="1530" w:type="dxa"/>
            <w:vAlign w:val="center"/>
          </w:tcPr>
          <w:p>
            <w:pPr>
              <w:spacing w:line="300" w:lineRule="exact"/>
              <w:jc w:val="center"/>
              <w:rPr>
                <w:rFonts w:ascii="仿宋_GB2312"/>
                <w:b/>
                <w:bCs/>
                <w:color w:val="000000" w:themeColor="text1"/>
              </w:rPr>
            </w:pPr>
            <w:r>
              <w:rPr>
                <w:rFonts w:hint="eastAsia" w:ascii="仿宋_GB2312"/>
                <w:b/>
                <w:bCs/>
                <w:color w:val="000000" w:themeColor="text1"/>
              </w:rPr>
              <w:t>单位</w:t>
            </w:r>
          </w:p>
        </w:tc>
        <w:tc>
          <w:tcPr>
            <w:tcW w:w="1363" w:type="dxa"/>
            <w:vAlign w:val="center"/>
          </w:tcPr>
          <w:p>
            <w:pPr>
              <w:spacing w:line="300" w:lineRule="exact"/>
              <w:jc w:val="center"/>
              <w:rPr>
                <w:rFonts w:ascii="仿宋_GB2312"/>
                <w:b/>
                <w:bCs/>
                <w:color w:val="000000" w:themeColor="text1"/>
              </w:rPr>
            </w:pPr>
            <w:r>
              <w:rPr>
                <w:rFonts w:hint="eastAsia" w:ascii="仿宋_GB2312"/>
                <w:b/>
                <w:bCs/>
                <w:color w:val="000000" w:themeColor="text1"/>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6" w:hRule="atLeast"/>
          <w:jc w:val="center"/>
        </w:trPr>
        <w:tc>
          <w:tcPr>
            <w:tcW w:w="1206" w:type="dxa"/>
            <w:vAlign w:val="center"/>
          </w:tcPr>
          <w:p>
            <w:pPr>
              <w:spacing w:line="300" w:lineRule="exact"/>
              <w:jc w:val="center"/>
              <w:rPr>
                <w:rFonts w:ascii="仿宋_GB2312"/>
                <w:bCs/>
                <w:color w:val="000000" w:themeColor="text1"/>
              </w:rPr>
            </w:pPr>
            <w:r>
              <w:rPr>
                <w:rFonts w:hint="eastAsia" w:ascii="仿宋_GB2312"/>
                <w:bCs/>
                <w:color w:val="000000" w:themeColor="text1"/>
              </w:rPr>
              <w:t>1</w:t>
            </w:r>
          </w:p>
        </w:tc>
        <w:tc>
          <w:tcPr>
            <w:tcW w:w="5188" w:type="dxa"/>
            <w:vAlign w:val="center"/>
          </w:tcPr>
          <w:p>
            <w:pPr>
              <w:spacing w:line="300" w:lineRule="exact"/>
              <w:rPr>
                <w:rFonts w:ascii="仿宋_GB2312"/>
                <w:bCs/>
                <w:color w:val="000000" w:themeColor="text1"/>
              </w:rPr>
            </w:pPr>
            <w:r>
              <w:rPr>
                <w:rFonts w:hint="eastAsia" w:ascii="仿宋_GB2312"/>
                <w:bCs/>
                <w:color w:val="000000" w:themeColor="text1"/>
              </w:rPr>
              <w:t>应急指挥室</w:t>
            </w:r>
          </w:p>
        </w:tc>
        <w:tc>
          <w:tcPr>
            <w:tcW w:w="1530" w:type="dxa"/>
            <w:vAlign w:val="center"/>
          </w:tcPr>
          <w:p>
            <w:pPr>
              <w:spacing w:line="300" w:lineRule="exact"/>
              <w:jc w:val="center"/>
              <w:rPr>
                <w:rFonts w:ascii="仿宋_GB2312"/>
                <w:bCs/>
                <w:color w:val="000000" w:themeColor="text1"/>
              </w:rPr>
            </w:pPr>
          </w:p>
        </w:tc>
        <w:tc>
          <w:tcPr>
            <w:tcW w:w="1363" w:type="dxa"/>
            <w:vAlign w:val="center"/>
          </w:tcPr>
          <w:p>
            <w:pPr>
              <w:spacing w:line="300" w:lineRule="exact"/>
              <w:jc w:val="center"/>
              <w:rPr>
                <w:rFonts w:ascii="仿宋_GB2312"/>
                <w:bCs/>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1206" w:type="dxa"/>
            <w:noWrap/>
            <w:vAlign w:val="center"/>
          </w:tcPr>
          <w:p>
            <w:pPr>
              <w:spacing w:line="300" w:lineRule="exact"/>
              <w:jc w:val="center"/>
              <w:rPr>
                <w:rFonts w:ascii="仿宋_GB2312"/>
                <w:color w:val="000000" w:themeColor="text1"/>
              </w:rPr>
            </w:pPr>
            <w:r>
              <w:rPr>
                <w:rFonts w:hint="eastAsia" w:ascii="仿宋_GB2312"/>
                <w:color w:val="000000" w:themeColor="text1"/>
              </w:rPr>
              <w:t>1.1</w:t>
            </w:r>
          </w:p>
        </w:tc>
        <w:tc>
          <w:tcPr>
            <w:tcW w:w="5188" w:type="dxa"/>
            <w:vAlign w:val="center"/>
          </w:tcPr>
          <w:p>
            <w:pPr>
              <w:spacing w:line="300" w:lineRule="exact"/>
              <w:rPr>
                <w:rFonts w:ascii="仿宋_GB2312"/>
                <w:color w:val="000000" w:themeColor="text1"/>
              </w:rPr>
            </w:pPr>
            <w:r>
              <w:rPr>
                <w:rFonts w:hint="eastAsia" w:ascii="仿宋_GB2312"/>
                <w:color w:val="000000" w:themeColor="text1"/>
              </w:rPr>
              <w:t>接处警席位（3席位）</w:t>
            </w:r>
          </w:p>
        </w:tc>
        <w:tc>
          <w:tcPr>
            <w:tcW w:w="1530" w:type="dxa"/>
            <w:noWrap/>
            <w:vAlign w:val="center"/>
          </w:tcPr>
          <w:p>
            <w:pPr>
              <w:spacing w:line="300" w:lineRule="exact"/>
              <w:jc w:val="center"/>
              <w:rPr>
                <w:rFonts w:ascii="仿宋_GB2312"/>
                <w:color w:val="000000" w:themeColor="text1"/>
              </w:rPr>
            </w:pPr>
            <w:r>
              <w:rPr>
                <w:rFonts w:hint="eastAsia" w:ascii="仿宋_GB2312"/>
                <w:color w:val="000000" w:themeColor="text1"/>
              </w:rPr>
              <w:t>组</w:t>
            </w:r>
          </w:p>
        </w:tc>
        <w:tc>
          <w:tcPr>
            <w:tcW w:w="1363" w:type="dxa"/>
            <w:noWrap/>
            <w:vAlign w:val="center"/>
          </w:tcPr>
          <w:p>
            <w:pPr>
              <w:spacing w:line="300" w:lineRule="exact"/>
              <w:jc w:val="center"/>
              <w:rPr>
                <w:rFonts w:ascii="仿宋_GB2312"/>
                <w:color w:val="000000" w:themeColor="text1"/>
              </w:rPr>
            </w:pPr>
            <w:r>
              <w:rPr>
                <w:rFonts w:hint="eastAsia" w:ascii="仿宋_GB2312"/>
                <w:color w:val="000000" w:themeColor="text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1206" w:type="dxa"/>
            <w:noWrap/>
            <w:vAlign w:val="center"/>
          </w:tcPr>
          <w:p>
            <w:pPr>
              <w:spacing w:line="300" w:lineRule="exact"/>
              <w:jc w:val="center"/>
              <w:rPr>
                <w:rFonts w:ascii="仿宋_GB2312"/>
                <w:color w:val="000000" w:themeColor="text1"/>
              </w:rPr>
            </w:pPr>
            <w:r>
              <w:rPr>
                <w:rFonts w:hint="eastAsia" w:ascii="仿宋_GB2312"/>
                <w:color w:val="000000" w:themeColor="text1"/>
              </w:rPr>
              <w:t>1.2</w:t>
            </w:r>
          </w:p>
        </w:tc>
        <w:tc>
          <w:tcPr>
            <w:tcW w:w="5188" w:type="dxa"/>
            <w:vAlign w:val="center"/>
          </w:tcPr>
          <w:p>
            <w:pPr>
              <w:spacing w:line="300" w:lineRule="exact"/>
              <w:rPr>
                <w:rFonts w:ascii="仿宋_GB2312"/>
                <w:color w:val="000000" w:themeColor="text1"/>
              </w:rPr>
            </w:pPr>
            <w:r>
              <w:rPr>
                <w:rFonts w:hint="eastAsia" w:ascii="仿宋_GB2312"/>
                <w:color w:val="000000" w:themeColor="text1"/>
              </w:rPr>
              <w:t>指挥调度（5席位）</w:t>
            </w:r>
          </w:p>
        </w:tc>
        <w:tc>
          <w:tcPr>
            <w:tcW w:w="1530" w:type="dxa"/>
            <w:noWrap/>
            <w:vAlign w:val="center"/>
          </w:tcPr>
          <w:p>
            <w:pPr>
              <w:spacing w:line="300" w:lineRule="exact"/>
              <w:jc w:val="center"/>
              <w:rPr>
                <w:rFonts w:ascii="仿宋_GB2312"/>
                <w:color w:val="000000" w:themeColor="text1"/>
              </w:rPr>
            </w:pPr>
            <w:r>
              <w:rPr>
                <w:rFonts w:hint="eastAsia" w:ascii="仿宋_GB2312"/>
                <w:color w:val="000000" w:themeColor="text1"/>
              </w:rPr>
              <w:t>组</w:t>
            </w:r>
          </w:p>
        </w:tc>
        <w:tc>
          <w:tcPr>
            <w:tcW w:w="1363" w:type="dxa"/>
            <w:noWrap/>
            <w:vAlign w:val="center"/>
          </w:tcPr>
          <w:p>
            <w:pPr>
              <w:spacing w:line="300" w:lineRule="exact"/>
              <w:jc w:val="center"/>
              <w:rPr>
                <w:rFonts w:ascii="仿宋_GB2312"/>
                <w:color w:val="000000" w:themeColor="text1"/>
              </w:rPr>
            </w:pPr>
            <w:r>
              <w:rPr>
                <w:rFonts w:hint="eastAsia" w:ascii="仿宋_GB2312"/>
                <w:color w:val="000000" w:themeColor="text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jc w:val="center"/>
        </w:trPr>
        <w:tc>
          <w:tcPr>
            <w:tcW w:w="1206" w:type="dxa"/>
            <w:noWrap/>
            <w:vAlign w:val="center"/>
          </w:tcPr>
          <w:p>
            <w:pPr>
              <w:spacing w:line="300" w:lineRule="exact"/>
              <w:jc w:val="center"/>
              <w:rPr>
                <w:rFonts w:ascii="仿宋_GB2312"/>
                <w:color w:val="000000" w:themeColor="text1"/>
              </w:rPr>
            </w:pPr>
            <w:r>
              <w:rPr>
                <w:rFonts w:hint="eastAsia" w:ascii="仿宋_GB2312"/>
                <w:color w:val="000000" w:themeColor="text1"/>
              </w:rPr>
              <w:t>1.3</w:t>
            </w:r>
          </w:p>
        </w:tc>
        <w:tc>
          <w:tcPr>
            <w:tcW w:w="5188" w:type="dxa"/>
            <w:vAlign w:val="center"/>
          </w:tcPr>
          <w:p>
            <w:pPr>
              <w:spacing w:line="300" w:lineRule="exact"/>
              <w:rPr>
                <w:rFonts w:ascii="仿宋_GB2312"/>
                <w:color w:val="000000" w:themeColor="text1"/>
              </w:rPr>
            </w:pPr>
            <w:r>
              <w:rPr>
                <w:rFonts w:hint="eastAsia" w:ascii="仿宋_GB2312"/>
                <w:color w:val="000000" w:themeColor="text1"/>
              </w:rPr>
              <w:t>调度椅</w:t>
            </w:r>
          </w:p>
        </w:tc>
        <w:tc>
          <w:tcPr>
            <w:tcW w:w="1530" w:type="dxa"/>
            <w:noWrap/>
            <w:vAlign w:val="center"/>
          </w:tcPr>
          <w:p>
            <w:pPr>
              <w:spacing w:line="300" w:lineRule="exact"/>
              <w:jc w:val="center"/>
              <w:rPr>
                <w:rFonts w:ascii="仿宋_GB2312"/>
                <w:color w:val="000000" w:themeColor="text1"/>
              </w:rPr>
            </w:pPr>
            <w:r>
              <w:rPr>
                <w:rFonts w:hint="eastAsia" w:ascii="仿宋_GB2312"/>
                <w:color w:val="000000" w:themeColor="text1"/>
              </w:rPr>
              <w:t>张</w:t>
            </w:r>
          </w:p>
        </w:tc>
        <w:tc>
          <w:tcPr>
            <w:tcW w:w="1363" w:type="dxa"/>
            <w:noWrap/>
            <w:vAlign w:val="center"/>
          </w:tcPr>
          <w:p>
            <w:pPr>
              <w:spacing w:line="300" w:lineRule="exact"/>
              <w:jc w:val="center"/>
              <w:rPr>
                <w:rFonts w:ascii="仿宋_GB2312"/>
                <w:color w:val="000000" w:themeColor="text1"/>
              </w:rPr>
            </w:pPr>
            <w:r>
              <w:rPr>
                <w:rFonts w:hint="eastAsia" w:ascii="仿宋_GB2312"/>
                <w:color w:val="000000" w:themeColor="text1"/>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42" w:hRule="atLeast"/>
          <w:jc w:val="center"/>
        </w:trPr>
        <w:tc>
          <w:tcPr>
            <w:tcW w:w="1206" w:type="dxa"/>
            <w:noWrap/>
            <w:vAlign w:val="center"/>
          </w:tcPr>
          <w:p>
            <w:pPr>
              <w:spacing w:line="300" w:lineRule="exact"/>
              <w:jc w:val="center"/>
              <w:rPr>
                <w:rFonts w:ascii="仿宋_GB2312"/>
                <w:bCs/>
                <w:color w:val="000000" w:themeColor="text1"/>
              </w:rPr>
            </w:pPr>
            <w:r>
              <w:rPr>
                <w:rFonts w:hint="eastAsia" w:ascii="仿宋_GB2312"/>
                <w:bCs/>
                <w:color w:val="000000" w:themeColor="text1"/>
              </w:rPr>
              <w:t>2</w:t>
            </w:r>
          </w:p>
        </w:tc>
        <w:tc>
          <w:tcPr>
            <w:tcW w:w="5188" w:type="dxa"/>
            <w:vAlign w:val="center"/>
          </w:tcPr>
          <w:p>
            <w:pPr>
              <w:spacing w:line="300" w:lineRule="exact"/>
              <w:rPr>
                <w:rFonts w:ascii="仿宋_GB2312"/>
                <w:bCs/>
                <w:color w:val="000000" w:themeColor="text1"/>
              </w:rPr>
            </w:pPr>
            <w:r>
              <w:rPr>
                <w:rFonts w:hint="eastAsia" w:ascii="仿宋_GB2312"/>
                <w:bCs/>
                <w:color w:val="000000" w:themeColor="text1"/>
              </w:rPr>
              <w:t>会商作战区</w:t>
            </w:r>
          </w:p>
        </w:tc>
        <w:tc>
          <w:tcPr>
            <w:tcW w:w="1530" w:type="dxa"/>
            <w:noWrap/>
            <w:vAlign w:val="center"/>
          </w:tcPr>
          <w:p>
            <w:pPr>
              <w:spacing w:line="300" w:lineRule="exact"/>
              <w:jc w:val="center"/>
              <w:rPr>
                <w:rFonts w:ascii="仿宋_GB2312"/>
                <w:color w:val="000000" w:themeColor="text1"/>
              </w:rPr>
            </w:pPr>
          </w:p>
        </w:tc>
        <w:tc>
          <w:tcPr>
            <w:tcW w:w="1363" w:type="dxa"/>
            <w:noWrap/>
            <w:vAlign w:val="center"/>
          </w:tcPr>
          <w:p>
            <w:pPr>
              <w:spacing w:line="300" w:lineRule="exact"/>
              <w:jc w:val="center"/>
              <w:rPr>
                <w:rFonts w:ascii="仿宋_GB2312"/>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46" w:hRule="atLeast"/>
          <w:jc w:val="center"/>
        </w:trPr>
        <w:tc>
          <w:tcPr>
            <w:tcW w:w="1206" w:type="dxa"/>
            <w:noWrap/>
            <w:vAlign w:val="center"/>
          </w:tcPr>
          <w:p>
            <w:pPr>
              <w:spacing w:line="300" w:lineRule="exact"/>
              <w:jc w:val="center"/>
              <w:rPr>
                <w:rFonts w:ascii="仿宋_GB2312"/>
                <w:color w:val="000000" w:themeColor="text1"/>
              </w:rPr>
            </w:pPr>
            <w:r>
              <w:rPr>
                <w:rFonts w:hint="eastAsia" w:ascii="仿宋_GB2312"/>
                <w:color w:val="000000" w:themeColor="text1"/>
              </w:rPr>
              <w:t>2.1</w:t>
            </w:r>
          </w:p>
        </w:tc>
        <w:tc>
          <w:tcPr>
            <w:tcW w:w="5188" w:type="dxa"/>
            <w:vAlign w:val="center"/>
          </w:tcPr>
          <w:p>
            <w:pPr>
              <w:spacing w:line="300" w:lineRule="exact"/>
              <w:rPr>
                <w:rFonts w:ascii="仿宋_GB2312"/>
                <w:color w:val="000000" w:themeColor="text1"/>
              </w:rPr>
            </w:pPr>
            <w:r>
              <w:rPr>
                <w:rFonts w:hint="eastAsia" w:ascii="仿宋_GB2312"/>
                <w:color w:val="000000" w:themeColor="text1"/>
              </w:rPr>
              <w:t>会商室会议桌（10席位）</w:t>
            </w:r>
          </w:p>
        </w:tc>
        <w:tc>
          <w:tcPr>
            <w:tcW w:w="1530" w:type="dxa"/>
            <w:noWrap/>
            <w:vAlign w:val="center"/>
          </w:tcPr>
          <w:p>
            <w:pPr>
              <w:spacing w:line="300" w:lineRule="exact"/>
              <w:jc w:val="center"/>
              <w:rPr>
                <w:rFonts w:ascii="仿宋_GB2312"/>
                <w:color w:val="000000" w:themeColor="text1"/>
              </w:rPr>
            </w:pPr>
            <w:r>
              <w:rPr>
                <w:rFonts w:hint="eastAsia" w:ascii="仿宋_GB2312"/>
                <w:color w:val="000000" w:themeColor="text1"/>
              </w:rPr>
              <w:t>套</w:t>
            </w:r>
          </w:p>
        </w:tc>
        <w:tc>
          <w:tcPr>
            <w:tcW w:w="1363" w:type="dxa"/>
            <w:noWrap/>
            <w:vAlign w:val="center"/>
          </w:tcPr>
          <w:p>
            <w:pPr>
              <w:spacing w:line="300" w:lineRule="exact"/>
              <w:jc w:val="center"/>
              <w:rPr>
                <w:rFonts w:ascii="仿宋_GB2312"/>
                <w:color w:val="000000" w:themeColor="text1"/>
              </w:rPr>
            </w:pPr>
            <w:r>
              <w:rPr>
                <w:rFonts w:hint="eastAsia" w:ascii="仿宋_GB2312"/>
                <w:color w:val="000000" w:themeColor="text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1206" w:type="dxa"/>
            <w:noWrap/>
            <w:vAlign w:val="center"/>
          </w:tcPr>
          <w:p>
            <w:pPr>
              <w:spacing w:line="300" w:lineRule="exact"/>
              <w:jc w:val="center"/>
              <w:rPr>
                <w:rFonts w:ascii="仿宋_GB2312"/>
                <w:color w:val="000000" w:themeColor="text1"/>
              </w:rPr>
            </w:pPr>
            <w:r>
              <w:rPr>
                <w:rFonts w:hint="eastAsia" w:ascii="仿宋_GB2312"/>
                <w:color w:val="000000" w:themeColor="text1"/>
              </w:rPr>
              <w:t>2.2</w:t>
            </w:r>
          </w:p>
        </w:tc>
        <w:tc>
          <w:tcPr>
            <w:tcW w:w="5188" w:type="dxa"/>
            <w:vAlign w:val="center"/>
          </w:tcPr>
          <w:p>
            <w:pPr>
              <w:spacing w:line="300" w:lineRule="exact"/>
              <w:rPr>
                <w:rFonts w:ascii="仿宋_GB2312"/>
                <w:color w:val="000000" w:themeColor="text1"/>
              </w:rPr>
            </w:pPr>
            <w:r>
              <w:rPr>
                <w:rFonts w:hint="eastAsia" w:ascii="仿宋_GB2312"/>
                <w:color w:val="000000" w:themeColor="text1"/>
              </w:rPr>
              <w:t>会议椅</w:t>
            </w:r>
          </w:p>
        </w:tc>
        <w:tc>
          <w:tcPr>
            <w:tcW w:w="1530" w:type="dxa"/>
            <w:noWrap/>
            <w:vAlign w:val="center"/>
          </w:tcPr>
          <w:p>
            <w:pPr>
              <w:spacing w:line="300" w:lineRule="exact"/>
              <w:jc w:val="center"/>
              <w:rPr>
                <w:rFonts w:ascii="仿宋_GB2312"/>
                <w:color w:val="000000" w:themeColor="text1"/>
              </w:rPr>
            </w:pPr>
            <w:r>
              <w:rPr>
                <w:rFonts w:hint="eastAsia" w:ascii="仿宋_GB2312"/>
                <w:color w:val="000000" w:themeColor="text1"/>
              </w:rPr>
              <w:t>张</w:t>
            </w:r>
          </w:p>
        </w:tc>
        <w:tc>
          <w:tcPr>
            <w:tcW w:w="1363" w:type="dxa"/>
            <w:noWrap/>
            <w:vAlign w:val="center"/>
          </w:tcPr>
          <w:p>
            <w:pPr>
              <w:spacing w:line="300" w:lineRule="exact"/>
              <w:jc w:val="center"/>
              <w:rPr>
                <w:rFonts w:ascii="仿宋_GB2312"/>
                <w:color w:val="000000" w:themeColor="text1"/>
              </w:rPr>
            </w:pPr>
            <w:r>
              <w:rPr>
                <w:rFonts w:hint="eastAsia" w:ascii="仿宋_GB2312"/>
                <w:color w:val="000000" w:themeColor="text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206" w:type="dxa"/>
            <w:noWrap/>
            <w:vAlign w:val="center"/>
          </w:tcPr>
          <w:p>
            <w:pPr>
              <w:spacing w:line="300" w:lineRule="exact"/>
              <w:jc w:val="center"/>
              <w:rPr>
                <w:rFonts w:ascii="仿宋_GB2312"/>
                <w:bCs/>
                <w:color w:val="000000" w:themeColor="text1"/>
              </w:rPr>
            </w:pPr>
            <w:r>
              <w:rPr>
                <w:rFonts w:hint="eastAsia" w:ascii="仿宋_GB2312"/>
                <w:bCs/>
                <w:color w:val="000000" w:themeColor="text1"/>
              </w:rPr>
              <w:t>3</w:t>
            </w:r>
          </w:p>
        </w:tc>
        <w:tc>
          <w:tcPr>
            <w:tcW w:w="5188" w:type="dxa"/>
            <w:vAlign w:val="center"/>
          </w:tcPr>
          <w:p>
            <w:pPr>
              <w:spacing w:line="300" w:lineRule="exact"/>
              <w:rPr>
                <w:rFonts w:ascii="仿宋_GB2312"/>
                <w:bCs/>
                <w:color w:val="000000" w:themeColor="text1"/>
              </w:rPr>
            </w:pPr>
            <w:r>
              <w:rPr>
                <w:rFonts w:hint="eastAsia" w:ascii="仿宋_GB2312"/>
                <w:bCs/>
                <w:color w:val="000000" w:themeColor="text1"/>
              </w:rPr>
              <w:t>视频会议室</w:t>
            </w:r>
          </w:p>
        </w:tc>
        <w:tc>
          <w:tcPr>
            <w:tcW w:w="1530" w:type="dxa"/>
            <w:noWrap/>
            <w:vAlign w:val="center"/>
          </w:tcPr>
          <w:p>
            <w:pPr>
              <w:spacing w:line="300" w:lineRule="exact"/>
              <w:jc w:val="center"/>
              <w:rPr>
                <w:rFonts w:ascii="仿宋_GB2312"/>
                <w:color w:val="000000" w:themeColor="text1"/>
              </w:rPr>
            </w:pPr>
          </w:p>
        </w:tc>
        <w:tc>
          <w:tcPr>
            <w:tcW w:w="1363" w:type="dxa"/>
            <w:noWrap/>
            <w:vAlign w:val="center"/>
          </w:tcPr>
          <w:p>
            <w:pPr>
              <w:spacing w:line="300" w:lineRule="exact"/>
              <w:jc w:val="center"/>
              <w:rPr>
                <w:rFonts w:ascii="仿宋_GB2312"/>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206" w:type="dxa"/>
            <w:noWrap/>
            <w:vAlign w:val="center"/>
          </w:tcPr>
          <w:p>
            <w:pPr>
              <w:spacing w:line="300" w:lineRule="exact"/>
              <w:jc w:val="center"/>
              <w:rPr>
                <w:rFonts w:ascii="仿宋_GB2312"/>
                <w:color w:val="000000" w:themeColor="text1"/>
              </w:rPr>
            </w:pPr>
            <w:r>
              <w:rPr>
                <w:rFonts w:hint="eastAsia" w:ascii="仿宋_GB2312"/>
                <w:color w:val="000000" w:themeColor="text1"/>
              </w:rPr>
              <w:t>3.1</w:t>
            </w:r>
          </w:p>
        </w:tc>
        <w:tc>
          <w:tcPr>
            <w:tcW w:w="5188" w:type="dxa"/>
            <w:vAlign w:val="center"/>
          </w:tcPr>
          <w:p>
            <w:pPr>
              <w:spacing w:line="300" w:lineRule="exact"/>
              <w:rPr>
                <w:rFonts w:ascii="仿宋_GB2312"/>
                <w:color w:val="000000" w:themeColor="text1"/>
              </w:rPr>
            </w:pPr>
            <w:r>
              <w:rPr>
                <w:rFonts w:hint="eastAsia" w:ascii="仿宋_GB2312"/>
                <w:color w:val="000000" w:themeColor="text1"/>
              </w:rPr>
              <w:t>视频会议席位（5席位）</w:t>
            </w:r>
          </w:p>
        </w:tc>
        <w:tc>
          <w:tcPr>
            <w:tcW w:w="1530" w:type="dxa"/>
            <w:noWrap/>
            <w:vAlign w:val="center"/>
          </w:tcPr>
          <w:p>
            <w:pPr>
              <w:spacing w:line="300" w:lineRule="exact"/>
              <w:jc w:val="center"/>
              <w:rPr>
                <w:rFonts w:ascii="仿宋_GB2312"/>
                <w:color w:val="000000" w:themeColor="text1"/>
              </w:rPr>
            </w:pPr>
            <w:r>
              <w:rPr>
                <w:rFonts w:hint="eastAsia" w:ascii="仿宋_GB2312"/>
                <w:color w:val="000000" w:themeColor="text1"/>
              </w:rPr>
              <w:t>套</w:t>
            </w:r>
          </w:p>
        </w:tc>
        <w:tc>
          <w:tcPr>
            <w:tcW w:w="1363" w:type="dxa"/>
            <w:noWrap/>
            <w:vAlign w:val="center"/>
          </w:tcPr>
          <w:p>
            <w:pPr>
              <w:spacing w:line="300" w:lineRule="exact"/>
              <w:jc w:val="center"/>
              <w:rPr>
                <w:rFonts w:ascii="仿宋_GB2312"/>
                <w:color w:val="000000" w:themeColor="text1"/>
              </w:rPr>
            </w:pPr>
            <w:r>
              <w:rPr>
                <w:rFonts w:hint="eastAsia" w:ascii="仿宋_GB2312"/>
                <w:color w:val="000000" w:themeColor="text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206" w:type="dxa"/>
            <w:noWrap/>
            <w:vAlign w:val="center"/>
          </w:tcPr>
          <w:p>
            <w:pPr>
              <w:spacing w:line="300" w:lineRule="exact"/>
              <w:jc w:val="center"/>
              <w:rPr>
                <w:rFonts w:ascii="仿宋_GB2312"/>
                <w:color w:val="000000" w:themeColor="text1"/>
              </w:rPr>
            </w:pPr>
            <w:r>
              <w:rPr>
                <w:rFonts w:hint="eastAsia" w:ascii="仿宋_GB2312"/>
                <w:color w:val="000000" w:themeColor="text1"/>
              </w:rPr>
              <w:t>3.2</w:t>
            </w:r>
          </w:p>
        </w:tc>
        <w:tc>
          <w:tcPr>
            <w:tcW w:w="5188" w:type="dxa"/>
            <w:vAlign w:val="center"/>
          </w:tcPr>
          <w:p>
            <w:pPr>
              <w:spacing w:line="300" w:lineRule="exact"/>
              <w:rPr>
                <w:rFonts w:ascii="仿宋_GB2312"/>
                <w:color w:val="000000" w:themeColor="text1"/>
              </w:rPr>
            </w:pPr>
            <w:r>
              <w:rPr>
                <w:rFonts w:hint="eastAsia" w:ascii="仿宋_GB2312"/>
                <w:color w:val="000000" w:themeColor="text1"/>
              </w:rPr>
              <w:t>会议椅</w:t>
            </w:r>
          </w:p>
        </w:tc>
        <w:tc>
          <w:tcPr>
            <w:tcW w:w="1530" w:type="dxa"/>
            <w:noWrap/>
            <w:vAlign w:val="center"/>
          </w:tcPr>
          <w:p>
            <w:pPr>
              <w:spacing w:line="300" w:lineRule="exact"/>
              <w:jc w:val="center"/>
              <w:rPr>
                <w:rFonts w:ascii="仿宋_GB2312"/>
                <w:color w:val="000000" w:themeColor="text1"/>
              </w:rPr>
            </w:pPr>
            <w:r>
              <w:rPr>
                <w:rFonts w:hint="eastAsia" w:ascii="仿宋_GB2312"/>
                <w:color w:val="000000" w:themeColor="text1"/>
              </w:rPr>
              <w:t>张</w:t>
            </w:r>
          </w:p>
        </w:tc>
        <w:tc>
          <w:tcPr>
            <w:tcW w:w="1363" w:type="dxa"/>
            <w:noWrap/>
            <w:vAlign w:val="center"/>
          </w:tcPr>
          <w:p>
            <w:pPr>
              <w:spacing w:line="300" w:lineRule="exact"/>
              <w:jc w:val="center"/>
              <w:rPr>
                <w:rFonts w:ascii="仿宋_GB2312"/>
                <w:color w:val="000000" w:themeColor="text1"/>
              </w:rPr>
            </w:pPr>
            <w:r>
              <w:rPr>
                <w:rFonts w:hint="eastAsia" w:ascii="仿宋_GB2312"/>
                <w:color w:val="000000" w:themeColor="text1"/>
              </w:rPr>
              <w:t>15</w:t>
            </w:r>
          </w:p>
        </w:tc>
      </w:tr>
    </w:tbl>
    <w:p>
      <w:pPr>
        <w:tabs>
          <w:tab w:val="left" w:pos="900"/>
        </w:tabs>
        <w:snapToGrid w:val="0"/>
        <w:rPr>
          <w:rFonts w:ascii="宋体" w:hAnsi="宋体"/>
          <w:color w:val="000000" w:themeColor="text1"/>
        </w:rPr>
      </w:pPr>
    </w:p>
    <w:p>
      <w:pPr>
        <w:pStyle w:val="8"/>
        <w:spacing w:before="120" w:after="120"/>
        <w:ind w:firstLine="480"/>
        <w:rPr>
          <w:color w:val="000000" w:themeColor="text1"/>
        </w:rPr>
      </w:pPr>
      <w:bookmarkStart w:id="338" w:name="_Toc486840135"/>
      <w:bookmarkStart w:id="339" w:name="_Toc518771975"/>
      <w:r>
        <w:rPr>
          <w:rFonts w:hint="eastAsia"/>
          <w:color w:val="000000" w:themeColor="text1"/>
        </w:rPr>
        <w:t>1.</w:t>
      </w:r>
      <w:r>
        <w:rPr>
          <w:color w:val="000000" w:themeColor="text1"/>
        </w:rPr>
        <w:t>1.</w:t>
      </w:r>
      <w:r>
        <w:rPr>
          <w:rFonts w:hint="eastAsia"/>
          <w:color w:val="000000" w:themeColor="text1"/>
        </w:rPr>
        <w:t>3.10.2</w:t>
      </w:r>
      <w:r>
        <w:rPr>
          <w:color w:val="000000" w:themeColor="text1"/>
        </w:rPr>
        <w:t>操作控制台总体要求</w:t>
      </w:r>
      <w:bookmarkEnd w:id="338"/>
      <w:bookmarkEnd w:id="339"/>
    </w:p>
    <w:p>
      <w:pPr>
        <w:ind w:firstLine="480"/>
        <w:rPr>
          <w:color w:val="000000" w:themeColor="text1"/>
        </w:rPr>
      </w:pPr>
      <w:r>
        <w:rPr>
          <w:color w:val="000000" w:themeColor="text1"/>
        </w:rPr>
        <w:t>指挥中心专业操作控制台的应需具备以下六大要素：</w:t>
      </w:r>
    </w:p>
    <w:p>
      <w:pPr>
        <w:ind w:firstLine="480"/>
        <w:rPr>
          <w:color w:val="000000" w:themeColor="text1"/>
        </w:rPr>
      </w:pPr>
      <w:r>
        <w:rPr>
          <w:color w:val="000000" w:themeColor="text1"/>
        </w:rPr>
        <w:t>1）满足人体工学设计</w:t>
      </w:r>
    </w:p>
    <w:p>
      <w:pPr>
        <w:ind w:firstLine="480"/>
        <w:rPr>
          <w:color w:val="000000" w:themeColor="text1"/>
        </w:rPr>
      </w:pPr>
      <w:r>
        <w:rPr>
          <w:color w:val="000000" w:themeColor="text1"/>
        </w:rPr>
        <w:t>操作控制台在设计上严格遵循人体工学设计，操作控制台的设计使用方式适合人体的自然形态，操作人员在工作时，身体和精神不需要任何主动适应，从而尽量减少控制台使用造成的疲劳，使控制台和环境的设计更好地适应和满足人的生理和心理特点，让人在工作中更舒适、安全和健康。</w:t>
      </w:r>
    </w:p>
    <w:p>
      <w:pPr>
        <w:ind w:firstLine="480"/>
        <w:rPr>
          <w:color w:val="000000" w:themeColor="text1"/>
        </w:rPr>
      </w:pPr>
      <w:r>
        <w:rPr>
          <w:color w:val="000000" w:themeColor="text1"/>
        </w:rPr>
        <w:t>专业的操作控制台在台面深度不足1米的情况下，为了保证人体</w:t>
      </w:r>
      <w:r>
        <w:rPr>
          <w:rFonts w:hint="eastAsia"/>
          <w:color w:val="000000" w:themeColor="text1"/>
        </w:rPr>
        <w:t>腿部</w:t>
      </w:r>
      <w:r>
        <w:rPr>
          <w:color w:val="000000" w:themeColor="text1"/>
        </w:rPr>
        <w:t>空间的舒适度，台面下方可供</w:t>
      </w:r>
      <w:r>
        <w:rPr>
          <w:rFonts w:hint="eastAsia"/>
          <w:color w:val="000000" w:themeColor="text1"/>
        </w:rPr>
        <w:t>腿部</w:t>
      </w:r>
      <w:r>
        <w:rPr>
          <w:color w:val="000000" w:themeColor="text1"/>
        </w:rPr>
        <w:t>伸缩的空间不小于55cm。</w:t>
      </w:r>
    </w:p>
    <w:p>
      <w:pPr>
        <w:ind w:firstLine="480"/>
        <w:rPr>
          <w:color w:val="000000" w:themeColor="text1"/>
        </w:rPr>
      </w:pPr>
      <w:r>
        <w:rPr>
          <w:color w:val="000000" w:themeColor="text1"/>
        </w:rPr>
        <w:t>2）安全的设备管理能力</w:t>
      </w:r>
    </w:p>
    <w:p>
      <w:pPr>
        <w:ind w:firstLine="480"/>
        <w:rPr>
          <w:color w:val="000000" w:themeColor="text1"/>
        </w:rPr>
      </w:pPr>
      <w:r>
        <w:rPr>
          <w:color w:val="000000" w:themeColor="text1"/>
        </w:rPr>
        <w:t>专业的操作控制台将主机等设备集成在箱体内，因此必须具备自通风散热的设计，冷空气经前后封板进气，热空气自然向上对流，通过承载墙上散热孔自散热。</w:t>
      </w:r>
    </w:p>
    <w:p>
      <w:pPr>
        <w:ind w:firstLine="480"/>
        <w:rPr>
          <w:color w:val="000000" w:themeColor="text1"/>
        </w:rPr>
      </w:pPr>
      <w:r>
        <w:rPr>
          <w:color w:val="000000" w:themeColor="text1"/>
        </w:rPr>
        <w:t>3）满足操作人员安全性能及便利性</w:t>
      </w:r>
    </w:p>
    <w:p>
      <w:pPr>
        <w:ind w:firstLine="480"/>
        <w:rPr>
          <w:color w:val="000000" w:themeColor="text1"/>
        </w:rPr>
      </w:pPr>
      <w:r>
        <w:rPr>
          <w:color w:val="000000" w:themeColor="text1"/>
        </w:rPr>
        <w:t>过线口都经过圆角处理，避免利口边对设备线造成损坏，实现设备的安全；操作控制台的边缘钢结构经过圆角设计，保证人员施工、操作的安全；台面材料满足防火功能，耐高温高压。</w:t>
      </w:r>
    </w:p>
    <w:p>
      <w:pPr>
        <w:ind w:firstLine="480"/>
        <w:rPr>
          <w:color w:val="000000" w:themeColor="text1"/>
        </w:rPr>
      </w:pPr>
      <w:r>
        <w:rPr>
          <w:color w:val="000000" w:themeColor="text1"/>
        </w:rPr>
        <w:t>通过自散热系统，可以保护操作员的身体健康，保障腿部不会出现病变，对于长期坐着操作的员工来说，是比较人性化的设计。</w:t>
      </w:r>
    </w:p>
    <w:p>
      <w:pPr>
        <w:ind w:firstLine="480"/>
        <w:rPr>
          <w:color w:val="000000" w:themeColor="text1"/>
        </w:rPr>
      </w:pPr>
      <w:r>
        <w:rPr>
          <w:color w:val="000000" w:themeColor="text1"/>
        </w:rPr>
        <w:t>4）满足合理的布线和环保要求</w:t>
      </w:r>
    </w:p>
    <w:p>
      <w:pPr>
        <w:ind w:firstLine="480"/>
        <w:rPr>
          <w:color w:val="000000" w:themeColor="text1"/>
        </w:rPr>
      </w:pPr>
      <w:r>
        <w:rPr>
          <w:color w:val="000000" w:themeColor="text1"/>
        </w:rPr>
        <w:t>操作控制台内部配有合理的横向及纵向强弱电线槽，保证电源线及信号线有双向走动，并保证互不干扰，实现强弱电分开的信号安全。</w:t>
      </w:r>
    </w:p>
    <w:p>
      <w:pPr>
        <w:ind w:firstLine="480"/>
        <w:rPr>
          <w:color w:val="000000" w:themeColor="text1"/>
        </w:rPr>
      </w:pPr>
      <w:r>
        <w:rPr>
          <w:color w:val="000000" w:themeColor="text1"/>
        </w:rPr>
        <w:t>5）模块化设计和结构再造</w:t>
      </w:r>
    </w:p>
    <w:p>
      <w:pPr>
        <w:ind w:firstLine="480"/>
        <w:rPr>
          <w:color w:val="000000" w:themeColor="text1"/>
        </w:rPr>
      </w:pPr>
      <w:r>
        <w:rPr>
          <w:color w:val="000000" w:themeColor="text1"/>
        </w:rPr>
        <w:t>专业的操作控制台设备应采用模块化结构设计，安装搭建便利性。</w:t>
      </w:r>
    </w:p>
    <w:p>
      <w:pPr>
        <w:ind w:firstLine="480"/>
        <w:rPr>
          <w:color w:val="000000" w:themeColor="text1"/>
        </w:rPr>
      </w:pPr>
      <w:r>
        <w:rPr>
          <w:color w:val="000000" w:themeColor="text1"/>
        </w:rPr>
        <w:t>考虑到指挥中心各功能区域的可变化性，后期可根据需求进行各功能区域结构再造，极大的降低了后期结构再造的成本。</w:t>
      </w:r>
    </w:p>
    <w:p>
      <w:pPr>
        <w:ind w:firstLine="480"/>
        <w:rPr>
          <w:color w:val="000000" w:themeColor="text1"/>
        </w:rPr>
      </w:pPr>
      <w:r>
        <w:rPr>
          <w:color w:val="000000" w:themeColor="text1"/>
        </w:rPr>
        <w:t>6）外形美观及布局的合理性</w:t>
      </w:r>
    </w:p>
    <w:p>
      <w:pPr>
        <w:ind w:firstLine="480"/>
        <w:rPr>
          <w:color w:val="000000" w:themeColor="text1"/>
        </w:rPr>
      </w:pPr>
      <w:r>
        <w:rPr>
          <w:color w:val="000000" w:themeColor="text1"/>
        </w:rPr>
        <w:t>操作控制台具有美观、大气、简捷、实用的特点。台面及墙体具有多种颜色可选搭配；避免外表面显眼处有镙钉、铆钉眼出现。</w:t>
      </w:r>
    </w:p>
    <w:p>
      <w:pPr>
        <w:ind w:firstLine="480"/>
        <w:rPr>
          <w:color w:val="000000" w:themeColor="text1"/>
        </w:rPr>
      </w:pPr>
      <w:r>
        <w:rPr>
          <w:color w:val="000000" w:themeColor="text1"/>
        </w:rPr>
        <w:t>根据指挥中心的接处警及联合作战需求，提供合理控制台布局方案，根据不同的控制室以及需要实现的功能、工位的摆设、以及控制台的结构都有着独特的设计理念；并考虑了操作人员协同工作的要求进行设计，最大程度的提高操作人员工作效率，同时对设备的安装使用、维护、以及布线系统作出了最大限度的优化，使安装维护更省心省力，布线管理更容易。</w:t>
      </w:r>
    </w:p>
    <w:tbl>
      <w:tblPr>
        <w:tblStyle w:val="53"/>
        <w:tblW w:w="6199" w:type="dxa"/>
        <w:jc w:val="center"/>
        <w:tblInd w:w="2512" w:type="dxa"/>
        <w:tblLayout w:type="fixed"/>
        <w:tblCellMar>
          <w:top w:w="0" w:type="dxa"/>
          <w:left w:w="30" w:type="dxa"/>
          <w:bottom w:w="0" w:type="dxa"/>
          <w:right w:w="30" w:type="dxa"/>
        </w:tblCellMar>
      </w:tblPr>
      <w:tblGrid>
        <w:gridCol w:w="1973"/>
        <w:gridCol w:w="1766"/>
        <w:gridCol w:w="2460"/>
      </w:tblGrid>
      <w:tr>
        <w:tblPrEx>
          <w:tblLayout w:type="fixed"/>
          <w:tblCellMar>
            <w:top w:w="0" w:type="dxa"/>
            <w:left w:w="30" w:type="dxa"/>
            <w:bottom w:w="0" w:type="dxa"/>
            <w:right w:w="30" w:type="dxa"/>
          </w:tblCellMar>
        </w:tblPrEx>
        <w:trPr>
          <w:trHeight w:val="271" w:hRule="atLeast"/>
          <w:jc w:val="center"/>
        </w:trPr>
        <w:tc>
          <w:tcPr>
            <w:tcW w:w="1973"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00" w:lineRule="exact"/>
              <w:jc w:val="center"/>
              <w:rPr>
                <w:rFonts w:ascii="仿宋_GB2312" w:cs="宋体"/>
                <w:b/>
                <w:color w:val="000000" w:themeColor="text1"/>
              </w:rPr>
            </w:pPr>
            <w:r>
              <w:rPr>
                <w:rFonts w:hint="eastAsia" w:ascii="仿宋_GB2312" w:cs="宋体"/>
                <w:b/>
                <w:color w:val="000000" w:themeColor="text1"/>
              </w:rPr>
              <w:t>地区</w:t>
            </w:r>
          </w:p>
        </w:tc>
        <w:tc>
          <w:tcPr>
            <w:tcW w:w="176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00" w:lineRule="exact"/>
              <w:jc w:val="center"/>
              <w:rPr>
                <w:rFonts w:ascii="仿宋_GB2312" w:cs="宋体"/>
                <w:b/>
                <w:color w:val="000000" w:themeColor="text1"/>
              </w:rPr>
            </w:pPr>
            <w:r>
              <w:rPr>
                <w:rFonts w:hint="eastAsia" w:ascii="仿宋_GB2312" w:cs="宋体"/>
                <w:b/>
                <w:color w:val="000000" w:themeColor="text1"/>
              </w:rPr>
              <w:t>分配比例</w:t>
            </w:r>
          </w:p>
        </w:tc>
        <w:tc>
          <w:tcPr>
            <w:tcW w:w="2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00" w:lineRule="exact"/>
              <w:jc w:val="center"/>
              <w:rPr>
                <w:rFonts w:ascii="仿宋_GB2312" w:cs="宋体"/>
                <w:b/>
                <w:color w:val="000000" w:themeColor="text1"/>
              </w:rPr>
            </w:pPr>
            <w:r>
              <w:rPr>
                <w:rFonts w:hint="eastAsia" w:ascii="仿宋_GB2312" w:cs="宋体"/>
                <w:b/>
                <w:color w:val="000000" w:themeColor="text1"/>
              </w:rPr>
              <w:t>备注</w:t>
            </w:r>
          </w:p>
        </w:tc>
      </w:tr>
      <w:tr>
        <w:tblPrEx>
          <w:tblLayout w:type="fixed"/>
          <w:tblCellMar>
            <w:top w:w="0" w:type="dxa"/>
            <w:left w:w="30" w:type="dxa"/>
            <w:bottom w:w="0" w:type="dxa"/>
            <w:right w:w="30" w:type="dxa"/>
          </w:tblCellMar>
        </w:tblPrEx>
        <w:trPr>
          <w:trHeight w:val="271" w:hRule="atLeast"/>
          <w:jc w:val="center"/>
        </w:trPr>
        <w:tc>
          <w:tcPr>
            <w:tcW w:w="1973"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00" w:lineRule="exact"/>
              <w:jc w:val="center"/>
              <w:rPr>
                <w:rFonts w:ascii="仿宋_GB2312" w:cs="宋体"/>
                <w:color w:val="000000" w:themeColor="text1"/>
              </w:rPr>
            </w:pPr>
            <w:r>
              <w:rPr>
                <w:rFonts w:hint="eastAsia" w:ascii="仿宋_GB2312" w:cs="宋体"/>
                <w:color w:val="000000" w:themeColor="text1"/>
              </w:rPr>
              <w:t>市本级</w:t>
            </w:r>
          </w:p>
        </w:tc>
        <w:tc>
          <w:tcPr>
            <w:tcW w:w="176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00" w:lineRule="exact"/>
              <w:jc w:val="center"/>
              <w:rPr>
                <w:rFonts w:ascii="仿宋_GB2312"/>
                <w:color w:val="000000" w:themeColor="text1"/>
              </w:rPr>
            </w:pPr>
            <w:r>
              <w:rPr>
                <w:rFonts w:hint="eastAsia" w:ascii="仿宋_GB2312"/>
                <w:color w:val="000000" w:themeColor="text1"/>
              </w:rPr>
              <w:t>6.62%</w:t>
            </w:r>
          </w:p>
        </w:tc>
        <w:tc>
          <w:tcPr>
            <w:tcW w:w="2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00" w:lineRule="exact"/>
              <w:jc w:val="center"/>
              <w:rPr>
                <w:rFonts w:ascii="仿宋_GB2312" w:cs="宋体"/>
                <w:color w:val="000000" w:themeColor="text1"/>
              </w:rPr>
            </w:pPr>
            <w:r>
              <w:rPr>
                <w:rFonts w:hint="eastAsia" w:ascii="仿宋_GB2312" w:cs="宋体"/>
                <w:color w:val="000000" w:themeColor="text1"/>
              </w:rPr>
              <w:t>综治实战业务应用其他费用由市本级出资</w:t>
            </w:r>
          </w:p>
        </w:tc>
      </w:tr>
      <w:tr>
        <w:tblPrEx>
          <w:tblLayout w:type="fixed"/>
          <w:tblCellMar>
            <w:top w:w="0" w:type="dxa"/>
            <w:left w:w="30" w:type="dxa"/>
            <w:bottom w:w="0" w:type="dxa"/>
            <w:right w:w="30" w:type="dxa"/>
          </w:tblCellMar>
        </w:tblPrEx>
        <w:trPr>
          <w:trHeight w:val="271" w:hRule="atLeast"/>
          <w:jc w:val="center"/>
        </w:trPr>
        <w:tc>
          <w:tcPr>
            <w:tcW w:w="1973"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00" w:lineRule="exact"/>
              <w:jc w:val="center"/>
              <w:rPr>
                <w:rFonts w:ascii="仿宋_GB2312" w:cs="宋体"/>
                <w:color w:val="000000" w:themeColor="text1"/>
              </w:rPr>
            </w:pPr>
            <w:r>
              <w:rPr>
                <w:rFonts w:hint="eastAsia" w:ascii="仿宋_GB2312" w:cs="宋体"/>
                <w:color w:val="000000" w:themeColor="text1"/>
              </w:rPr>
              <w:t>交警</w:t>
            </w:r>
          </w:p>
        </w:tc>
        <w:tc>
          <w:tcPr>
            <w:tcW w:w="176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00" w:lineRule="exact"/>
              <w:jc w:val="center"/>
              <w:rPr>
                <w:rFonts w:ascii="仿宋_GB2312"/>
                <w:color w:val="000000" w:themeColor="text1"/>
              </w:rPr>
            </w:pPr>
            <w:r>
              <w:rPr>
                <w:rFonts w:hint="eastAsia" w:ascii="仿宋_GB2312"/>
                <w:color w:val="000000" w:themeColor="text1"/>
              </w:rPr>
              <w:t>14.76%</w:t>
            </w:r>
          </w:p>
        </w:tc>
        <w:tc>
          <w:tcPr>
            <w:tcW w:w="2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00" w:lineRule="exact"/>
              <w:jc w:val="center"/>
              <w:rPr>
                <w:rFonts w:ascii="仿宋_GB2312" w:cs="宋体"/>
                <w:color w:val="000000" w:themeColor="text1"/>
              </w:rPr>
            </w:pPr>
          </w:p>
        </w:tc>
      </w:tr>
      <w:tr>
        <w:tblPrEx>
          <w:tblLayout w:type="fixed"/>
          <w:tblCellMar>
            <w:top w:w="0" w:type="dxa"/>
            <w:left w:w="30" w:type="dxa"/>
            <w:bottom w:w="0" w:type="dxa"/>
            <w:right w:w="30" w:type="dxa"/>
          </w:tblCellMar>
        </w:tblPrEx>
        <w:trPr>
          <w:trHeight w:val="271" w:hRule="atLeast"/>
          <w:jc w:val="center"/>
        </w:trPr>
        <w:tc>
          <w:tcPr>
            <w:tcW w:w="1973"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00" w:lineRule="exact"/>
              <w:jc w:val="center"/>
              <w:rPr>
                <w:rFonts w:ascii="仿宋_GB2312" w:cs="宋体"/>
                <w:color w:val="000000" w:themeColor="text1"/>
              </w:rPr>
            </w:pPr>
            <w:r>
              <w:rPr>
                <w:rFonts w:hint="eastAsia" w:ascii="仿宋_GB2312" w:cs="宋体"/>
                <w:color w:val="000000" w:themeColor="text1"/>
              </w:rPr>
              <w:t>婺城区</w:t>
            </w:r>
          </w:p>
        </w:tc>
        <w:tc>
          <w:tcPr>
            <w:tcW w:w="176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00" w:lineRule="exact"/>
              <w:jc w:val="center"/>
              <w:rPr>
                <w:rFonts w:ascii="仿宋_GB2312"/>
                <w:color w:val="000000" w:themeColor="text1"/>
              </w:rPr>
            </w:pPr>
            <w:r>
              <w:rPr>
                <w:rFonts w:hint="eastAsia" w:ascii="仿宋_GB2312"/>
                <w:color w:val="000000" w:themeColor="text1"/>
              </w:rPr>
              <w:t>6.06%</w:t>
            </w:r>
          </w:p>
        </w:tc>
        <w:tc>
          <w:tcPr>
            <w:tcW w:w="2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00" w:lineRule="exact"/>
              <w:jc w:val="center"/>
              <w:rPr>
                <w:rFonts w:ascii="仿宋_GB2312" w:cs="宋体"/>
                <w:color w:val="000000" w:themeColor="text1"/>
              </w:rPr>
            </w:pPr>
          </w:p>
        </w:tc>
      </w:tr>
      <w:tr>
        <w:tblPrEx>
          <w:tblLayout w:type="fixed"/>
          <w:tblCellMar>
            <w:top w:w="0" w:type="dxa"/>
            <w:left w:w="30" w:type="dxa"/>
            <w:bottom w:w="0" w:type="dxa"/>
            <w:right w:w="30" w:type="dxa"/>
          </w:tblCellMar>
        </w:tblPrEx>
        <w:trPr>
          <w:trHeight w:val="271" w:hRule="atLeast"/>
          <w:jc w:val="center"/>
        </w:trPr>
        <w:tc>
          <w:tcPr>
            <w:tcW w:w="1973"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00" w:lineRule="exact"/>
              <w:jc w:val="center"/>
              <w:rPr>
                <w:rFonts w:ascii="仿宋_GB2312" w:cs="宋体"/>
                <w:color w:val="000000" w:themeColor="text1"/>
              </w:rPr>
            </w:pPr>
            <w:r>
              <w:rPr>
                <w:rFonts w:hint="eastAsia" w:ascii="仿宋_GB2312" w:cs="宋体"/>
                <w:color w:val="000000" w:themeColor="text1"/>
              </w:rPr>
              <w:t>开发区</w:t>
            </w:r>
          </w:p>
        </w:tc>
        <w:tc>
          <w:tcPr>
            <w:tcW w:w="176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00" w:lineRule="exact"/>
              <w:jc w:val="center"/>
              <w:rPr>
                <w:rFonts w:ascii="仿宋_GB2312"/>
                <w:color w:val="000000" w:themeColor="text1"/>
              </w:rPr>
            </w:pPr>
            <w:r>
              <w:rPr>
                <w:rFonts w:hint="eastAsia" w:ascii="仿宋_GB2312"/>
                <w:color w:val="000000" w:themeColor="text1"/>
              </w:rPr>
              <w:t>4.67%</w:t>
            </w:r>
          </w:p>
        </w:tc>
        <w:tc>
          <w:tcPr>
            <w:tcW w:w="2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00" w:lineRule="exact"/>
              <w:jc w:val="center"/>
              <w:rPr>
                <w:rFonts w:ascii="仿宋_GB2312" w:cs="宋体"/>
                <w:color w:val="000000" w:themeColor="text1"/>
              </w:rPr>
            </w:pPr>
          </w:p>
        </w:tc>
      </w:tr>
      <w:tr>
        <w:tblPrEx>
          <w:tblLayout w:type="fixed"/>
          <w:tblCellMar>
            <w:top w:w="0" w:type="dxa"/>
            <w:left w:w="30" w:type="dxa"/>
            <w:bottom w:w="0" w:type="dxa"/>
            <w:right w:w="30" w:type="dxa"/>
          </w:tblCellMar>
        </w:tblPrEx>
        <w:trPr>
          <w:trHeight w:val="271" w:hRule="atLeast"/>
          <w:jc w:val="center"/>
        </w:trPr>
        <w:tc>
          <w:tcPr>
            <w:tcW w:w="1973"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00" w:lineRule="exact"/>
              <w:jc w:val="center"/>
              <w:rPr>
                <w:rFonts w:ascii="仿宋_GB2312" w:cs="宋体"/>
                <w:color w:val="000000" w:themeColor="text1"/>
              </w:rPr>
            </w:pPr>
            <w:r>
              <w:rPr>
                <w:rFonts w:hint="eastAsia" w:ascii="仿宋_GB2312" w:cs="宋体"/>
                <w:color w:val="000000" w:themeColor="text1"/>
              </w:rPr>
              <w:t>金东区</w:t>
            </w:r>
          </w:p>
        </w:tc>
        <w:tc>
          <w:tcPr>
            <w:tcW w:w="176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00" w:lineRule="exact"/>
              <w:jc w:val="center"/>
              <w:rPr>
                <w:rFonts w:ascii="仿宋_GB2312"/>
                <w:color w:val="000000" w:themeColor="text1"/>
              </w:rPr>
            </w:pPr>
            <w:r>
              <w:rPr>
                <w:rFonts w:hint="eastAsia" w:ascii="仿宋_GB2312"/>
                <w:color w:val="000000" w:themeColor="text1"/>
              </w:rPr>
              <w:t>6.06%</w:t>
            </w:r>
          </w:p>
        </w:tc>
        <w:tc>
          <w:tcPr>
            <w:tcW w:w="2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00" w:lineRule="exact"/>
              <w:jc w:val="center"/>
              <w:rPr>
                <w:rFonts w:ascii="仿宋_GB2312" w:cs="宋体"/>
                <w:color w:val="000000" w:themeColor="text1"/>
              </w:rPr>
            </w:pPr>
          </w:p>
        </w:tc>
      </w:tr>
      <w:tr>
        <w:tblPrEx>
          <w:tblLayout w:type="fixed"/>
          <w:tblCellMar>
            <w:top w:w="0" w:type="dxa"/>
            <w:left w:w="30" w:type="dxa"/>
            <w:bottom w:w="0" w:type="dxa"/>
            <w:right w:w="30" w:type="dxa"/>
          </w:tblCellMar>
        </w:tblPrEx>
        <w:trPr>
          <w:trHeight w:val="271" w:hRule="atLeast"/>
          <w:jc w:val="center"/>
        </w:trPr>
        <w:tc>
          <w:tcPr>
            <w:tcW w:w="1973"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00" w:lineRule="exact"/>
              <w:jc w:val="center"/>
              <w:rPr>
                <w:rFonts w:ascii="仿宋_GB2312" w:cs="宋体"/>
                <w:color w:val="000000" w:themeColor="text1"/>
              </w:rPr>
            </w:pPr>
            <w:r>
              <w:rPr>
                <w:rFonts w:hint="eastAsia" w:ascii="仿宋_GB2312" w:cs="宋体"/>
                <w:color w:val="000000" w:themeColor="text1"/>
              </w:rPr>
              <w:t>金义都</w:t>
            </w:r>
          </w:p>
        </w:tc>
        <w:tc>
          <w:tcPr>
            <w:tcW w:w="176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00" w:lineRule="exact"/>
              <w:jc w:val="center"/>
              <w:rPr>
                <w:rFonts w:ascii="仿宋_GB2312"/>
                <w:color w:val="000000" w:themeColor="text1"/>
              </w:rPr>
            </w:pPr>
            <w:r>
              <w:rPr>
                <w:rFonts w:hint="eastAsia" w:ascii="仿宋_GB2312"/>
                <w:color w:val="000000" w:themeColor="text1"/>
              </w:rPr>
              <w:t>2.88%</w:t>
            </w:r>
          </w:p>
        </w:tc>
        <w:tc>
          <w:tcPr>
            <w:tcW w:w="2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00" w:lineRule="exact"/>
              <w:jc w:val="center"/>
              <w:rPr>
                <w:rFonts w:ascii="仿宋_GB2312" w:cs="宋体"/>
                <w:color w:val="000000" w:themeColor="text1"/>
              </w:rPr>
            </w:pPr>
          </w:p>
        </w:tc>
      </w:tr>
      <w:tr>
        <w:tblPrEx>
          <w:tblLayout w:type="fixed"/>
          <w:tblCellMar>
            <w:top w:w="0" w:type="dxa"/>
            <w:left w:w="30" w:type="dxa"/>
            <w:bottom w:w="0" w:type="dxa"/>
            <w:right w:w="30" w:type="dxa"/>
          </w:tblCellMar>
        </w:tblPrEx>
        <w:trPr>
          <w:trHeight w:val="271" w:hRule="atLeast"/>
          <w:jc w:val="center"/>
        </w:trPr>
        <w:tc>
          <w:tcPr>
            <w:tcW w:w="1973" w:type="dxa"/>
            <w:tcBorders>
              <w:top w:val="single" w:color="auto" w:sz="6" w:space="0"/>
              <w:left w:val="single" w:color="auto" w:sz="6" w:space="0"/>
              <w:bottom w:val="single" w:color="auto" w:sz="6" w:space="0"/>
              <w:right w:val="single" w:color="auto" w:sz="6" w:space="0"/>
            </w:tcBorders>
            <w:shd w:val="solid" w:color="FFFFFF" w:fill="auto"/>
          </w:tcPr>
          <w:p>
            <w:pPr>
              <w:autoSpaceDE w:val="0"/>
              <w:autoSpaceDN w:val="0"/>
              <w:adjustRightInd w:val="0"/>
              <w:spacing w:line="300" w:lineRule="exact"/>
              <w:jc w:val="center"/>
              <w:rPr>
                <w:rFonts w:ascii="仿宋_GB2312" w:cs="宋体"/>
                <w:color w:val="000000" w:themeColor="text1"/>
              </w:rPr>
            </w:pPr>
            <w:r>
              <w:rPr>
                <w:rFonts w:hint="eastAsia" w:ascii="仿宋_GB2312" w:cs="宋体"/>
                <w:color w:val="000000" w:themeColor="text1"/>
              </w:rPr>
              <w:t>兰溪</w:t>
            </w:r>
          </w:p>
        </w:tc>
        <w:tc>
          <w:tcPr>
            <w:tcW w:w="176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00" w:lineRule="exact"/>
              <w:jc w:val="center"/>
              <w:rPr>
                <w:rFonts w:ascii="仿宋_GB2312"/>
                <w:color w:val="000000" w:themeColor="text1"/>
              </w:rPr>
            </w:pPr>
            <w:r>
              <w:rPr>
                <w:rFonts w:hint="eastAsia" w:ascii="仿宋_GB2312"/>
                <w:color w:val="000000" w:themeColor="text1"/>
              </w:rPr>
              <w:t>6.14%</w:t>
            </w:r>
          </w:p>
        </w:tc>
        <w:tc>
          <w:tcPr>
            <w:tcW w:w="2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00" w:lineRule="exact"/>
              <w:jc w:val="center"/>
              <w:rPr>
                <w:rFonts w:ascii="仿宋_GB2312" w:cs="宋体"/>
                <w:color w:val="000000" w:themeColor="text1"/>
              </w:rPr>
            </w:pPr>
          </w:p>
        </w:tc>
      </w:tr>
      <w:tr>
        <w:tblPrEx>
          <w:tblLayout w:type="fixed"/>
          <w:tblCellMar>
            <w:top w:w="0" w:type="dxa"/>
            <w:left w:w="30" w:type="dxa"/>
            <w:bottom w:w="0" w:type="dxa"/>
            <w:right w:w="30" w:type="dxa"/>
          </w:tblCellMar>
        </w:tblPrEx>
        <w:trPr>
          <w:trHeight w:val="271" w:hRule="atLeast"/>
          <w:jc w:val="center"/>
        </w:trPr>
        <w:tc>
          <w:tcPr>
            <w:tcW w:w="1973" w:type="dxa"/>
            <w:tcBorders>
              <w:top w:val="single" w:color="auto" w:sz="6" w:space="0"/>
              <w:left w:val="single" w:color="auto" w:sz="6" w:space="0"/>
              <w:bottom w:val="single" w:color="auto" w:sz="6" w:space="0"/>
              <w:right w:val="single" w:color="auto" w:sz="6" w:space="0"/>
            </w:tcBorders>
            <w:shd w:val="solid" w:color="FFFFFF" w:fill="auto"/>
          </w:tcPr>
          <w:p>
            <w:pPr>
              <w:autoSpaceDE w:val="0"/>
              <w:autoSpaceDN w:val="0"/>
              <w:adjustRightInd w:val="0"/>
              <w:spacing w:line="300" w:lineRule="exact"/>
              <w:jc w:val="center"/>
              <w:rPr>
                <w:rFonts w:ascii="仿宋_GB2312" w:cs="宋体"/>
                <w:color w:val="000000" w:themeColor="text1"/>
              </w:rPr>
            </w:pPr>
            <w:r>
              <w:rPr>
                <w:rFonts w:hint="eastAsia" w:ascii="仿宋_GB2312" w:cs="宋体"/>
                <w:color w:val="000000" w:themeColor="text1"/>
              </w:rPr>
              <w:t>义乌</w:t>
            </w:r>
          </w:p>
        </w:tc>
        <w:tc>
          <w:tcPr>
            <w:tcW w:w="176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00" w:lineRule="exact"/>
              <w:jc w:val="center"/>
              <w:rPr>
                <w:rFonts w:ascii="仿宋_GB2312"/>
                <w:color w:val="000000" w:themeColor="text1"/>
              </w:rPr>
            </w:pPr>
            <w:r>
              <w:rPr>
                <w:rFonts w:hint="eastAsia" w:ascii="仿宋_GB2312"/>
                <w:color w:val="000000" w:themeColor="text1"/>
              </w:rPr>
              <w:t>20.44%</w:t>
            </w:r>
          </w:p>
        </w:tc>
        <w:tc>
          <w:tcPr>
            <w:tcW w:w="2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00" w:lineRule="exact"/>
              <w:jc w:val="center"/>
              <w:rPr>
                <w:rFonts w:ascii="仿宋_GB2312" w:cs="宋体"/>
                <w:color w:val="000000" w:themeColor="text1"/>
              </w:rPr>
            </w:pPr>
          </w:p>
        </w:tc>
      </w:tr>
      <w:tr>
        <w:tblPrEx>
          <w:tblLayout w:type="fixed"/>
          <w:tblCellMar>
            <w:top w:w="0" w:type="dxa"/>
            <w:left w:w="30" w:type="dxa"/>
            <w:bottom w:w="0" w:type="dxa"/>
            <w:right w:w="30" w:type="dxa"/>
          </w:tblCellMar>
        </w:tblPrEx>
        <w:trPr>
          <w:trHeight w:val="271" w:hRule="atLeast"/>
          <w:jc w:val="center"/>
        </w:trPr>
        <w:tc>
          <w:tcPr>
            <w:tcW w:w="1973" w:type="dxa"/>
            <w:tcBorders>
              <w:top w:val="single" w:color="auto" w:sz="6" w:space="0"/>
              <w:left w:val="single" w:color="auto" w:sz="6" w:space="0"/>
              <w:bottom w:val="single" w:color="auto" w:sz="6" w:space="0"/>
              <w:right w:val="single" w:color="auto" w:sz="6" w:space="0"/>
            </w:tcBorders>
            <w:shd w:val="solid" w:color="FFFFFF" w:fill="auto"/>
          </w:tcPr>
          <w:p>
            <w:pPr>
              <w:autoSpaceDE w:val="0"/>
              <w:autoSpaceDN w:val="0"/>
              <w:adjustRightInd w:val="0"/>
              <w:spacing w:line="300" w:lineRule="exact"/>
              <w:jc w:val="center"/>
              <w:rPr>
                <w:rFonts w:ascii="仿宋_GB2312" w:cs="宋体"/>
                <w:color w:val="000000" w:themeColor="text1"/>
              </w:rPr>
            </w:pPr>
            <w:r>
              <w:rPr>
                <w:rFonts w:hint="eastAsia" w:ascii="仿宋_GB2312" w:cs="宋体"/>
                <w:color w:val="000000" w:themeColor="text1"/>
              </w:rPr>
              <w:t>东阳</w:t>
            </w:r>
          </w:p>
        </w:tc>
        <w:tc>
          <w:tcPr>
            <w:tcW w:w="176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00" w:lineRule="exact"/>
              <w:jc w:val="center"/>
              <w:rPr>
                <w:rFonts w:ascii="仿宋_GB2312"/>
                <w:color w:val="000000" w:themeColor="text1"/>
              </w:rPr>
            </w:pPr>
            <w:r>
              <w:rPr>
                <w:rFonts w:hint="eastAsia" w:ascii="仿宋_GB2312"/>
                <w:color w:val="000000" w:themeColor="text1"/>
              </w:rPr>
              <w:t>12.48%</w:t>
            </w:r>
          </w:p>
        </w:tc>
        <w:tc>
          <w:tcPr>
            <w:tcW w:w="2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00" w:lineRule="exact"/>
              <w:jc w:val="center"/>
              <w:rPr>
                <w:rFonts w:ascii="仿宋_GB2312" w:cs="宋体"/>
                <w:color w:val="000000" w:themeColor="text1"/>
              </w:rPr>
            </w:pPr>
          </w:p>
        </w:tc>
      </w:tr>
      <w:tr>
        <w:tblPrEx>
          <w:tblLayout w:type="fixed"/>
          <w:tblCellMar>
            <w:top w:w="0" w:type="dxa"/>
            <w:left w:w="30" w:type="dxa"/>
            <w:bottom w:w="0" w:type="dxa"/>
            <w:right w:w="30" w:type="dxa"/>
          </w:tblCellMar>
        </w:tblPrEx>
        <w:trPr>
          <w:trHeight w:val="271" w:hRule="atLeast"/>
          <w:jc w:val="center"/>
        </w:trPr>
        <w:tc>
          <w:tcPr>
            <w:tcW w:w="1973" w:type="dxa"/>
            <w:tcBorders>
              <w:top w:val="single" w:color="auto" w:sz="6" w:space="0"/>
              <w:left w:val="single" w:color="auto" w:sz="6" w:space="0"/>
              <w:bottom w:val="single" w:color="auto" w:sz="6" w:space="0"/>
              <w:right w:val="single" w:color="auto" w:sz="6" w:space="0"/>
            </w:tcBorders>
            <w:shd w:val="solid" w:color="FFFFFF" w:fill="auto"/>
          </w:tcPr>
          <w:p>
            <w:pPr>
              <w:autoSpaceDE w:val="0"/>
              <w:autoSpaceDN w:val="0"/>
              <w:adjustRightInd w:val="0"/>
              <w:spacing w:line="300" w:lineRule="exact"/>
              <w:jc w:val="center"/>
              <w:rPr>
                <w:rFonts w:ascii="仿宋_GB2312" w:cs="宋体"/>
                <w:color w:val="000000" w:themeColor="text1"/>
              </w:rPr>
            </w:pPr>
            <w:r>
              <w:rPr>
                <w:rFonts w:hint="eastAsia" w:ascii="仿宋_GB2312" w:cs="宋体"/>
                <w:color w:val="000000" w:themeColor="text1"/>
              </w:rPr>
              <w:t>永康</w:t>
            </w:r>
          </w:p>
        </w:tc>
        <w:tc>
          <w:tcPr>
            <w:tcW w:w="176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00" w:lineRule="exact"/>
              <w:jc w:val="center"/>
              <w:rPr>
                <w:rFonts w:ascii="仿宋_GB2312"/>
                <w:color w:val="000000" w:themeColor="text1"/>
              </w:rPr>
            </w:pPr>
            <w:r>
              <w:rPr>
                <w:rFonts w:hint="eastAsia" w:ascii="仿宋_GB2312"/>
                <w:color w:val="000000" w:themeColor="text1"/>
              </w:rPr>
              <w:t>6.33%</w:t>
            </w:r>
          </w:p>
        </w:tc>
        <w:tc>
          <w:tcPr>
            <w:tcW w:w="2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00" w:lineRule="exact"/>
              <w:jc w:val="center"/>
              <w:rPr>
                <w:rFonts w:ascii="仿宋_GB2312" w:cs="宋体"/>
                <w:color w:val="000000" w:themeColor="text1"/>
              </w:rPr>
            </w:pPr>
          </w:p>
        </w:tc>
      </w:tr>
      <w:tr>
        <w:tblPrEx>
          <w:tblLayout w:type="fixed"/>
          <w:tblCellMar>
            <w:top w:w="0" w:type="dxa"/>
            <w:left w:w="30" w:type="dxa"/>
            <w:bottom w:w="0" w:type="dxa"/>
            <w:right w:w="30" w:type="dxa"/>
          </w:tblCellMar>
        </w:tblPrEx>
        <w:trPr>
          <w:trHeight w:val="271" w:hRule="atLeast"/>
          <w:jc w:val="center"/>
        </w:trPr>
        <w:tc>
          <w:tcPr>
            <w:tcW w:w="1973" w:type="dxa"/>
            <w:tcBorders>
              <w:top w:val="single" w:color="auto" w:sz="6" w:space="0"/>
              <w:left w:val="single" w:color="auto" w:sz="6" w:space="0"/>
              <w:bottom w:val="single" w:color="auto" w:sz="6" w:space="0"/>
              <w:right w:val="single" w:color="auto" w:sz="6" w:space="0"/>
            </w:tcBorders>
            <w:shd w:val="solid" w:color="FFFFFF" w:fill="auto"/>
          </w:tcPr>
          <w:p>
            <w:pPr>
              <w:autoSpaceDE w:val="0"/>
              <w:autoSpaceDN w:val="0"/>
              <w:adjustRightInd w:val="0"/>
              <w:spacing w:line="300" w:lineRule="exact"/>
              <w:jc w:val="center"/>
              <w:rPr>
                <w:rFonts w:ascii="仿宋_GB2312" w:cs="宋体"/>
                <w:color w:val="000000" w:themeColor="text1"/>
              </w:rPr>
            </w:pPr>
            <w:r>
              <w:rPr>
                <w:rFonts w:hint="eastAsia" w:ascii="仿宋_GB2312" w:cs="宋体"/>
                <w:color w:val="000000" w:themeColor="text1"/>
              </w:rPr>
              <w:t>武义</w:t>
            </w:r>
          </w:p>
        </w:tc>
        <w:tc>
          <w:tcPr>
            <w:tcW w:w="176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00" w:lineRule="exact"/>
              <w:jc w:val="center"/>
              <w:rPr>
                <w:rFonts w:ascii="仿宋_GB2312"/>
                <w:color w:val="000000" w:themeColor="text1"/>
              </w:rPr>
            </w:pPr>
            <w:r>
              <w:rPr>
                <w:rFonts w:hint="eastAsia" w:ascii="仿宋_GB2312"/>
                <w:color w:val="000000" w:themeColor="text1"/>
              </w:rPr>
              <w:t>3.80%</w:t>
            </w:r>
          </w:p>
        </w:tc>
        <w:tc>
          <w:tcPr>
            <w:tcW w:w="2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00" w:lineRule="exact"/>
              <w:jc w:val="center"/>
              <w:rPr>
                <w:rFonts w:ascii="仿宋_GB2312" w:cs="宋体"/>
                <w:color w:val="000000" w:themeColor="text1"/>
              </w:rPr>
            </w:pPr>
          </w:p>
        </w:tc>
      </w:tr>
      <w:tr>
        <w:tblPrEx>
          <w:tblLayout w:type="fixed"/>
          <w:tblCellMar>
            <w:top w:w="0" w:type="dxa"/>
            <w:left w:w="30" w:type="dxa"/>
            <w:bottom w:w="0" w:type="dxa"/>
            <w:right w:w="30" w:type="dxa"/>
          </w:tblCellMar>
        </w:tblPrEx>
        <w:trPr>
          <w:trHeight w:val="271" w:hRule="atLeast"/>
          <w:jc w:val="center"/>
        </w:trPr>
        <w:tc>
          <w:tcPr>
            <w:tcW w:w="1973" w:type="dxa"/>
            <w:tcBorders>
              <w:top w:val="single" w:color="auto" w:sz="6" w:space="0"/>
              <w:left w:val="single" w:color="auto" w:sz="6" w:space="0"/>
              <w:bottom w:val="single" w:color="auto" w:sz="6" w:space="0"/>
              <w:right w:val="single" w:color="auto" w:sz="6" w:space="0"/>
            </w:tcBorders>
            <w:shd w:val="solid" w:color="FFFFFF" w:fill="auto"/>
          </w:tcPr>
          <w:p>
            <w:pPr>
              <w:autoSpaceDE w:val="0"/>
              <w:autoSpaceDN w:val="0"/>
              <w:adjustRightInd w:val="0"/>
              <w:spacing w:line="300" w:lineRule="exact"/>
              <w:jc w:val="center"/>
              <w:rPr>
                <w:rFonts w:ascii="仿宋_GB2312" w:cs="宋体"/>
                <w:color w:val="000000" w:themeColor="text1"/>
              </w:rPr>
            </w:pPr>
            <w:r>
              <w:rPr>
                <w:rFonts w:hint="eastAsia" w:ascii="仿宋_GB2312" w:cs="宋体"/>
                <w:color w:val="000000" w:themeColor="text1"/>
              </w:rPr>
              <w:t>浦江</w:t>
            </w:r>
          </w:p>
        </w:tc>
        <w:tc>
          <w:tcPr>
            <w:tcW w:w="176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00" w:lineRule="exact"/>
              <w:jc w:val="center"/>
              <w:rPr>
                <w:rFonts w:ascii="仿宋_GB2312"/>
                <w:color w:val="000000" w:themeColor="text1"/>
              </w:rPr>
            </w:pPr>
            <w:r>
              <w:rPr>
                <w:rFonts w:hint="eastAsia" w:ascii="仿宋_GB2312"/>
                <w:color w:val="000000" w:themeColor="text1"/>
              </w:rPr>
              <w:t>6.84%</w:t>
            </w:r>
          </w:p>
        </w:tc>
        <w:tc>
          <w:tcPr>
            <w:tcW w:w="2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00" w:lineRule="exact"/>
              <w:jc w:val="center"/>
              <w:rPr>
                <w:rFonts w:ascii="仿宋_GB2312" w:cs="宋体"/>
                <w:color w:val="000000" w:themeColor="text1"/>
              </w:rPr>
            </w:pPr>
          </w:p>
        </w:tc>
      </w:tr>
      <w:tr>
        <w:tblPrEx>
          <w:tblLayout w:type="fixed"/>
          <w:tblCellMar>
            <w:top w:w="0" w:type="dxa"/>
            <w:left w:w="30" w:type="dxa"/>
            <w:bottom w:w="0" w:type="dxa"/>
            <w:right w:w="30" w:type="dxa"/>
          </w:tblCellMar>
        </w:tblPrEx>
        <w:trPr>
          <w:trHeight w:val="271" w:hRule="atLeast"/>
          <w:jc w:val="center"/>
        </w:trPr>
        <w:tc>
          <w:tcPr>
            <w:tcW w:w="1973" w:type="dxa"/>
            <w:tcBorders>
              <w:top w:val="single" w:color="auto" w:sz="6" w:space="0"/>
              <w:left w:val="single" w:color="auto" w:sz="6" w:space="0"/>
              <w:bottom w:val="single" w:color="auto" w:sz="6" w:space="0"/>
              <w:right w:val="single" w:color="auto" w:sz="6" w:space="0"/>
            </w:tcBorders>
            <w:shd w:val="solid" w:color="FFFFFF" w:fill="auto"/>
          </w:tcPr>
          <w:p>
            <w:pPr>
              <w:autoSpaceDE w:val="0"/>
              <w:autoSpaceDN w:val="0"/>
              <w:adjustRightInd w:val="0"/>
              <w:spacing w:line="300" w:lineRule="exact"/>
              <w:jc w:val="center"/>
              <w:rPr>
                <w:rFonts w:ascii="仿宋_GB2312" w:cs="宋体"/>
                <w:color w:val="000000" w:themeColor="text1"/>
              </w:rPr>
            </w:pPr>
            <w:r>
              <w:rPr>
                <w:rFonts w:hint="eastAsia" w:ascii="仿宋_GB2312" w:cs="宋体"/>
                <w:color w:val="000000" w:themeColor="text1"/>
              </w:rPr>
              <w:t>磐安</w:t>
            </w:r>
          </w:p>
        </w:tc>
        <w:tc>
          <w:tcPr>
            <w:tcW w:w="176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00" w:lineRule="exact"/>
              <w:jc w:val="center"/>
              <w:rPr>
                <w:rFonts w:ascii="仿宋_GB2312"/>
                <w:color w:val="000000" w:themeColor="text1"/>
              </w:rPr>
            </w:pPr>
            <w:r>
              <w:rPr>
                <w:rFonts w:hint="eastAsia" w:ascii="仿宋_GB2312"/>
                <w:color w:val="000000" w:themeColor="text1"/>
              </w:rPr>
              <w:t>2.91%</w:t>
            </w:r>
          </w:p>
        </w:tc>
        <w:tc>
          <w:tcPr>
            <w:tcW w:w="2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00" w:lineRule="exact"/>
              <w:jc w:val="center"/>
              <w:rPr>
                <w:rFonts w:ascii="仿宋_GB2312" w:cs="宋体"/>
                <w:color w:val="000000" w:themeColor="text1"/>
              </w:rPr>
            </w:pPr>
          </w:p>
        </w:tc>
      </w:tr>
      <w:tr>
        <w:tblPrEx>
          <w:tblLayout w:type="fixed"/>
          <w:tblCellMar>
            <w:top w:w="0" w:type="dxa"/>
            <w:left w:w="30" w:type="dxa"/>
            <w:bottom w:w="0" w:type="dxa"/>
            <w:right w:w="30" w:type="dxa"/>
          </w:tblCellMar>
        </w:tblPrEx>
        <w:trPr>
          <w:trHeight w:val="271" w:hRule="atLeast"/>
          <w:jc w:val="center"/>
        </w:trPr>
        <w:tc>
          <w:tcPr>
            <w:tcW w:w="1973" w:type="dxa"/>
            <w:tcBorders>
              <w:top w:val="single" w:color="auto" w:sz="6" w:space="0"/>
              <w:left w:val="single" w:color="auto" w:sz="6" w:space="0"/>
              <w:bottom w:val="single" w:color="auto" w:sz="6" w:space="0"/>
              <w:right w:val="single" w:color="auto" w:sz="6" w:space="0"/>
            </w:tcBorders>
            <w:shd w:val="solid" w:color="FFFFFF" w:fill="auto"/>
          </w:tcPr>
          <w:p>
            <w:pPr>
              <w:autoSpaceDE w:val="0"/>
              <w:autoSpaceDN w:val="0"/>
              <w:adjustRightInd w:val="0"/>
              <w:spacing w:line="300" w:lineRule="exact"/>
              <w:jc w:val="center"/>
              <w:rPr>
                <w:rFonts w:ascii="仿宋_GB2312" w:cs="宋体"/>
                <w:color w:val="000000" w:themeColor="text1"/>
              </w:rPr>
            </w:pPr>
            <w:r>
              <w:rPr>
                <w:rFonts w:hint="eastAsia" w:ascii="仿宋_GB2312" w:cs="宋体"/>
                <w:color w:val="000000" w:themeColor="text1"/>
              </w:rPr>
              <w:t>合计</w:t>
            </w:r>
          </w:p>
        </w:tc>
        <w:tc>
          <w:tcPr>
            <w:tcW w:w="176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00" w:lineRule="exact"/>
              <w:jc w:val="center"/>
              <w:rPr>
                <w:rFonts w:ascii="仿宋_GB2312"/>
                <w:color w:val="000000" w:themeColor="text1"/>
              </w:rPr>
            </w:pPr>
            <w:r>
              <w:rPr>
                <w:rFonts w:hint="eastAsia" w:ascii="仿宋_GB2312"/>
                <w:color w:val="000000" w:themeColor="text1"/>
              </w:rPr>
              <w:t>100.00%</w:t>
            </w:r>
          </w:p>
        </w:tc>
        <w:tc>
          <w:tcPr>
            <w:tcW w:w="2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00" w:lineRule="exact"/>
              <w:jc w:val="center"/>
              <w:rPr>
                <w:rFonts w:ascii="仿宋_GB2312" w:cs="宋体"/>
                <w:color w:val="000000" w:themeColor="text1"/>
              </w:rPr>
            </w:pPr>
          </w:p>
        </w:tc>
      </w:tr>
    </w:tbl>
    <w:p>
      <w:pPr>
        <w:tabs>
          <w:tab w:val="left" w:pos="900"/>
        </w:tabs>
        <w:snapToGrid w:val="0"/>
        <w:ind w:firstLine="480"/>
        <w:jc w:val="center"/>
        <w:rPr>
          <w:rFonts w:ascii="宋体" w:hAnsi="宋体"/>
          <w:color w:val="000000" w:themeColor="text1"/>
        </w:rPr>
      </w:pPr>
      <w:r>
        <w:rPr>
          <w:rFonts w:hint="eastAsia"/>
          <w:color w:val="000000" w:themeColor="text1"/>
        </w:rPr>
        <w:t>资金</w:t>
      </w:r>
      <w:r>
        <w:rPr>
          <w:color w:val="000000" w:themeColor="text1"/>
        </w:rPr>
        <w:t>分配比例</w:t>
      </w:r>
    </w:p>
    <w:p>
      <w:pPr>
        <w:pStyle w:val="6"/>
        <w:spacing w:before="120" w:after="120"/>
        <w:ind w:firstLine="480"/>
        <w:rPr>
          <w:color w:val="000000" w:themeColor="text1"/>
        </w:rPr>
      </w:pPr>
      <w:r>
        <w:rPr>
          <w:rFonts w:hint="eastAsia"/>
          <w:color w:val="000000" w:themeColor="text1"/>
        </w:rPr>
        <w:t>1.</w:t>
      </w:r>
      <w:r>
        <w:rPr>
          <w:color w:val="000000" w:themeColor="text1"/>
        </w:rPr>
        <w:t>1.</w:t>
      </w:r>
      <w:r>
        <w:rPr>
          <w:rFonts w:hint="eastAsia"/>
          <w:color w:val="000000" w:themeColor="text1"/>
        </w:rPr>
        <w:t>4</w:t>
      </w:r>
      <w:r>
        <w:rPr>
          <w:color w:val="000000" w:themeColor="text1"/>
        </w:rPr>
        <w:t>综治</w:t>
      </w:r>
      <w:r>
        <w:rPr>
          <w:rFonts w:hint="eastAsia"/>
          <w:color w:val="000000" w:themeColor="text1"/>
        </w:rPr>
        <w:t>应用系统</w:t>
      </w:r>
    </w:p>
    <w:p>
      <w:pPr>
        <w:pStyle w:val="7"/>
        <w:spacing w:before="120" w:after="120"/>
        <w:ind w:firstLine="480"/>
        <w:rPr>
          <w:color w:val="000000" w:themeColor="text1"/>
        </w:rPr>
      </w:pPr>
      <w:r>
        <w:rPr>
          <w:rFonts w:hint="eastAsia"/>
          <w:color w:val="000000" w:themeColor="text1"/>
        </w:rPr>
        <w:t>1.</w:t>
      </w:r>
      <w:r>
        <w:rPr>
          <w:color w:val="000000" w:themeColor="text1"/>
        </w:rPr>
        <w:t>1.</w:t>
      </w:r>
      <w:r>
        <w:rPr>
          <w:rFonts w:hint="eastAsia"/>
          <w:color w:val="000000" w:themeColor="text1"/>
        </w:rPr>
        <w:t>4.1</w:t>
      </w:r>
      <w:r>
        <w:rPr>
          <w:color w:val="000000" w:themeColor="text1"/>
        </w:rPr>
        <w:t>概述</w:t>
      </w:r>
    </w:p>
    <w:p>
      <w:pPr>
        <w:ind w:firstLine="480"/>
        <w:rPr>
          <w:color w:val="000000" w:themeColor="text1"/>
        </w:rPr>
      </w:pPr>
      <w:r>
        <w:rPr>
          <w:rFonts w:hint="eastAsia"/>
          <w:color w:val="000000" w:themeColor="text1"/>
        </w:rPr>
        <w:t>今年是毛泽东同志批示“枫桥经验”55周年，也是习近平总书记作出坚持和发展“枫桥经验”重要指示5周年。“枫桥经验”作为浙江，乃至全国最具典型、最具知名度的基层社会治理品牌，也是政法综治条线上的大事。金华市雪亮工程项目的建设也需要与“枫桥经验”机制体制创新、“最多跑一次”改革、推进“基层治理四平台”、建设全科网格等工作紧密融合。</w:t>
      </w:r>
    </w:p>
    <w:p>
      <w:pPr>
        <w:ind w:firstLine="480"/>
        <w:rPr>
          <w:color w:val="000000" w:themeColor="text1"/>
        </w:rPr>
      </w:pPr>
      <w:r>
        <w:rPr>
          <w:rFonts w:hint="eastAsia"/>
          <w:color w:val="000000" w:themeColor="text1"/>
        </w:rPr>
        <w:t>金华市雪亮工程项目建设需要充分运用云计算、大数据、物联网等现代科技手段，实现视频数据采集全面化、数据加工处理智能化、服务应用深度化，基本形成多资源共享更加便捷、多系统建设更加优化、多部门应用更加深入的工作格局，实现跨区域、跨部门的共建共享共用，充分发挥公共安全视频监控在服务居民群众、创新社会治理、平安城市和智慧城市建设、维护国家安全和社会稳定等多方面的重要作用。</w:t>
      </w:r>
    </w:p>
    <w:p>
      <w:pPr>
        <w:pStyle w:val="7"/>
        <w:spacing w:before="120" w:after="120"/>
        <w:ind w:firstLine="480"/>
        <w:rPr>
          <w:color w:val="000000" w:themeColor="text1"/>
        </w:rPr>
      </w:pPr>
      <w:r>
        <w:rPr>
          <w:rFonts w:hint="eastAsia"/>
          <w:color w:val="000000" w:themeColor="text1"/>
        </w:rPr>
        <w:t>1.</w:t>
      </w:r>
      <w:r>
        <w:rPr>
          <w:color w:val="000000" w:themeColor="text1"/>
        </w:rPr>
        <w:t>1.</w:t>
      </w:r>
      <w:r>
        <w:rPr>
          <w:rFonts w:hint="eastAsia"/>
          <w:color w:val="000000" w:themeColor="text1"/>
        </w:rPr>
        <w:t>4.2平台构架</w:t>
      </w:r>
    </w:p>
    <w:p>
      <w:pPr>
        <w:pStyle w:val="8"/>
        <w:spacing w:before="120" w:after="120"/>
        <w:ind w:firstLine="480"/>
        <w:rPr>
          <w:color w:val="000000" w:themeColor="text1"/>
        </w:rPr>
      </w:pPr>
      <w:bookmarkStart w:id="340" w:name="_Toc525942678"/>
      <w:r>
        <w:rPr>
          <w:rFonts w:hint="eastAsia"/>
          <w:color w:val="000000" w:themeColor="text1"/>
        </w:rPr>
        <w:t>1.</w:t>
      </w:r>
      <w:r>
        <w:rPr>
          <w:color w:val="000000" w:themeColor="text1"/>
        </w:rPr>
        <w:t>1.</w:t>
      </w:r>
      <w:r>
        <w:rPr>
          <w:rFonts w:hint="eastAsia"/>
          <w:color w:val="000000" w:themeColor="text1"/>
        </w:rPr>
        <w:t>4.2.1综治应用设备部署架构图</w:t>
      </w:r>
      <w:bookmarkEnd w:id="340"/>
    </w:p>
    <w:p>
      <w:pPr>
        <w:jc w:val="center"/>
        <w:rPr>
          <w:color w:val="000000" w:themeColor="text1"/>
        </w:rPr>
      </w:pPr>
      <w:r>
        <w:rPr>
          <w:color w:val="000000" w:themeColor="text1"/>
        </w:rPr>
        <w:drawing>
          <wp:inline distT="0" distB="0" distL="0" distR="0">
            <wp:extent cx="5276850" cy="4629150"/>
            <wp:effectExtent l="19050" t="0" r="0" b="0"/>
            <wp:docPr id="22" name="图片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24"/>
                    <pic:cNvPicPr>
                      <a:picLocks noChangeAspect="1" noChangeArrowheads="1"/>
                    </pic:cNvPicPr>
                  </pic:nvPicPr>
                  <pic:blipFill>
                    <a:blip r:embed="rId38"/>
                    <a:srcRect/>
                    <a:stretch>
                      <a:fillRect/>
                    </a:stretch>
                  </pic:blipFill>
                  <pic:spPr>
                    <a:xfrm>
                      <a:off x="0" y="0"/>
                      <a:ext cx="5276850" cy="4629150"/>
                    </a:xfrm>
                    <a:prstGeom prst="rect">
                      <a:avLst/>
                    </a:prstGeom>
                    <a:noFill/>
                    <a:ln w="9525">
                      <a:noFill/>
                      <a:miter lim="800000"/>
                      <a:headEnd/>
                      <a:tailEnd/>
                    </a:ln>
                  </pic:spPr>
                </pic:pic>
              </a:graphicData>
            </a:graphic>
          </wp:inline>
        </w:drawing>
      </w:r>
    </w:p>
    <w:p>
      <w:pPr>
        <w:tabs>
          <w:tab w:val="left" w:pos="900"/>
        </w:tabs>
        <w:snapToGrid w:val="0"/>
        <w:jc w:val="center"/>
        <w:rPr>
          <w:rFonts w:ascii="宋体" w:hAnsi="宋体"/>
          <w:color w:val="000000" w:themeColor="text1"/>
        </w:rPr>
      </w:pPr>
      <w:r>
        <w:rPr>
          <w:rFonts w:ascii="宋体" w:hAnsi="宋体"/>
          <w:color w:val="000000" w:themeColor="text1"/>
        </w:rPr>
        <w:t>图</w:t>
      </w:r>
      <w:r>
        <w:rPr>
          <w:rFonts w:hint="eastAsia" w:ascii="宋体" w:hAnsi="宋体"/>
          <w:color w:val="000000" w:themeColor="text1"/>
        </w:rPr>
        <w:t>13      综治应用设备构架部署图</w:t>
      </w:r>
    </w:p>
    <w:p>
      <w:pPr>
        <w:pStyle w:val="8"/>
        <w:spacing w:before="120" w:after="120"/>
        <w:ind w:firstLine="480"/>
        <w:rPr>
          <w:color w:val="000000" w:themeColor="text1"/>
        </w:rPr>
      </w:pPr>
      <w:bookmarkStart w:id="341" w:name="_Toc525942679"/>
      <w:r>
        <w:rPr>
          <w:rFonts w:hint="eastAsia"/>
          <w:color w:val="000000" w:themeColor="text1"/>
        </w:rPr>
        <w:t>1.</w:t>
      </w:r>
      <w:r>
        <w:rPr>
          <w:color w:val="000000" w:themeColor="text1"/>
        </w:rPr>
        <w:t>1.</w:t>
      </w:r>
      <w:r>
        <w:rPr>
          <w:rFonts w:hint="eastAsia"/>
          <w:color w:val="000000" w:themeColor="text1"/>
        </w:rPr>
        <w:t>4.2.2综治应用系统数据流程设计</w:t>
      </w:r>
      <w:bookmarkEnd w:id="341"/>
    </w:p>
    <w:p>
      <w:pPr>
        <w:jc w:val="center"/>
        <w:rPr>
          <w:rFonts w:ascii="仿宋_GB2312"/>
          <w:color w:val="000000" w:themeColor="text1"/>
        </w:rPr>
      </w:pPr>
      <w:r>
        <w:rPr>
          <w:color w:val="000000" w:themeColor="text1"/>
        </w:rPr>
        <w:drawing>
          <wp:inline distT="0" distB="0" distL="0" distR="0">
            <wp:extent cx="5267325" cy="2724150"/>
            <wp:effectExtent l="19050" t="0" r="952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39"/>
                    <a:srcRect/>
                    <a:stretch>
                      <a:fillRect/>
                    </a:stretch>
                  </pic:blipFill>
                  <pic:spPr>
                    <a:xfrm>
                      <a:off x="0" y="0"/>
                      <a:ext cx="5267325" cy="2724150"/>
                    </a:xfrm>
                    <a:prstGeom prst="rect">
                      <a:avLst/>
                    </a:prstGeom>
                    <a:noFill/>
                    <a:ln w="9525">
                      <a:noFill/>
                      <a:miter lim="800000"/>
                      <a:headEnd/>
                      <a:tailEnd/>
                    </a:ln>
                  </pic:spPr>
                </pic:pic>
              </a:graphicData>
            </a:graphic>
          </wp:inline>
        </w:drawing>
      </w:r>
    </w:p>
    <w:p>
      <w:pPr>
        <w:tabs>
          <w:tab w:val="left" w:pos="900"/>
        </w:tabs>
        <w:snapToGrid w:val="0"/>
        <w:jc w:val="center"/>
        <w:rPr>
          <w:rFonts w:ascii="宋体" w:hAnsi="宋体"/>
          <w:color w:val="000000" w:themeColor="text1"/>
        </w:rPr>
      </w:pPr>
      <w:r>
        <w:rPr>
          <w:rFonts w:ascii="宋体" w:hAnsi="宋体"/>
          <w:color w:val="000000" w:themeColor="text1"/>
        </w:rPr>
        <w:t>图</w:t>
      </w:r>
      <w:r>
        <w:rPr>
          <w:rFonts w:hint="eastAsia" w:ascii="宋体" w:hAnsi="宋体"/>
          <w:color w:val="000000" w:themeColor="text1"/>
        </w:rPr>
        <w:t>14 数据流程设计图</w:t>
      </w:r>
    </w:p>
    <w:p>
      <w:pPr>
        <w:pStyle w:val="7"/>
        <w:spacing w:before="120" w:after="120"/>
        <w:ind w:firstLine="480"/>
        <w:rPr>
          <w:color w:val="000000" w:themeColor="text1"/>
        </w:rPr>
      </w:pPr>
      <w:bookmarkStart w:id="342" w:name="_Toc525942710"/>
      <w:r>
        <w:rPr>
          <w:rFonts w:hint="eastAsia"/>
          <w:color w:val="000000" w:themeColor="text1"/>
        </w:rPr>
        <w:t>1.</w:t>
      </w:r>
      <w:r>
        <w:rPr>
          <w:color w:val="000000" w:themeColor="text1"/>
        </w:rPr>
        <w:t>1.</w:t>
      </w:r>
      <w:r>
        <w:rPr>
          <w:rFonts w:hint="eastAsia"/>
          <w:color w:val="000000" w:themeColor="text1"/>
        </w:rPr>
        <w:t>4.3 综治数据大脑</w:t>
      </w:r>
      <w:bookmarkEnd w:id="342"/>
    </w:p>
    <w:p>
      <w:pPr>
        <w:ind w:firstLine="480"/>
        <w:rPr>
          <w:color w:val="000000" w:themeColor="text1"/>
        </w:rPr>
      </w:pPr>
      <w:r>
        <w:rPr>
          <w:color w:val="000000" w:themeColor="text1"/>
        </w:rPr>
        <w:t>充分利用金华市统一的数据交换中心平台，开展综治数据大脑建设，归集综治工作相关人、地、物、事、组织，以及相关的案事件信息、视频台账信息，基于此开展基层综合治理、社会治安态势预防、预测、预警、预判。涉及数据来源主要包括金华市数管中心（市数管中心有的数据尽可能直接从市数管中心获取）；金华市公安（公安人户数据、标准地址数据、视频台账数据、案事件数据）；省综治办（人口信息、场所数据、事件数据、网格信息及管理服务信息）。</w:t>
      </w:r>
    </w:p>
    <w:p>
      <w:pPr>
        <w:pStyle w:val="8"/>
        <w:spacing w:before="120" w:after="120"/>
        <w:ind w:firstLine="480"/>
        <w:rPr>
          <w:color w:val="000000" w:themeColor="text1"/>
        </w:rPr>
      </w:pPr>
      <w:bookmarkStart w:id="343" w:name="_Toc463017770"/>
      <w:bookmarkStart w:id="344" w:name="_Toc507682052"/>
      <w:bookmarkStart w:id="345" w:name="_Toc463695169"/>
      <w:bookmarkStart w:id="346" w:name="_Toc525942711"/>
      <w:bookmarkStart w:id="347" w:name="_Toc463684039"/>
      <w:r>
        <w:rPr>
          <w:rFonts w:hint="eastAsia"/>
          <w:color w:val="000000" w:themeColor="text1"/>
        </w:rPr>
        <w:t>1.4.3.1综治专题规范建设</w:t>
      </w:r>
      <w:bookmarkEnd w:id="343"/>
      <w:bookmarkEnd w:id="344"/>
      <w:bookmarkEnd w:id="345"/>
      <w:bookmarkEnd w:id="346"/>
      <w:bookmarkEnd w:id="347"/>
    </w:p>
    <w:p>
      <w:pPr>
        <w:ind w:firstLine="480"/>
        <w:rPr>
          <w:color w:val="000000" w:themeColor="text1"/>
        </w:rPr>
      </w:pPr>
      <w:r>
        <w:rPr>
          <w:rFonts w:hint="eastAsia"/>
          <w:color w:val="000000" w:themeColor="text1"/>
        </w:rPr>
        <w:t>金华市公共安全数据中心数据标准规范是金华市雪亮工程项目的构成部分之一，主要参照其主要目的是用来指导、规范公安、民政、人力社保、教育、司法、卫计、安监、环保、工商、食品药品安全、消防等职能部门数据共享交换过程中所涉及到的数据标准问题、数据采集交换问题、数据质量问题、数据共享使用问题等。</w:t>
      </w:r>
    </w:p>
    <w:p>
      <w:pPr>
        <w:ind w:firstLine="480"/>
        <w:rPr>
          <w:color w:val="000000" w:themeColor="text1"/>
        </w:rPr>
      </w:pPr>
      <w:r>
        <w:rPr>
          <w:rFonts w:hint="eastAsia"/>
          <w:color w:val="000000" w:themeColor="text1"/>
        </w:rPr>
        <w:t>数据标准规范原则上以国家、省政府相关标准为主，本项目建设过程中涉及到的规范主要分为编码规范、共享主数据规范、数据交换规范、数据管控规范、数据服务规范等。</w:t>
      </w:r>
    </w:p>
    <w:p>
      <w:pPr>
        <w:ind w:firstLine="480"/>
        <w:rPr>
          <w:color w:val="000000" w:themeColor="text1"/>
        </w:rPr>
      </w:pPr>
      <w:r>
        <w:rPr>
          <w:rFonts w:hint="eastAsia"/>
          <w:color w:val="000000" w:themeColor="text1"/>
        </w:rPr>
        <w:t>1、数据编码规范</w:t>
      </w:r>
    </w:p>
    <w:p>
      <w:pPr>
        <w:ind w:firstLine="480"/>
        <w:rPr>
          <w:color w:val="000000" w:themeColor="text1"/>
        </w:rPr>
      </w:pPr>
      <w:r>
        <w:rPr>
          <w:rFonts w:hint="eastAsia"/>
          <w:color w:val="000000" w:themeColor="text1"/>
        </w:rPr>
        <w:t>以电子政务标准化指南为基础，结合业务实践，制定社会治理共享交换及业务协同范围的编码规范。定义的编码将在项目执行过程中遵照执行。</w:t>
      </w:r>
    </w:p>
    <w:p>
      <w:pPr>
        <w:ind w:firstLine="480"/>
        <w:rPr>
          <w:color w:val="000000" w:themeColor="text1"/>
        </w:rPr>
      </w:pPr>
      <w:r>
        <w:rPr>
          <w:rFonts w:hint="eastAsia"/>
          <w:color w:val="000000" w:themeColor="text1"/>
        </w:rPr>
        <w:t>雪亮工程项目及数据中心平台建设过程中，涉及到的编码规范主要包括以下方面。</w:t>
      </w:r>
    </w:p>
    <w:tbl>
      <w:tblPr>
        <w:tblStyle w:val="53"/>
        <w:tblW w:w="762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8"/>
        <w:gridCol w:w="2835"/>
        <w:gridCol w:w="1134"/>
        <w:gridCol w:w="28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8" w:type="dxa"/>
            <w:vAlign w:val="center"/>
          </w:tcPr>
          <w:p>
            <w:pPr>
              <w:spacing w:line="300" w:lineRule="exact"/>
              <w:jc w:val="center"/>
              <w:rPr>
                <w:rFonts w:ascii="仿宋_GB2312" w:hAnsi="宋体"/>
                <w:b/>
                <w:color w:val="000000" w:themeColor="text1"/>
              </w:rPr>
            </w:pPr>
            <w:r>
              <w:rPr>
                <w:rFonts w:hint="eastAsia" w:ascii="仿宋_GB2312" w:hAnsi="宋体" w:cs="微软雅黑"/>
                <w:b/>
                <w:color w:val="000000" w:themeColor="text1"/>
              </w:rPr>
              <w:t>序号</w:t>
            </w:r>
          </w:p>
        </w:tc>
        <w:tc>
          <w:tcPr>
            <w:tcW w:w="2835" w:type="dxa"/>
            <w:vAlign w:val="center"/>
          </w:tcPr>
          <w:p>
            <w:pPr>
              <w:spacing w:line="300" w:lineRule="exact"/>
              <w:jc w:val="center"/>
              <w:rPr>
                <w:rFonts w:ascii="仿宋_GB2312" w:hAnsi="宋体"/>
                <w:b/>
                <w:color w:val="000000" w:themeColor="text1"/>
              </w:rPr>
            </w:pPr>
            <w:r>
              <w:rPr>
                <w:rFonts w:hint="eastAsia" w:ascii="仿宋_GB2312" w:hAnsi="宋体" w:cs="微软雅黑"/>
                <w:b/>
                <w:color w:val="000000" w:themeColor="text1"/>
              </w:rPr>
              <w:t>编码分类</w:t>
            </w:r>
          </w:p>
        </w:tc>
        <w:tc>
          <w:tcPr>
            <w:tcW w:w="1134" w:type="dxa"/>
            <w:vAlign w:val="center"/>
          </w:tcPr>
          <w:p>
            <w:pPr>
              <w:spacing w:line="300" w:lineRule="exact"/>
              <w:jc w:val="center"/>
              <w:rPr>
                <w:rFonts w:ascii="仿宋_GB2312" w:hAnsi="宋体"/>
                <w:b/>
                <w:color w:val="000000" w:themeColor="text1"/>
              </w:rPr>
            </w:pPr>
            <w:r>
              <w:rPr>
                <w:rFonts w:hint="eastAsia" w:ascii="仿宋_GB2312" w:hAnsi="宋体" w:cs="微软雅黑"/>
                <w:b/>
                <w:color w:val="000000" w:themeColor="text1"/>
              </w:rPr>
              <w:t>序号</w:t>
            </w:r>
          </w:p>
        </w:tc>
        <w:tc>
          <w:tcPr>
            <w:tcW w:w="2835" w:type="dxa"/>
            <w:vAlign w:val="center"/>
          </w:tcPr>
          <w:p>
            <w:pPr>
              <w:spacing w:line="300" w:lineRule="exact"/>
              <w:jc w:val="center"/>
              <w:rPr>
                <w:rFonts w:ascii="仿宋_GB2312" w:hAnsi="宋体"/>
                <w:b/>
                <w:color w:val="000000" w:themeColor="text1"/>
              </w:rPr>
            </w:pPr>
            <w:r>
              <w:rPr>
                <w:rFonts w:hint="eastAsia" w:ascii="仿宋_GB2312" w:hAnsi="宋体" w:cs="微软雅黑"/>
                <w:b/>
                <w:color w:val="000000" w:themeColor="text1"/>
              </w:rPr>
              <w:t>编码分类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8"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1</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机构类型</w:t>
            </w:r>
          </w:p>
        </w:tc>
        <w:tc>
          <w:tcPr>
            <w:tcW w:w="1134"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33</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治疗情况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8"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2</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层级</w:t>
            </w:r>
          </w:p>
        </w:tc>
        <w:tc>
          <w:tcPr>
            <w:tcW w:w="1134"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34</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实施住院治疗原因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8"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3</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人员级别</w:t>
            </w:r>
          </w:p>
        </w:tc>
        <w:tc>
          <w:tcPr>
            <w:tcW w:w="1134"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35</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参与管理人员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8"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4</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人员职务</w:t>
            </w:r>
          </w:p>
        </w:tc>
        <w:tc>
          <w:tcPr>
            <w:tcW w:w="1134"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36</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帮扶情况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8"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5</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专业特长</w:t>
            </w:r>
          </w:p>
        </w:tc>
        <w:tc>
          <w:tcPr>
            <w:tcW w:w="1134"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37</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管控情况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8"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6</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组织类型</w:t>
            </w:r>
          </w:p>
        </w:tc>
        <w:tc>
          <w:tcPr>
            <w:tcW w:w="1134"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38</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感染途径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8"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7</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政策种类</w:t>
            </w:r>
          </w:p>
        </w:tc>
        <w:tc>
          <w:tcPr>
            <w:tcW w:w="1134"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39</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关注类型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8"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8</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案</w:t>
            </w:r>
            <w:r>
              <w:rPr>
                <w:rFonts w:hint="eastAsia" w:ascii="仿宋_GB2312" w:hAnsi="宋体" w:cs="Malgun Gothic Semilight"/>
                <w:color w:val="000000" w:themeColor="text1"/>
              </w:rPr>
              <w:t>（</w:t>
            </w:r>
            <w:r>
              <w:rPr>
                <w:rFonts w:hint="eastAsia" w:ascii="仿宋_GB2312" w:hAnsi="宋体" w:cs="微软雅黑"/>
                <w:color w:val="000000" w:themeColor="text1"/>
              </w:rPr>
              <w:t>事</w:t>
            </w:r>
            <w:r>
              <w:rPr>
                <w:rFonts w:hint="eastAsia" w:ascii="仿宋_GB2312" w:hAnsi="宋体" w:cs="Malgun Gothic Semilight"/>
                <w:color w:val="000000" w:themeColor="text1"/>
              </w:rPr>
              <w:t>）</w:t>
            </w:r>
            <w:r>
              <w:rPr>
                <w:rFonts w:hint="eastAsia" w:ascii="仿宋_GB2312" w:hAnsi="宋体" w:cs="微软雅黑"/>
                <w:color w:val="000000" w:themeColor="text1"/>
              </w:rPr>
              <w:t>件分级</w:t>
            </w:r>
          </w:p>
        </w:tc>
        <w:tc>
          <w:tcPr>
            <w:tcW w:w="1134"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40</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收治情况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8"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9</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案</w:t>
            </w:r>
            <w:r>
              <w:rPr>
                <w:rFonts w:hint="eastAsia" w:ascii="仿宋_GB2312" w:hAnsi="宋体" w:cs="Malgun Gothic Semilight"/>
                <w:color w:val="000000" w:themeColor="text1"/>
              </w:rPr>
              <w:t>（</w:t>
            </w:r>
            <w:r>
              <w:rPr>
                <w:rFonts w:hint="eastAsia" w:ascii="仿宋_GB2312" w:hAnsi="宋体" w:cs="微软雅黑"/>
                <w:color w:val="000000" w:themeColor="text1"/>
              </w:rPr>
              <w:t>事</w:t>
            </w:r>
            <w:r>
              <w:rPr>
                <w:rFonts w:hint="eastAsia" w:ascii="仿宋_GB2312" w:hAnsi="宋体" w:cs="Malgun Gothic Semilight"/>
                <w:color w:val="000000" w:themeColor="text1"/>
              </w:rPr>
              <w:t>）</w:t>
            </w:r>
            <w:r>
              <w:rPr>
                <w:rFonts w:hint="eastAsia" w:ascii="仿宋_GB2312" w:hAnsi="宋体" w:cs="微软雅黑"/>
                <w:color w:val="000000" w:themeColor="text1"/>
              </w:rPr>
              <w:t>件类型</w:t>
            </w:r>
          </w:p>
        </w:tc>
        <w:tc>
          <w:tcPr>
            <w:tcW w:w="1134"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41</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人员类型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8"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10</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人户一致标识</w:t>
            </w:r>
          </w:p>
        </w:tc>
        <w:tc>
          <w:tcPr>
            <w:tcW w:w="1134"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42</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家庭情况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8"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11</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流入原因</w:t>
            </w:r>
          </w:p>
        </w:tc>
        <w:tc>
          <w:tcPr>
            <w:tcW w:w="1134"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43</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帮扶手段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8"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12</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办证类型</w:t>
            </w:r>
          </w:p>
        </w:tc>
        <w:tc>
          <w:tcPr>
            <w:tcW w:w="1134"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44</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企业类别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8"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13</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住所类型</w:t>
            </w:r>
          </w:p>
        </w:tc>
        <w:tc>
          <w:tcPr>
            <w:tcW w:w="1134"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45</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安全隐患类型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8"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14</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健康状况</w:t>
            </w:r>
          </w:p>
        </w:tc>
        <w:tc>
          <w:tcPr>
            <w:tcW w:w="1134"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46</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关注程度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8"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15</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留守人员类型</w:t>
            </w:r>
          </w:p>
        </w:tc>
        <w:tc>
          <w:tcPr>
            <w:tcW w:w="1134"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47</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社会组织类型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8"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16</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来华目的</w:t>
            </w:r>
          </w:p>
        </w:tc>
        <w:tc>
          <w:tcPr>
            <w:tcW w:w="1134"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48</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治安突出问题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8"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17</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建筑用途</w:t>
            </w:r>
          </w:p>
        </w:tc>
        <w:tc>
          <w:tcPr>
            <w:tcW w:w="1134"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49</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涉及区域类型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8"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18</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出租用途</w:t>
            </w:r>
          </w:p>
        </w:tc>
        <w:tc>
          <w:tcPr>
            <w:tcW w:w="1134"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50</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效果评估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8"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19</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隐患类型</w:t>
            </w:r>
          </w:p>
        </w:tc>
        <w:tc>
          <w:tcPr>
            <w:tcW w:w="1134"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51</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登记注册类型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8"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20</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罪名分类</w:t>
            </w:r>
          </w:p>
        </w:tc>
        <w:tc>
          <w:tcPr>
            <w:tcW w:w="1134"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52</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控股情况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8"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21</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危险性评估类型</w:t>
            </w:r>
          </w:p>
        </w:tc>
        <w:tc>
          <w:tcPr>
            <w:tcW w:w="1134"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53</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经营范围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8"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22</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衔接情况</w:t>
            </w:r>
          </w:p>
        </w:tc>
        <w:tc>
          <w:tcPr>
            <w:tcW w:w="1134"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54</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企业类型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8"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23</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安置情况</w:t>
            </w:r>
          </w:p>
        </w:tc>
        <w:tc>
          <w:tcPr>
            <w:tcW w:w="1134"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55</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事件规模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8"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24</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矫正类别</w:t>
            </w:r>
          </w:p>
        </w:tc>
        <w:tc>
          <w:tcPr>
            <w:tcW w:w="1134"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56</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事件类别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8"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25</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接收方式</w:t>
            </w:r>
          </w:p>
        </w:tc>
        <w:tc>
          <w:tcPr>
            <w:tcW w:w="1134"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57</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主要当事人人员类别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8"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26</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w:t>
            </w:r>
            <w:r>
              <w:rPr>
                <w:rFonts w:hint="eastAsia" w:ascii="仿宋_GB2312" w:hAnsi="宋体" w:cs="微软雅黑"/>
                <w:color w:val="000000" w:themeColor="text1"/>
              </w:rPr>
              <w:t>四史</w:t>
            </w:r>
            <w:r>
              <w:rPr>
                <w:rFonts w:hint="eastAsia" w:ascii="仿宋_GB2312" w:hAnsi="宋体" w:cs="Malgun Gothic Semilight"/>
                <w:color w:val="000000" w:themeColor="text1"/>
              </w:rPr>
              <w:t>”</w:t>
            </w:r>
            <w:r>
              <w:rPr>
                <w:rFonts w:hint="eastAsia" w:ascii="仿宋_GB2312" w:hAnsi="宋体" w:cs="微软雅黑"/>
                <w:color w:val="000000" w:themeColor="text1"/>
              </w:rPr>
              <w:t>情况</w:t>
            </w:r>
          </w:p>
        </w:tc>
        <w:tc>
          <w:tcPr>
            <w:tcW w:w="1134"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58</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化解方式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8"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27</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w:t>
            </w:r>
            <w:r>
              <w:rPr>
                <w:rFonts w:hint="eastAsia" w:ascii="仿宋_GB2312" w:hAnsi="宋体" w:cs="微软雅黑"/>
                <w:color w:val="000000" w:themeColor="text1"/>
              </w:rPr>
              <w:t>三涉</w:t>
            </w:r>
            <w:r>
              <w:rPr>
                <w:rFonts w:hint="eastAsia" w:ascii="仿宋_GB2312" w:hAnsi="宋体" w:cs="Malgun Gothic Semilight"/>
                <w:color w:val="000000" w:themeColor="text1"/>
              </w:rPr>
              <w:t>”</w:t>
            </w:r>
            <w:r>
              <w:rPr>
                <w:rFonts w:hint="eastAsia" w:ascii="仿宋_GB2312" w:hAnsi="宋体" w:cs="微软雅黑"/>
                <w:color w:val="000000" w:themeColor="text1"/>
              </w:rPr>
              <w:t>情况</w:t>
            </w:r>
          </w:p>
        </w:tc>
        <w:tc>
          <w:tcPr>
            <w:tcW w:w="1134"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59</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学校办学类型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8"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28</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矫正小组人员组成类型</w:t>
            </w:r>
          </w:p>
        </w:tc>
        <w:tc>
          <w:tcPr>
            <w:tcW w:w="1134"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60</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危害程度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8"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29</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矫正解除</w:t>
            </w:r>
            <w:r>
              <w:rPr>
                <w:rFonts w:hint="eastAsia" w:ascii="仿宋_GB2312" w:hAnsi="宋体" w:cs="Malgun Gothic Semilight"/>
                <w:color w:val="000000" w:themeColor="text1"/>
              </w:rPr>
              <w:t>（</w:t>
            </w:r>
            <w:r>
              <w:rPr>
                <w:rFonts w:hint="eastAsia" w:ascii="仿宋_GB2312" w:hAnsi="宋体" w:cs="微软雅黑"/>
                <w:color w:val="000000" w:themeColor="text1"/>
              </w:rPr>
              <w:t>终止</w:t>
            </w:r>
            <w:r>
              <w:rPr>
                <w:rFonts w:hint="eastAsia" w:ascii="仿宋_GB2312" w:hAnsi="宋体" w:cs="Malgun Gothic Semilight"/>
                <w:color w:val="000000" w:themeColor="text1"/>
              </w:rPr>
              <w:t>）</w:t>
            </w:r>
            <w:r>
              <w:rPr>
                <w:rFonts w:hint="eastAsia" w:ascii="仿宋_GB2312" w:hAnsi="宋体" w:cs="微软雅黑"/>
                <w:color w:val="000000" w:themeColor="text1"/>
              </w:rPr>
              <w:t>类型</w:t>
            </w:r>
          </w:p>
        </w:tc>
        <w:tc>
          <w:tcPr>
            <w:tcW w:w="1134"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61</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案</w:t>
            </w:r>
            <w:r>
              <w:rPr>
                <w:rFonts w:hint="eastAsia" w:ascii="仿宋_GB2312" w:hAnsi="宋体" w:cs="Malgun Gothic Semilight"/>
                <w:color w:val="000000" w:themeColor="text1"/>
              </w:rPr>
              <w:t>（</w:t>
            </w:r>
            <w:r>
              <w:rPr>
                <w:rFonts w:hint="eastAsia" w:ascii="仿宋_GB2312" w:hAnsi="宋体" w:cs="微软雅黑"/>
                <w:color w:val="000000" w:themeColor="text1"/>
              </w:rPr>
              <w:t>事</w:t>
            </w:r>
            <w:r>
              <w:rPr>
                <w:rFonts w:hint="eastAsia" w:ascii="仿宋_GB2312" w:hAnsi="宋体" w:cs="Malgun Gothic Semilight"/>
                <w:color w:val="000000" w:themeColor="text1"/>
              </w:rPr>
              <w:t>）</w:t>
            </w:r>
            <w:r>
              <w:rPr>
                <w:rFonts w:hint="eastAsia" w:ascii="仿宋_GB2312" w:hAnsi="宋体" w:cs="微软雅黑"/>
                <w:color w:val="000000" w:themeColor="text1"/>
              </w:rPr>
              <w:t>件性质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8"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30</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家庭经济情况</w:t>
            </w:r>
          </w:p>
        </w:tc>
        <w:tc>
          <w:tcPr>
            <w:tcW w:w="1134"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62</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线路类型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8"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31</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目前诊断类型</w:t>
            </w:r>
          </w:p>
        </w:tc>
        <w:tc>
          <w:tcPr>
            <w:tcW w:w="1134"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63</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治安隐患等级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8" w:type="dxa"/>
            <w:vAlign w:val="center"/>
          </w:tcPr>
          <w:p>
            <w:pPr>
              <w:spacing w:line="300" w:lineRule="exact"/>
              <w:jc w:val="center"/>
              <w:rPr>
                <w:rFonts w:ascii="仿宋_GB2312" w:hAnsi="宋体"/>
                <w:color w:val="000000" w:themeColor="text1"/>
              </w:rPr>
            </w:pPr>
            <w:r>
              <w:rPr>
                <w:rFonts w:hint="eastAsia" w:ascii="仿宋_GB2312" w:hAnsi="宋体"/>
                <w:color w:val="000000" w:themeColor="text1"/>
              </w:rPr>
              <w:t>32</w:t>
            </w:r>
          </w:p>
        </w:tc>
        <w:tc>
          <w:tcPr>
            <w:tcW w:w="2835" w:type="dxa"/>
            <w:vAlign w:val="center"/>
          </w:tcPr>
          <w:p>
            <w:pPr>
              <w:spacing w:line="300" w:lineRule="exact"/>
              <w:jc w:val="center"/>
              <w:rPr>
                <w:rFonts w:ascii="仿宋_GB2312" w:hAnsi="宋体"/>
                <w:color w:val="000000" w:themeColor="text1"/>
              </w:rPr>
            </w:pPr>
            <w:r>
              <w:rPr>
                <w:rFonts w:hint="eastAsia" w:ascii="仿宋_GB2312" w:hAnsi="宋体" w:cs="微软雅黑"/>
                <w:color w:val="000000" w:themeColor="text1"/>
              </w:rPr>
              <w:t>目前危险性评估等级</w:t>
            </w:r>
          </w:p>
        </w:tc>
        <w:tc>
          <w:tcPr>
            <w:tcW w:w="1134" w:type="dxa"/>
            <w:vAlign w:val="center"/>
          </w:tcPr>
          <w:p>
            <w:pPr>
              <w:spacing w:line="300" w:lineRule="exact"/>
              <w:jc w:val="center"/>
              <w:rPr>
                <w:rFonts w:ascii="仿宋_GB2312" w:hAnsi="宋体"/>
                <w:color w:val="000000" w:themeColor="text1"/>
              </w:rPr>
            </w:pPr>
          </w:p>
        </w:tc>
        <w:tc>
          <w:tcPr>
            <w:tcW w:w="2835" w:type="dxa"/>
            <w:vAlign w:val="center"/>
          </w:tcPr>
          <w:p>
            <w:pPr>
              <w:spacing w:line="300" w:lineRule="exact"/>
              <w:jc w:val="center"/>
              <w:rPr>
                <w:rFonts w:ascii="仿宋_GB2312" w:hAnsi="宋体"/>
                <w:color w:val="000000" w:themeColor="text1"/>
              </w:rPr>
            </w:pPr>
          </w:p>
        </w:tc>
      </w:tr>
    </w:tbl>
    <w:p>
      <w:pPr>
        <w:rPr>
          <w:color w:val="000000" w:themeColor="text1"/>
        </w:rPr>
      </w:pPr>
    </w:p>
    <w:p>
      <w:pPr>
        <w:ind w:firstLine="480"/>
        <w:rPr>
          <w:color w:val="000000" w:themeColor="text1"/>
        </w:rPr>
      </w:pPr>
      <w:r>
        <w:rPr>
          <w:rFonts w:hint="eastAsia"/>
          <w:color w:val="000000" w:themeColor="text1"/>
        </w:rPr>
        <w:t>2、共享主数据模型规范</w:t>
      </w:r>
    </w:p>
    <w:p>
      <w:pPr>
        <w:ind w:firstLine="480"/>
        <w:rPr>
          <w:color w:val="000000" w:themeColor="text1"/>
        </w:rPr>
      </w:pPr>
      <w:r>
        <w:rPr>
          <w:rFonts w:hint="eastAsia"/>
          <w:color w:val="000000" w:themeColor="text1"/>
        </w:rPr>
        <w:t>共享主数据模型包含了数据实体和实体间的关系、属性、定义、描述和范例。共享主数据模型是数据元规范、编码规范在数据中心系统层面的落地，管理数据区的模型层严格参照共享数据模型的逻辑模型进行设计。共享主数据模型承担起各类业务系统数据结构的校验与审计功能。本次项目主要涉及公安、民政、卫计、人社、教育、工商、食药监、安监、消防、环保、司法及综治等十二部门共85个信息项。</w:t>
      </w:r>
    </w:p>
    <w:p>
      <w:pPr>
        <w:ind w:firstLine="480"/>
        <w:rPr>
          <w:color w:val="000000" w:themeColor="text1"/>
        </w:rPr>
      </w:pPr>
      <w:r>
        <w:rPr>
          <w:rFonts w:hint="eastAsia"/>
          <w:color w:val="000000" w:themeColor="text1"/>
        </w:rPr>
        <w:t>3、数据交换规范</w:t>
      </w:r>
    </w:p>
    <w:p>
      <w:pPr>
        <w:ind w:firstLine="480"/>
        <w:rPr>
          <w:color w:val="000000" w:themeColor="text1"/>
        </w:rPr>
      </w:pPr>
      <w:r>
        <w:rPr>
          <w:rFonts w:hint="eastAsia"/>
          <w:color w:val="000000" w:themeColor="text1"/>
        </w:rPr>
        <w:t>数据交换规范定义了各数据区之间、各职能部门之间数据资源的层次构架，与数据交换的参考模型。规范同时定义多种数据采集模式的优势、劣势。主要包括数据接入规范和交换开发规范。</w:t>
      </w:r>
    </w:p>
    <w:p>
      <w:pPr>
        <w:ind w:firstLine="480"/>
        <w:rPr>
          <w:color w:val="000000" w:themeColor="text1"/>
        </w:rPr>
      </w:pPr>
      <w:bookmarkStart w:id="348" w:name="_Toc452645697"/>
      <w:r>
        <w:rPr>
          <w:rFonts w:hint="eastAsia"/>
          <w:color w:val="000000" w:themeColor="text1"/>
        </w:rPr>
        <w:t>1）数据接入方案</w:t>
      </w:r>
      <w:bookmarkEnd w:id="348"/>
    </w:p>
    <w:p>
      <w:pPr>
        <w:ind w:firstLine="480"/>
        <w:rPr>
          <w:color w:val="000000" w:themeColor="text1"/>
        </w:rPr>
      </w:pPr>
      <w:r>
        <w:rPr>
          <w:rFonts w:hint="eastAsia"/>
          <w:color w:val="000000" w:themeColor="text1"/>
        </w:rPr>
        <w:t>数据接入方案是本次数据交换的核心内容之一，主要是针对本次项目的目标，针对十二个职能部门以及其他相关数据源指定数据的接入整合方案，包括针对不同数据源的不同数据的数据整合的方式。</w:t>
      </w:r>
    </w:p>
    <w:p>
      <w:pPr>
        <w:ind w:firstLine="480"/>
        <w:rPr>
          <w:color w:val="000000" w:themeColor="text1"/>
        </w:rPr>
      </w:pPr>
      <w:bookmarkStart w:id="349" w:name="_Toc452645698"/>
      <w:r>
        <w:rPr>
          <w:rFonts w:hint="eastAsia"/>
          <w:color w:val="000000" w:themeColor="text1"/>
        </w:rPr>
        <w:t>2）交换开发规范</w:t>
      </w:r>
      <w:bookmarkEnd w:id="349"/>
    </w:p>
    <w:p>
      <w:pPr>
        <w:ind w:firstLine="480"/>
        <w:rPr>
          <w:color w:val="000000" w:themeColor="text1"/>
        </w:rPr>
      </w:pPr>
      <w:r>
        <w:rPr>
          <w:rFonts w:hint="eastAsia"/>
          <w:color w:val="000000" w:themeColor="text1"/>
        </w:rPr>
        <w:t>交换开发规范主要是用以指导开发人员在数据交换共享任务开发过程中，所应该遵循的一系列的规范及原则。主要是包括交换平台的使用规范，包括交换平台的选型，用户管理规范等等，同时还包括交换任务的开发规范，包括交换任务的命名规范，保存规范等等内容。</w:t>
      </w:r>
    </w:p>
    <w:p>
      <w:pPr>
        <w:ind w:firstLine="480"/>
        <w:rPr>
          <w:color w:val="000000" w:themeColor="text1"/>
        </w:rPr>
      </w:pPr>
      <w:r>
        <w:rPr>
          <w:rFonts w:hint="eastAsia"/>
          <w:color w:val="000000" w:themeColor="text1"/>
        </w:rPr>
        <w:t>4、数据管控规范</w:t>
      </w:r>
    </w:p>
    <w:p>
      <w:pPr>
        <w:ind w:firstLine="480"/>
        <w:rPr>
          <w:color w:val="000000" w:themeColor="text1"/>
        </w:rPr>
      </w:pPr>
      <w:r>
        <w:rPr>
          <w:rFonts w:hint="eastAsia"/>
          <w:color w:val="000000" w:themeColor="text1"/>
        </w:rPr>
        <w:t>数据管控规范定义了以数据中心为依托，实现数据全面管控的各项机制与制度，包括建议的角色配置、管理制度、操作流程等，范围涉及数据采集、系统新建、数据请求等。</w:t>
      </w:r>
    </w:p>
    <w:p>
      <w:pPr>
        <w:ind w:firstLine="480"/>
        <w:rPr>
          <w:color w:val="000000" w:themeColor="text1"/>
        </w:rPr>
      </w:pPr>
      <w:r>
        <w:rPr>
          <w:rFonts w:hint="eastAsia"/>
          <w:color w:val="000000" w:themeColor="text1"/>
        </w:rPr>
        <w:t>5、数据服务规范</w:t>
      </w:r>
    </w:p>
    <w:p>
      <w:pPr>
        <w:ind w:firstLine="480"/>
        <w:rPr>
          <w:color w:val="000000" w:themeColor="text1"/>
        </w:rPr>
      </w:pPr>
      <w:r>
        <w:rPr>
          <w:rFonts w:hint="eastAsia"/>
          <w:color w:val="000000" w:themeColor="text1"/>
        </w:rPr>
        <w:t>数据服务规范定义了数据中心平台所提供数据订阅服务接口的列表与描述。对外提供服务方式、发布频率、测试用例等。</w:t>
      </w:r>
    </w:p>
    <w:p>
      <w:pPr>
        <w:pStyle w:val="8"/>
        <w:spacing w:before="120" w:after="120"/>
        <w:ind w:firstLine="480"/>
        <w:rPr>
          <w:color w:val="000000" w:themeColor="text1"/>
        </w:rPr>
      </w:pPr>
      <w:bookmarkStart w:id="350" w:name="_Toc525942712"/>
      <w:r>
        <w:rPr>
          <w:rFonts w:hint="eastAsia"/>
          <w:color w:val="000000" w:themeColor="text1"/>
        </w:rPr>
        <w:t>1.4.3.2综治专题数据接入</w:t>
      </w:r>
      <w:bookmarkEnd w:id="350"/>
    </w:p>
    <w:p>
      <w:pPr>
        <w:ind w:firstLine="480"/>
        <w:rPr>
          <w:color w:val="000000" w:themeColor="text1"/>
        </w:rPr>
      </w:pPr>
      <w:r>
        <w:rPr>
          <w:rFonts w:hint="eastAsia"/>
          <w:color w:val="000000" w:themeColor="text1"/>
        </w:rPr>
        <w:t>数据资源库属于整个数据交换与服务中心建设的基础内容，是本项目建设的核心内容之一。数据资源库的建设依据GB/T 31000-2015《社会治安综治治理基础数据规范》，整个数据资源库的建设需包含以重点人口、场所等基础数据库，事件业务数据库为核心的主题数据库及元数据库的建设。</w:t>
      </w:r>
    </w:p>
    <w:p>
      <w:pPr>
        <w:ind w:firstLine="480"/>
        <w:rPr>
          <w:color w:val="000000" w:themeColor="text1"/>
        </w:rPr>
      </w:pPr>
      <w:r>
        <w:rPr>
          <w:rFonts w:hint="eastAsia"/>
          <w:color w:val="000000" w:themeColor="text1"/>
        </w:rPr>
        <w:t>数据资源库总体架构流程示意图如下：</w:t>
      </w:r>
    </w:p>
    <w:p>
      <w:pPr>
        <w:jc w:val="center"/>
        <w:rPr>
          <w:rFonts w:cs="宋体"/>
          <w:color w:val="000000" w:themeColor="text1"/>
        </w:rPr>
      </w:pPr>
      <w:r>
        <w:rPr>
          <w:rFonts w:cs="宋体"/>
          <w:color w:val="000000" w:themeColor="text1"/>
        </w:rPr>
        <w:drawing>
          <wp:inline distT="0" distB="0" distL="0" distR="0">
            <wp:extent cx="5229225" cy="2571750"/>
            <wp:effectExtent l="19050" t="0" r="9525" b="0"/>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noChangeArrowheads="1"/>
                    </pic:cNvPicPr>
                  </pic:nvPicPr>
                  <pic:blipFill>
                    <a:blip r:embed="rId40"/>
                    <a:srcRect b="12148"/>
                    <a:stretch>
                      <a:fillRect/>
                    </a:stretch>
                  </pic:blipFill>
                  <pic:spPr>
                    <a:xfrm>
                      <a:off x="0" y="0"/>
                      <a:ext cx="5229225" cy="2571750"/>
                    </a:xfrm>
                    <a:prstGeom prst="rect">
                      <a:avLst/>
                    </a:prstGeom>
                    <a:noFill/>
                    <a:ln w="9525">
                      <a:noFill/>
                      <a:miter lim="800000"/>
                      <a:headEnd/>
                      <a:tailEnd/>
                    </a:ln>
                  </pic:spPr>
                </pic:pic>
              </a:graphicData>
            </a:graphic>
          </wp:inline>
        </w:drawing>
      </w:r>
    </w:p>
    <w:p>
      <w:pPr>
        <w:tabs>
          <w:tab w:val="left" w:pos="900"/>
        </w:tabs>
        <w:snapToGrid w:val="0"/>
        <w:jc w:val="center"/>
        <w:rPr>
          <w:rFonts w:ascii="宋体" w:hAnsi="宋体"/>
          <w:color w:val="000000" w:themeColor="text1"/>
        </w:rPr>
      </w:pPr>
      <w:r>
        <w:rPr>
          <w:rFonts w:ascii="宋体" w:hAnsi="宋体"/>
          <w:color w:val="000000" w:themeColor="text1"/>
        </w:rPr>
        <w:t>图</w:t>
      </w:r>
      <w:r>
        <w:rPr>
          <w:rFonts w:hint="eastAsia" w:ascii="宋体" w:hAnsi="宋体"/>
          <w:color w:val="000000" w:themeColor="text1"/>
        </w:rPr>
        <w:t>15    数据资源库总体架构流程示意图</w:t>
      </w:r>
    </w:p>
    <w:p>
      <w:pPr>
        <w:ind w:firstLine="480"/>
        <w:rPr>
          <w:color w:val="000000" w:themeColor="text1"/>
        </w:rPr>
      </w:pPr>
      <w:r>
        <w:rPr>
          <w:rFonts w:hint="eastAsia"/>
          <w:color w:val="000000" w:themeColor="text1"/>
        </w:rPr>
        <w:t>1、数据汇聚</w:t>
      </w:r>
    </w:p>
    <w:p>
      <w:pPr>
        <w:ind w:firstLine="480"/>
        <w:rPr>
          <w:color w:val="000000" w:themeColor="text1"/>
        </w:rPr>
      </w:pPr>
      <w:r>
        <w:rPr>
          <w:rFonts w:hint="eastAsia"/>
          <w:color w:val="000000" w:themeColor="text1"/>
        </w:rPr>
        <w:t>数据来源：平安建设信息系统为骨干平台，对接和打通省级公安、民政、人力社保、教育、司法、卫计、安监、环保、工商、食品药品安全、消防等职能部门业务数据。</w:t>
      </w:r>
    </w:p>
    <w:p>
      <w:pPr>
        <w:ind w:firstLine="480"/>
        <w:rPr>
          <w:color w:val="000000" w:themeColor="text1"/>
        </w:rPr>
      </w:pPr>
      <w:r>
        <w:rPr>
          <w:rFonts w:hint="eastAsia"/>
          <w:color w:val="000000" w:themeColor="text1"/>
        </w:rPr>
        <w:t>公安数据</w:t>
      </w:r>
    </w:p>
    <w:tbl>
      <w:tblPr>
        <w:tblStyle w:val="53"/>
        <w:tblW w:w="5654" w:type="dxa"/>
        <w:jc w:val="center"/>
        <w:tblInd w:w="1102"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8"/>
        <w:gridCol w:w="49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8"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s="微软雅黑"/>
                <w:color w:val="000000" w:themeColor="text1"/>
                <w:sz w:val="21"/>
                <w:szCs w:val="21"/>
              </w:rPr>
              <w:t>序号</w:t>
            </w:r>
          </w:p>
        </w:tc>
        <w:tc>
          <w:tcPr>
            <w:tcW w:w="4936"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s="微软雅黑"/>
                <w:color w:val="000000" w:themeColor="text1"/>
                <w:sz w:val="21"/>
                <w:szCs w:val="21"/>
              </w:rPr>
              <w:t>数据项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8"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olor w:val="000000" w:themeColor="text1"/>
                <w:sz w:val="21"/>
                <w:szCs w:val="21"/>
              </w:rPr>
              <w:t>1</w:t>
            </w:r>
          </w:p>
        </w:tc>
        <w:tc>
          <w:tcPr>
            <w:tcW w:w="4936"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s="微软雅黑"/>
                <w:color w:val="000000" w:themeColor="text1"/>
                <w:sz w:val="21"/>
                <w:szCs w:val="21"/>
              </w:rPr>
              <w:t>常住人口信息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8"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olor w:val="000000" w:themeColor="text1"/>
                <w:sz w:val="21"/>
                <w:szCs w:val="21"/>
              </w:rPr>
              <w:t>2</w:t>
            </w:r>
          </w:p>
        </w:tc>
        <w:tc>
          <w:tcPr>
            <w:tcW w:w="4936"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s="微软雅黑"/>
                <w:color w:val="000000" w:themeColor="text1"/>
                <w:sz w:val="21"/>
                <w:szCs w:val="21"/>
              </w:rPr>
              <w:t>流动人口信息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8"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olor w:val="000000" w:themeColor="text1"/>
                <w:sz w:val="21"/>
                <w:szCs w:val="21"/>
              </w:rPr>
              <w:t>3</w:t>
            </w:r>
          </w:p>
        </w:tc>
        <w:tc>
          <w:tcPr>
            <w:tcW w:w="4936"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s="微软雅黑"/>
                <w:color w:val="000000" w:themeColor="text1"/>
                <w:sz w:val="21"/>
                <w:szCs w:val="21"/>
              </w:rPr>
              <w:t>境外人员信息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8"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olor w:val="000000" w:themeColor="text1"/>
                <w:sz w:val="21"/>
                <w:szCs w:val="21"/>
              </w:rPr>
              <w:t>4</w:t>
            </w:r>
          </w:p>
        </w:tc>
        <w:tc>
          <w:tcPr>
            <w:tcW w:w="4936"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s="微软雅黑"/>
                <w:color w:val="000000" w:themeColor="text1"/>
                <w:sz w:val="21"/>
                <w:szCs w:val="21"/>
              </w:rPr>
              <w:t>重点青少年信息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8"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olor w:val="000000" w:themeColor="text1"/>
                <w:sz w:val="21"/>
                <w:szCs w:val="21"/>
              </w:rPr>
              <w:t>5</w:t>
            </w:r>
          </w:p>
        </w:tc>
        <w:tc>
          <w:tcPr>
            <w:tcW w:w="4936"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s="微软雅黑"/>
                <w:color w:val="000000" w:themeColor="text1"/>
                <w:sz w:val="21"/>
                <w:szCs w:val="21"/>
              </w:rPr>
              <w:t>**人员信息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8"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olor w:val="000000" w:themeColor="text1"/>
                <w:sz w:val="21"/>
                <w:szCs w:val="21"/>
              </w:rPr>
              <w:t>6</w:t>
            </w:r>
          </w:p>
        </w:tc>
        <w:tc>
          <w:tcPr>
            <w:tcW w:w="4936"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s="微软雅黑"/>
                <w:color w:val="000000" w:themeColor="text1"/>
                <w:sz w:val="21"/>
                <w:szCs w:val="21"/>
              </w:rPr>
              <w:t>肇事肇祸精神病人员信息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8"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olor w:val="000000" w:themeColor="text1"/>
                <w:sz w:val="21"/>
                <w:szCs w:val="21"/>
              </w:rPr>
              <w:t>7</w:t>
            </w:r>
          </w:p>
        </w:tc>
        <w:tc>
          <w:tcPr>
            <w:tcW w:w="4936"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s="微软雅黑"/>
                <w:color w:val="000000" w:themeColor="text1"/>
                <w:sz w:val="21"/>
                <w:szCs w:val="21"/>
              </w:rPr>
              <w:t>出租房信息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8"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olor w:val="000000" w:themeColor="text1"/>
                <w:sz w:val="21"/>
                <w:szCs w:val="21"/>
              </w:rPr>
              <w:t>8</w:t>
            </w:r>
          </w:p>
        </w:tc>
        <w:tc>
          <w:tcPr>
            <w:tcW w:w="4936"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s="微软雅黑"/>
                <w:color w:val="000000" w:themeColor="text1"/>
                <w:sz w:val="21"/>
                <w:szCs w:val="21"/>
              </w:rPr>
              <w:t>重点单位信息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8"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olor w:val="000000" w:themeColor="text1"/>
                <w:sz w:val="21"/>
                <w:szCs w:val="21"/>
              </w:rPr>
              <w:t>9</w:t>
            </w:r>
          </w:p>
        </w:tc>
        <w:tc>
          <w:tcPr>
            <w:tcW w:w="4936"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s="微软雅黑"/>
                <w:color w:val="000000" w:themeColor="text1"/>
                <w:sz w:val="21"/>
                <w:szCs w:val="21"/>
              </w:rPr>
              <w:t>机动车登记变更信息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8"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olor w:val="000000" w:themeColor="text1"/>
                <w:sz w:val="21"/>
                <w:szCs w:val="21"/>
              </w:rPr>
              <w:t>10</w:t>
            </w:r>
          </w:p>
        </w:tc>
        <w:tc>
          <w:tcPr>
            <w:tcW w:w="4936" w:type="dxa"/>
            <w:vAlign w:val="center"/>
          </w:tcPr>
          <w:p>
            <w:pPr>
              <w:pStyle w:val="116"/>
              <w:spacing w:before="0" w:after="0" w:line="300" w:lineRule="exact"/>
              <w:ind w:left="4" w:firstLine="0" w:firstLineChars="0"/>
              <w:jc w:val="center"/>
              <w:rPr>
                <w:rFonts w:eastAsia="宋体"/>
                <w:color w:val="000000" w:themeColor="text1"/>
                <w:sz w:val="21"/>
                <w:szCs w:val="21"/>
              </w:rPr>
            </w:pPr>
            <w:r>
              <w:rPr>
                <w:rFonts w:hint="eastAsia" w:eastAsia="宋体" w:cs="微软雅黑"/>
                <w:color w:val="000000" w:themeColor="text1"/>
                <w:sz w:val="21"/>
                <w:szCs w:val="21"/>
              </w:rPr>
              <w:t>车辆信息</w:t>
            </w:r>
          </w:p>
        </w:tc>
      </w:tr>
    </w:tbl>
    <w:p>
      <w:pPr>
        <w:pStyle w:val="116"/>
        <w:numPr>
          <w:ilvl w:val="0"/>
          <w:numId w:val="4"/>
        </w:numPr>
        <w:spacing w:before="0" w:after="0"/>
        <w:ind w:firstLineChars="0"/>
        <w:rPr>
          <w:rFonts w:eastAsia="宋体"/>
          <w:color w:val="000000" w:themeColor="text1"/>
        </w:rPr>
      </w:pPr>
      <w:r>
        <w:rPr>
          <w:rFonts w:hint="eastAsia" w:eastAsia="宋体" w:cs="微软雅黑"/>
          <w:color w:val="000000" w:themeColor="text1"/>
        </w:rPr>
        <w:t>教育数据</w:t>
      </w:r>
    </w:p>
    <w:tbl>
      <w:tblPr>
        <w:tblStyle w:val="53"/>
        <w:tblW w:w="5774" w:type="dxa"/>
        <w:jc w:val="center"/>
        <w:tblInd w:w="1102"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4"/>
        <w:gridCol w:w="49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4"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s="微软雅黑"/>
                <w:color w:val="000000" w:themeColor="text1"/>
                <w:sz w:val="21"/>
                <w:szCs w:val="21"/>
              </w:rPr>
              <w:t>序号</w:t>
            </w:r>
          </w:p>
        </w:tc>
        <w:tc>
          <w:tcPr>
            <w:tcW w:w="4940"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s="微软雅黑"/>
                <w:color w:val="000000" w:themeColor="text1"/>
                <w:sz w:val="21"/>
                <w:szCs w:val="21"/>
              </w:rPr>
              <w:t>数据项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4"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olor w:val="000000" w:themeColor="text1"/>
                <w:sz w:val="21"/>
                <w:szCs w:val="21"/>
              </w:rPr>
              <w:t>1</w:t>
            </w:r>
          </w:p>
        </w:tc>
        <w:tc>
          <w:tcPr>
            <w:tcW w:w="4940"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s="微软雅黑"/>
                <w:color w:val="000000" w:themeColor="text1"/>
                <w:sz w:val="21"/>
                <w:szCs w:val="21"/>
              </w:rPr>
              <w:t>学校信息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4"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olor w:val="000000" w:themeColor="text1"/>
                <w:sz w:val="21"/>
                <w:szCs w:val="21"/>
              </w:rPr>
              <w:t>2</w:t>
            </w:r>
          </w:p>
        </w:tc>
        <w:tc>
          <w:tcPr>
            <w:tcW w:w="4940"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s="微软雅黑"/>
                <w:color w:val="000000" w:themeColor="text1"/>
                <w:sz w:val="21"/>
                <w:szCs w:val="21"/>
              </w:rPr>
              <w:t>学生信息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4"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olor w:val="000000" w:themeColor="text1"/>
                <w:sz w:val="21"/>
                <w:szCs w:val="21"/>
              </w:rPr>
              <w:t>3</w:t>
            </w:r>
          </w:p>
        </w:tc>
        <w:tc>
          <w:tcPr>
            <w:tcW w:w="4940"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s="微软雅黑"/>
                <w:color w:val="000000" w:themeColor="text1"/>
                <w:sz w:val="21"/>
                <w:szCs w:val="21"/>
              </w:rPr>
              <w:t>教师信息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4"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olor w:val="000000" w:themeColor="text1"/>
                <w:sz w:val="21"/>
                <w:szCs w:val="21"/>
              </w:rPr>
              <w:t>4</w:t>
            </w:r>
          </w:p>
        </w:tc>
        <w:tc>
          <w:tcPr>
            <w:tcW w:w="4940"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s="微软雅黑"/>
                <w:color w:val="000000" w:themeColor="text1"/>
                <w:sz w:val="21"/>
                <w:szCs w:val="21"/>
              </w:rPr>
              <w:t>外籍教师信息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4"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olor w:val="000000" w:themeColor="text1"/>
                <w:sz w:val="21"/>
                <w:szCs w:val="21"/>
              </w:rPr>
              <w:t>5</w:t>
            </w:r>
          </w:p>
        </w:tc>
        <w:tc>
          <w:tcPr>
            <w:tcW w:w="4940"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s="微软雅黑"/>
                <w:color w:val="000000" w:themeColor="text1"/>
                <w:sz w:val="21"/>
                <w:szCs w:val="21"/>
              </w:rPr>
              <w:t>外籍留学生信息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4"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olor w:val="000000" w:themeColor="text1"/>
                <w:sz w:val="21"/>
                <w:szCs w:val="21"/>
              </w:rPr>
              <w:t>6</w:t>
            </w:r>
          </w:p>
        </w:tc>
        <w:tc>
          <w:tcPr>
            <w:tcW w:w="4940"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s="微软雅黑"/>
                <w:color w:val="000000" w:themeColor="text1"/>
                <w:sz w:val="21"/>
                <w:szCs w:val="21"/>
              </w:rPr>
              <w:t>校车驾驶员信息</w:t>
            </w:r>
          </w:p>
        </w:tc>
      </w:tr>
    </w:tbl>
    <w:p>
      <w:pPr>
        <w:pStyle w:val="116"/>
        <w:numPr>
          <w:ilvl w:val="0"/>
          <w:numId w:val="4"/>
        </w:numPr>
        <w:spacing w:before="0" w:after="0"/>
        <w:ind w:firstLineChars="0"/>
        <w:rPr>
          <w:rFonts w:eastAsia="宋体"/>
          <w:color w:val="000000" w:themeColor="text1"/>
        </w:rPr>
      </w:pPr>
      <w:r>
        <w:rPr>
          <w:rFonts w:hint="eastAsia" w:eastAsia="宋体" w:cs="微软雅黑"/>
          <w:color w:val="000000" w:themeColor="text1"/>
        </w:rPr>
        <w:t>民政数据</w:t>
      </w:r>
    </w:p>
    <w:tbl>
      <w:tblPr>
        <w:tblStyle w:val="53"/>
        <w:tblW w:w="579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6"/>
        <w:gridCol w:w="4961"/>
      </w:tblGrid>
      <w:tr>
        <w:tblPrEx>
          <w:tblLayout w:type="fixed"/>
          <w:tblCellMar>
            <w:top w:w="0" w:type="dxa"/>
            <w:left w:w="108" w:type="dxa"/>
            <w:bottom w:w="0" w:type="dxa"/>
            <w:right w:w="108" w:type="dxa"/>
          </w:tblCellMar>
        </w:tblPrEx>
        <w:trPr>
          <w:jc w:val="center"/>
        </w:trPr>
        <w:tc>
          <w:tcPr>
            <w:tcW w:w="836"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s="微软雅黑"/>
                <w:color w:val="000000" w:themeColor="text1"/>
                <w:sz w:val="21"/>
                <w:szCs w:val="21"/>
              </w:rPr>
              <w:t>序号</w:t>
            </w:r>
          </w:p>
        </w:tc>
        <w:tc>
          <w:tcPr>
            <w:tcW w:w="4961"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s="微软雅黑"/>
                <w:color w:val="000000" w:themeColor="text1"/>
                <w:sz w:val="21"/>
                <w:szCs w:val="21"/>
              </w:rPr>
              <w:t>数据项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6"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olor w:val="000000" w:themeColor="text1"/>
                <w:sz w:val="21"/>
                <w:szCs w:val="21"/>
              </w:rPr>
              <w:t>1</w:t>
            </w:r>
          </w:p>
        </w:tc>
        <w:tc>
          <w:tcPr>
            <w:tcW w:w="4961"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s="微软雅黑"/>
                <w:color w:val="000000" w:themeColor="text1"/>
                <w:sz w:val="21"/>
                <w:szCs w:val="21"/>
              </w:rPr>
              <w:t>养老机构服务信息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6"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olor w:val="000000" w:themeColor="text1"/>
                <w:sz w:val="21"/>
                <w:szCs w:val="21"/>
              </w:rPr>
              <w:t>2</w:t>
            </w:r>
          </w:p>
        </w:tc>
        <w:tc>
          <w:tcPr>
            <w:tcW w:w="4961"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s="微软雅黑"/>
                <w:color w:val="000000" w:themeColor="text1"/>
                <w:sz w:val="21"/>
                <w:szCs w:val="21"/>
              </w:rPr>
              <w:t>婚姻登记变更信息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6"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olor w:val="000000" w:themeColor="text1"/>
                <w:sz w:val="21"/>
                <w:szCs w:val="21"/>
              </w:rPr>
              <w:t>3</w:t>
            </w:r>
          </w:p>
        </w:tc>
        <w:tc>
          <w:tcPr>
            <w:tcW w:w="4961"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s="微软雅黑"/>
                <w:color w:val="000000" w:themeColor="text1"/>
                <w:sz w:val="21"/>
                <w:szCs w:val="21"/>
              </w:rPr>
              <w:t>低保人员信息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6"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olor w:val="000000" w:themeColor="text1"/>
                <w:sz w:val="21"/>
                <w:szCs w:val="21"/>
              </w:rPr>
              <w:t>4</w:t>
            </w:r>
          </w:p>
        </w:tc>
        <w:tc>
          <w:tcPr>
            <w:tcW w:w="4961" w:type="dxa"/>
            <w:vAlign w:val="center"/>
          </w:tcPr>
          <w:p>
            <w:pPr>
              <w:pStyle w:val="116"/>
              <w:spacing w:before="0" w:after="0" w:line="300" w:lineRule="exact"/>
              <w:ind w:firstLine="0" w:firstLineChars="0"/>
              <w:jc w:val="center"/>
              <w:rPr>
                <w:rFonts w:eastAsia="宋体"/>
                <w:color w:val="000000" w:themeColor="text1"/>
                <w:sz w:val="21"/>
                <w:szCs w:val="21"/>
              </w:rPr>
            </w:pPr>
            <w:r>
              <w:rPr>
                <w:rFonts w:eastAsia="宋体"/>
                <w:color w:val="000000" w:themeColor="text1"/>
                <w:sz w:val="21"/>
                <w:szCs w:val="21"/>
              </w:rPr>
              <w:t>60</w:t>
            </w:r>
            <w:r>
              <w:rPr>
                <w:rFonts w:hint="eastAsia" w:eastAsia="宋体" w:cs="微软雅黑"/>
                <w:color w:val="000000" w:themeColor="text1"/>
                <w:sz w:val="21"/>
                <w:szCs w:val="21"/>
              </w:rPr>
              <w:t>岁以上老人基本信息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6"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olor w:val="000000" w:themeColor="text1"/>
                <w:sz w:val="21"/>
                <w:szCs w:val="21"/>
              </w:rPr>
              <w:t>5</w:t>
            </w:r>
          </w:p>
        </w:tc>
        <w:tc>
          <w:tcPr>
            <w:tcW w:w="4961"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s="微软雅黑"/>
                <w:color w:val="000000" w:themeColor="text1"/>
                <w:sz w:val="21"/>
                <w:szCs w:val="21"/>
              </w:rPr>
              <w:t>困境儿童基本信息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6"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olor w:val="000000" w:themeColor="text1"/>
                <w:sz w:val="21"/>
                <w:szCs w:val="21"/>
              </w:rPr>
              <w:t>6</w:t>
            </w:r>
          </w:p>
        </w:tc>
        <w:tc>
          <w:tcPr>
            <w:tcW w:w="4961"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s="微软雅黑"/>
                <w:color w:val="000000" w:themeColor="text1"/>
                <w:sz w:val="21"/>
                <w:szCs w:val="21"/>
              </w:rPr>
              <w:t>残疾人基本信息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6"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olor w:val="000000" w:themeColor="text1"/>
                <w:sz w:val="21"/>
                <w:szCs w:val="21"/>
              </w:rPr>
              <w:t>7</w:t>
            </w:r>
          </w:p>
        </w:tc>
        <w:tc>
          <w:tcPr>
            <w:tcW w:w="4961"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s="微软雅黑"/>
                <w:color w:val="000000" w:themeColor="text1"/>
                <w:sz w:val="21"/>
                <w:szCs w:val="21"/>
              </w:rPr>
              <w:t>社会组织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6"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olor w:val="000000" w:themeColor="text1"/>
                <w:sz w:val="21"/>
                <w:szCs w:val="21"/>
              </w:rPr>
              <w:t>8</w:t>
            </w:r>
          </w:p>
        </w:tc>
        <w:tc>
          <w:tcPr>
            <w:tcW w:w="4961" w:type="dxa"/>
            <w:vAlign w:val="center"/>
          </w:tcPr>
          <w:p>
            <w:pPr>
              <w:pStyle w:val="116"/>
              <w:spacing w:before="0" w:after="0" w:line="300" w:lineRule="exact"/>
              <w:ind w:firstLine="0" w:firstLineChars="0"/>
              <w:jc w:val="center"/>
              <w:rPr>
                <w:rFonts w:eastAsia="宋体"/>
                <w:color w:val="000000" w:themeColor="text1"/>
                <w:sz w:val="21"/>
                <w:szCs w:val="21"/>
              </w:rPr>
            </w:pPr>
            <w:r>
              <w:rPr>
                <w:rFonts w:hint="eastAsia" w:eastAsia="宋体" w:cs="微软雅黑"/>
                <w:color w:val="000000" w:themeColor="text1"/>
                <w:sz w:val="21"/>
                <w:szCs w:val="21"/>
              </w:rPr>
              <w:t>复员退伍军人信息</w:t>
            </w:r>
          </w:p>
        </w:tc>
      </w:tr>
    </w:tbl>
    <w:p>
      <w:pPr>
        <w:pStyle w:val="116"/>
        <w:numPr>
          <w:ilvl w:val="0"/>
          <w:numId w:val="4"/>
        </w:numPr>
        <w:spacing w:before="0" w:after="0"/>
        <w:ind w:firstLineChars="0"/>
        <w:rPr>
          <w:rFonts w:eastAsia="宋体"/>
          <w:color w:val="000000" w:themeColor="text1"/>
        </w:rPr>
      </w:pPr>
      <w:r>
        <w:rPr>
          <w:rFonts w:hint="eastAsia" w:eastAsia="宋体" w:cs="微软雅黑"/>
          <w:color w:val="000000" w:themeColor="text1"/>
        </w:rPr>
        <w:t>团委数据</w:t>
      </w:r>
    </w:p>
    <w:tbl>
      <w:tblPr>
        <w:tblStyle w:val="53"/>
        <w:tblW w:w="580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9"/>
        <w:gridCol w:w="49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序号</w:t>
            </w:r>
          </w:p>
        </w:tc>
        <w:tc>
          <w:tcPr>
            <w:tcW w:w="4961"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数据项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olor w:val="000000" w:themeColor="text1"/>
                <w:sz w:val="21"/>
                <w:szCs w:val="21"/>
              </w:rPr>
              <w:t>1</w:t>
            </w:r>
          </w:p>
        </w:tc>
        <w:tc>
          <w:tcPr>
            <w:tcW w:w="4961"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志愿者信息</w:t>
            </w:r>
          </w:p>
        </w:tc>
      </w:tr>
    </w:tbl>
    <w:p>
      <w:pPr>
        <w:pStyle w:val="116"/>
        <w:numPr>
          <w:ilvl w:val="0"/>
          <w:numId w:val="4"/>
        </w:numPr>
        <w:spacing w:before="0" w:after="0"/>
        <w:ind w:firstLineChars="0"/>
        <w:rPr>
          <w:rFonts w:eastAsia="宋体"/>
          <w:color w:val="000000" w:themeColor="text1"/>
        </w:rPr>
      </w:pPr>
      <w:r>
        <w:rPr>
          <w:rFonts w:hint="eastAsia" w:eastAsia="宋体" w:cs="微软雅黑"/>
          <w:color w:val="000000" w:themeColor="text1"/>
        </w:rPr>
        <w:t>信访数据</w:t>
      </w:r>
    </w:p>
    <w:tbl>
      <w:tblPr>
        <w:tblStyle w:val="53"/>
        <w:tblW w:w="580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9"/>
        <w:gridCol w:w="49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839"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序号</w:t>
            </w:r>
          </w:p>
        </w:tc>
        <w:tc>
          <w:tcPr>
            <w:tcW w:w="4961"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数据项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olor w:val="000000" w:themeColor="text1"/>
                <w:sz w:val="21"/>
                <w:szCs w:val="21"/>
              </w:rPr>
              <w:t>1</w:t>
            </w:r>
          </w:p>
        </w:tc>
        <w:tc>
          <w:tcPr>
            <w:tcW w:w="4961"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信访受理事项</w:t>
            </w:r>
          </w:p>
        </w:tc>
      </w:tr>
    </w:tbl>
    <w:p>
      <w:pPr>
        <w:pStyle w:val="116"/>
        <w:numPr>
          <w:ilvl w:val="0"/>
          <w:numId w:val="4"/>
        </w:numPr>
        <w:spacing w:before="0" w:after="0"/>
        <w:ind w:firstLineChars="0"/>
        <w:rPr>
          <w:rFonts w:eastAsia="宋体"/>
          <w:color w:val="000000" w:themeColor="text1"/>
        </w:rPr>
      </w:pPr>
      <w:r>
        <w:rPr>
          <w:rFonts w:hint="eastAsia" w:eastAsia="宋体" w:cs="微软雅黑"/>
          <w:color w:val="000000" w:themeColor="text1"/>
        </w:rPr>
        <w:t>司法数据</w:t>
      </w:r>
    </w:p>
    <w:tbl>
      <w:tblPr>
        <w:tblStyle w:val="53"/>
        <w:tblW w:w="580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9"/>
        <w:gridCol w:w="49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序号</w:t>
            </w:r>
          </w:p>
        </w:tc>
        <w:tc>
          <w:tcPr>
            <w:tcW w:w="4961"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数据项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olor w:val="000000" w:themeColor="text1"/>
                <w:sz w:val="21"/>
                <w:szCs w:val="21"/>
              </w:rPr>
              <w:t>1</w:t>
            </w:r>
          </w:p>
        </w:tc>
        <w:tc>
          <w:tcPr>
            <w:tcW w:w="4961"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刑满释放人员信息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olor w:val="000000" w:themeColor="text1"/>
                <w:sz w:val="21"/>
                <w:szCs w:val="21"/>
              </w:rPr>
              <w:t>2</w:t>
            </w:r>
          </w:p>
        </w:tc>
        <w:tc>
          <w:tcPr>
            <w:tcW w:w="4961"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社区矫正人员信息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olor w:val="000000" w:themeColor="text1"/>
                <w:sz w:val="21"/>
                <w:szCs w:val="21"/>
              </w:rPr>
              <w:t>3</w:t>
            </w:r>
          </w:p>
        </w:tc>
        <w:tc>
          <w:tcPr>
            <w:tcW w:w="4961"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安置帮教组织信息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olor w:val="000000" w:themeColor="text1"/>
                <w:sz w:val="21"/>
                <w:szCs w:val="21"/>
              </w:rPr>
              <w:t>4</w:t>
            </w:r>
          </w:p>
        </w:tc>
        <w:tc>
          <w:tcPr>
            <w:tcW w:w="4961"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涉案境外人员信息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olor w:val="000000" w:themeColor="text1"/>
                <w:sz w:val="21"/>
                <w:szCs w:val="21"/>
              </w:rPr>
              <w:t>5</w:t>
            </w:r>
          </w:p>
        </w:tc>
        <w:tc>
          <w:tcPr>
            <w:tcW w:w="4961"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监狱服刑人员信息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olor w:val="000000" w:themeColor="text1"/>
                <w:sz w:val="21"/>
                <w:szCs w:val="21"/>
              </w:rPr>
              <w:t>6</w:t>
            </w:r>
          </w:p>
        </w:tc>
        <w:tc>
          <w:tcPr>
            <w:tcW w:w="4961"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监狱外执行人员信息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olor w:val="000000" w:themeColor="text1"/>
                <w:sz w:val="21"/>
                <w:szCs w:val="21"/>
              </w:rPr>
              <w:t>7</w:t>
            </w:r>
          </w:p>
        </w:tc>
        <w:tc>
          <w:tcPr>
            <w:tcW w:w="4961"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在押人员信息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olor w:val="000000" w:themeColor="text1"/>
                <w:sz w:val="21"/>
                <w:szCs w:val="21"/>
              </w:rPr>
              <w:t>8</w:t>
            </w:r>
          </w:p>
        </w:tc>
        <w:tc>
          <w:tcPr>
            <w:tcW w:w="4961"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拘留人员信息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olor w:val="000000" w:themeColor="text1"/>
                <w:sz w:val="21"/>
                <w:szCs w:val="21"/>
              </w:rPr>
              <w:t>9</w:t>
            </w:r>
          </w:p>
        </w:tc>
        <w:tc>
          <w:tcPr>
            <w:tcW w:w="4961"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收教人员信息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olor w:val="000000" w:themeColor="text1"/>
                <w:sz w:val="21"/>
                <w:szCs w:val="21"/>
              </w:rPr>
              <w:t>10</w:t>
            </w:r>
          </w:p>
        </w:tc>
        <w:tc>
          <w:tcPr>
            <w:tcW w:w="4961"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**人员信息</w:t>
            </w:r>
          </w:p>
        </w:tc>
      </w:tr>
    </w:tbl>
    <w:p>
      <w:pPr>
        <w:pStyle w:val="116"/>
        <w:numPr>
          <w:ilvl w:val="0"/>
          <w:numId w:val="4"/>
        </w:numPr>
        <w:spacing w:before="0" w:after="0"/>
        <w:ind w:firstLineChars="0"/>
        <w:rPr>
          <w:rFonts w:eastAsia="宋体"/>
          <w:color w:val="000000" w:themeColor="text1"/>
        </w:rPr>
      </w:pPr>
      <w:r>
        <w:rPr>
          <w:rFonts w:hint="eastAsia" w:eastAsia="宋体" w:cs="微软雅黑"/>
          <w:color w:val="000000" w:themeColor="text1"/>
        </w:rPr>
        <w:t>住建数据</w:t>
      </w:r>
    </w:p>
    <w:tbl>
      <w:tblPr>
        <w:tblStyle w:val="53"/>
        <w:tblW w:w="580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9"/>
        <w:gridCol w:w="49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序号</w:t>
            </w:r>
          </w:p>
        </w:tc>
        <w:tc>
          <w:tcPr>
            <w:tcW w:w="4961"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数据项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olor w:val="000000" w:themeColor="text1"/>
                <w:sz w:val="21"/>
                <w:szCs w:val="21"/>
              </w:rPr>
              <w:t>1</w:t>
            </w:r>
          </w:p>
        </w:tc>
        <w:tc>
          <w:tcPr>
            <w:tcW w:w="4961"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房产管理信息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olor w:val="000000" w:themeColor="text1"/>
                <w:sz w:val="21"/>
                <w:szCs w:val="21"/>
              </w:rPr>
              <w:t>2</w:t>
            </w:r>
          </w:p>
        </w:tc>
        <w:tc>
          <w:tcPr>
            <w:tcW w:w="4961"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建筑市场企业信息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olor w:val="000000" w:themeColor="text1"/>
                <w:sz w:val="21"/>
                <w:szCs w:val="21"/>
              </w:rPr>
              <w:t>3</w:t>
            </w:r>
          </w:p>
        </w:tc>
        <w:tc>
          <w:tcPr>
            <w:tcW w:w="4961"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建筑市场项目信息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olor w:val="000000" w:themeColor="text1"/>
                <w:sz w:val="21"/>
                <w:szCs w:val="21"/>
              </w:rPr>
              <w:t>4</w:t>
            </w:r>
          </w:p>
        </w:tc>
        <w:tc>
          <w:tcPr>
            <w:tcW w:w="4961"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建设工程基本信息</w:t>
            </w:r>
          </w:p>
        </w:tc>
      </w:tr>
    </w:tbl>
    <w:p>
      <w:pPr>
        <w:pStyle w:val="116"/>
        <w:numPr>
          <w:ilvl w:val="0"/>
          <w:numId w:val="4"/>
        </w:numPr>
        <w:spacing w:before="0" w:after="0"/>
        <w:ind w:firstLineChars="0"/>
        <w:rPr>
          <w:rFonts w:eastAsia="宋体"/>
          <w:color w:val="000000" w:themeColor="text1"/>
        </w:rPr>
      </w:pPr>
      <w:r>
        <w:rPr>
          <w:rFonts w:hint="eastAsia" w:eastAsia="宋体" w:cs="微软雅黑"/>
          <w:color w:val="000000" w:themeColor="text1"/>
        </w:rPr>
        <w:t>国土数据</w:t>
      </w:r>
    </w:p>
    <w:tbl>
      <w:tblPr>
        <w:tblStyle w:val="53"/>
        <w:tblW w:w="580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9"/>
        <w:gridCol w:w="49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839"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序号</w:t>
            </w:r>
          </w:p>
        </w:tc>
        <w:tc>
          <w:tcPr>
            <w:tcW w:w="4961"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数据项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olor w:val="000000" w:themeColor="text1"/>
                <w:sz w:val="21"/>
                <w:szCs w:val="21"/>
              </w:rPr>
              <w:t>1</w:t>
            </w:r>
          </w:p>
        </w:tc>
        <w:tc>
          <w:tcPr>
            <w:tcW w:w="4961"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农民建房信息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olor w:val="000000" w:themeColor="text1"/>
                <w:sz w:val="21"/>
                <w:szCs w:val="21"/>
              </w:rPr>
              <w:t>2</w:t>
            </w:r>
          </w:p>
        </w:tc>
        <w:tc>
          <w:tcPr>
            <w:tcW w:w="4961"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无土地证房屋信息</w:t>
            </w:r>
          </w:p>
        </w:tc>
      </w:tr>
    </w:tbl>
    <w:p>
      <w:pPr>
        <w:pStyle w:val="116"/>
        <w:numPr>
          <w:ilvl w:val="0"/>
          <w:numId w:val="4"/>
        </w:numPr>
        <w:spacing w:before="0" w:after="0"/>
        <w:ind w:firstLineChars="0"/>
        <w:rPr>
          <w:rFonts w:eastAsia="宋体"/>
          <w:color w:val="000000" w:themeColor="text1"/>
        </w:rPr>
      </w:pPr>
      <w:r>
        <w:rPr>
          <w:rFonts w:hint="eastAsia" w:eastAsia="宋体" w:cs="微软雅黑"/>
          <w:color w:val="000000" w:themeColor="text1"/>
        </w:rPr>
        <w:t>人社数据</w:t>
      </w:r>
    </w:p>
    <w:tbl>
      <w:tblPr>
        <w:tblStyle w:val="53"/>
        <w:tblW w:w="580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9"/>
        <w:gridCol w:w="49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839"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序号</w:t>
            </w:r>
          </w:p>
        </w:tc>
        <w:tc>
          <w:tcPr>
            <w:tcW w:w="4961"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数据项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olor w:val="000000" w:themeColor="text1"/>
                <w:sz w:val="21"/>
                <w:szCs w:val="21"/>
              </w:rPr>
              <w:t>1</w:t>
            </w:r>
          </w:p>
        </w:tc>
        <w:tc>
          <w:tcPr>
            <w:tcW w:w="4961"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失业人员信息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olor w:val="000000" w:themeColor="text1"/>
                <w:sz w:val="21"/>
                <w:szCs w:val="21"/>
              </w:rPr>
              <w:t>2</w:t>
            </w:r>
          </w:p>
        </w:tc>
        <w:tc>
          <w:tcPr>
            <w:tcW w:w="4961"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涉外人员信息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olor w:val="000000" w:themeColor="text1"/>
                <w:sz w:val="21"/>
                <w:szCs w:val="21"/>
              </w:rPr>
              <w:t>3</w:t>
            </w:r>
          </w:p>
        </w:tc>
        <w:tc>
          <w:tcPr>
            <w:tcW w:w="4961"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高龄津贴发放信息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olor w:val="000000" w:themeColor="text1"/>
                <w:sz w:val="21"/>
                <w:szCs w:val="21"/>
              </w:rPr>
              <w:t>4</w:t>
            </w:r>
          </w:p>
        </w:tc>
        <w:tc>
          <w:tcPr>
            <w:tcW w:w="4961"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外来务工人员信息</w:t>
            </w:r>
          </w:p>
        </w:tc>
      </w:tr>
    </w:tbl>
    <w:p>
      <w:pPr>
        <w:pStyle w:val="116"/>
        <w:numPr>
          <w:ilvl w:val="0"/>
          <w:numId w:val="4"/>
        </w:numPr>
        <w:spacing w:before="0" w:after="0"/>
        <w:ind w:firstLineChars="0"/>
        <w:rPr>
          <w:rFonts w:eastAsia="宋体"/>
          <w:color w:val="000000" w:themeColor="text1"/>
        </w:rPr>
      </w:pPr>
      <w:r>
        <w:rPr>
          <w:rFonts w:hint="eastAsia" w:eastAsia="宋体" w:cs="微软雅黑"/>
          <w:color w:val="000000" w:themeColor="text1"/>
        </w:rPr>
        <w:t>卫计数据</w:t>
      </w:r>
    </w:p>
    <w:tbl>
      <w:tblPr>
        <w:tblStyle w:val="53"/>
        <w:tblW w:w="580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9"/>
        <w:gridCol w:w="49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序号</w:t>
            </w:r>
          </w:p>
        </w:tc>
        <w:tc>
          <w:tcPr>
            <w:tcW w:w="4961"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数据项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olor w:val="000000" w:themeColor="text1"/>
                <w:sz w:val="21"/>
                <w:szCs w:val="21"/>
              </w:rPr>
              <w:t>1</w:t>
            </w:r>
          </w:p>
        </w:tc>
        <w:tc>
          <w:tcPr>
            <w:tcW w:w="4961"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育龄妇女信息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olor w:val="000000" w:themeColor="text1"/>
                <w:sz w:val="21"/>
                <w:szCs w:val="21"/>
              </w:rPr>
              <w:t>2</w:t>
            </w:r>
          </w:p>
        </w:tc>
        <w:tc>
          <w:tcPr>
            <w:tcW w:w="4961"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出生信息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olor w:val="000000" w:themeColor="text1"/>
                <w:sz w:val="21"/>
                <w:szCs w:val="21"/>
              </w:rPr>
              <w:t>3</w:t>
            </w:r>
          </w:p>
        </w:tc>
        <w:tc>
          <w:tcPr>
            <w:tcW w:w="4961"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流动人口怀孕生育信息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olor w:val="000000" w:themeColor="text1"/>
                <w:sz w:val="21"/>
                <w:szCs w:val="21"/>
              </w:rPr>
              <w:t>4</w:t>
            </w:r>
          </w:p>
        </w:tc>
        <w:tc>
          <w:tcPr>
            <w:tcW w:w="4961"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非法行医黑名单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olor w:val="000000" w:themeColor="text1"/>
                <w:sz w:val="21"/>
                <w:szCs w:val="21"/>
              </w:rPr>
              <w:t>5</w:t>
            </w:r>
          </w:p>
        </w:tc>
        <w:tc>
          <w:tcPr>
            <w:tcW w:w="4961"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精神病患者排查信息</w:t>
            </w:r>
          </w:p>
        </w:tc>
      </w:tr>
    </w:tbl>
    <w:p>
      <w:pPr>
        <w:pStyle w:val="116"/>
        <w:numPr>
          <w:ilvl w:val="0"/>
          <w:numId w:val="4"/>
        </w:numPr>
        <w:spacing w:before="0" w:after="0"/>
        <w:ind w:firstLineChars="0"/>
        <w:rPr>
          <w:rFonts w:eastAsia="宋体"/>
          <w:color w:val="000000" w:themeColor="text1"/>
        </w:rPr>
      </w:pPr>
      <w:r>
        <w:rPr>
          <w:rFonts w:hint="eastAsia" w:eastAsia="宋体" w:cs="微软雅黑"/>
          <w:color w:val="000000" w:themeColor="text1"/>
        </w:rPr>
        <w:t>安监数据</w:t>
      </w:r>
    </w:p>
    <w:tbl>
      <w:tblPr>
        <w:tblStyle w:val="53"/>
        <w:tblW w:w="580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9"/>
        <w:gridCol w:w="49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序号</w:t>
            </w:r>
          </w:p>
        </w:tc>
        <w:tc>
          <w:tcPr>
            <w:tcW w:w="4961"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数据项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olor w:val="000000" w:themeColor="text1"/>
                <w:sz w:val="21"/>
                <w:szCs w:val="21"/>
              </w:rPr>
              <w:t>1</w:t>
            </w:r>
          </w:p>
        </w:tc>
        <w:tc>
          <w:tcPr>
            <w:tcW w:w="4961"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安全生产企业基础信息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olor w:val="000000" w:themeColor="text1"/>
                <w:sz w:val="21"/>
                <w:szCs w:val="21"/>
              </w:rPr>
              <w:t>2</w:t>
            </w:r>
          </w:p>
        </w:tc>
        <w:tc>
          <w:tcPr>
            <w:tcW w:w="4961"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隐患排查情况信息</w:t>
            </w:r>
          </w:p>
        </w:tc>
      </w:tr>
    </w:tbl>
    <w:p>
      <w:pPr>
        <w:pStyle w:val="116"/>
        <w:numPr>
          <w:ilvl w:val="0"/>
          <w:numId w:val="4"/>
        </w:numPr>
        <w:spacing w:before="0" w:after="0"/>
        <w:ind w:firstLineChars="0"/>
        <w:rPr>
          <w:rFonts w:eastAsia="宋体"/>
          <w:color w:val="000000" w:themeColor="text1"/>
        </w:rPr>
      </w:pPr>
      <w:r>
        <w:rPr>
          <w:rFonts w:hint="eastAsia" w:eastAsia="宋体" w:cs="微软雅黑"/>
          <w:color w:val="000000" w:themeColor="text1"/>
        </w:rPr>
        <w:t>人社数据</w:t>
      </w:r>
    </w:p>
    <w:tbl>
      <w:tblPr>
        <w:tblStyle w:val="53"/>
        <w:tblW w:w="580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9"/>
        <w:gridCol w:w="49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序号</w:t>
            </w:r>
          </w:p>
        </w:tc>
        <w:tc>
          <w:tcPr>
            <w:tcW w:w="4961"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数据项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olor w:val="000000" w:themeColor="text1"/>
                <w:sz w:val="21"/>
                <w:szCs w:val="21"/>
              </w:rPr>
              <w:t>1</w:t>
            </w:r>
          </w:p>
        </w:tc>
        <w:tc>
          <w:tcPr>
            <w:tcW w:w="4961"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三无企业信息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olor w:val="000000" w:themeColor="text1"/>
                <w:sz w:val="21"/>
                <w:szCs w:val="21"/>
              </w:rPr>
              <w:t>2</w:t>
            </w:r>
          </w:p>
        </w:tc>
        <w:tc>
          <w:tcPr>
            <w:tcW w:w="4961"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城市管网信息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olor w:val="000000" w:themeColor="text1"/>
                <w:sz w:val="21"/>
                <w:szCs w:val="21"/>
              </w:rPr>
              <w:t>3</w:t>
            </w:r>
          </w:p>
        </w:tc>
        <w:tc>
          <w:tcPr>
            <w:tcW w:w="4961"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犬类信息</w:t>
            </w:r>
          </w:p>
        </w:tc>
      </w:tr>
    </w:tbl>
    <w:p>
      <w:pPr>
        <w:pStyle w:val="116"/>
        <w:numPr>
          <w:ilvl w:val="0"/>
          <w:numId w:val="4"/>
        </w:numPr>
        <w:spacing w:before="0" w:after="0"/>
        <w:ind w:firstLineChars="0"/>
        <w:rPr>
          <w:rFonts w:eastAsia="宋体"/>
          <w:color w:val="000000" w:themeColor="text1"/>
        </w:rPr>
      </w:pPr>
      <w:r>
        <w:rPr>
          <w:rFonts w:hint="eastAsia" w:eastAsia="宋体" w:cs="微软雅黑"/>
          <w:color w:val="000000" w:themeColor="text1"/>
        </w:rPr>
        <w:t>市场监管数据</w:t>
      </w:r>
    </w:p>
    <w:tbl>
      <w:tblPr>
        <w:tblStyle w:val="53"/>
        <w:tblW w:w="580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9"/>
        <w:gridCol w:w="49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序号</w:t>
            </w:r>
          </w:p>
        </w:tc>
        <w:tc>
          <w:tcPr>
            <w:tcW w:w="4961"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数据项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olor w:val="000000" w:themeColor="text1"/>
                <w:sz w:val="21"/>
                <w:szCs w:val="21"/>
              </w:rPr>
              <w:t>1</w:t>
            </w:r>
          </w:p>
        </w:tc>
        <w:tc>
          <w:tcPr>
            <w:tcW w:w="4961"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企事业单位法人信息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olor w:val="000000" w:themeColor="text1"/>
                <w:sz w:val="21"/>
                <w:szCs w:val="21"/>
              </w:rPr>
              <w:t>2</w:t>
            </w:r>
          </w:p>
        </w:tc>
        <w:tc>
          <w:tcPr>
            <w:tcW w:w="4961"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无证经营单位信息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olor w:val="000000" w:themeColor="text1"/>
                <w:sz w:val="21"/>
                <w:szCs w:val="21"/>
              </w:rPr>
              <w:t>3</w:t>
            </w:r>
          </w:p>
        </w:tc>
        <w:tc>
          <w:tcPr>
            <w:tcW w:w="4961"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食品相关单位基础信息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olor w:val="000000" w:themeColor="text1"/>
                <w:sz w:val="21"/>
                <w:szCs w:val="21"/>
              </w:rPr>
              <w:t>4</w:t>
            </w:r>
          </w:p>
        </w:tc>
        <w:tc>
          <w:tcPr>
            <w:tcW w:w="4961"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农村集体聚餐申报信息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olor w:val="000000" w:themeColor="text1"/>
                <w:sz w:val="21"/>
                <w:szCs w:val="21"/>
              </w:rPr>
              <w:t>5</w:t>
            </w:r>
          </w:p>
        </w:tc>
        <w:tc>
          <w:tcPr>
            <w:tcW w:w="4961"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食药品安全风险隐患排查情况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olor w:val="000000" w:themeColor="text1"/>
                <w:sz w:val="21"/>
                <w:szCs w:val="21"/>
              </w:rPr>
              <w:t>6</w:t>
            </w:r>
          </w:p>
        </w:tc>
        <w:tc>
          <w:tcPr>
            <w:tcW w:w="4961" w:type="dxa"/>
            <w:vAlign w:val="center"/>
          </w:tcPr>
          <w:p>
            <w:pPr>
              <w:pStyle w:val="116"/>
              <w:spacing w:line="240" w:lineRule="auto"/>
              <w:ind w:firstLine="0" w:firstLineChars="0"/>
              <w:jc w:val="center"/>
              <w:rPr>
                <w:rFonts w:eastAsia="宋体"/>
                <w:color w:val="000000" w:themeColor="text1"/>
                <w:sz w:val="21"/>
                <w:szCs w:val="21"/>
              </w:rPr>
            </w:pPr>
            <w:r>
              <w:rPr>
                <w:rFonts w:hint="eastAsia" w:eastAsia="宋体" w:cs="微软雅黑"/>
                <w:color w:val="000000" w:themeColor="text1"/>
                <w:sz w:val="21"/>
                <w:szCs w:val="21"/>
              </w:rPr>
              <w:t>食药品安全巡查动态信息</w:t>
            </w:r>
          </w:p>
        </w:tc>
      </w:tr>
    </w:tbl>
    <w:p>
      <w:pPr>
        <w:ind w:firstLine="480"/>
        <w:rPr>
          <w:color w:val="000000" w:themeColor="text1"/>
        </w:rPr>
      </w:pPr>
      <w:r>
        <w:rPr>
          <w:rFonts w:hint="eastAsia"/>
          <w:color w:val="000000" w:themeColor="text1"/>
        </w:rPr>
        <w:t>2、汇集库</w:t>
      </w:r>
    </w:p>
    <w:p>
      <w:pPr>
        <w:ind w:firstLine="480"/>
        <w:rPr>
          <w:color w:val="000000" w:themeColor="text1"/>
        </w:rPr>
      </w:pPr>
      <w:r>
        <w:rPr>
          <w:rFonts w:hint="eastAsia"/>
          <w:color w:val="000000" w:themeColor="text1"/>
        </w:rPr>
        <w:t>汇集库主要是按照职能部门对象来划分的共享主题数据信息，汇集库作为数据资源库最核心的信息存储单元，存储着来自不同数据源的按照不同的主题划分的业务数据。</w:t>
      </w:r>
    </w:p>
    <w:p>
      <w:pPr>
        <w:ind w:firstLine="480"/>
        <w:rPr>
          <w:color w:val="000000" w:themeColor="text1"/>
        </w:rPr>
      </w:pPr>
      <w:r>
        <w:rPr>
          <w:rFonts w:hint="eastAsia"/>
          <w:color w:val="000000" w:themeColor="text1"/>
        </w:rPr>
        <w:t>3、中心库</w:t>
      </w:r>
    </w:p>
    <w:p>
      <w:pPr>
        <w:ind w:firstLine="480"/>
        <w:rPr>
          <w:color w:val="000000" w:themeColor="text1"/>
        </w:rPr>
      </w:pPr>
      <w:r>
        <w:rPr>
          <w:rFonts w:hint="eastAsia"/>
          <w:color w:val="000000" w:themeColor="text1"/>
        </w:rPr>
        <w:t>中心库将作为数据资源库对外数据共享的出口，中心库的数据是从汇集库经过了ETL即数据的清洗，转换后的数据。中心库将分为中心基础库和中心标准库，中心标准库是基础库经过数据碰撞后形成的标准数据库。中心库的信息可通过数据交换平台及数据订阅服务平台提供对外数据共享及数据服务。</w:t>
      </w:r>
    </w:p>
    <w:p>
      <w:pPr>
        <w:ind w:firstLine="480"/>
        <w:rPr>
          <w:color w:val="000000" w:themeColor="text1"/>
        </w:rPr>
      </w:pPr>
      <w:r>
        <w:rPr>
          <w:rFonts w:hint="eastAsia"/>
          <w:color w:val="000000" w:themeColor="text1"/>
        </w:rPr>
        <w:t>4、主题库</w:t>
      </w:r>
    </w:p>
    <w:p>
      <w:pPr>
        <w:ind w:firstLine="480"/>
        <w:rPr>
          <w:color w:val="000000" w:themeColor="text1"/>
        </w:rPr>
      </w:pPr>
      <w:r>
        <w:rPr>
          <w:rFonts w:hint="eastAsia"/>
          <w:color w:val="000000" w:themeColor="text1"/>
        </w:rPr>
        <w:t>主题库将作为数据资源库提供数据决策分析的出口。主题库将基于决策分析的需要，通过建立相应的数据分析模型，提供相应的主题数据库，同时，基于部分应用系统的需要，提供相应的数据集市用以提供相应的分析数据结果。</w:t>
      </w:r>
    </w:p>
    <w:p>
      <w:pPr>
        <w:ind w:firstLine="480"/>
        <w:rPr>
          <w:color w:val="000000" w:themeColor="text1"/>
        </w:rPr>
      </w:pPr>
      <w:r>
        <w:rPr>
          <w:rFonts w:hint="eastAsia"/>
          <w:color w:val="000000" w:themeColor="text1"/>
        </w:rPr>
        <w:t>5、元数据库</w:t>
      </w:r>
    </w:p>
    <w:p>
      <w:pPr>
        <w:ind w:firstLine="480"/>
        <w:rPr>
          <w:color w:val="000000" w:themeColor="text1"/>
        </w:rPr>
      </w:pPr>
      <w:r>
        <w:rPr>
          <w:rFonts w:hint="eastAsia"/>
          <w:color w:val="000000" w:themeColor="text1"/>
        </w:rPr>
        <w:t>元数据库主要应用存储社会治理相关的基础数据，包括技术元数据，业务元数据等。元数据库将作为政务服务网公共安全数据中心相关数据管理资产库，作为数据资源库的核心内容之一，依托于数据管控系统进行相应的管理。</w:t>
      </w:r>
    </w:p>
    <w:p>
      <w:pPr>
        <w:pStyle w:val="8"/>
        <w:spacing w:before="120" w:after="120"/>
        <w:ind w:firstLine="480"/>
        <w:rPr>
          <w:color w:val="000000" w:themeColor="text1"/>
        </w:rPr>
      </w:pPr>
      <w:bookmarkStart w:id="351" w:name="_Toc525942713"/>
      <w:r>
        <w:rPr>
          <w:rFonts w:hint="eastAsia"/>
          <w:color w:val="000000" w:themeColor="text1"/>
        </w:rPr>
        <w:t>1.4.3.3综治专题数据清洗</w:t>
      </w:r>
      <w:bookmarkEnd w:id="351"/>
    </w:p>
    <w:p>
      <w:pPr>
        <w:ind w:firstLine="480"/>
        <w:rPr>
          <w:color w:val="000000" w:themeColor="text1"/>
        </w:rPr>
      </w:pPr>
      <w:r>
        <w:rPr>
          <w:rFonts w:hint="eastAsia"/>
          <w:color w:val="000000" w:themeColor="text1"/>
        </w:rPr>
        <w:t>数据是整个数据中心的核心，是后续开展各种数据服务应用的基石。数据建设的关键是保障数据完整性、正确性、鲜活性。政府数据目前存在一数多源、数据格式不统一、分散在各部门、更新不及时等问题。</w:t>
      </w:r>
    </w:p>
    <w:p>
      <w:pPr>
        <w:ind w:firstLine="480"/>
        <w:rPr>
          <w:color w:val="000000" w:themeColor="text1"/>
        </w:rPr>
      </w:pPr>
      <w:r>
        <w:rPr>
          <w:rFonts w:hint="eastAsia"/>
          <w:color w:val="000000" w:themeColor="text1"/>
        </w:rPr>
        <w:t>为解决问题，需建立统一采集机制，确认各数据源权威采集部门，一处采集，基于数据交换共享机制，同步给其他部门。对于历史数据，需统一数据标准，建立数据清洗比对规则，开展数据格式转换、去重、比对、校验、核实认领等，提高数据质量；同时建立常态化的数据采集更新机制，借助移动采集终端，借助基层网格力量，实现各种基础数据的及时、快速采集上报，并更新到数据中心。通过一系列数据采集、比对和整合，建立和管理XXX数据资源仓库。</w:t>
      </w:r>
    </w:p>
    <w:p>
      <w:pPr>
        <w:ind w:firstLine="480"/>
        <w:rPr>
          <w:color w:val="000000" w:themeColor="text1"/>
        </w:rPr>
      </w:pPr>
      <w:r>
        <w:rPr>
          <w:rFonts w:hint="eastAsia"/>
          <w:color w:val="000000" w:themeColor="text1"/>
        </w:rPr>
        <w:t>由于本次数据中心建设涉及省级公安、民政、人力社保、教育、司法、卫计、安监、环保、工商、食品药品安全、消防及综治等多个职能部门业务数据，涉及业务系统繁多，比对分析工作量非常大。数据整合系统是本次项目的核心内容，建设社会治理共享资源库是本项目重要建设内容之一</w:t>
      </w:r>
      <w:r>
        <w:rPr>
          <w:color w:val="000000" w:themeColor="text1"/>
        </w:rPr>
        <w:t>，</w:t>
      </w:r>
      <w:r>
        <w:rPr>
          <w:rFonts w:hint="eastAsia"/>
          <w:color w:val="000000" w:themeColor="text1"/>
        </w:rPr>
        <w:t>数据比对的工作包括增量数据比对和历史数据比对工作。新增数据比对工作通过本次系统建设的数据整合系统实现。历史数据比对工作主要是对目前各部门现有的历史数据进行核查、整理，提高各部门数据的一致性、准确性。</w:t>
      </w:r>
    </w:p>
    <w:p>
      <w:pPr>
        <w:ind w:firstLine="480"/>
        <w:rPr>
          <w:color w:val="000000" w:themeColor="text1"/>
        </w:rPr>
      </w:pPr>
      <w:r>
        <w:rPr>
          <w:rFonts w:hint="eastAsia"/>
          <w:color w:val="000000" w:themeColor="text1"/>
        </w:rPr>
        <w:t>由于各部门业务系统各自独立，目前职能部门及基层操作人员调研反馈，网格员日常使用较为频繁的系统是劳动保障、民政、计生、综治、司法、城管、消防等，所涉及系统均为市或县（区）统一部署系统。</w:t>
      </w:r>
    </w:p>
    <w:p>
      <w:pPr>
        <w:ind w:firstLine="480"/>
        <w:rPr>
          <w:color w:val="000000" w:themeColor="text1"/>
        </w:rPr>
      </w:pPr>
      <w:r>
        <w:rPr>
          <w:rFonts w:hint="eastAsia"/>
          <w:color w:val="000000" w:themeColor="text1"/>
        </w:rPr>
        <w:t>数据整合系统的关键步骤是数据清洗比对过程，需统一数据标准，开展数据格式转换、去重、比对、校验、核实认领等，提高数据质量。</w:t>
      </w:r>
    </w:p>
    <w:p>
      <w:pPr>
        <w:ind w:firstLine="480"/>
        <w:rPr>
          <w:color w:val="000000" w:themeColor="text1"/>
        </w:rPr>
      </w:pPr>
      <w:r>
        <w:rPr>
          <w:rFonts w:hint="eastAsia"/>
          <w:color w:val="000000" w:themeColor="text1"/>
        </w:rPr>
        <w:t>整个清洗比对将经历多次过程，包括数据逐条按照规范定义要求进行对照比对、转换、纠错；也包括对同一个数据的多种来源进行清洗比对，确定标准数据，实现数据去重。如一个身份证为A的精神病人的数据，可能有民政、公安、司法三条身份证信息的数据。需要定义规则，比如以公安局的作为权威的数据，同一个人有公安局的数据存在，即以公安局为准。公安局不存在，再以第二选择比如司法局的为准。从而确保数据的权威性和一致性。一般数据清洗比对规则有多种：</w:t>
      </w:r>
    </w:p>
    <w:p>
      <w:pPr>
        <w:ind w:firstLine="480"/>
        <w:rPr>
          <w:color w:val="000000" w:themeColor="text1"/>
        </w:rPr>
      </w:pPr>
      <w:r>
        <w:rPr>
          <w:rFonts w:hint="eastAsia"/>
          <w:color w:val="000000" w:themeColor="text1"/>
        </w:rPr>
        <w:t>如果数据有国标的以国标为准；</w:t>
      </w:r>
    </w:p>
    <w:p>
      <w:pPr>
        <w:ind w:firstLine="480"/>
        <w:rPr>
          <w:color w:val="000000" w:themeColor="text1"/>
        </w:rPr>
      </w:pPr>
      <w:r>
        <w:rPr>
          <w:rFonts w:hint="eastAsia"/>
          <w:color w:val="000000" w:themeColor="text1"/>
        </w:rPr>
        <w:t>以具有法律规定权威部门产生的数据为准；</w:t>
      </w:r>
    </w:p>
    <w:p>
      <w:pPr>
        <w:ind w:firstLine="480"/>
        <w:rPr>
          <w:color w:val="000000" w:themeColor="text1"/>
        </w:rPr>
      </w:pPr>
      <w:r>
        <w:rPr>
          <w:rFonts w:hint="eastAsia"/>
          <w:color w:val="000000" w:themeColor="text1"/>
        </w:rPr>
        <w:t>以最近更新数据为准；</w:t>
      </w:r>
    </w:p>
    <w:p>
      <w:pPr>
        <w:ind w:firstLine="480"/>
        <w:rPr>
          <w:color w:val="000000" w:themeColor="text1"/>
        </w:rPr>
      </w:pPr>
      <w:r>
        <w:rPr>
          <w:rFonts w:hint="eastAsia"/>
          <w:color w:val="000000" w:themeColor="text1"/>
        </w:rPr>
        <w:t>以最全信息最准。</w:t>
      </w:r>
    </w:p>
    <w:p>
      <w:pPr>
        <w:ind w:firstLine="480"/>
        <w:rPr>
          <w:color w:val="000000" w:themeColor="text1"/>
        </w:rPr>
      </w:pPr>
      <w:r>
        <w:rPr>
          <w:rFonts w:hint="eastAsia"/>
          <w:color w:val="000000" w:themeColor="text1"/>
        </w:rPr>
        <w:t>一般根据实际情况选择具体清洗比对策略。</w:t>
      </w:r>
    </w:p>
    <w:p>
      <w:pPr>
        <w:jc w:val="center"/>
        <w:rPr>
          <w:color w:val="000000" w:themeColor="text1"/>
        </w:rPr>
      </w:pPr>
      <w:r>
        <w:rPr>
          <w:rFonts w:hint="eastAsia"/>
          <w:color w:val="000000" w:themeColor="text1"/>
        </w:rPr>
        <w:t>数据清洗比对结果示意图如下：</w:t>
      </w:r>
      <w:r>
        <w:rPr>
          <w:color w:val="000000" w:themeColor="text1"/>
        </w:rPr>
        <w:drawing>
          <wp:inline distT="0" distB="0" distL="0" distR="0">
            <wp:extent cx="5124450" cy="2600325"/>
            <wp:effectExtent l="19050" t="0" r="0" b="0"/>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1"/>
                    <a:srcRect/>
                    <a:stretch>
                      <a:fillRect/>
                    </a:stretch>
                  </pic:blipFill>
                  <pic:spPr>
                    <a:xfrm>
                      <a:off x="0" y="0"/>
                      <a:ext cx="5124450" cy="2600325"/>
                    </a:xfrm>
                    <a:prstGeom prst="rect">
                      <a:avLst/>
                    </a:prstGeom>
                    <a:noFill/>
                    <a:ln w="9525">
                      <a:noFill/>
                      <a:miter lim="800000"/>
                      <a:headEnd/>
                      <a:tailEnd/>
                    </a:ln>
                  </pic:spPr>
                </pic:pic>
              </a:graphicData>
            </a:graphic>
          </wp:inline>
        </w:drawing>
      </w:r>
    </w:p>
    <w:p>
      <w:pPr>
        <w:tabs>
          <w:tab w:val="left" w:pos="900"/>
        </w:tabs>
        <w:snapToGrid w:val="0"/>
        <w:ind w:firstLine="480"/>
        <w:jc w:val="center"/>
        <w:rPr>
          <w:rFonts w:ascii="宋体" w:hAnsi="宋体"/>
          <w:color w:val="000000" w:themeColor="text1"/>
        </w:rPr>
      </w:pPr>
      <w:r>
        <w:rPr>
          <w:rFonts w:ascii="宋体" w:hAnsi="宋体"/>
          <w:color w:val="000000" w:themeColor="text1"/>
        </w:rPr>
        <w:t>图</w:t>
      </w:r>
      <w:r>
        <w:rPr>
          <w:rFonts w:hint="eastAsia" w:ascii="宋体" w:hAnsi="宋体"/>
          <w:color w:val="000000" w:themeColor="text1"/>
        </w:rPr>
        <w:t>16  数据清洗比对结果示意图</w:t>
      </w:r>
    </w:p>
    <w:p>
      <w:pPr>
        <w:pStyle w:val="8"/>
        <w:spacing w:before="120" w:after="120"/>
        <w:ind w:firstLine="480"/>
        <w:rPr>
          <w:color w:val="000000" w:themeColor="text1"/>
        </w:rPr>
      </w:pPr>
      <w:bookmarkStart w:id="352" w:name="_Toc525942714"/>
      <w:r>
        <w:rPr>
          <w:rFonts w:hint="eastAsia"/>
          <w:color w:val="000000" w:themeColor="text1"/>
        </w:rPr>
        <w:t>1.4.3.4综治专题应用</w:t>
      </w:r>
      <w:bookmarkEnd w:id="352"/>
    </w:p>
    <w:p>
      <w:pPr>
        <w:ind w:firstLine="480"/>
        <w:rPr>
          <w:color w:val="000000" w:themeColor="text1"/>
        </w:rPr>
      </w:pPr>
      <w:r>
        <w:rPr>
          <w:rFonts w:hint="eastAsia"/>
          <w:color w:val="000000" w:themeColor="text1"/>
        </w:rPr>
        <w:t>数据管控系统支持数据从获取到源数据库、汇聚数据库以及中心数据库的状态以及数据交换分布情况，支持直观了解数据处理情况和问题预警。整个系统功能设计如下：</w:t>
      </w:r>
    </w:p>
    <w:p>
      <w:pPr>
        <w:ind w:firstLine="480"/>
        <w:rPr>
          <w:color w:val="000000" w:themeColor="text1"/>
        </w:rPr>
      </w:pPr>
      <w:r>
        <w:rPr>
          <w:rFonts w:hint="eastAsia"/>
          <w:color w:val="000000" w:themeColor="text1"/>
        </w:rPr>
        <w:t>1、源数据管控</w:t>
      </w:r>
    </w:p>
    <w:p>
      <w:pPr>
        <w:ind w:firstLine="480"/>
        <w:rPr>
          <w:color w:val="000000" w:themeColor="text1"/>
        </w:rPr>
      </w:pPr>
      <w:r>
        <w:rPr>
          <w:rFonts w:hint="eastAsia"/>
          <w:color w:val="000000" w:themeColor="text1"/>
        </w:rPr>
        <w:t>源数据管控，主要基于各个传输环节的监控日志，实现各数据源状态各业务部门数据库到汇集库过程的全程跟踪管控，基于数据采集日志监控数据采集状态是否正常。</w:t>
      </w:r>
    </w:p>
    <w:p>
      <w:pPr>
        <w:ind w:firstLine="480"/>
        <w:rPr>
          <w:color w:val="000000" w:themeColor="text1"/>
        </w:rPr>
      </w:pPr>
      <w:r>
        <w:rPr>
          <w:rFonts w:hint="eastAsia"/>
          <w:color w:val="000000" w:themeColor="text1"/>
        </w:rPr>
        <w:t>2、数据流向管控</w:t>
      </w:r>
    </w:p>
    <w:p>
      <w:pPr>
        <w:ind w:firstLine="480"/>
        <w:rPr>
          <w:color w:val="000000" w:themeColor="text1"/>
        </w:rPr>
      </w:pPr>
      <w:r>
        <w:rPr>
          <w:rFonts w:hint="eastAsia"/>
          <w:color w:val="000000" w:themeColor="text1"/>
        </w:rPr>
        <w:t>数据流向管控，支持数据来源导向可视化展示。可直观查看汇聚数据库的数据来源部门，各类数据的数量。当数据源不可用或数据表改变时会自动报警。</w:t>
      </w:r>
    </w:p>
    <w:p>
      <w:pPr>
        <w:ind w:firstLine="480"/>
        <w:rPr>
          <w:color w:val="000000" w:themeColor="text1"/>
        </w:rPr>
      </w:pPr>
      <w:r>
        <w:rPr>
          <w:rFonts w:hint="eastAsia"/>
          <w:color w:val="000000" w:themeColor="text1"/>
        </w:rPr>
        <w:t>3、汇聚库管控</w:t>
      </w:r>
    </w:p>
    <w:p>
      <w:pPr>
        <w:ind w:firstLine="480"/>
        <w:rPr>
          <w:color w:val="000000" w:themeColor="text1"/>
        </w:rPr>
      </w:pPr>
      <w:r>
        <w:rPr>
          <w:rFonts w:hint="eastAsia"/>
          <w:color w:val="000000" w:themeColor="text1"/>
        </w:rPr>
        <w:t>汇集库管控，主要提供可视化界面，对每天统计汇集库中数据变化情况、空间变化情况等信息，进行汇总展现。通过该任务的结果，反映汇集库当前的状态和健康程度。</w:t>
      </w:r>
    </w:p>
    <w:p>
      <w:pPr>
        <w:ind w:firstLine="480"/>
        <w:rPr>
          <w:color w:val="000000" w:themeColor="text1"/>
        </w:rPr>
      </w:pPr>
      <w:r>
        <w:rPr>
          <w:rFonts w:hint="eastAsia"/>
          <w:color w:val="000000" w:themeColor="text1"/>
        </w:rPr>
        <w:t>汇集库管控直观展现汇集库中汇集了哪些类数据，各类数据的当前数量、数据交换更新量、数据更新的活跃度情况等等。</w:t>
      </w:r>
    </w:p>
    <w:p>
      <w:pPr>
        <w:ind w:firstLine="480"/>
        <w:rPr>
          <w:color w:val="000000" w:themeColor="text1"/>
        </w:rPr>
      </w:pPr>
      <w:r>
        <w:rPr>
          <w:rFonts w:hint="eastAsia"/>
          <w:color w:val="000000" w:themeColor="text1"/>
        </w:rPr>
        <w:t>4、中心库数据统计</w:t>
      </w:r>
    </w:p>
    <w:p>
      <w:pPr>
        <w:ind w:firstLine="480"/>
        <w:rPr>
          <w:color w:val="000000" w:themeColor="text1"/>
        </w:rPr>
      </w:pPr>
      <w:r>
        <w:rPr>
          <w:rFonts w:hint="eastAsia"/>
          <w:color w:val="000000" w:themeColor="text1"/>
        </w:rPr>
        <w:t>中心库数据统计，主要支持中心库数据的保有量进行统计分析，以饼状图形式直观查看中心库各类数据的保有量占比，可直观查看各类数据的数据量。</w:t>
      </w:r>
    </w:p>
    <w:p>
      <w:pPr>
        <w:ind w:firstLine="480"/>
        <w:rPr>
          <w:color w:val="000000" w:themeColor="text1"/>
        </w:rPr>
      </w:pPr>
      <w:r>
        <w:rPr>
          <w:rFonts w:hint="eastAsia"/>
          <w:color w:val="000000" w:themeColor="text1"/>
        </w:rPr>
        <w:t>中心库是存放着经历多轮整合比对后形成的质量相对较高的政务数据。可以直接进行整个中心库的各类数据统计分析，也可以分大类进行统计分析，直接查看比对整合后，各大类及各小类的数据保有量情况。</w:t>
      </w:r>
    </w:p>
    <w:p>
      <w:pPr>
        <w:ind w:firstLine="480"/>
        <w:rPr>
          <w:color w:val="000000" w:themeColor="text1"/>
        </w:rPr>
      </w:pPr>
      <w:r>
        <w:rPr>
          <w:rFonts w:hint="eastAsia"/>
          <w:color w:val="000000" w:themeColor="text1"/>
        </w:rPr>
        <w:t>5、问题数据反馈</w:t>
      </w:r>
    </w:p>
    <w:p>
      <w:pPr>
        <w:ind w:firstLine="480"/>
        <w:rPr>
          <w:color w:val="000000" w:themeColor="text1"/>
        </w:rPr>
      </w:pPr>
      <w:r>
        <w:rPr>
          <w:rFonts w:hint="eastAsia"/>
          <w:color w:val="000000" w:themeColor="text1"/>
        </w:rPr>
        <w:t>在数据整合过程中，对数据进行清洗比对时，发现数据质量存在问题的数据，将由系统直接把问题数据反馈给相关部门，保留比对痕迹，由相关部门进行问题判断、数据认领或进行异常分析处理。</w:t>
      </w:r>
    </w:p>
    <w:p>
      <w:pPr>
        <w:pStyle w:val="8"/>
        <w:spacing w:before="120" w:after="120"/>
        <w:ind w:firstLine="480"/>
        <w:rPr>
          <w:color w:val="000000" w:themeColor="text1"/>
        </w:rPr>
      </w:pPr>
      <w:bookmarkStart w:id="353" w:name="_Toc525942715"/>
      <w:r>
        <w:rPr>
          <w:rFonts w:hint="eastAsia"/>
          <w:color w:val="000000" w:themeColor="text1"/>
        </w:rPr>
        <w:t>1.</w:t>
      </w:r>
      <w:r>
        <w:rPr>
          <w:color w:val="000000" w:themeColor="text1"/>
        </w:rPr>
        <w:t>1.</w:t>
      </w:r>
      <w:r>
        <w:rPr>
          <w:rFonts w:hint="eastAsia"/>
          <w:color w:val="000000" w:themeColor="text1"/>
        </w:rPr>
        <w:t>4.3.5综治专题数据共享</w:t>
      </w:r>
      <w:bookmarkEnd w:id="353"/>
    </w:p>
    <w:p>
      <w:pPr>
        <w:ind w:firstLine="480"/>
        <w:rPr>
          <w:color w:val="000000" w:themeColor="text1"/>
        </w:rPr>
      </w:pPr>
      <w:r>
        <w:rPr>
          <w:rFonts w:hint="eastAsia"/>
          <w:color w:val="000000" w:themeColor="text1"/>
        </w:rPr>
        <w:t>面向各个职能部门的各类数据共享需求，建立数据服务专题仓库，对各类专题数据进行封装、标识和分类管理，根据各职能部门需要提供推送或者订阅服务。</w:t>
      </w:r>
    </w:p>
    <w:p>
      <w:pPr>
        <w:ind w:firstLine="480"/>
        <w:rPr>
          <w:color w:val="000000" w:themeColor="text1"/>
        </w:rPr>
      </w:pPr>
      <w:r>
        <w:rPr>
          <w:rFonts w:hint="eastAsia"/>
          <w:color w:val="000000" w:themeColor="text1"/>
        </w:rPr>
        <w:t>通过本功能，主要打造数据服务的云中心，各种专题数据封装成API接口或者SDK包的方式，可供职能部门访问和调用，让数据中心的数据真正获得利用。</w:t>
      </w:r>
    </w:p>
    <w:p>
      <w:pPr>
        <w:ind w:firstLine="480"/>
        <w:rPr>
          <w:color w:val="000000" w:themeColor="text1"/>
        </w:rPr>
      </w:pPr>
      <w:r>
        <w:rPr>
          <w:rFonts w:hint="eastAsia"/>
          <w:color w:val="000000" w:themeColor="text1"/>
        </w:rPr>
        <w:t>专题数据服务系统支持把数据服务封装成API接口或者SDK包方式，对外提供服务。封装前支持先对敏感数据进行脱敏，比如对人的姓名、身份证、地址、电话等信息通过替换、重排、加密、截断等手段进行脱敏处理。同时保证脱敏数据可读性、脱敏管理可配置、脱敏过程可监控等要求。专题数据服务系统支持对数据服务API或SDK包提供订阅服务，可以设定广播范围，有数据访问权限才能进行专题数据订阅服务。</w:t>
      </w:r>
    </w:p>
    <w:p>
      <w:pPr>
        <w:ind w:firstLine="480"/>
        <w:rPr>
          <w:color w:val="000000" w:themeColor="text1"/>
        </w:rPr>
      </w:pPr>
      <w:r>
        <w:rPr>
          <w:rFonts w:hint="eastAsia"/>
          <w:color w:val="000000" w:themeColor="text1"/>
        </w:rPr>
        <w:t>1、专题数据封装</w:t>
      </w:r>
    </w:p>
    <w:p>
      <w:pPr>
        <w:ind w:firstLine="480"/>
        <w:rPr>
          <w:color w:val="000000" w:themeColor="text1"/>
        </w:rPr>
      </w:pPr>
      <w:r>
        <w:rPr>
          <w:rFonts w:hint="eastAsia"/>
          <w:color w:val="000000" w:themeColor="text1"/>
        </w:rPr>
        <w:t>专题数据库的建设基础是清洗比对过、数据质量相对高的中心库。在专题数据库建设过程中，需要利用数据抽取工具完成将中心库中的数据按照数据共享的要求抽取整合到专题数据库中。这就需要通过数据整合系统完成从中心数据库到专题数据库的数据抽取、转换、装载过程，同时提供数据质量的管理。</w:t>
      </w:r>
    </w:p>
    <w:p>
      <w:pPr>
        <w:ind w:firstLine="480"/>
        <w:rPr>
          <w:color w:val="000000" w:themeColor="text1"/>
        </w:rPr>
      </w:pPr>
      <w:r>
        <w:rPr>
          <w:rFonts w:hint="eastAsia"/>
          <w:color w:val="000000" w:themeColor="text1"/>
        </w:rPr>
        <w:t>通过数据服务管理模块将数据按一定条件抽取出来封装成数据资源API接口。数据封装直接通过系统进行，不能进行手工操作。</w:t>
      </w:r>
    </w:p>
    <w:p>
      <w:pPr>
        <w:ind w:firstLine="480"/>
        <w:rPr>
          <w:color w:val="000000" w:themeColor="text1"/>
        </w:rPr>
      </w:pPr>
      <w:r>
        <w:rPr>
          <w:rFonts w:hint="eastAsia"/>
          <w:color w:val="000000" w:themeColor="text1"/>
        </w:rPr>
        <w:t>数据封装管理功能包括新增专题、修改专题、专题查看、下载接口文档等。</w:t>
      </w:r>
    </w:p>
    <w:p>
      <w:pPr>
        <w:ind w:firstLine="480"/>
        <w:rPr>
          <w:color w:val="000000" w:themeColor="text1"/>
        </w:rPr>
      </w:pPr>
      <w:r>
        <w:rPr>
          <w:rFonts w:hint="eastAsia"/>
          <w:color w:val="000000" w:themeColor="text1"/>
        </w:rPr>
        <w:t>1）新增专题</w:t>
      </w:r>
    </w:p>
    <w:p>
      <w:pPr>
        <w:ind w:firstLine="480"/>
        <w:rPr>
          <w:color w:val="000000" w:themeColor="text1"/>
        </w:rPr>
      </w:pPr>
      <w:r>
        <w:rPr>
          <w:rFonts w:hint="eastAsia"/>
          <w:color w:val="000000" w:themeColor="text1"/>
        </w:rPr>
        <w:t>根据专题数据模型和条件进行接口封装配置，包括数据来源、数据抽取条件、数据封装接口定义等等。专题新增后，自动生成接口文档，支持专题数据共享时访问阅读。新增专题功能界面如下图所示：</w:t>
      </w:r>
    </w:p>
    <w:p>
      <w:pPr>
        <w:jc w:val="center"/>
        <w:rPr>
          <w:rFonts w:ascii="仿宋" w:hAnsi="仿宋" w:eastAsia="仿宋"/>
          <w:color w:val="000000" w:themeColor="text1"/>
        </w:rPr>
      </w:pPr>
      <w:r>
        <w:rPr>
          <w:rFonts w:ascii="仿宋" w:hAnsi="仿宋" w:eastAsia="仿宋"/>
          <w:color w:val="000000" w:themeColor="text1"/>
        </w:rPr>
        <w:drawing>
          <wp:inline distT="0" distB="0" distL="0" distR="0">
            <wp:extent cx="5295900" cy="3257550"/>
            <wp:effectExtent l="19050" t="0" r="0" b="0"/>
            <wp:docPr id="26" name="图片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25"/>
                    <pic:cNvPicPr>
                      <a:picLocks noChangeAspect="1" noChangeArrowheads="1"/>
                    </pic:cNvPicPr>
                  </pic:nvPicPr>
                  <pic:blipFill>
                    <a:blip r:embed="rId42"/>
                    <a:srcRect/>
                    <a:stretch>
                      <a:fillRect/>
                    </a:stretch>
                  </pic:blipFill>
                  <pic:spPr>
                    <a:xfrm>
                      <a:off x="0" y="0"/>
                      <a:ext cx="5295900" cy="3257550"/>
                    </a:xfrm>
                    <a:prstGeom prst="rect">
                      <a:avLst/>
                    </a:prstGeom>
                    <a:noFill/>
                    <a:ln w="9525">
                      <a:noFill/>
                      <a:miter lim="800000"/>
                      <a:headEnd/>
                      <a:tailEnd/>
                    </a:ln>
                  </pic:spPr>
                </pic:pic>
              </a:graphicData>
            </a:graphic>
          </wp:inline>
        </w:drawing>
      </w:r>
    </w:p>
    <w:p>
      <w:pPr>
        <w:tabs>
          <w:tab w:val="left" w:pos="900"/>
        </w:tabs>
        <w:snapToGrid w:val="0"/>
        <w:ind w:firstLine="480"/>
        <w:jc w:val="center"/>
        <w:rPr>
          <w:rFonts w:ascii="宋体" w:hAnsi="宋体"/>
          <w:color w:val="000000" w:themeColor="text1"/>
        </w:rPr>
      </w:pPr>
      <w:r>
        <w:rPr>
          <w:rFonts w:ascii="宋体" w:hAnsi="宋体"/>
          <w:color w:val="000000" w:themeColor="text1"/>
        </w:rPr>
        <w:t>图</w:t>
      </w:r>
      <w:r>
        <w:rPr>
          <w:rFonts w:ascii="宋体" w:hAnsi="宋体"/>
          <w:color w:val="000000" w:themeColor="text1"/>
        </w:rPr>
        <w:fldChar w:fldCharType="begin"/>
      </w:r>
      <w:r>
        <w:rPr>
          <w:rFonts w:ascii="宋体" w:hAnsi="宋体"/>
          <w:color w:val="000000" w:themeColor="text1"/>
        </w:rPr>
        <w:instrText xml:space="preserve"> STYLEREF 2 \s </w:instrText>
      </w:r>
      <w:r>
        <w:rPr>
          <w:rFonts w:ascii="宋体" w:hAnsi="宋体"/>
          <w:color w:val="000000" w:themeColor="text1"/>
        </w:rPr>
        <w:fldChar w:fldCharType="separate"/>
      </w:r>
      <w:r>
        <w:rPr>
          <w:rFonts w:ascii="宋体" w:hAnsi="宋体"/>
          <w:color w:val="000000" w:themeColor="text1"/>
        </w:rPr>
        <w:t>0</w:t>
      </w:r>
      <w:r>
        <w:rPr>
          <w:rFonts w:ascii="宋体" w:hAnsi="宋体"/>
          <w:color w:val="000000" w:themeColor="text1"/>
        </w:rPr>
        <w:fldChar w:fldCharType="end"/>
      </w:r>
      <w:r>
        <w:rPr>
          <w:rFonts w:ascii="宋体" w:hAnsi="宋体"/>
          <w:color w:val="000000" w:themeColor="text1"/>
        </w:rPr>
        <w:noBreakHyphen/>
      </w:r>
      <w:r>
        <w:rPr>
          <w:rFonts w:hint="eastAsia" w:ascii="宋体" w:hAnsi="宋体"/>
          <w:color w:val="000000" w:themeColor="text1"/>
        </w:rPr>
        <w:t>17界面图</w:t>
      </w:r>
    </w:p>
    <w:p>
      <w:pPr>
        <w:ind w:firstLine="480"/>
        <w:rPr>
          <w:color w:val="000000" w:themeColor="text1"/>
        </w:rPr>
      </w:pPr>
      <w:r>
        <w:rPr>
          <w:rFonts w:hint="eastAsia"/>
          <w:color w:val="000000" w:themeColor="text1"/>
        </w:rPr>
        <w:t>2）专题修改</w:t>
      </w:r>
    </w:p>
    <w:p>
      <w:pPr>
        <w:ind w:firstLine="480"/>
        <w:rPr>
          <w:color w:val="000000" w:themeColor="text1"/>
        </w:rPr>
      </w:pPr>
      <w:r>
        <w:rPr>
          <w:rFonts w:hint="eastAsia"/>
          <w:color w:val="000000" w:themeColor="text1"/>
        </w:rPr>
        <w:t>支持对已封装生成的专题数据接口进行数据模型和条件配置修改保存。专题修改界面如下图所示。</w:t>
      </w:r>
    </w:p>
    <w:p>
      <w:pPr>
        <w:jc w:val="center"/>
        <w:rPr>
          <w:rFonts w:ascii="仿宋" w:hAnsi="仿宋" w:eastAsia="仿宋"/>
          <w:color w:val="000000" w:themeColor="text1"/>
        </w:rPr>
      </w:pPr>
      <w:r>
        <w:rPr>
          <w:rFonts w:ascii="仿宋" w:hAnsi="仿宋" w:eastAsia="仿宋"/>
          <w:color w:val="000000" w:themeColor="text1"/>
        </w:rPr>
        <w:drawing>
          <wp:inline distT="0" distB="0" distL="0" distR="0">
            <wp:extent cx="5295900" cy="2886075"/>
            <wp:effectExtent l="19050" t="0" r="0" b="0"/>
            <wp:docPr id="27" name="图片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26"/>
                    <pic:cNvPicPr>
                      <a:picLocks noChangeAspect="1" noChangeArrowheads="1"/>
                    </pic:cNvPicPr>
                  </pic:nvPicPr>
                  <pic:blipFill>
                    <a:blip r:embed="rId43"/>
                    <a:srcRect/>
                    <a:stretch>
                      <a:fillRect/>
                    </a:stretch>
                  </pic:blipFill>
                  <pic:spPr>
                    <a:xfrm>
                      <a:off x="0" y="0"/>
                      <a:ext cx="5295900" cy="2886075"/>
                    </a:xfrm>
                    <a:prstGeom prst="rect">
                      <a:avLst/>
                    </a:prstGeom>
                    <a:noFill/>
                    <a:ln w="9525">
                      <a:noFill/>
                      <a:miter lim="800000"/>
                      <a:headEnd/>
                      <a:tailEnd/>
                    </a:ln>
                  </pic:spPr>
                </pic:pic>
              </a:graphicData>
            </a:graphic>
          </wp:inline>
        </w:drawing>
      </w:r>
    </w:p>
    <w:p>
      <w:pPr>
        <w:tabs>
          <w:tab w:val="left" w:pos="900"/>
        </w:tabs>
        <w:snapToGrid w:val="0"/>
        <w:ind w:firstLine="480"/>
        <w:jc w:val="center"/>
        <w:rPr>
          <w:rFonts w:ascii="宋体" w:hAnsi="宋体"/>
          <w:color w:val="000000" w:themeColor="text1"/>
        </w:rPr>
      </w:pPr>
      <w:r>
        <w:rPr>
          <w:rFonts w:ascii="宋体" w:hAnsi="宋体"/>
          <w:color w:val="000000" w:themeColor="text1"/>
        </w:rPr>
        <w:t>图</w:t>
      </w:r>
      <w:r>
        <w:rPr>
          <w:rFonts w:hint="eastAsia" w:ascii="宋体" w:hAnsi="宋体"/>
          <w:color w:val="000000" w:themeColor="text1"/>
        </w:rPr>
        <w:t xml:space="preserve"> 18    界面图</w:t>
      </w:r>
    </w:p>
    <w:p>
      <w:pPr>
        <w:ind w:firstLine="480"/>
        <w:rPr>
          <w:color w:val="000000" w:themeColor="text1"/>
        </w:rPr>
      </w:pPr>
      <w:r>
        <w:rPr>
          <w:rFonts w:hint="eastAsia"/>
          <w:color w:val="000000" w:themeColor="text1"/>
        </w:rPr>
        <w:t>3）专题查看</w:t>
      </w:r>
    </w:p>
    <w:p>
      <w:pPr>
        <w:ind w:firstLine="480"/>
        <w:rPr>
          <w:color w:val="000000" w:themeColor="text1"/>
        </w:rPr>
      </w:pPr>
      <w:r>
        <w:rPr>
          <w:rFonts w:hint="eastAsia"/>
          <w:color w:val="000000" w:themeColor="text1"/>
        </w:rPr>
        <w:t>专题数据接口生成后，可以查看专题数据封装情况，也可以进行接口文档下载。专题查看界面如下图。</w:t>
      </w:r>
    </w:p>
    <w:p>
      <w:pPr>
        <w:jc w:val="center"/>
        <w:rPr>
          <w:rFonts w:ascii="仿宋" w:hAnsi="仿宋" w:eastAsia="仿宋"/>
          <w:color w:val="000000" w:themeColor="text1"/>
        </w:rPr>
      </w:pPr>
      <w:r>
        <w:rPr>
          <w:rFonts w:ascii="仿宋" w:hAnsi="仿宋" w:eastAsia="仿宋"/>
          <w:color w:val="000000" w:themeColor="text1"/>
        </w:rPr>
        <w:drawing>
          <wp:inline distT="0" distB="0" distL="0" distR="0">
            <wp:extent cx="5276850" cy="3067050"/>
            <wp:effectExtent l="19050" t="0" r="0" b="0"/>
            <wp:docPr id="2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
                    <pic:cNvPicPr>
                      <a:picLocks noChangeAspect="1" noChangeArrowheads="1"/>
                    </pic:cNvPicPr>
                  </pic:nvPicPr>
                  <pic:blipFill>
                    <a:blip r:embed="rId44"/>
                    <a:srcRect/>
                    <a:stretch>
                      <a:fillRect/>
                    </a:stretch>
                  </pic:blipFill>
                  <pic:spPr>
                    <a:xfrm>
                      <a:off x="0" y="0"/>
                      <a:ext cx="5276850" cy="3067050"/>
                    </a:xfrm>
                    <a:prstGeom prst="rect">
                      <a:avLst/>
                    </a:prstGeom>
                    <a:noFill/>
                    <a:ln w="9525">
                      <a:noFill/>
                      <a:miter lim="800000"/>
                      <a:headEnd/>
                      <a:tailEnd/>
                    </a:ln>
                  </pic:spPr>
                </pic:pic>
              </a:graphicData>
            </a:graphic>
          </wp:inline>
        </w:drawing>
      </w:r>
    </w:p>
    <w:p>
      <w:pPr>
        <w:tabs>
          <w:tab w:val="left" w:pos="900"/>
        </w:tabs>
        <w:snapToGrid w:val="0"/>
        <w:jc w:val="center"/>
        <w:rPr>
          <w:rFonts w:ascii="宋体" w:hAnsi="宋体"/>
          <w:color w:val="000000" w:themeColor="text1"/>
        </w:rPr>
      </w:pPr>
      <w:r>
        <w:rPr>
          <w:rFonts w:ascii="宋体" w:hAnsi="宋体"/>
          <w:color w:val="000000" w:themeColor="text1"/>
        </w:rPr>
        <w:t>图</w:t>
      </w:r>
      <w:r>
        <w:rPr>
          <w:rFonts w:hint="eastAsia" w:ascii="宋体" w:hAnsi="宋体"/>
          <w:color w:val="000000" w:themeColor="text1"/>
        </w:rPr>
        <w:t>19   界面图</w:t>
      </w:r>
    </w:p>
    <w:p>
      <w:pPr>
        <w:ind w:firstLine="480"/>
        <w:rPr>
          <w:color w:val="000000" w:themeColor="text1"/>
        </w:rPr>
      </w:pPr>
      <w:r>
        <w:rPr>
          <w:rFonts w:hint="eastAsia"/>
          <w:color w:val="000000" w:themeColor="text1"/>
        </w:rPr>
        <w:t>2、专题订阅服务</w:t>
      </w:r>
    </w:p>
    <w:p>
      <w:pPr>
        <w:ind w:firstLine="480"/>
        <w:rPr>
          <w:color w:val="000000" w:themeColor="text1"/>
        </w:rPr>
      </w:pPr>
      <w:r>
        <w:rPr>
          <w:rFonts w:hint="eastAsia"/>
          <w:color w:val="000000" w:themeColor="text1"/>
        </w:rPr>
        <w:t>服务提供方生成数据服务对外进行发布，对具有权限的服务请求方发送数据更新通知，数据请求方再到指定位置获取数据。</w:t>
      </w:r>
    </w:p>
    <w:p>
      <w:pPr>
        <w:ind w:firstLine="480"/>
        <w:rPr>
          <w:color w:val="000000" w:themeColor="text1"/>
        </w:rPr>
      </w:pPr>
      <w:r>
        <w:rPr>
          <w:rFonts w:hint="eastAsia"/>
          <w:color w:val="000000" w:themeColor="text1"/>
        </w:rPr>
        <w:t>发布订阅方式是服务提供方以广播方式发布服务（服务广播范围支持可配置），服务请求方通过订阅获得数据访问权限，定期收到数据更新，再获取数据的方式。发布订阅方式是一种异步的数据获取方式，服务请求方在获取数据时数据已经存在，不需要服务提供方即时生成，不需要等待。</w:t>
      </w:r>
    </w:p>
    <w:p>
      <w:pPr>
        <w:ind w:firstLine="480"/>
        <w:rPr>
          <w:color w:val="000000" w:themeColor="text1"/>
        </w:rPr>
      </w:pPr>
      <w:r>
        <w:rPr>
          <w:rFonts w:hint="eastAsia"/>
          <w:color w:val="000000" w:themeColor="text1"/>
        </w:rPr>
        <w:t>3、专题数据脱敏服务</w:t>
      </w:r>
    </w:p>
    <w:p>
      <w:pPr>
        <w:ind w:firstLine="480"/>
        <w:rPr>
          <w:color w:val="000000" w:themeColor="text1"/>
        </w:rPr>
      </w:pPr>
      <w:r>
        <w:rPr>
          <w:rFonts w:hint="eastAsia"/>
          <w:color w:val="000000" w:themeColor="text1"/>
        </w:rPr>
        <w:t>专题数据脱敏服务主要满足隐私数据的安全共享需要。在信息进入专题数据库之前通过隐私保护处理方法来实现敏感信息的脱敏处理。在需要的时候，可以由安全管理员通过密钥，在特定的区域进行脱敏数据还原处理来恢复部分敏感信息数据。</w:t>
      </w:r>
    </w:p>
    <w:p>
      <w:pPr>
        <w:ind w:firstLine="480"/>
        <w:rPr>
          <w:color w:val="000000" w:themeColor="text1"/>
        </w:rPr>
      </w:pPr>
      <w:r>
        <w:rPr>
          <w:rFonts w:hint="eastAsia"/>
          <w:color w:val="000000" w:themeColor="text1"/>
        </w:rPr>
        <w:t>1）脱敏服务基本功能</w:t>
      </w:r>
    </w:p>
    <w:p>
      <w:pPr>
        <w:ind w:firstLine="480"/>
        <w:rPr>
          <w:color w:val="000000" w:themeColor="text1"/>
        </w:rPr>
      </w:pPr>
      <w:r>
        <w:rPr>
          <w:rFonts w:hint="eastAsia"/>
          <w:color w:val="000000" w:themeColor="text1"/>
        </w:rPr>
        <w:t>支持对敏感信息的加密，并支持加密数据的可逆过程</w:t>
      </w:r>
    </w:p>
    <w:p>
      <w:pPr>
        <w:ind w:firstLine="480"/>
        <w:rPr>
          <w:color w:val="000000" w:themeColor="text1"/>
        </w:rPr>
      </w:pPr>
      <w:r>
        <w:rPr>
          <w:rFonts w:hint="eastAsia"/>
          <w:color w:val="000000" w:themeColor="text1"/>
        </w:rPr>
        <w:t>支持敏感信息加密算法的升级与密钥的动态更新</w:t>
      </w:r>
    </w:p>
    <w:p>
      <w:pPr>
        <w:ind w:firstLine="480"/>
        <w:rPr>
          <w:color w:val="000000" w:themeColor="text1"/>
        </w:rPr>
      </w:pPr>
      <w:r>
        <w:rPr>
          <w:rFonts w:hint="eastAsia"/>
          <w:color w:val="000000" w:themeColor="text1"/>
        </w:rPr>
        <w:t>支持对加密密钥的版本管理，历史旧版本的数据还可以根据旧密钥进行还原</w:t>
      </w:r>
    </w:p>
    <w:p>
      <w:pPr>
        <w:ind w:firstLine="480"/>
        <w:rPr>
          <w:color w:val="000000" w:themeColor="text1"/>
        </w:rPr>
      </w:pPr>
      <w:r>
        <w:rPr>
          <w:rFonts w:hint="eastAsia"/>
          <w:color w:val="000000" w:themeColor="text1"/>
        </w:rPr>
        <w:t>2）脱敏方式</w:t>
      </w:r>
    </w:p>
    <w:p>
      <w:pPr>
        <w:ind w:firstLine="480"/>
        <w:rPr>
          <w:color w:val="000000" w:themeColor="text1"/>
        </w:rPr>
      </w:pPr>
      <w:r>
        <w:rPr>
          <w:rFonts w:hint="eastAsia"/>
          <w:color w:val="000000" w:themeColor="text1"/>
        </w:rPr>
        <w:t>过滤，对于业务不需要的敏感信息，可以直接过滤，不进入专题数据库或者接口机。</w:t>
      </w:r>
    </w:p>
    <w:p>
      <w:pPr>
        <w:ind w:firstLine="480"/>
        <w:rPr>
          <w:color w:val="000000" w:themeColor="text1"/>
        </w:rPr>
      </w:pPr>
      <w:r>
        <w:rPr>
          <w:rFonts w:hint="eastAsia"/>
          <w:color w:val="000000" w:themeColor="text1"/>
        </w:rPr>
        <w:t>加密，按业务要求选择不同等级的加、解密算法，包括：MD5、RSA算法、DES算法、AES算法等。</w:t>
      </w:r>
    </w:p>
    <w:p>
      <w:pPr>
        <w:ind w:firstLine="480"/>
        <w:rPr>
          <w:color w:val="000000" w:themeColor="text1"/>
        </w:rPr>
      </w:pPr>
      <w:r>
        <w:rPr>
          <w:rFonts w:hint="eastAsia"/>
          <w:color w:val="000000" w:themeColor="text1"/>
        </w:rPr>
        <w:t>漂白，数据漂白根据漂白的具体需求，根据不同的漂白字段，制定不同的漂白算法，以保证漂白后的数据具有高仿真度，高仿真度是区分数据漂白算法与普通加密算法的重要标志，漂白是一种特殊的加密过程，经过漂白处理后的数据必须要能够保证具备可读性、逻辑关联性和安全性，并且能够通过反向漂白还原成原数据。</w:t>
      </w:r>
    </w:p>
    <w:p>
      <w:pPr>
        <w:ind w:firstLine="480"/>
        <w:rPr>
          <w:color w:val="000000" w:themeColor="text1"/>
        </w:rPr>
      </w:pPr>
      <w:r>
        <w:rPr>
          <w:rFonts w:hint="eastAsia"/>
          <w:color w:val="000000" w:themeColor="text1"/>
        </w:rPr>
        <w:t>轮询：将有限的数据排成一个循环队列，将原数据的指针向前或向后移动n位得到新的数据。</w:t>
      </w:r>
    </w:p>
    <w:p>
      <w:pPr>
        <w:ind w:firstLine="480"/>
        <w:rPr>
          <w:color w:val="000000" w:themeColor="text1"/>
        </w:rPr>
      </w:pPr>
      <w:r>
        <w:rPr>
          <w:rFonts w:hint="eastAsia"/>
          <w:color w:val="000000" w:themeColor="text1"/>
        </w:rPr>
        <w:t>哈希：将数据放入哈希函数中将获得的新数据覆盖原数据。</w:t>
      </w:r>
    </w:p>
    <w:p>
      <w:pPr>
        <w:ind w:firstLine="480"/>
        <w:rPr>
          <w:color w:val="000000" w:themeColor="text1"/>
        </w:rPr>
      </w:pPr>
      <w:r>
        <w:rPr>
          <w:rFonts w:hint="eastAsia"/>
          <w:color w:val="000000" w:themeColor="text1"/>
        </w:rPr>
        <w:t>随机：重新随机一个数据，其值与原数据无关。重新创建序列也算随机的一种。</w:t>
      </w:r>
    </w:p>
    <w:p>
      <w:pPr>
        <w:ind w:firstLine="480"/>
        <w:rPr>
          <w:color w:val="000000" w:themeColor="text1"/>
        </w:rPr>
      </w:pPr>
      <w:r>
        <w:rPr>
          <w:rFonts w:hint="eastAsia"/>
          <w:color w:val="000000" w:themeColor="text1"/>
        </w:rPr>
        <w:t>分段处理：将数据分成n块，每块可以使用不同的漂白方式。</w:t>
      </w:r>
    </w:p>
    <w:p>
      <w:pPr>
        <w:ind w:firstLine="480"/>
        <w:rPr>
          <w:color w:val="000000" w:themeColor="text1"/>
        </w:rPr>
      </w:pPr>
      <w:r>
        <w:rPr>
          <w:rFonts w:hint="eastAsia"/>
          <w:color w:val="000000" w:themeColor="text1"/>
        </w:rPr>
        <w:t>3）敏感信息库</w:t>
      </w:r>
    </w:p>
    <w:p>
      <w:pPr>
        <w:ind w:firstLine="480"/>
        <w:rPr>
          <w:color w:val="000000" w:themeColor="text1"/>
        </w:rPr>
      </w:pPr>
      <w:r>
        <w:rPr>
          <w:rFonts w:hint="eastAsia"/>
          <w:color w:val="000000" w:themeColor="text1"/>
        </w:rPr>
        <w:t>敏感信息库，服务于数据汇聚共享平台，定义自有的敏感信息，如客户姓名,单位名称,通信地址,手机号码,电子邮件,单位地址,单位电话,营业执照号，用户自定义的其他敏感信息等。</w:t>
      </w:r>
    </w:p>
    <w:p>
      <w:pPr>
        <w:ind w:firstLine="480"/>
        <w:rPr>
          <w:color w:val="000000" w:themeColor="text1"/>
        </w:rPr>
      </w:pPr>
      <w:r>
        <w:rPr>
          <w:rFonts w:hint="eastAsia"/>
          <w:color w:val="000000" w:themeColor="text1"/>
        </w:rPr>
        <w:t>敏感信息库，主要用于还原脱敏后的数据。可以提供API接口的方式供其它接入系统使用。</w:t>
      </w:r>
    </w:p>
    <w:p>
      <w:pPr>
        <w:ind w:firstLine="480"/>
        <w:rPr>
          <w:color w:val="000000" w:themeColor="text1"/>
        </w:rPr>
      </w:pPr>
      <w:r>
        <w:rPr>
          <w:rFonts w:hint="eastAsia"/>
          <w:color w:val="000000" w:themeColor="text1"/>
        </w:rPr>
        <w:t>4）脱敏范围</w:t>
      </w:r>
    </w:p>
    <w:p>
      <w:pPr>
        <w:ind w:firstLine="480"/>
        <w:rPr>
          <w:color w:val="000000" w:themeColor="text1"/>
        </w:rPr>
      </w:pPr>
      <w:r>
        <w:rPr>
          <w:rFonts w:hint="eastAsia"/>
          <w:color w:val="000000" w:themeColor="text1"/>
        </w:rPr>
        <w:t>系统的脱敏范围，是以数据库字段为基础单位，对待封装成专题的数据进行扫描、处理。</w:t>
      </w:r>
    </w:p>
    <w:p>
      <w:pPr>
        <w:ind w:firstLine="480"/>
        <w:rPr>
          <w:color w:val="000000" w:themeColor="text1"/>
        </w:rPr>
      </w:pPr>
      <w:r>
        <w:rPr>
          <w:color w:val="000000" w:themeColor="text1"/>
        </w:rPr>
        <w:t>5</w:t>
      </w:r>
      <w:r>
        <w:rPr>
          <w:rFonts w:hint="eastAsia"/>
          <w:color w:val="000000" w:themeColor="text1"/>
        </w:rPr>
        <w:t>）脱敏程度</w:t>
      </w:r>
    </w:p>
    <w:p>
      <w:pPr>
        <w:ind w:firstLine="480"/>
        <w:rPr>
          <w:color w:val="000000" w:themeColor="text1"/>
        </w:rPr>
      </w:pPr>
      <w:r>
        <w:rPr>
          <w:rFonts w:hint="eastAsia"/>
          <w:color w:val="000000" w:themeColor="text1"/>
        </w:rPr>
        <w:t>内容脱敏的程度，结合系统安全机制和相关管理办法，对不同权限的系统用户采取不同程度的内容脱敏。</w:t>
      </w:r>
    </w:p>
    <w:p>
      <w:pPr>
        <w:ind w:firstLine="480"/>
        <w:rPr>
          <w:color w:val="000000" w:themeColor="text1"/>
        </w:rPr>
      </w:pPr>
      <w:bookmarkStart w:id="354" w:name="_Toc525942716"/>
      <w:r>
        <w:rPr>
          <w:rFonts w:hint="eastAsia"/>
          <w:color w:val="000000" w:themeColor="text1"/>
        </w:rPr>
        <w:t>安全审计</w:t>
      </w:r>
      <w:bookmarkEnd w:id="354"/>
    </w:p>
    <w:p>
      <w:pPr>
        <w:ind w:firstLine="480"/>
        <w:rPr>
          <w:color w:val="000000" w:themeColor="text1"/>
        </w:rPr>
      </w:pPr>
      <w:r>
        <w:rPr>
          <w:rFonts w:hint="eastAsia"/>
          <w:color w:val="000000" w:themeColor="text1"/>
        </w:rPr>
        <w:t>包括安全审核、传输加密、存储加密、日志审计、安全等级等功能。</w:t>
      </w:r>
    </w:p>
    <w:p>
      <w:pPr>
        <w:ind w:firstLine="480"/>
        <w:rPr>
          <w:color w:val="000000" w:themeColor="text1"/>
        </w:rPr>
      </w:pPr>
      <w:r>
        <w:rPr>
          <w:rFonts w:hint="eastAsia"/>
          <w:color w:val="000000" w:themeColor="text1"/>
        </w:rPr>
        <w:t>基础</w:t>
      </w:r>
      <w:r>
        <w:rPr>
          <w:color w:val="000000" w:themeColor="text1"/>
        </w:rPr>
        <w:t>应用管理平台</w:t>
      </w:r>
    </w:p>
    <w:p>
      <w:pPr>
        <w:ind w:firstLine="480"/>
        <w:rPr>
          <w:color w:val="000000" w:themeColor="text1"/>
        </w:rPr>
      </w:pPr>
      <w:r>
        <w:rPr>
          <w:rFonts w:hint="eastAsia"/>
          <w:color w:val="000000" w:themeColor="text1"/>
        </w:rPr>
        <w:t>金华市综治中心依托综治信息系统、综治视联网、公共安全视频图像信息共享平台建设，基础应用管理平台也是综治中心融合综治信息系统和视频能力的基础和核心。平台通过接入视频共享平台及视频智能分析能力，除为综治及各职能部门提供视频实时监控和浏览回放等基础功能外，还可为全域感知、特殊人群管控、图上可视指挥作战等系统平台提供人员、车辆、行为等各类视频智能应用支撑。</w:t>
      </w:r>
    </w:p>
    <w:p>
      <w:pPr>
        <w:ind w:firstLine="480"/>
        <w:rPr>
          <w:color w:val="000000" w:themeColor="text1"/>
        </w:rPr>
      </w:pPr>
      <w:r>
        <w:rPr>
          <w:rFonts w:hint="eastAsia"/>
          <w:color w:val="000000" w:themeColor="text1"/>
        </w:rPr>
        <w:t>平台建设将根据各政府部门业务需求以及权限等级，提供不同的监控点位订阅及智能分析资源调度，将社会治安防控体系构建在一个“听得见，看得着，查得到，控得住”的社会治安综合治理信息系统之上。</w:t>
      </w:r>
    </w:p>
    <w:p>
      <w:pPr>
        <w:ind w:firstLine="480"/>
        <w:rPr>
          <w:color w:val="000000" w:themeColor="text1"/>
        </w:rPr>
      </w:pPr>
      <w:bookmarkStart w:id="355" w:name="_Toc525942682"/>
      <w:bookmarkStart w:id="356" w:name="_Toc518940439"/>
      <w:r>
        <w:rPr>
          <w:rFonts w:hint="eastAsia"/>
          <w:color w:val="000000" w:themeColor="text1"/>
        </w:rPr>
        <w:t>监控集成管理</w:t>
      </w:r>
      <w:bookmarkEnd w:id="355"/>
    </w:p>
    <w:p>
      <w:pPr>
        <w:ind w:firstLine="480"/>
        <w:rPr>
          <w:color w:val="000000" w:themeColor="text1"/>
        </w:rPr>
      </w:pPr>
      <w:r>
        <w:rPr>
          <w:rFonts w:hint="eastAsia"/>
          <w:color w:val="000000" w:themeColor="text1"/>
        </w:rPr>
        <w:t>实现和公安视频专网视频服务总线及视频综合应用实现交互，包括视频台账查询、视频调阅、查看及视频调度等接口集成对接。</w:t>
      </w:r>
    </w:p>
    <w:bookmarkEnd w:id="356"/>
    <w:p>
      <w:pPr>
        <w:ind w:firstLine="480"/>
        <w:rPr>
          <w:color w:val="000000" w:themeColor="text1"/>
        </w:rPr>
      </w:pPr>
      <w:bookmarkStart w:id="357" w:name="_Toc525942684"/>
      <w:r>
        <w:rPr>
          <w:rFonts w:hint="eastAsia"/>
          <w:color w:val="000000" w:themeColor="text1"/>
        </w:rPr>
        <w:t>视频授权</w:t>
      </w:r>
      <w:bookmarkEnd w:id="357"/>
    </w:p>
    <w:p>
      <w:pPr>
        <w:ind w:firstLine="480"/>
        <w:rPr>
          <w:color w:val="000000" w:themeColor="text1"/>
        </w:rPr>
      </w:pPr>
      <w:r>
        <w:rPr>
          <w:rFonts w:hint="eastAsia"/>
          <w:color w:val="000000" w:themeColor="text1"/>
        </w:rPr>
        <w:t>可设定用户无查看实时视频或历史视频权限，当处理任务需要查阅或权限范围外点位等视频资源支持时，用户可通过申请审批流程，实现视频监控授权调阅。</w:t>
      </w:r>
    </w:p>
    <w:p>
      <w:pPr>
        <w:ind w:firstLine="480"/>
        <w:rPr>
          <w:color w:val="000000" w:themeColor="text1"/>
        </w:rPr>
      </w:pPr>
      <w:bookmarkStart w:id="358" w:name="_Toc525942686"/>
      <w:r>
        <w:rPr>
          <w:rFonts w:hint="eastAsia"/>
          <w:color w:val="000000" w:themeColor="text1"/>
        </w:rPr>
        <w:t>人像智能分析</w:t>
      </w:r>
      <w:bookmarkEnd w:id="358"/>
    </w:p>
    <w:p>
      <w:pPr>
        <w:ind w:firstLine="480"/>
        <w:rPr>
          <w:color w:val="000000" w:themeColor="text1"/>
        </w:rPr>
      </w:pPr>
      <w:r>
        <w:rPr>
          <w:rFonts w:hint="eastAsia"/>
          <w:color w:val="000000" w:themeColor="text1"/>
        </w:rPr>
        <w:t>基于综治重点人员信息库数据，应用输入照片信息，通过接口调用公安人脸布控能力，将照片人员实时与人脸卡口进行对比分析，返回此人员轨迹信息在综合侧进行预警展示。</w:t>
      </w:r>
    </w:p>
    <w:p>
      <w:pPr>
        <w:ind w:firstLine="480"/>
        <w:rPr>
          <w:color w:val="000000" w:themeColor="text1"/>
        </w:rPr>
      </w:pPr>
      <w:bookmarkStart w:id="359" w:name="_Toc525942687"/>
      <w:r>
        <w:rPr>
          <w:rFonts w:hint="eastAsia"/>
          <w:color w:val="000000" w:themeColor="text1"/>
        </w:rPr>
        <w:t>车辆智能分析</w:t>
      </w:r>
      <w:bookmarkEnd w:id="359"/>
    </w:p>
    <w:p>
      <w:pPr>
        <w:ind w:firstLine="480"/>
        <w:rPr>
          <w:color w:val="000000" w:themeColor="text1"/>
        </w:rPr>
      </w:pPr>
      <w:r>
        <w:rPr>
          <w:rFonts w:hint="eastAsia"/>
          <w:color w:val="000000" w:themeColor="text1"/>
        </w:rPr>
        <w:t>支持对特殊人群涉及的车辆进行关联管理，如特殊人员作为车主、所属家庭车辆、常用车辆等。车辆轨迹可将作为人员轨迹的重要补充，从而掌握更多的人员轨迹。通过调用公安车辆布控能力，实现视频卡口与布控车辆比对，反馈车辆轨迹相关信息进行预警展示。当对人员进行布控时，系统也可对关联车辆进行同步布控。</w:t>
      </w:r>
    </w:p>
    <w:p>
      <w:pPr>
        <w:ind w:firstLine="480"/>
        <w:rPr>
          <w:color w:val="000000" w:themeColor="text1"/>
        </w:rPr>
      </w:pPr>
      <w:r>
        <w:rPr>
          <w:color w:val="000000" w:themeColor="text1"/>
        </w:rPr>
        <w:t>全域感知预测预警</w:t>
      </w:r>
    </w:p>
    <w:p>
      <w:pPr>
        <w:ind w:firstLine="480"/>
        <w:rPr>
          <w:color w:val="000000" w:themeColor="text1"/>
        </w:rPr>
      </w:pPr>
      <w:r>
        <w:rPr>
          <w:color w:val="000000" w:themeColor="text1"/>
        </w:rPr>
        <w:t>全域感知</w:t>
      </w:r>
      <w:r>
        <w:rPr>
          <w:rFonts w:hint="eastAsia"/>
          <w:color w:val="000000" w:themeColor="text1"/>
        </w:rPr>
        <w:t>预测预警</w:t>
      </w:r>
      <w:r>
        <w:rPr>
          <w:color w:val="000000" w:themeColor="text1"/>
        </w:rPr>
        <w:t>基于政府数字化转型背景，通过一系列数字化指标反映全市综合服务及治理情况。全域感知主题主要包括：重点人员、非**类事件、重点场所信息、车辆统计、网格员信息集成展示。以及公安警力分布集成展示（仅提供给市政府值班室查看）、AR全景集成展示。根据全域感知业务能力要求，结合各个业务部门数据，构建符合全域感知能力的智能分析模型，对各类数据进行综合性的分析。数据模型包括人员主题模型、事件主题模型、车辆主题模型、场所主题模型、感知设备（RFID、MAC等）模型等</w:t>
      </w:r>
      <w:r>
        <w:rPr>
          <w:rFonts w:hint="eastAsia"/>
          <w:color w:val="000000" w:themeColor="text1"/>
        </w:rPr>
        <w:t>。</w:t>
      </w:r>
    </w:p>
    <w:p>
      <w:pPr>
        <w:ind w:firstLine="480"/>
        <w:rPr>
          <w:color w:val="000000" w:themeColor="text1"/>
        </w:rPr>
      </w:pPr>
      <w:bookmarkStart w:id="360" w:name="_Toc521585264"/>
      <w:r>
        <w:rPr>
          <w:color w:val="000000" w:themeColor="text1"/>
        </w:rPr>
        <w:t>全域感知</w:t>
      </w:r>
      <w:bookmarkEnd w:id="360"/>
      <w:r>
        <w:rPr>
          <w:rFonts w:hint="eastAsia"/>
          <w:color w:val="000000" w:themeColor="text1"/>
        </w:rPr>
        <w:t>主题</w:t>
      </w:r>
      <w:r>
        <w:rPr>
          <w:color w:val="000000" w:themeColor="text1"/>
        </w:rPr>
        <w:t>管理</w:t>
      </w:r>
    </w:p>
    <w:p>
      <w:pPr>
        <w:ind w:firstLine="480"/>
        <w:rPr>
          <w:color w:val="000000" w:themeColor="text1"/>
        </w:rPr>
      </w:pPr>
      <w:r>
        <w:rPr>
          <w:rFonts w:hint="eastAsia"/>
          <w:color w:val="000000" w:themeColor="text1"/>
        </w:rPr>
        <w:t>全域感知系统是需要以一系列的数字化指标反映全市综合服务及治理状况，同时深入区、县级综合治理，实现了公共安全视频监控资源“全域覆盖，全网共享”。全域感知系统主要从以下几个方面进行综合展示：全市人口、重点人员、视频监控信息、可协调接入的感知设备（如人脸卡口、环保、消防等感知设备）、网格事件、非**类事件统计、重点场所信息（如应急指挥场所及物资、学校医院）、车辆统计、网格员信息等。从而为各级综治中心掌握辖区内社会治安和社会稳定形势的整体研判、动态监测提供可视化展示</w:t>
      </w:r>
      <w:r>
        <w:rPr>
          <w:color w:val="000000" w:themeColor="text1"/>
        </w:rPr>
        <w:t>。</w:t>
      </w:r>
    </w:p>
    <w:p>
      <w:pPr>
        <w:jc w:val="center"/>
        <w:rPr>
          <w:b/>
          <w:color w:val="000000" w:themeColor="text1"/>
        </w:rPr>
      </w:pPr>
      <w:r>
        <w:rPr>
          <w:rFonts w:ascii="仿宋_GB2312"/>
          <w:color w:val="000000" w:themeColor="text1"/>
        </w:rPr>
        <w:drawing>
          <wp:inline distT="0" distB="0" distL="0" distR="0">
            <wp:extent cx="5286375" cy="2981325"/>
            <wp:effectExtent l="19050" t="0" r="9525" b="0"/>
            <wp:docPr id="29" name="图片 727" descr="2全域感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27" descr="2全域感知"/>
                    <pic:cNvPicPr>
                      <a:picLocks noChangeAspect="1" noChangeArrowheads="1"/>
                    </pic:cNvPicPr>
                  </pic:nvPicPr>
                  <pic:blipFill>
                    <a:blip r:embed="rId45"/>
                    <a:srcRect/>
                    <a:stretch>
                      <a:fillRect/>
                    </a:stretch>
                  </pic:blipFill>
                  <pic:spPr>
                    <a:xfrm>
                      <a:off x="0" y="0"/>
                      <a:ext cx="5286375" cy="2981325"/>
                    </a:xfrm>
                    <a:prstGeom prst="rect">
                      <a:avLst/>
                    </a:prstGeom>
                    <a:noFill/>
                    <a:ln w="9525">
                      <a:noFill/>
                      <a:miter lim="800000"/>
                      <a:headEnd/>
                      <a:tailEnd/>
                    </a:ln>
                  </pic:spPr>
                </pic:pic>
              </a:graphicData>
            </a:graphic>
          </wp:inline>
        </w:drawing>
      </w:r>
    </w:p>
    <w:p>
      <w:pPr>
        <w:tabs>
          <w:tab w:val="left" w:pos="900"/>
        </w:tabs>
        <w:snapToGrid w:val="0"/>
        <w:ind w:firstLine="480"/>
        <w:jc w:val="center"/>
        <w:rPr>
          <w:rFonts w:ascii="宋体" w:hAnsi="宋体"/>
          <w:color w:val="000000" w:themeColor="text1"/>
        </w:rPr>
      </w:pPr>
      <w:r>
        <w:rPr>
          <w:rFonts w:ascii="宋体" w:hAnsi="宋体"/>
          <w:color w:val="000000" w:themeColor="text1"/>
        </w:rPr>
        <w:t>图</w:t>
      </w:r>
      <w:r>
        <w:rPr>
          <w:rFonts w:ascii="宋体" w:hAnsi="宋体"/>
          <w:color w:val="000000" w:themeColor="text1"/>
        </w:rPr>
        <w:fldChar w:fldCharType="begin"/>
      </w:r>
      <w:r>
        <w:rPr>
          <w:rFonts w:ascii="宋体" w:hAnsi="宋体"/>
          <w:color w:val="000000" w:themeColor="text1"/>
        </w:rPr>
        <w:instrText xml:space="preserve"> STYLEREF 2 \s </w:instrText>
      </w:r>
      <w:r>
        <w:rPr>
          <w:rFonts w:ascii="宋体" w:hAnsi="宋体"/>
          <w:color w:val="000000" w:themeColor="text1"/>
        </w:rPr>
        <w:fldChar w:fldCharType="separate"/>
      </w:r>
      <w:r>
        <w:rPr>
          <w:rFonts w:ascii="宋体" w:hAnsi="宋体"/>
          <w:color w:val="000000" w:themeColor="text1"/>
        </w:rPr>
        <w:t>0</w:t>
      </w:r>
      <w:r>
        <w:rPr>
          <w:rFonts w:ascii="宋体" w:hAnsi="宋体"/>
          <w:color w:val="000000" w:themeColor="text1"/>
        </w:rPr>
        <w:fldChar w:fldCharType="end"/>
      </w:r>
      <w:r>
        <w:rPr>
          <w:rFonts w:ascii="宋体" w:hAnsi="宋体"/>
          <w:color w:val="000000" w:themeColor="text1"/>
        </w:rPr>
        <w:noBreakHyphen/>
      </w:r>
      <w:r>
        <w:rPr>
          <w:rFonts w:hint="eastAsia" w:ascii="宋体" w:hAnsi="宋体"/>
          <w:color w:val="000000" w:themeColor="text1"/>
        </w:rPr>
        <w:t>20</w:t>
      </w:r>
      <w:r>
        <w:rPr>
          <w:rFonts w:ascii="宋体" w:hAnsi="宋体"/>
          <w:color w:val="000000" w:themeColor="text1"/>
        </w:rPr>
        <w:t>效果图</w:t>
      </w:r>
      <w:r>
        <w:rPr>
          <w:rFonts w:hint="eastAsia" w:ascii="宋体" w:hAnsi="宋体"/>
          <w:color w:val="000000" w:themeColor="text1"/>
        </w:rPr>
        <w:t>1</w:t>
      </w:r>
    </w:p>
    <w:p>
      <w:pPr>
        <w:jc w:val="center"/>
        <w:rPr>
          <w:color w:val="000000" w:themeColor="text1"/>
        </w:rPr>
      </w:pPr>
      <w:r>
        <w:rPr>
          <w:rFonts w:ascii="仿宋_GB2312"/>
          <w:color w:val="000000" w:themeColor="text1"/>
        </w:rPr>
        <w:drawing>
          <wp:inline distT="0" distB="0" distL="0" distR="0">
            <wp:extent cx="4886325" cy="2752725"/>
            <wp:effectExtent l="19050" t="0" r="9525" b="0"/>
            <wp:docPr id="30" name="图片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28"/>
                    <pic:cNvPicPr>
                      <a:picLocks noChangeAspect="1" noChangeArrowheads="1"/>
                    </pic:cNvPicPr>
                  </pic:nvPicPr>
                  <pic:blipFill>
                    <a:blip r:embed="rId46"/>
                    <a:srcRect/>
                    <a:stretch>
                      <a:fillRect/>
                    </a:stretch>
                  </pic:blipFill>
                  <pic:spPr>
                    <a:xfrm>
                      <a:off x="0" y="0"/>
                      <a:ext cx="4886325" cy="2752725"/>
                    </a:xfrm>
                    <a:prstGeom prst="rect">
                      <a:avLst/>
                    </a:prstGeom>
                    <a:noFill/>
                    <a:ln w="9525">
                      <a:noFill/>
                      <a:miter lim="800000"/>
                      <a:headEnd/>
                      <a:tailEnd/>
                    </a:ln>
                  </pic:spPr>
                </pic:pic>
              </a:graphicData>
            </a:graphic>
          </wp:inline>
        </w:drawing>
      </w:r>
    </w:p>
    <w:p>
      <w:pPr>
        <w:tabs>
          <w:tab w:val="left" w:pos="900"/>
        </w:tabs>
        <w:snapToGrid w:val="0"/>
        <w:ind w:firstLine="480"/>
        <w:jc w:val="center"/>
        <w:rPr>
          <w:rFonts w:ascii="宋体" w:hAnsi="宋体"/>
          <w:color w:val="000000" w:themeColor="text1"/>
        </w:rPr>
      </w:pPr>
      <w:r>
        <w:rPr>
          <w:rFonts w:ascii="宋体" w:hAnsi="宋体"/>
          <w:color w:val="000000" w:themeColor="text1"/>
        </w:rPr>
        <w:t>图</w:t>
      </w:r>
      <w:r>
        <w:rPr>
          <w:rFonts w:ascii="宋体" w:hAnsi="宋体"/>
          <w:color w:val="000000" w:themeColor="text1"/>
        </w:rPr>
        <w:fldChar w:fldCharType="begin"/>
      </w:r>
      <w:r>
        <w:rPr>
          <w:rFonts w:ascii="宋体" w:hAnsi="宋体"/>
          <w:color w:val="000000" w:themeColor="text1"/>
        </w:rPr>
        <w:instrText xml:space="preserve"> STYLEREF 2 \s </w:instrText>
      </w:r>
      <w:r>
        <w:rPr>
          <w:rFonts w:ascii="宋体" w:hAnsi="宋体"/>
          <w:color w:val="000000" w:themeColor="text1"/>
        </w:rPr>
        <w:fldChar w:fldCharType="separate"/>
      </w:r>
      <w:r>
        <w:rPr>
          <w:rFonts w:ascii="宋体" w:hAnsi="宋体"/>
          <w:color w:val="000000" w:themeColor="text1"/>
        </w:rPr>
        <w:t>0</w:t>
      </w:r>
      <w:r>
        <w:rPr>
          <w:rFonts w:ascii="宋体" w:hAnsi="宋体"/>
          <w:color w:val="000000" w:themeColor="text1"/>
        </w:rPr>
        <w:fldChar w:fldCharType="end"/>
      </w:r>
      <w:r>
        <w:rPr>
          <w:rFonts w:ascii="宋体" w:hAnsi="宋体"/>
          <w:color w:val="000000" w:themeColor="text1"/>
        </w:rPr>
        <w:noBreakHyphen/>
      </w:r>
      <w:r>
        <w:rPr>
          <w:rFonts w:hint="eastAsia" w:ascii="宋体" w:hAnsi="宋体"/>
          <w:color w:val="000000" w:themeColor="text1"/>
        </w:rPr>
        <w:t>21</w:t>
      </w:r>
      <w:r>
        <w:rPr>
          <w:rFonts w:ascii="宋体" w:hAnsi="宋体"/>
          <w:color w:val="000000" w:themeColor="text1"/>
        </w:rPr>
        <w:t>效果图</w:t>
      </w:r>
      <w:r>
        <w:rPr>
          <w:rFonts w:hint="eastAsia" w:ascii="宋体" w:hAnsi="宋体"/>
          <w:color w:val="000000" w:themeColor="text1"/>
        </w:rPr>
        <w:t>2</w:t>
      </w:r>
    </w:p>
    <w:p>
      <w:pPr>
        <w:ind w:firstLine="480"/>
        <w:rPr>
          <w:color w:val="000000" w:themeColor="text1"/>
        </w:rPr>
      </w:pPr>
      <w:bookmarkStart w:id="361" w:name="_Toc521585265"/>
      <w:r>
        <w:rPr>
          <w:color w:val="000000" w:themeColor="text1"/>
        </w:rPr>
        <w:t>全域感知模型</w:t>
      </w:r>
      <w:bookmarkEnd w:id="361"/>
      <w:r>
        <w:rPr>
          <w:color w:val="000000" w:themeColor="text1"/>
        </w:rPr>
        <w:t>管理</w:t>
      </w:r>
    </w:p>
    <w:p>
      <w:pPr>
        <w:ind w:firstLine="480"/>
        <w:rPr>
          <w:color w:val="000000" w:themeColor="text1"/>
        </w:rPr>
      </w:pPr>
      <w:r>
        <w:rPr>
          <w:rFonts w:hint="eastAsia"/>
          <w:color w:val="000000" w:themeColor="text1"/>
        </w:rPr>
        <w:t>根据全域感知业务能力要求，结合各个业务部门数据，构建符合全域感知能力的智能分析模型，对各类数据进行综合性的分析，所建立的模型应该按照时间和地区纬度按主题的方式进行组织。</w:t>
      </w:r>
    </w:p>
    <w:p>
      <w:pPr>
        <w:ind w:firstLine="480"/>
        <w:rPr>
          <w:color w:val="000000" w:themeColor="text1"/>
        </w:rPr>
      </w:pPr>
      <w:r>
        <w:rPr>
          <w:rFonts w:hint="eastAsia"/>
          <w:color w:val="000000" w:themeColor="text1"/>
        </w:rPr>
        <w:t xml:space="preserve">为了满足全域感知业务能力要求，需接入各部门的数据源。主要数据包括综治各业务系统的人、事、地、物、情、组织数据，以及公安等部门的数据。数据内容主要包括： </w:t>
      </w:r>
    </w:p>
    <w:p>
      <w:pPr>
        <w:ind w:firstLine="480"/>
        <w:rPr>
          <w:color w:val="000000" w:themeColor="text1"/>
        </w:rPr>
      </w:pPr>
      <w:r>
        <w:rPr>
          <w:rFonts w:hint="eastAsia"/>
          <w:color w:val="000000" w:themeColor="text1"/>
        </w:rPr>
        <w:t>常住人口信息</w:t>
      </w:r>
    </w:p>
    <w:p>
      <w:pPr>
        <w:ind w:firstLine="480"/>
        <w:rPr>
          <w:color w:val="000000" w:themeColor="text1"/>
        </w:rPr>
      </w:pPr>
      <w:r>
        <w:rPr>
          <w:rFonts w:hint="eastAsia"/>
          <w:color w:val="000000" w:themeColor="text1"/>
        </w:rPr>
        <w:t>暂住人口信息</w:t>
      </w:r>
    </w:p>
    <w:p>
      <w:pPr>
        <w:ind w:firstLine="480"/>
        <w:rPr>
          <w:color w:val="000000" w:themeColor="text1"/>
        </w:rPr>
      </w:pPr>
      <w:r>
        <w:rPr>
          <w:rFonts w:hint="eastAsia"/>
          <w:color w:val="000000" w:themeColor="text1"/>
        </w:rPr>
        <w:t>重点人员信息</w:t>
      </w:r>
    </w:p>
    <w:p>
      <w:pPr>
        <w:ind w:firstLine="480"/>
        <w:rPr>
          <w:color w:val="000000" w:themeColor="text1"/>
        </w:rPr>
      </w:pPr>
      <w:r>
        <w:rPr>
          <w:rFonts w:hint="eastAsia"/>
          <w:color w:val="000000" w:themeColor="text1"/>
        </w:rPr>
        <w:t>重点场所信息</w:t>
      </w:r>
    </w:p>
    <w:p>
      <w:pPr>
        <w:ind w:firstLine="480"/>
        <w:rPr>
          <w:color w:val="000000" w:themeColor="text1"/>
        </w:rPr>
      </w:pPr>
      <w:r>
        <w:rPr>
          <w:rFonts w:hint="eastAsia"/>
          <w:color w:val="000000" w:themeColor="text1"/>
        </w:rPr>
        <w:t>网格事件信息</w:t>
      </w:r>
    </w:p>
    <w:p>
      <w:pPr>
        <w:ind w:firstLine="480"/>
        <w:rPr>
          <w:color w:val="000000" w:themeColor="text1"/>
        </w:rPr>
      </w:pPr>
      <w:r>
        <w:rPr>
          <w:rFonts w:hint="eastAsia"/>
          <w:color w:val="000000" w:themeColor="text1"/>
        </w:rPr>
        <w:t>视频预警信息</w:t>
      </w:r>
    </w:p>
    <w:p>
      <w:pPr>
        <w:ind w:firstLine="480"/>
        <w:rPr>
          <w:color w:val="000000" w:themeColor="text1"/>
        </w:rPr>
      </w:pPr>
      <w:r>
        <w:rPr>
          <w:rFonts w:hint="eastAsia"/>
          <w:color w:val="000000" w:themeColor="text1"/>
        </w:rPr>
        <w:t>感知设备信息</w:t>
      </w:r>
    </w:p>
    <w:p>
      <w:pPr>
        <w:ind w:firstLine="480"/>
        <w:rPr>
          <w:color w:val="000000" w:themeColor="text1"/>
        </w:rPr>
      </w:pPr>
      <w:r>
        <w:rPr>
          <w:rFonts w:hint="eastAsia"/>
          <w:color w:val="000000" w:themeColor="text1"/>
        </w:rPr>
        <w:t>部门数据汇总信息</w:t>
      </w:r>
    </w:p>
    <w:p>
      <w:pPr>
        <w:ind w:firstLine="480"/>
        <w:rPr>
          <w:color w:val="000000" w:themeColor="text1"/>
        </w:rPr>
      </w:pPr>
      <w:r>
        <w:rPr>
          <w:rFonts w:hint="eastAsia"/>
          <w:color w:val="000000" w:themeColor="text1"/>
        </w:rPr>
        <w:t>……</w:t>
      </w:r>
    </w:p>
    <w:p>
      <w:pPr>
        <w:ind w:firstLine="480"/>
        <w:rPr>
          <w:color w:val="000000" w:themeColor="text1"/>
        </w:rPr>
      </w:pPr>
      <w:r>
        <w:rPr>
          <w:rFonts w:hint="eastAsia"/>
          <w:color w:val="000000" w:themeColor="text1"/>
        </w:rPr>
        <w:t>1、人员主题模型</w:t>
      </w:r>
    </w:p>
    <w:p>
      <w:pPr>
        <w:ind w:firstLine="480"/>
        <w:rPr>
          <w:color w:val="000000" w:themeColor="text1"/>
        </w:rPr>
      </w:pPr>
      <w:r>
        <w:rPr>
          <w:rFonts w:hint="eastAsia"/>
          <w:color w:val="000000" w:themeColor="text1"/>
        </w:rPr>
        <w:t>要求汇总了各类人员相关的信息，除了综治本身的重点人员库之外，还汇聚了来自公安和外部门的各类人员相关数据。</w:t>
      </w:r>
    </w:p>
    <w:p>
      <w:pPr>
        <w:ind w:firstLine="480"/>
        <w:rPr>
          <w:color w:val="000000" w:themeColor="text1"/>
        </w:rPr>
      </w:pPr>
      <w:r>
        <w:rPr>
          <w:rFonts w:hint="eastAsia"/>
          <w:color w:val="000000" w:themeColor="text1"/>
        </w:rPr>
        <w:t>人员主题按照指标的方式进行组织，主要包含的分析内容有：九类重点人员分类统计、重点人员分区域统计、流动人口数量统计、常住人口数量统计。</w:t>
      </w:r>
    </w:p>
    <w:p>
      <w:pPr>
        <w:ind w:firstLine="480"/>
        <w:rPr>
          <w:color w:val="000000" w:themeColor="text1"/>
        </w:rPr>
      </w:pPr>
      <w:r>
        <w:rPr>
          <w:rFonts w:hint="eastAsia"/>
          <w:color w:val="000000" w:themeColor="text1"/>
        </w:rPr>
        <w:t>2、事件主题模型</w:t>
      </w:r>
    </w:p>
    <w:p>
      <w:pPr>
        <w:ind w:firstLine="480"/>
        <w:rPr>
          <w:color w:val="000000" w:themeColor="text1"/>
        </w:rPr>
      </w:pPr>
      <w:r>
        <w:rPr>
          <w:rFonts w:hint="eastAsia"/>
          <w:color w:val="000000" w:themeColor="text1"/>
        </w:rPr>
        <w:t>要求涵盖各类采集上报的案事件信息，通过按时间、按地区、按类别的三个纬度，对事件数据建模，并形成指标模型，主要包含的指标有：当日事件统计、事件分来源统计、分地区事件统计、分类别事件统计。</w:t>
      </w:r>
    </w:p>
    <w:p>
      <w:pPr>
        <w:ind w:firstLine="480"/>
        <w:rPr>
          <w:color w:val="000000" w:themeColor="text1"/>
        </w:rPr>
      </w:pPr>
      <w:r>
        <w:rPr>
          <w:rFonts w:hint="eastAsia"/>
          <w:color w:val="000000" w:themeColor="text1"/>
        </w:rPr>
        <w:t>3、车辆主题模型</w:t>
      </w:r>
    </w:p>
    <w:p>
      <w:pPr>
        <w:ind w:firstLine="480"/>
        <w:rPr>
          <w:color w:val="000000" w:themeColor="text1"/>
        </w:rPr>
      </w:pPr>
      <w:r>
        <w:rPr>
          <w:rFonts w:hint="eastAsia"/>
          <w:color w:val="000000" w:themeColor="text1"/>
        </w:rPr>
        <w:t>要求对全区内各类车辆相关信息的统计分析，通过对重点车辆的分析，了解区域内各类车辆的实时状态。</w:t>
      </w:r>
    </w:p>
    <w:p>
      <w:pPr>
        <w:ind w:firstLine="480"/>
        <w:rPr>
          <w:color w:val="000000" w:themeColor="text1"/>
        </w:rPr>
      </w:pPr>
      <w:r>
        <w:rPr>
          <w:rFonts w:hint="eastAsia"/>
          <w:color w:val="000000" w:themeColor="text1"/>
        </w:rPr>
        <w:t>4、场所主题模型</w:t>
      </w:r>
    </w:p>
    <w:p>
      <w:pPr>
        <w:ind w:firstLine="480"/>
        <w:rPr>
          <w:color w:val="000000" w:themeColor="text1"/>
        </w:rPr>
      </w:pPr>
      <w:r>
        <w:rPr>
          <w:rFonts w:hint="eastAsia"/>
          <w:color w:val="000000" w:themeColor="text1"/>
        </w:rPr>
        <w:t>要求对综治重点场所的统计，主要包含的数据指标有：重点消防场所、危险品场所。</w:t>
      </w:r>
    </w:p>
    <w:p>
      <w:pPr>
        <w:ind w:firstLine="480"/>
        <w:rPr>
          <w:color w:val="000000" w:themeColor="text1"/>
        </w:rPr>
      </w:pPr>
      <w:r>
        <w:rPr>
          <w:rFonts w:hint="eastAsia"/>
          <w:color w:val="000000" w:themeColor="text1"/>
        </w:rPr>
        <w:t>5、感知设备模型</w:t>
      </w:r>
    </w:p>
    <w:p>
      <w:pPr>
        <w:ind w:firstLine="480"/>
        <w:rPr>
          <w:color w:val="000000" w:themeColor="text1"/>
        </w:rPr>
      </w:pPr>
      <w:r>
        <w:rPr>
          <w:rFonts w:hint="eastAsia"/>
          <w:color w:val="000000" w:themeColor="text1"/>
        </w:rPr>
        <w:t>感知设备通过对接视频联网共享平台的相关接口，提供感知设备的位置、运行状态、视频展开查看等功能接入。</w:t>
      </w:r>
    </w:p>
    <w:p>
      <w:pPr>
        <w:ind w:firstLine="480"/>
        <w:rPr>
          <w:color w:val="000000" w:themeColor="text1"/>
        </w:rPr>
      </w:pPr>
      <w:bookmarkStart w:id="362" w:name="_Toc518940438"/>
      <w:bookmarkStart w:id="363" w:name="_Toc521585266"/>
      <w:r>
        <w:rPr>
          <w:rFonts w:hint="eastAsia"/>
          <w:color w:val="000000" w:themeColor="text1"/>
        </w:rPr>
        <w:t>全域</w:t>
      </w:r>
      <w:r>
        <w:rPr>
          <w:color w:val="000000" w:themeColor="text1"/>
        </w:rPr>
        <w:t>雪亮网格应用</w:t>
      </w:r>
    </w:p>
    <w:p>
      <w:pPr>
        <w:ind w:firstLine="480"/>
        <w:rPr>
          <w:color w:val="000000" w:themeColor="text1"/>
        </w:rPr>
      </w:pPr>
      <w:r>
        <w:rPr>
          <w:color w:val="000000" w:themeColor="text1"/>
        </w:rPr>
        <w:t>“网格员是移动的摄像机”、“每个探头都是固定的网格员”负责发现问题、定位问题、追踪问题。该应用主要实现网格员如何利用视频实现进行网格管理，包括视频通话、可视指挥、移动终端管理等；以及在原有网格管理基础上实现更加精细化的网格管理，包括网格工作管理、网格考核管理。</w:t>
      </w:r>
    </w:p>
    <w:p>
      <w:pPr>
        <w:ind w:firstLine="480"/>
        <w:rPr>
          <w:color w:val="000000" w:themeColor="text1"/>
        </w:rPr>
      </w:pPr>
      <w:bookmarkStart w:id="364" w:name="_Toc521585339"/>
      <w:bookmarkStart w:id="365" w:name="_Toc518940429"/>
      <w:r>
        <w:rPr>
          <w:color w:val="000000" w:themeColor="text1"/>
        </w:rPr>
        <w:t>用户终端管理</w:t>
      </w:r>
      <w:bookmarkEnd w:id="364"/>
      <w:bookmarkEnd w:id="365"/>
    </w:p>
    <w:p>
      <w:pPr>
        <w:ind w:firstLine="480"/>
        <w:rPr>
          <w:color w:val="000000" w:themeColor="text1"/>
        </w:rPr>
      </w:pPr>
      <w:r>
        <w:rPr>
          <w:color w:val="000000" w:themeColor="text1"/>
        </w:rPr>
        <w:t>对各级综治中心的通讯终端进行管理，包括综治中心、网格员</w:t>
      </w:r>
      <w:r>
        <w:rPr>
          <w:rFonts w:hint="eastAsia"/>
          <w:color w:val="000000" w:themeColor="text1"/>
        </w:rPr>
        <w:t>APP</w:t>
      </w:r>
      <w:r>
        <w:rPr>
          <w:color w:val="000000" w:themeColor="text1"/>
        </w:rPr>
        <w:t>终端等。</w:t>
      </w:r>
    </w:p>
    <w:p>
      <w:pPr>
        <w:ind w:firstLine="480"/>
        <w:rPr>
          <w:color w:val="000000" w:themeColor="text1"/>
        </w:rPr>
      </w:pPr>
      <w:r>
        <w:rPr>
          <w:rFonts w:hint="eastAsia"/>
          <w:color w:val="000000" w:themeColor="text1"/>
        </w:rPr>
        <w:t>视频通话</w:t>
      </w:r>
    </w:p>
    <w:p>
      <w:pPr>
        <w:ind w:firstLine="480"/>
        <w:rPr>
          <w:color w:val="000000" w:themeColor="text1"/>
        </w:rPr>
      </w:pPr>
      <w:r>
        <w:rPr>
          <w:rFonts w:hint="eastAsia"/>
          <w:color w:val="000000" w:themeColor="text1"/>
        </w:rPr>
        <w:t>在预警事件处于监控盲区等情况下，中心可选择网格员进行视频通话，网格员可在移动端APP查看并接通中心的视频呼叫申请。网格员也可主动向中心发起视频通话请求，经中心坐席同意后，实现中心与网格员的实时视频通话，将网格员手机的视频接入中心，实现远程可视指挥（支持多人视频通话）。</w:t>
      </w:r>
    </w:p>
    <w:p>
      <w:pPr>
        <w:ind w:firstLine="480"/>
        <w:rPr>
          <w:color w:val="000000" w:themeColor="text1"/>
        </w:rPr>
      </w:pPr>
      <w:r>
        <w:rPr>
          <w:rFonts w:hint="eastAsia"/>
          <w:color w:val="000000" w:themeColor="text1"/>
        </w:rPr>
        <w:t>可视指挥统计分析</w:t>
      </w:r>
    </w:p>
    <w:p>
      <w:pPr>
        <w:ind w:firstLine="480"/>
        <w:rPr>
          <w:color w:val="000000" w:themeColor="text1"/>
        </w:rPr>
      </w:pPr>
      <w:r>
        <w:rPr>
          <w:rFonts w:hint="eastAsia"/>
          <w:color w:val="000000" w:themeColor="text1"/>
        </w:rPr>
        <w:t>统计分析即时通讯在不同部门、不同人员及各场景的应用频次、应用效果，不仅满足对与各使用者的工作成效评估，也为系统的持续提升完善提供依据。统计项包括：不同部门、不同人员及各场景的应用通讯频次、通讯效果及满意度评价情况等，一方面网格管理，另一方面辅助领导决策。</w:t>
      </w:r>
    </w:p>
    <w:p>
      <w:pPr>
        <w:ind w:firstLine="480"/>
        <w:rPr>
          <w:color w:val="000000" w:themeColor="text1"/>
        </w:rPr>
      </w:pPr>
      <w:bookmarkStart w:id="366" w:name="_Toc525942708"/>
      <w:r>
        <w:rPr>
          <w:rFonts w:hint="eastAsia"/>
          <w:color w:val="000000" w:themeColor="text1"/>
        </w:rPr>
        <w:t>精细网格管理</w:t>
      </w:r>
      <w:bookmarkEnd w:id="366"/>
    </w:p>
    <w:p>
      <w:pPr>
        <w:ind w:firstLine="480"/>
        <w:rPr>
          <w:color w:val="000000" w:themeColor="text1"/>
        </w:rPr>
      </w:pPr>
      <w:r>
        <w:rPr>
          <w:rFonts w:hint="eastAsia"/>
          <w:color w:val="000000" w:themeColor="text1"/>
        </w:rPr>
        <w:t>在金华市原有网格管理基础上实现更加精细化的网格管理，包括网格工作（管理服务、巡查走访等）管理、网格考核动态管理（差异化考核指标设定等）。</w:t>
      </w:r>
    </w:p>
    <w:p>
      <w:pPr>
        <w:ind w:firstLine="480"/>
        <w:rPr>
          <w:color w:val="000000" w:themeColor="text1"/>
        </w:rPr>
      </w:pPr>
      <w:bookmarkStart w:id="367" w:name="_Toc526284099"/>
      <w:r>
        <w:rPr>
          <w:rFonts w:hint="eastAsia"/>
          <w:color w:val="000000" w:themeColor="text1"/>
        </w:rPr>
        <w:t>业务应用集成对接</w:t>
      </w:r>
      <w:bookmarkEnd w:id="367"/>
    </w:p>
    <w:p>
      <w:pPr>
        <w:ind w:firstLine="480"/>
        <w:rPr>
          <w:color w:val="000000" w:themeColor="text1"/>
        </w:rPr>
      </w:pPr>
      <w:bookmarkStart w:id="368" w:name="_Toc526284100"/>
      <w:r>
        <w:rPr>
          <w:color w:val="000000" w:themeColor="text1"/>
        </w:rPr>
        <w:t>区县雪亮应用集成对接</w:t>
      </w:r>
      <w:bookmarkEnd w:id="368"/>
    </w:p>
    <w:p>
      <w:pPr>
        <w:ind w:firstLine="480"/>
        <w:rPr>
          <w:color w:val="000000" w:themeColor="text1"/>
        </w:rPr>
      </w:pPr>
      <w:r>
        <w:rPr>
          <w:color w:val="000000" w:themeColor="text1"/>
        </w:rPr>
        <w:t>针对区县已经搭建完成的，采用集成对接方式实现一体化管理。可通过市里统一开发SDK包提供区县集成使用，部门标准应用，可提供标准接口供地方区县使用。</w:t>
      </w:r>
    </w:p>
    <w:p>
      <w:pPr>
        <w:ind w:firstLine="480"/>
        <w:rPr>
          <w:color w:val="000000" w:themeColor="text1"/>
        </w:rPr>
      </w:pPr>
      <w:bookmarkStart w:id="369" w:name="_Toc526284101"/>
      <w:r>
        <w:rPr>
          <w:color w:val="000000" w:themeColor="text1"/>
        </w:rPr>
        <w:t>金华市四平台集成对接</w:t>
      </w:r>
      <w:bookmarkEnd w:id="369"/>
    </w:p>
    <w:p>
      <w:pPr>
        <w:ind w:firstLine="480"/>
        <w:rPr>
          <w:color w:val="000000" w:themeColor="text1"/>
        </w:rPr>
      </w:pPr>
      <w:r>
        <w:rPr>
          <w:color w:val="000000" w:themeColor="text1"/>
        </w:rPr>
        <w:t>实现和金华市基层治理四平台有效衔接，通过雪亮智能发现</w:t>
      </w:r>
      <w:r>
        <w:rPr>
          <w:rFonts w:hint="eastAsia"/>
          <w:color w:val="000000" w:themeColor="text1"/>
        </w:rPr>
        <w:t>的</w:t>
      </w:r>
      <w:r>
        <w:rPr>
          <w:color w:val="000000" w:themeColor="text1"/>
        </w:rPr>
        <w:t>问题能够流转至四平台进行有效处置解决，同时在四平台中能够集成雪亮智能应用。</w:t>
      </w:r>
    </w:p>
    <w:p>
      <w:pPr>
        <w:ind w:firstLine="480"/>
        <w:rPr>
          <w:color w:val="000000" w:themeColor="text1"/>
        </w:rPr>
      </w:pPr>
      <w:bookmarkStart w:id="370" w:name="_Toc526284102"/>
      <w:r>
        <w:rPr>
          <w:color w:val="000000" w:themeColor="text1"/>
        </w:rPr>
        <w:t>金华市8890集成对接</w:t>
      </w:r>
      <w:bookmarkEnd w:id="370"/>
    </w:p>
    <w:p>
      <w:pPr>
        <w:ind w:firstLine="480"/>
        <w:rPr>
          <w:color w:val="000000" w:themeColor="text1"/>
        </w:rPr>
      </w:pPr>
      <w:r>
        <w:rPr>
          <w:rFonts w:hint="eastAsia"/>
          <w:color w:val="000000" w:themeColor="text1"/>
        </w:rPr>
        <w:t>实现与金华市8890平台集成对接，8890平台事件数据归集至雪亮综治大脑，同时实现8890线上业务与雪亮的平台双向交互。</w:t>
      </w:r>
    </w:p>
    <w:p>
      <w:pPr>
        <w:ind w:firstLine="480"/>
        <w:rPr>
          <w:color w:val="000000" w:themeColor="text1"/>
        </w:rPr>
      </w:pPr>
      <w:r>
        <w:rPr>
          <w:rFonts w:hint="eastAsia"/>
          <w:color w:val="000000" w:themeColor="text1"/>
        </w:rPr>
        <w:t>金华法院对接</w:t>
      </w:r>
    </w:p>
    <w:p>
      <w:pPr>
        <w:ind w:firstLine="480"/>
        <w:rPr>
          <w:color w:val="000000" w:themeColor="text1"/>
        </w:rPr>
      </w:pPr>
      <w:r>
        <w:rPr>
          <w:rFonts w:hint="eastAsia"/>
          <w:color w:val="000000" w:themeColor="text1"/>
        </w:rPr>
        <w:t>实现与金华法院对接，获取案件审判、执行信息等数据，服务于综治应用系统。</w:t>
      </w:r>
    </w:p>
    <w:p>
      <w:pPr>
        <w:ind w:firstLine="480"/>
        <w:rPr>
          <w:color w:val="000000" w:themeColor="text1"/>
        </w:rPr>
      </w:pPr>
      <w:r>
        <w:rPr>
          <w:rFonts w:hint="eastAsia"/>
          <w:color w:val="000000" w:themeColor="text1"/>
        </w:rPr>
        <w:t>金华检察院对接</w:t>
      </w:r>
    </w:p>
    <w:p>
      <w:pPr>
        <w:ind w:firstLine="480"/>
        <w:rPr>
          <w:color w:val="000000" w:themeColor="text1"/>
        </w:rPr>
      </w:pPr>
      <w:r>
        <w:rPr>
          <w:rFonts w:hint="eastAsia"/>
          <w:color w:val="000000" w:themeColor="text1"/>
        </w:rPr>
        <w:t>实现与金华检察院对接，获取批捕起诉信息、</w:t>
      </w:r>
      <w:r>
        <w:rPr>
          <w:color w:val="000000" w:themeColor="text1"/>
        </w:rPr>
        <w:t>民事刑事案件</w:t>
      </w:r>
      <w:r>
        <w:rPr>
          <w:rFonts w:hint="eastAsia"/>
          <w:color w:val="000000" w:themeColor="text1"/>
        </w:rPr>
        <w:t>等数据，服务于综治应用系统。</w:t>
      </w:r>
    </w:p>
    <w:p>
      <w:pPr>
        <w:ind w:firstLine="480"/>
        <w:rPr>
          <w:color w:val="000000" w:themeColor="text1"/>
        </w:rPr>
      </w:pPr>
      <w:r>
        <w:rPr>
          <w:rFonts w:hint="eastAsia"/>
          <w:color w:val="000000" w:themeColor="text1"/>
        </w:rPr>
        <w:t>金华数管中心对接</w:t>
      </w:r>
    </w:p>
    <w:p>
      <w:pPr>
        <w:ind w:firstLine="480"/>
        <w:rPr>
          <w:color w:val="000000" w:themeColor="text1"/>
        </w:rPr>
      </w:pPr>
      <w:r>
        <w:rPr>
          <w:rFonts w:hint="eastAsia"/>
          <w:color w:val="000000" w:themeColor="text1"/>
        </w:rPr>
        <w:t>实现与金华数管中心对接，获取户籍人口、流动人口、**人员等数据，服务于综治应用系统。</w:t>
      </w:r>
    </w:p>
    <w:p>
      <w:pPr>
        <w:ind w:firstLine="480"/>
        <w:rPr>
          <w:color w:val="000000" w:themeColor="text1"/>
        </w:rPr>
      </w:pPr>
      <w:r>
        <w:rPr>
          <w:rFonts w:hint="eastAsia"/>
          <w:color w:val="000000" w:themeColor="text1"/>
        </w:rPr>
        <w:t>省综治办对接</w:t>
      </w:r>
    </w:p>
    <w:p>
      <w:pPr>
        <w:ind w:firstLine="480"/>
        <w:rPr>
          <w:color w:val="000000" w:themeColor="text1"/>
        </w:rPr>
      </w:pPr>
      <w:r>
        <w:rPr>
          <w:rFonts w:hint="eastAsia"/>
          <w:color w:val="000000" w:themeColor="text1"/>
        </w:rPr>
        <w:t>实现与金华数管中心对接，获取重点上访人员、出租房、社会组织等数据，服务于综治应用系统。</w:t>
      </w:r>
    </w:p>
    <w:bookmarkEnd w:id="362"/>
    <w:bookmarkEnd w:id="363"/>
    <w:p>
      <w:pPr>
        <w:ind w:firstLine="480"/>
        <w:rPr>
          <w:color w:val="000000" w:themeColor="text1"/>
        </w:rPr>
      </w:pPr>
      <w:r>
        <w:rPr>
          <w:color w:val="000000" w:themeColor="text1"/>
        </w:rPr>
        <w:t>应急指挥系统</w:t>
      </w:r>
    </w:p>
    <w:p>
      <w:pPr>
        <w:ind w:firstLine="480"/>
        <w:rPr>
          <w:color w:val="000000" w:themeColor="text1"/>
        </w:rPr>
      </w:pPr>
      <w:r>
        <w:rPr>
          <w:color w:val="000000" w:themeColor="text1"/>
        </w:rPr>
        <w:t>系统功能</w:t>
      </w:r>
    </w:p>
    <w:p>
      <w:pPr>
        <w:ind w:firstLine="480"/>
        <w:rPr>
          <w:color w:val="000000" w:themeColor="text1"/>
        </w:rPr>
      </w:pPr>
      <w:r>
        <w:rPr>
          <w:color w:val="000000" w:themeColor="text1"/>
        </w:rPr>
        <w:t>1、基础框架</w:t>
      </w:r>
    </w:p>
    <w:p>
      <w:pPr>
        <w:ind w:firstLine="480"/>
        <w:rPr>
          <w:color w:val="000000" w:themeColor="text1"/>
        </w:rPr>
      </w:pPr>
      <w:r>
        <w:rPr>
          <w:color w:val="000000" w:themeColor="text1"/>
        </w:rPr>
        <w:t>BS模式，同时支持单屏、双屏模式，可以支持单屏登录，也支持双屏登录。采用云服务管理，可实现支持对不同用户、不同组织机构同一应用模块加载不同云服务，或同一应用模块可以加载同一服务提供商的不同版本；支持对云服务的增加、删除、修改；支持用户自己选择云服务，用户指定相应的云服务后，能够立刻生效。支队和大队能分域分权多用户同时使用。同时加载基于IE、Chrome浏览器开发的页面，支持H5页面也同时支持传统HTML页面。</w:t>
      </w:r>
    </w:p>
    <w:p>
      <w:pPr>
        <w:ind w:firstLine="480"/>
        <w:rPr>
          <w:color w:val="000000" w:themeColor="text1"/>
        </w:rPr>
      </w:pPr>
      <w:r>
        <w:rPr>
          <w:color w:val="000000" w:themeColor="text1"/>
        </w:rPr>
        <w:t>2、</w:t>
      </w:r>
      <w:r>
        <w:rPr>
          <w:rFonts w:hint="eastAsia"/>
          <w:color w:val="000000" w:themeColor="text1"/>
        </w:rPr>
        <w:t>辅助决策</w:t>
      </w:r>
    </w:p>
    <w:p>
      <w:pPr>
        <w:ind w:firstLine="480"/>
        <w:rPr>
          <w:color w:val="000000" w:themeColor="text1"/>
        </w:rPr>
      </w:pPr>
      <w:r>
        <w:rPr>
          <w:rFonts w:hint="eastAsia"/>
          <w:color w:val="000000" w:themeColor="text1"/>
        </w:rPr>
        <w:t>提供针对警情、火灾主题、灭火救援等数据统计分析展示、消防监督情况等数据统计分析展示、重点单位的统计分析、战备实力统计分析、警情热力图研判，警情综合查询与发布、历史数据研判等功能。</w:t>
      </w:r>
    </w:p>
    <w:p>
      <w:pPr>
        <w:ind w:firstLine="480"/>
        <w:rPr>
          <w:color w:val="000000" w:themeColor="text1"/>
        </w:rPr>
      </w:pPr>
      <w:r>
        <w:rPr>
          <w:rFonts w:hint="eastAsia"/>
          <w:color w:val="000000" w:themeColor="text1"/>
        </w:rPr>
        <w:t>3、互联网应急指挥</w:t>
      </w:r>
    </w:p>
    <w:p>
      <w:pPr>
        <w:ind w:firstLine="480"/>
        <w:rPr>
          <w:color w:val="000000" w:themeColor="text1"/>
        </w:rPr>
      </w:pPr>
      <w:r>
        <w:rPr>
          <w:rFonts w:hint="eastAsia"/>
          <w:color w:val="000000" w:themeColor="text1"/>
        </w:rPr>
        <w:t>基础地图数据，叠加矢量图、影像图、天地图、室内三维图等基础图层服务；进行切换管理和展示。</w:t>
      </w:r>
    </w:p>
    <w:p>
      <w:pPr>
        <w:ind w:firstLine="480"/>
        <w:rPr>
          <w:color w:val="000000" w:themeColor="text1"/>
        </w:rPr>
      </w:pPr>
      <w:r>
        <w:rPr>
          <w:rFonts w:hint="eastAsia"/>
          <w:color w:val="000000" w:themeColor="text1"/>
        </w:rPr>
        <w:t>4、移动作战对接</w:t>
      </w:r>
    </w:p>
    <w:p>
      <w:pPr>
        <w:ind w:firstLine="480"/>
        <w:rPr>
          <w:color w:val="000000" w:themeColor="text1"/>
        </w:rPr>
      </w:pPr>
      <w:r>
        <w:rPr>
          <w:rFonts w:hint="eastAsia"/>
          <w:color w:val="000000" w:themeColor="text1"/>
        </w:rPr>
        <w:t>与省消防救援总队移动指挥平台无缝对接或者兼容，现场指挥员可通过作战终端实时了解最新灾情信息，并基于作战终端完成与现场作战人员、指挥中心人员、上级领导的实时沟通，实现信息上下互通，指令上传下达。具体功能包括：火场实况、移动终端和车辆绑定、绑定车辆移动终端车辆状态更新、自动参战、手动参战、二次定位、警情地导航、集结区设定和导航、警情展示、警情信息、对象信息、力量调度、联动信息等以及上级平台具有的其他功能，并配</w:t>
      </w:r>
      <w:r>
        <w:rPr>
          <w:color w:val="000000" w:themeColor="text1"/>
        </w:rPr>
        <w:t>9套移动指挥终端。</w:t>
      </w:r>
    </w:p>
    <w:p>
      <w:pPr>
        <w:ind w:firstLine="480"/>
        <w:rPr>
          <w:color w:val="000000" w:themeColor="text1"/>
        </w:rPr>
      </w:pPr>
      <w:r>
        <w:rPr>
          <w:rFonts w:hint="eastAsia"/>
          <w:color w:val="000000" w:themeColor="text1"/>
        </w:rPr>
        <w:t>5、数据对接</w:t>
      </w:r>
    </w:p>
    <w:p>
      <w:pPr>
        <w:ind w:firstLine="480"/>
        <w:rPr>
          <w:color w:val="000000" w:themeColor="text1"/>
        </w:rPr>
      </w:pPr>
      <w:r>
        <w:rPr>
          <w:rFonts w:hint="eastAsia"/>
          <w:color w:val="000000" w:themeColor="text1"/>
        </w:rPr>
        <w:t>纵向与部消防救援局、省消防救援总队现有各类消防数据、政务数据、社会资源数据、地图数据、消防智能管控平台和三维数字化预案平台等实现对接调用，横向实现金华市本级政法委四个平台、城市水源数据系统对接、原安监局危化品监管系统对接、运管局危化品车辆运输数据对接、气象信息系统对接、住建局房屋建筑图纸数据对接、市政管网资源，大数据局等相关应急联动单位等数据接入，以及消防支队现有</w:t>
      </w:r>
      <w:r>
        <w:rPr>
          <w:color w:val="000000" w:themeColor="text1"/>
        </w:rPr>
        <w:t>119接处警系统升级改造和数据对接。</w:t>
      </w:r>
    </w:p>
    <w:p>
      <w:pPr>
        <w:ind w:firstLine="480"/>
        <w:rPr>
          <w:color w:val="000000" w:themeColor="text1"/>
        </w:rPr>
      </w:pPr>
      <w:r>
        <w:rPr>
          <w:rFonts w:hint="eastAsia"/>
          <w:color w:val="000000" w:themeColor="text1"/>
        </w:rPr>
        <w:t>6、一张图</w:t>
      </w:r>
    </w:p>
    <w:p>
      <w:pPr>
        <w:ind w:firstLine="480"/>
        <w:rPr>
          <w:color w:val="000000" w:themeColor="text1"/>
        </w:rPr>
      </w:pPr>
      <w:r>
        <w:rPr>
          <w:rFonts w:hint="eastAsia"/>
          <w:color w:val="000000" w:themeColor="text1"/>
        </w:rPr>
        <w:t>支持地图基础功能、一张图基础数据及更新（每年不少于</w:t>
      </w:r>
      <w:r>
        <w:rPr>
          <w:color w:val="000000" w:themeColor="text1"/>
        </w:rPr>
        <w:t>2次）、矢量图、影像图加载和切换、支持1:500比例尺地图、消防图层管理、辖区切换、智能关联引擎、智能搜索引擎、警情和视频智能关联模型、警情二次定位服务、对象位置标注和更新。通过名称、拼音首字母进行图层过滤。属地资源查询服务。移动目标实时跟踪展示及轨迹回放。警情参数设置。省内资源查询服务。POI数据接入，图上标绘等功能。</w:t>
      </w:r>
    </w:p>
    <w:p>
      <w:pPr>
        <w:ind w:firstLine="480"/>
        <w:rPr>
          <w:color w:val="000000" w:themeColor="text1"/>
        </w:rPr>
      </w:pPr>
      <w:r>
        <w:rPr>
          <w:rFonts w:hint="eastAsia"/>
          <w:color w:val="000000" w:themeColor="text1"/>
        </w:rPr>
        <w:t>7、战备值守</w:t>
      </w:r>
    </w:p>
    <w:p>
      <w:pPr>
        <w:ind w:firstLine="480"/>
        <w:rPr>
          <w:color w:val="000000" w:themeColor="text1"/>
        </w:rPr>
      </w:pPr>
      <w:r>
        <w:rPr>
          <w:rFonts w:hint="eastAsia"/>
          <w:color w:val="000000" w:themeColor="text1"/>
        </w:rPr>
        <w:t>预警信息：接入重大灾害预警信息中心、气象局、地震局数据，防汛等预警信息及安保信息等，实时显示消防智能管控平台各类设备运行情况以及确认的报警信息。消防监督执法数据应用。</w:t>
      </w:r>
    </w:p>
    <w:p>
      <w:pPr>
        <w:ind w:firstLine="480"/>
        <w:rPr>
          <w:color w:val="000000" w:themeColor="text1"/>
        </w:rPr>
      </w:pPr>
      <w:r>
        <w:rPr>
          <w:rFonts w:hint="eastAsia"/>
          <w:color w:val="000000" w:themeColor="text1"/>
        </w:rPr>
        <w:t>警情地图：综合展示全年、当月、昨日、当日等不同时段的属地警情统计数据，下属各地警情分布情况和数量变化趋势。</w:t>
      </w:r>
    </w:p>
    <w:p>
      <w:pPr>
        <w:ind w:firstLine="480"/>
        <w:rPr>
          <w:color w:val="000000" w:themeColor="text1"/>
        </w:rPr>
      </w:pPr>
      <w:r>
        <w:rPr>
          <w:rFonts w:hint="eastAsia"/>
          <w:color w:val="000000" w:themeColor="text1"/>
        </w:rPr>
        <w:t>今日警情：展示今日警情概览、分类、列表、详情等信息，对即时警情和重点警情可突出展示和设定灾情判断规则等。</w:t>
      </w:r>
    </w:p>
    <w:p>
      <w:pPr>
        <w:ind w:firstLine="480"/>
        <w:rPr>
          <w:color w:val="000000" w:themeColor="text1"/>
        </w:rPr>
      </w:pPr>
      <w:r>
        <w:rPr>
          <w:rFonts w:hint="eastAsia"/>
          <w:color w:val="000000" w:themeColor="text1"/>
        </w:rPr>
        <w:t>值班动态：展示重点关注、要事提醒、值班快报。</w:t>
      </w:r>
    </w:p>
    <w:p>
      <w:pPr>
        <w:ind w:firstLine="480"/>
        <w:rPr>
          <w:color w:val="000000" w:themeColor="text1"/>
        </w:rPr>
      </w:pPr>
      <w:r>
        <w:rPr>
          <w:rFonts w:hint="eastAsia"/>
          <w:color w:val="000000" w:themeColor="text1"/>
        </w:rPr>
        <w:t>值班信息：展示支大队值班信息、执勤力量等。</w:t>
      </w:r>
    </w:p>
    <w:p>
      <w:pPr>
        <w:ind w:firstLine="480"/>
        <w:rPr>
          <w:color w:val="000000" w:themeColor="text1"/>
        </w:rPr>
      </w:pPr>
      <w:r>
        <w:rPr>
          <w:rFonts w:hint="eastAsia"/>
          <w:color w:val="000000" w:themeColor="text1"/>
        </w:rPr>
        <w:t>信息录入：战备值守信息录入页面提供了会议通知、待办事项、领导批示、工作动态、值班文件等工作事项的录入、编辑、删除和查询等管理功能。</w:t>
      </w:r>
    </w:p>
    <w:p>
      <w:pPr>
        <w:ind w:firstLine="480"/>
        <w:rPr>
          <w:color w:val="000000" w:themeColor="text1"/>
        </w:rPr>
      </w:pPr>
      <w:r>
        <w:rPr>
          <w:rFonts w:hint="eastAsia"/>
          <w:color w:val="000000" w:themeColor="text1"/>
        </w:rPr>
        <w:t>涉消舆情：自动收集涉消舆情。</w:t>
      </w:r>
    </w:p>
    <w:p>
      <w:pPr>
        <w:ind w:firstLine="480"/>
        <w:rPr>
          <w:color w:val="000000" w:themeColor="text1"/>
        </w:rPr>
      </w:pPr>
      <w:r>
        <w:rPr>
          <w:rFonts w:hint="eastAsia"/>
          <w:color w:val="000000" w:themeColor="text1"/>
        </w:rPr>
        <w:t>8、应急指挥</w:t>
      </w:r>
    </w:p>
    <w:p>
      <w:pPr>
        <w:ind w:firstLine="480"/>
        <w:rPr>
          <w:color w:val="000000" w:themeColor="text1"/>
        </w:rPr>
      </w:pPr>
      <w:r>
        <w:rPr>
          <w:rFonts w:hint="eastAsia"/>
          <w:color w:val="000000" w:themeColor="text1"/>
        </w:rPr>
        <w:t>地图标绘与图上指挥、任务部署、危化品查询、警情二次智能定位、警情基础信息、警情对象信息、力量信息增强展示、警情通报、救援力量信息、社会联动信息、资源查询和展示、指令下达与上报、视频监控调度、警情档案和回溯、专职队调度、隐患信息推送、人员基本信息维护、警情信息支撑等功能。</w:t>
      </w:r>
    </w:p>
    <w:p>
      <w:pPr>
        <w:ind w:firstLine="480"/>
        <w:rPr>
          <w:color w:val="000000" w:themeColor="text1"/>
        </w:rPr>
      </w:pPr>
      <w:r>
        <w:rPr>
          <w:rFonts w:hint="eastAsia"/>
          <w:color w:val="000000" w:themeColor="text1"/>
        </w:rPr>
        <w:t>9、重大安保</w:t>
      </w:r>
    </w:p>
    <w:p>
      <w:pPr>
        <w:ind w:firstLine="480"/>
        <w:rPr>
          <w:color w:val="000000" w:themeColor="text1"/>
        </w:rPr>
      </w:pPr>
      <w:r>
        <w:rPr>
          <w:rFonts w:hint="eastAsia"/>
          <w:color w:val="000000" w:themeColor="text1"/>
        </w:rPr>
        <w:t>安保力量部署和地图展示、信息维护、安保预案制作、安保对象三维展示、安保实战演练查阅、安保力量可视化展示、安保要事查阅、社会联动查阅、重点提示查阅、安保方案监控等功能</w:t>
      </w:r>
    </w:p>
    <w:p>
      <w:pPr>
        <w:ind w:firstLine="480"/>
        <w:rPr>
          <w:color w:val="000000" w:themeColor="text1"/>
        </w:rPr>
      </w:pPr>
      <w:r>
        <w:rPr>
          <w:rFonts w:hint="eastAsia"/>
          <w:color w:val="000000" w:themeColor="text1"/>
        </w:rPr>
        <w:t>10、视频监控对接</w:t>
      </w:r>
    </w:p>
    <w:p>
      <w:pPr>
        <w:ind w:firstLine="480"/>
        <w:rPr>
          <w:color w:val="000000" w:themeColor="text1"/>
        </w:rPr>
      </w:pPr>
      <w:r>
        <w:rPr>
          <w:rFonts w:hint="eastAsia"/>
          <w:color w:val="000000" w:themeColor="text1"/>
        </w:rPr>
        <w:t>根据警情位置通过雪亮工程视频综合管理平台自动关联调阅相关地面视频资源和就近高空</w:t>
      </w:r>
      <w:r>
        <w:rPr>
          <w:rFonts w:hint="eastAsia" w:ascii="微软雅黑" w:hAnsi="微软雅黑" w:eastAsia="微软雅黑" w:cs="微软雅黑"/>
          <w:color w:val="000000" w:themeColor="text1"/>
        </w:rPr>
        <w:t>瞭</w:t>
      </w:r>
      <w:r>
        <w:rPr>
          <w:rFonts w:hint="eastAsia" w:ascii="仿宋_GB2312" w:hAnsi="仿宋_GB2312" w:cs="仿宋_GB2312"/>
          <w:color w:val="000000" w:themeColor="text1"/>
        </w:rPr>
        <w:t>望视频，开放的权限实现视角、焦距的操作。自动调阅营区监控</w:t>
      </w:r>
      <w:r>
        <w:rPr>
          <w:rFonts w:hint="eastAsia"/>
          <w:color w:val="000000" w:themeColor="text1"/>
        </w:rPr>
        <w:t>。</w:t>
      </w:r>
    </w:p>
    <w:p>
      <w:pPr>
        <w:ind w:firstLine="480"/>
        <w:rPr>
          <w:color w:val="000000" w:themeColor="text1"/>
        </w:rPr>
      </w:pPr>
      <w:r>
        <w:rPr>
          <w:color w:val="000000" w:themeColor="text1"/>
        </w:rPr>
        <w:t>硬件支撑</w:t>
      </w:r>
      <w:r>
        <w:rPr>
          <w:rFonts w:hint="eastAsia"/>
          <w:color w:val="000000" w:themeColor="text1"/>
        </w:rPr>
        <w:t>环</w:t>
      </w:r>
      <w:r>
        <w:rPr>
          <w:color w:val="000000" w:themeColor="text1"/>
        </w:rPr>
        <w:t>境</w:t>
      </w:r>
    </w:p>
    <w:p>
      <w:pPr>
        <w:ind w:firstLine="480"/>
        <w:rPr>
          <w:color w:val="000000" w:themeColor="text1"/>
        </w:rPr>
      </w:pPr>
      <w:r>
        <w:rPr>
          <w:color w:val="000000" w:themeColor="text1"/>
        </w:rPr>
        <w:t>应急指挥基础运行环境的搭建，结合实际业务的开展需要以及考虑现有基础运行环境，在满足省统一的技术体制下，确保环境安全、服务可靠、运行稳定。基础硬件主要包括通用服务器、大数据服务器和云存储服务器。</w:t>
      </w:r>
    </w:p>
    <w:p>
      <w:pPr>
        <w:ind w:firstLine="480"/>
        <w:rPr>
          <w:color w:val="000000" w:themeColor="text1"/>
        </w:rPr>
      </w:pPr>
      <w:r>
        <w:rPr>
          <w:color w:val="000000" w:themeColor="text1"/>
        </w:rPr>
        <w:t>通用服务器。建议每台服务器采用2颗或以上的主流CPU，内存128GB或以上，2个或以上1000Mb以太网接口，4Tb以上的机械硬盘；</w:t>
      </w:r>
    </w:p>
    <w:p>
      <w:pPr>
        <w:ind w:firstLine="480"/>
        <w:rPr>
          <w:color w:val="000000" w:themeColor="text1"/>
        </w:rPr>
      </w:pPr>
      <w:r>
        <w:rPr>
          <w:color w:val="000000" w:themeColor="text1"/>
        </w:rPr>
        <w:t>大数据服务器。建议每台服务器采用2颗或以上的主流CPU，内存128GB或以上，2个或以上以太网接口，一块1TB以上PCIE闪存阵列，480GB或以上SSD硬盘，4Tb以上的机械硬盘。</w:t>
      </w:r>
    </w:p>
    <w:p>
      <w:pPr>
        <w:ind w:firstLine="480"/>
        <w:rPr>
          <w:color w:val="000000" w:themeColor="text1"/>
        </w:rPr>
      </w:pPr>
      <w:r>
        <w:rPr>
          <w:color w:val="000000" w:themeColor="text1"/>
        </w:rPr>
        <w:t>云存储服务器。建议容量不少于64TB，支持硬盘漫游和热插拔；配置BBU电池保护，设备异常断电情况下保护缓存数据不丢失；控制节点支持三台以上集群部署，任何控制节点损坏业务不受影响；对某一个文件，同时支持NFS、S3、HDFS、FTP访问服务。</w:t>
      </w:r>
    </w:p>
    <w:p>
      <w:pPr>
        <w:ind w:firstLine="480"/>
        <w:rPr>
          <w:color w:val="000000" w:themeColor="text1"/>
        </w:rPr>
      </w:pPr>
      <w:r>
        <w:rPr>
          <w:color w:val="000000" w:themeColor="text1"/>
        </w:rPr>
        <w:t>三维数据采集</w:t>
      </w:r>
    </w:p>
    <w:p>
      <w:pPr>
        <w:ind w:firstLine="480"/>
        <w:rPr>
          <w:color w:val="000000" w:themeColor="text1"/>
        </w:rPr>
      </w:pPr>
      <w:bookmarkStart w:id="371" w:name="_Toc519968574"/>
      <w:r>
        <w:rPr>
          <w:color w:val="000000" w:themeColor="text1"/>
        </w:rPr>
        <w:t>1、数据正射影像图</w:t>
      </w:r>
      <w:bookmarkEnd w:id="371"/>
    </w:p>
    <w:p>
      <w:pPr>
        <w:ind w:firstLine="480"/>
        <w:rPr>
          <w:color w:val="000000" w:themeColor="text1"/>
        </w:rPr>
      </w:pPr>
      <w:r>
        <w:rPr>
          <w:color w:val="000000" w:themeColor="text1"/>
        </w:rPr>
        <w:t>无人机航摄影像覆盖范围广、所含信息丰富、表达直观、数据的现势性好，利用人机航摄影像可以有效地辅助矢量数据表现火灾现场现状信息。影像的地面分辨率要达到3~5厘米。</w:t>
      </w:r>
    </w:p>
    <w:p>
      <w:pPr>
        <w:ind w:firstLine="480"/>
        <w:rPr>
          <w:color w:val="000000" w:themeColor="text1"/>
        </w:rPr>
      </w:pPr>
      <w:bookmarkStart w:id="372" w:name="_Toc519968575"/>
      <w:r>
        <w:rPr>
          <w:color w:val="000000" w:themeColor="text1"/>
        </w:rPr>
        <w:t>2、倾斜摄影数据采集</w:t>
      </w:r>
      <w:bookmarkEnd w:id="372"/>
    </w:p>
    <w:p>
      <w:pPr>
        <w:ind w:firstLine="480"/>
        <w:rPr>
          <w:color w:val="000000" w:themeColor="text1"/>
        </w:rPr>
      </w:pPr>
      <w:r>
        <w:rPr>
          <w:color w:val="000000" w:themeColor="text1"/>
        </w:rPr>
        <w:t>利用无人机对辖区内的重点单位进行倾斜摄影实现实景建模，通过手机、平板或计算机即可身临其境地对辖区安全重点单位进行熟悉，可以结合报警信息，提前用手机、平板等移动终端对发生灾害的重点单位实景三维模型察看熟悉，进行初步分析判断和评估。</w:t>
      </w:r>
    </w:p>
    <w:p>
      <w:pPr>
        <w:ind w:firstLine="480"/>
        <w:rPr>
          <w:color w:val="000000" w:themeColor="text1"/>
        </w:rPr>
      </w:pPr>
      <w:bookmarkStart w:id="373" w:name="_Toc519968578"/>
      <w:r>
        <w:rPr>
          <w:color w:val="000000" w:themeColor="text1"/>
        </w:rPr>
        <w:t>3、建筑三维数据</w:t>
      </w:r>
      <w:bookmarkEnd w:id="373"/>
    </w:p>
    <w:p>
      <w:pPr>
        <w:ind w:firstLine="480"/>
        <w:rPr>
          <w:color w:val="000000" w:themeColor="text1"/>
        </w:rPr>
      </w:pPr>
      <w:r>
        <w:rPr>
          <w:color w:val="000000" w:themeColor="text1"/>
        </w:rPr>
        <w:t>在室内的实时位置信息，对救援具有极其重要的意义，现有应用平台缺少室内定位及室内地图的支持，使得现场指挥员主要依靠经验和直觉来指挥部队、实施抢险救援活动，这势必导致指挥具有很大的盲目性，缺少科技依据，从而大大降低了救援的成功率和效率。基于三维建模技术，实现重点单位建筑内部三维地图场景漫游效果，能够为指挥提供更直观的视觉体验，大大提升灭火指挥的效率和精准度。</w:t>
      </w:r>
      <w:r>
        <w:rPr>
          <w:rFonts w:hint="eastAsia"/>
          <w:color w:val="000000" w:themeColor="text1"/>
        </w:rPr>
        <w:t>数据来源需求</w:t>
      </w:r>
    </w:p>
    <w:tbl>
      <w:tblPr>
        <w:tblStyle w:val="53"/>
        <w:tblW w:w="928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16"/>
        <w:gridCol w:w="1616"/>
        <w:gridCol w:w="4680"/>
        <w:gridCol w:w="1359"/>
        <w:gridCol w:w="10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616" w:type="dxa"/>
            <w:noWrap/>
            <w:vAlign w:val="center"/>
          </w:tcPr>
          <w:p>
            <w:pPr>
              <w:spacing w:line="300" w:lineRule="exact"/>
              <w:rPr>
                <w:rFonts w:ascii="仿宋_GB2312"/>
                <w:b/>
                <w:color w:val="000000" w:themeColor="text1"/>
              </w:rPr>
            </w:pPr>
          </w:p>
        </w:tc>
        <w:tc>
          <w:tcPr>
            <w:tcW w:w="1616" w:type="dxa"/>
            <w:noWrap/>
            <w:vAlign w:val="center"/>
          </w:tcPr>
          <w:p>
            <w:pPr>
              <w:spacing w:line="300" w:lineRule="exact"/>
              <w:jc w:val="center"/>
              <w:rPr>
                <w:rFonts w:ascii="仿宋_GB2312"/>
                <w:b/>
                <w:color w:val="000000" w:themeColor="text1"/>
              </w:rPr>
            </w:pPr>
            <w:r>
              <w:rPr>
                <w:rFonts w:hint="eastAsia" w:ascii="仿宋_GB2312"/>
                <w:b/>
                <w:color w:val="000000" w:themeColor="text1"/>
              </w:rPr>
              <w:t>信息名称</w:t>
            </w:r>
          </w:p>
        </w:tc>
        <w:tc>
          <w:tcPr>
            <w:tcW w:w="4680" w:type="dxa"/>
            <w:vAlign w:val="center"/>
          </w:tcPr>
          <w:p>
            <w:pPr>
              <w:spacing w:line="300" w:lineRule="exact"/>
              <w:jc w:val="center"/>
              <w:rPr>
                <w:rFonts w:ascii="仿宋_GB2312"/>
                <w:b/>
                <w:color w:val="000000" w:themeColor="text1"/>
              </w:rPr>
            </w:pPr>
            <w:r>
              <w:rPr>
                <w:rFonts w:hint="eastAsia" w:ascii="仿宋_GB2312"/>
                <w:b/>
                <w:color w:val="000000" w:themeColor="text1"/>
              </w:rPr>
              <w:t>信息内容</w:t>
            </w:r>
          </w:p>
        </w:tc>
        <w:tc>
          <w:tcPr>
            <w:tcW w:w="1359" w:type="dxa"/>
            <w:noWrap/>
            <w:vAlign w:val="center"/>
          </w:tcPr>
          <w:p>
            <w:pPr>
              <w:spacing w:line="300" w:lineRule="exact"/>
              <w:rPr>
                <w:rFonts w:ascii="仿宋_GB2312"/>
                <w:b/>
                <w:color w:val="000000" w:themeColor="text1"/>
              </w:rPr>
            </w:pPr>
            <w:r>
              <w:rPr>
                <w:rFonts w:hint="eastAsia" w:ascii="仿宋_GB2312"/>
                <w:b/>
                <w:color w:val="000000" w:themeColor="text1"/>
              </w:rPr>
              <w:t>来源部门</w:t>
            </w:r>
          </w:p>
        </w:tc>
        <w:tc>
          <w:tcPr>
            <w:tcW w:w="1016" w:type="dxa"/>
            <w:noWrap/>
            <w:vAlign w:val="center"/>
          </w:tcPr>
          <w:p>
            <w:pPr>
              <w:spacing w:line="300" w:lineRule="exact"/>
              <w:rPr>
                <w:rFonts w:ascii="仿宋_GB2312"/>
                <w:b/>
                <w:color w:val="000000" w:themeColor="text1"/>
              </w:rPr>
            </w:pPr>
            <w:r>
              <w:rPr>
                <w:rFonts w:hint="eastAsia" w:ascii="仿宋_GB2312"/>
                <w:b/>
                <w:color w:val="000000" w:themeColor="text1"/>
              </w:rPr>
              <w:t>获取方式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40" w:hRule="atLeast"/>
          <w:jc w:val="center"/>
        </w:trPr>
        <w:tc>
          <w:tcPr>
            <w:tcW w:w="616" w:type="dxa"/>
            <w:noWrap/>
            <w:vAlign w:val="center"/>
          </w:tcPr>
          <w:p>
            <w:pPr>
              <w:spacing w:line="300" w:lineRule="exact"/>
              <w:jc w:val="center"/>
              <w:rPr>
                <w:rFonts w:ascii="仿宋_GB2312"/>
                <w:color w:val="000000" w:themeColor="text1"/>
              </w:rPr>
            </w:pPr>
            <w:r>
              <w:rPr>
                <w:rFonts w:hint="eastAsia" w:ascii="仿宋_GB2312"/>
                <w:color w:val="000000" w:themeColor="text1"/>
              </w:rPr>
              <w:t>1</w:t>
            </w:r>
          </w:p>
        </w:tc>
        <w:tc>
          <w:tcPr>
            <w:tcW w:w="1616" w:type="dxa"/>
            <w:noWrap/>
            <w:vAlign w:val="center"/>
          </w:tcPr>
          <w:p>
            <w:pPr>
              <w:spacing w:line="300" w:lineRule="exact"/>
              <w:jc w:val="center"/>
              <w:rPr>
                <w:rFonts w:ascii="仿宋_GB2312"/>
                <w:color w:val="000000" w:themeColor="text1"/>
              </w:rPr>
            </w:pPr>
            <w:r>
              <w:rPr>
                <w:rFonts w:hint="eastAsia" w:ascii="仿宋_GB2312"/>
                <w:color w:val="000000" w:themeColor="text1"/>
              </w:rPr>
              <w:t>户籍人口</w:t>
            </w:r>
          </w:p>
        </w:tc>
        <w:tc>
          <w:tcPr>
            <w:tcW w:w="4680" w:type="dxa"/>
            <w:vAlign w:val="center"/>
          </w:tcPr>
          <w:p>
            <w:pPr>
              <w:spacing w:line="300" w:lineRule="exact"/>
              <w:rPr>
                <w:rFonts w:ascii="仿宋_GB2312"/>
                <w:color w:val="000000" w:themeColor="text1"/>
              </w:rPr>
            </w:pPr>
            <w:r>
              <w:rPr>
                <w:rFonts w:hint="eastAsia" w:ascii="仿宋_GB2312"/>
                <w:color w:val="000000" w:themeColor="text1"/>
              </w:rPr>
              <w:t>公民身份号码、姓名、曾用名、性别、出生日期、民族、籍贯、婚姻状况、政治面貌、学历、宗教信仰、职业类别、职业、服务处所、联系方式、户籍地、户籍门(楼)详址、现住地、现住门(楼)详址、人户一致标识、户号、户主公民身份号码、户主姓名、与户主关系、户主联系方式、照片、注销标志、注销原因</w:t>
            </w:r>
          </w:p>
        </w:tc>
        <w:tc>
          <w:tcPr>
            <w:tcW w:w="1359" w:type="dxa"/>
            <w:vAlign w:val="center"/>
          </w:tcPr>
          <w:p>
            <w:pPr>
              <w:spacing w:line="300" w:lineRule="exact"/>
              <w:rPr>
                <w:rFonts w:ascii="仿宋_GB2312"/>
                <w:color w:val="000000" w:themeColor="text1"/>
              </w:rPr>
            </w:pPr>
            <w:r>
              <w:rPr>
                <w:rFonts w:hint="eastAsia" w:ascii="仿宋_GB2312"/>
                <w:color w:val="000000" w:themeColor="text1"/>
              </w:rPr>
              <w:t>省综治办、市数管中心</w:t>
            </w:r>
          </w:p>
        </w:tc>
        <w:tc>
          <w:tcPr>
            <w:tcW w:w="1016" w:type="dxa"/>
            <w:vMerge w:val="restart"/>
            <w:vAlign w:val="center"/>
          </w:tcPr>
          <w:p>
            <w:pPr>
              <w:spacing w:line="300" w:lineRule="exact"/>
              <w:rPr>
                <w:rFonts w:ascii="仿宋_GB2312"/>
                <w:color w:val="000000" w:themeColor="text1"/>
              </w:rPr>
            </w:pPr>
            <w:r>
              <w:rPr>
                <w:rFonts w:hint="eastAsia" w:ascii="仿宋_GB2312"/>
                <w:color w:val="000000" w:themeColor="text1"/>
              </w:rPr>
              <w:t>需求单位向来源部门发起数据需求申请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60" w:hRule="atLeast"/>
          <w:jc w:val="center"/>
        </w:trPr>
        <w:tc>
          <w:tcPr>
            <w:tcW w:w="616" w:type="dxa"/>
            <w:noWrap/>
            <w:vAlign w:val="center"/>
          </w:tcPr>
          <w:p>
            <w:pPr>
              <w:spacing w:line="300" w:lineRule="exact"/>
              <w:jc w:val="center"/>
              <w:rPr>
                <w:rFonts w:ascii="仿宋_GB2312"/>
                <w:color w:val="000000" w:themeColor="text1"/>
              </w:rPr>
            </w:pPr>
            <w:r>
              <w:rPr>
                <w:rFonts w:hint="eastAsia" w:ascii="仿宋_GB2312"/>
                <w:color w:val="000000" w:themeColor="text1"/>
              </w:rPr>
              <w:t>2</w:t>
            </w:r>
          </w:p>
        </w:tc>
        <w:tc>
          <w:tcPr>
            <w:tcW w:w="1616" w:type="dxa"/>
            <w:noWrap/>
            <w:vAlign w:val="center"/>
          </w:tcPr>
          <w:p>
            <w:pPr>
              <w:spacing w:line="300" w:lineRule="exact"/>
              <w:jc w:val="center"/>
              <w:rPr>
                <w:rFonts w:ascii="仿宋_GB2312"/>
                <w:color w:val="000000" w:themeColor="text1"/>
              </w:rPr>
            </w:pPr>
            <w:r>
              <w:rPr>
                <w:rFonts w:hint="eastAsia" w:ascii="仿宋_GB2312"/>
                <w:color w:val="000000" w:themeColor="text1"/>
              </w:rPr>
              <w:t>流动人口</w:t>
            </w:r>
          </w:p>
        </w:tc>
        <w:tc>
          <w:tcPr>
            <w:tcW w:w="4680" w:type="dxa"/>
            <w:vAlign w:val="center"/>
          </w:tcPr>
          <w:p>
            <w:pPr>
              <w:spacing w:line="300" w:lineRule="exact"/>
              <w:rPr>
                <w:rFonts w:ascii="仿宋_GB2312"/>
                <w:color w:val="000000" w:themeColor="text1"/>
              </w:rPr>
            </w:pPr>
            <w:r>
              <w:rPr>
                <w:rFonts w:hint="eastAsia" w:ascii="仿宋_GB2312"/>
                <w:color w:val="000000" w:themeColor="text1"/>
              </w:rPr>
              <w:t>公民身份号码、姓名、曾用名、性别、出生日期、民族、籍贯、婚姻状况、政治面貌、学历、宗教信仰、职业类别、职业、服务处所、联系方式、户籍地、户籍门(楼)详址、现住地、现住门(楼)详址、办证类型、证件号码、职称技术等级、登记及发证情况、登记日期、流入原因、预计到期日期，出租房编号、出租人公民身份号码、出租人姓名、出租人联系方式、工作单位、单位负责人名称、单位联系方式、劳动合同签订情况、参保情况，夫妻是否同行、配偶姓名、男孩数、女孩数、婚姻证明编号、怀避孕一情况，是否重点关注人员、经济来源、已居住时限、预居住时限、是否婚育证明</w:t>
            </w:r>
          </w:p>
        </w:tc>
        <w:tc>
          <w:tcPr>
            <w:tcW w:w="1359" w:type="dxa"/>
            <w:vAlign w:val="center"/>
          </w:tcPr>
          <w:p>
            <w:pPr>
              <w:spacing w:line="300" w:lineRule="exact"/>
              <w:rPr>
                <w:rFonts w:ascii="仿宋_GB2312"/>
                <w:color w:val="000000" w:themeColor="text1"/>
              </w:rPr>
            </w:pPr>
            <w:r>
              <w:rPr>
                <w:rFonts w:hint="eastAsia" w:ascii="仿宋_GB2312"/>
                <w:color w:val="000000" w:themeColor="text1"/>
              </w:rPr>
              <w:t>省综治办、市数管中心</w:t>
            </w:r>
          </w:p>
        </w:tc>
        <w:tc>
          <w:tcPr>
            <w:tcW w:w="1016" w:type="dxa"/>
            <w:vMerge w:val="continue"/>
            <w:vAlign w:val="center"/>
          </w:tcPr>
          <w:p>
            <w:pPr>
              <w:spacing w:line="300" w:lineRule="exact"/>
              <w:rPr>
                <w:rFonts w:ascii="仿宋_GB2312"/>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jc w:val="center"/>
        </w:trPr>
        <w:tc>
          <w:tcPr>
            <w:tcW w:w="616" w:type="dxa"/>
            <w:noWrap/>
            <w:vAlign w:val="center"/>
          </w:tcPr>
          <w:p>
            <w:pPr>
              <w:spacing w:line="300" w:lineRule="exact"/>
              <w:jc w:val="center"/>
              <w:rPr>
                <w:rFonts w:ascii="仿宋_GB2312"/>
                <w:color w:val="000000" w:themeColor="text1"/>
              </w:rPr>
            </w:pPr>
            <w:r>
              <w:rPr>
                <w:rFonts w:hint="eastAsia" w:ascii="仿宋_GB2312"/>
                <w:color w:val="000000" w:themeColor="text1"/>
              </w:rPr>
              <w:t>3</w:t>
            </w:r>
          </w:p>
        </w:tc>
        <w:tc>
          <w:tcPr>
            <w:tcW w:w="1616" w:type="dxa"/>
            <w:noWrap/>
            <w:vAlign w:val="center"/>
          </w:tcPr>
          <w:p>
            <w:pPr>
              <w:spacing w:line="300" w:lineRule="exact"/>
              <w:jc w:val="center"/>
              <w:rPr>
                <w:rFonts w:ascii="仿宋_GB2312"/>
                <w:color w:val="000000" w:themeColor="text1"/>
              </w:rPr>
            </w:pPr>
            <w:r>
              <w:rPr>
                <w:rFonts w:hint="eastAsia" w:ascii="仿宋_GB2312"/>
                <w:color w:val="000000" w:themeColor="text1"/>
              </w:rPr>
              <w:t>境外人员</w:t>
            </w:r>
          </w:p>
        </w:tc>
        <w:tc>
          <w:tcPr>
            <w:tcW w:w="4680" w:type="dxa"/>
            <w:vAlign w:val="center"/>
          </w:tcPr>
          <w:p>
            <w:pPr>
              <w:spacing w:line="300" w:lineRule="exact"/>
              <w:rPr>
                <w:rFonts w:ascii="仿宋_GB2312"/>
                <w:color w:val="000000" w:themeColor="text1"/>
              </w:rPr>
            </w:pPr>
            <w:r>
              <w:rPr>
                <w:rFonts w:hint="eastAsia" w:ascii="仿宋_GB2312"/>
                <w:color w:val="000000" w:themeColor="text1"/>
              </w:rPr>
              <w:t>外文姓、外文名、性别、出生日期、中文姓名、证件代码、证件号码、证件有效期、国籍(地区)、职业、有无住所，来华目的、现住地、现住门(楼)详址、抵达日期、预计离开日期、照片、联系方式、工作单位</w:t>
            </w:r>
          </w:p>
        </w:tc>
        <w:tc>
          <w:tcPr>
            <w:tcW w:w="1359" w:type="dxa"/>
            <w:vAlign w:val="center"/>
          </w:tcPr>
          <w:p>
            <w:pPr>
              <w:spacing w:line="300" w:lineRule="exact"/>
              <w:rPr>
                <w:rFonts w:ascii="仿宋_GB2312"/>
                <w:color w:val="000000" w:themeColor="text1"/>
              </w:rPr>
            </w:pPr>
            <w:r>
              <w:rPr>
                <w:rFonts w:hint="eastAsia" w:ascii="仿宋_GB2312"/>
                <w:color w:val="000000" w:themeColor="text1"/>
              </w:rPr>
              <w:t>省综治办、市数管中心</w:t>
            </w:r>
          </w:p>
        </w:tc>
        <w:tc>
          <w:tcPr>
            <w:tcW w:w="1016" w:type="dxa"/>
            <w:vMerge w:val="continue"/>
            <w:vAlign w:val="center"/>
          </w:tcPr>
          <w:p>
            <w:pPr>
              <w:spacing w:line="300" w:lineRule="exact"/>
              <w:rPr>
                <w:rFonts w:ascii="仿宋_GB2312"/>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40" w:hRule="atLeast"/>
          <w:jc w:val="center"/>
        </w:trPr>
        <w:tc>
          <w:tcPr>
            <w:tcW w:w="616" w:type="dxa"/>
            <w:noWrap/>
            <w:vAlign w:val="center"/>
          </w:tcPr>
          <w:p>
            <w:pPr>
              <w:spacing w:line="300" w:lineRule="exact"/>
              <w:jc w:val="center"/>
              <w:rPr>
                <w:rFonts w:ascii="仿宋_GB2312"/>
                <w:color w:val="000000" w:themeColor="text1"/>
              </w:rPr>
            </w:pPr>
            <w:r>
              <w:rPr>
                <w:rFonts w:hint="eastAsia" w:ascii="仿宋_GB2312"/>
                <w:color w:val="000000" w:themeColor="text1"/>
              </w:rPr>
              <w:t>4</w:t>
            </w:r>
          </w:p>
        </w:tc>
        <w:tc>
          <w:tcPr>
            <w:tcW w:w="1616" w:type="dxa"/>
            <w:noWrap/>
            <w:vAlign w:val="center"/>
          </w:tcPr>
          <w:p>
            <w:pPr>
              <w:spacing w:line="300" w:lineRule="exact"/>
              <w:jc w:val="center"/>
              <w:rPr>
                <w:rFonts w:ascii="仿宋_GB2312"/>
                <w:color w:val="000000" w:themeColor="text1"/>
              </w:rPr>
            </w:pPr>
            <w:r>
              <w:rPr>
                <w:rFonts w:hint="eastAsia" w:ascii="仿宋_GB2312"/>
                <w:color w:val="000000" w:themeColor="text1"/>
              </w:rPr>
              <w:t>**人员</w:t>
            </w:r>
          </w:p>
        </w:tc>
        <w:tc>
          <w:tcPr>
            <w:tcW w:w="4680" w:type="dxa"/>
            <w:vAlign w:val="center"/>
          </w:tcPr>
          <w:p>
            <w:pPr>
              <w:spacing w:line="300" w:lineRule="exact"/>
              <w:rPr>
                <w:rFonts w:ascii="仿宋_GB2312"/>
                <w:color w:val="000000" w:themeColor="text1"/>
              </w:rPr>
            </w:pPr>
            <w:r>
              <w:rPr>
                <w:rFonts w:hint="eastAsia" w:ascii="仿宋_GB2312"/>
                <w:color w:val="000000" w:themeColor="text1"/>
              </w:rPr>
              <w:t>公民身份号码、姓名、曾用名、性别、出生日期、民族、户籍地、户籍门(楼)详址、初次发现日期、毒品来源、管控情况、管控人姓名、管控人联系方式、帮扶情况、帮扶人姓名、帮扶人联系方式、有无犯罪史、犯罪情况、**原因、**后果、毒品来源、戒毒情况、**状态、滥用毒品种类、查获日期、是否服美沙酮戒毒</w:t>
            </w:r>
          </w:p>
        </w:tc>
        <w:tc>
          <w:tcPr>
            <w:tcW w:w="1359" w:type="dxa"/>
            <w:vAlign w:val="center"/>
          </w:tcPr>
          <w:p>
            <w:pPr>
              <w:spacing w:line="300" w:lineRule="exact"/>
              <w:rPr>
                <w:rFonts w:ascii="仿宋_GB2312"/>
                <w:color w:val="000000" w:themeColor="text1"/>
              </w:rPr>
            </w:pPr>
            <w:r>
              <w:rPr>
                <w:rFonts w:hint="eastAsia" w:ascii="仿宋_GB2312"/>
                <w:color w:val="000000" w:themeColor="text1"/>
              </w:rPr>
              <w:t>省综治办、市数管中心</w:t>
            </w:r>
          </w:p>
        </w:tc>
        <w:tc>
          <w:tcPr>
            <w:tcW w:w="1016" w:type="dxa"/>
            <w:vMerge w:val="continue"/>
            <w:vAlign w:val="center"/>
          </w:tcPr>
          <w:p>
            <w:pPr>
              <w:spacing w:line="300" w:lineRule="exact"/>
              <w:rPr>
                <w:rFonts w:ascii="仿宋_GB2312"/>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616" w:type="dxa"/>
            <w:noWrap/>
            <w:vAlign w:val="center"/>
          </w:tcPr>
          <w:p>
            <w:pPr>
              <w:spacing w:line="300" w:lineRule="exact"/>
              <w:jc w:val="center"/>
              <w:rPr>
                <w:rFonts w:ascii="仿宋_GB2312"/>
                <w:color w:val="000000" w:themeColor="text1"/>
              </w:rPr>
            </w:pPr>
            <w:r>
              <w:rPr>
                <w:rFonts w:hint="eastAsia" w:ascii="仿宋_GB2312"/>
                <w:color w:val="000000" w:themeColor="text1"/>
              </w:rPr>
              <w:t>5</w:t>
            </w:r>
          </w:p>
        </w:tc>
        <w:tc>
          <w:tcPr>
            <w:tcW w:w="1616" w:type="dxa"/>
            <w:noWrap/>
            <w:vAlign w:val="center"/>
          </w:tcPr>
          <w:p>
            <w:pPr>
              <w:spacing w:line="300" w:lineRule="exact"/>
              <w:jc w:val="center"/>
              <w:rPr>
                <w:rFonts w:ascii="仿宋_GB2312"/>
                <w:color w:val="000000" w:themeColor="text1"/>
              </w:rPr>
            </w:pPr>
            <w:r>
              <w:rPr>
                <w:rFonts w:hint="eastAsia" w:ascii="仿宋_GB2312"/>
                <w:color w:val="000000" w:themeColor="text1"/>
              </w:rPr>
              <w:t>重点青少年</w:t>
            </w:r>
          </w:p>
        </w:tc>
        <w:tc>
          <w:tcPr>
            <w:tcW w:w="4680" w:type="dxa"/>
            <w:vAlign w:val="center"/>
          </w:tcPr>
          <w:p>
            <w:pPr>
              <w:spacing w:line="300" w:lineRule="exact"/>
              <w:rPr>
                <w:rFonts w:ascii="仿宋_GB2312"/>
                <w:color w:val="000000" w:themeColor="text1"/>
              </w:rPr>
            </w:pPr>
            <w:r>
              <w:rPr>
                <w:rFonts w:hint="eastAsia" w:ascii="仿宋_GB2312"/>
                <w:color w:val="000000" w:themeColor="text1"/>
              </w:rPr>
              <w:t>公民身份号码、姓名、出生日期，性别、民族、户籍地、户籍门(楼)详址、学历、联系方式、现住地、现住门(楼)详址、人员类型、监护人姓名、监护人联系方式</w:t>
            </w:r>
          </w:p>
        </w:tc>
        <w:tc>
          <w:tcPr>
            <w:tcW w:w="1359" w:type="dxa"/>
            <w:vAlign w:val="center"/>
          </w:tcPr>
          <w:p>
            <w:pPr>
              <w:spacing w:line="300" w:lineRule="exact"/>
              <w:rPr>
                <w:rFonts w:ascii="仿宋_GB2312"/>
                <w:color w:val="000000" w:themeColor="text1"/>
              </w:rPr>
            </w:pPr>
            <w:r>
              <w:rPr>
                <w:rFonts w:hint="eastAsia" w:ascii="仿宋_GB2312"/>
                <w:color w:val="000000" w:themeColor="text1"/>
              </w:rPr>
              <w:t>省综治办</w:t>
            </w:r>
          </w:p>
        </w:tc>
        <w:tc>
          <w:tcPr>
            <w:tcW w:w="1016" w:type="dxa"/>
            <w:vMerge w:val="continue"/>
            <w:vAlign w:val="center"/>
          </w:tcPr>
          <w:p>
            <w:pPr>
              <w:spacing w:line="300" w:lineRule="exact"/>
              <w:rPr>
                <w:rFonts w:ascii="仿宋_GB2312"/>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616" w:type="dxa"/>
            <w:noWrap/>
            <w:vAlign w:val="center"/>
          </w:tcPr>
          <w:p>
            <w:pPr>
              <w:spacing w:line="300" w:lineRule="exact"/>
              <w:jc w:val="center"/>
              <w:rPr>
                <w:rFonts w:ascii="仿宋_GB2312"/>
                <w:color w:val="000000" w:themeColor="text1"/>
              </w:rPr>
            </w:pPr>
            <w:r>
              <w:rPr>
                <w:rFonts w:hint="eastAsia" w:ascii="仿宋_GB2312"/>
                <w:color w:val="000000" w:themeColor="text1"/>
              </w:rPr>
              <w:t>6</w:t>
            </w:r>
          </w:p>
        </w:tc>
        <w:tc>
          <w:tcPr>
            <w:tcW w:w="1616" w:type="dxa"/>
            <w:noWrap/>
            <w:vAlign w:val="center"/>
          </w:tcPr>
          <w:p>
            <w:pPr>
              <w:spacing w:line="300" w:lineRule="exact"/>
              <w:jc w:val="center"/>
              <w:rPr>
                <w:rFonts w:ascii="仿宋_GB2312"/>
                <w:color w:val="000000" w:themeColor="text1"/>
              </w:rPr>
            </w:pPr>
            <w:r>
              <w:rPr>
                <w:rFonts w:hint="eastAsia" w:ascii="仿宋_GB2312"/>
                <w:color w:val="000000" w:themeColor="text1"/>
              </w:rPr>
              <w:t>重点上访人员</w:t>
            </w:r>
          </w:p>
        </w:tc>
        <w:tc>
          <w:tcPr>
            <w:tcW w:w="4680" w:type="dxa"/>
            <w:vAlign w:val="center"/>
          </w:tcPr>
          <w:p>
            <w:pPr>
              <w:spacing w:line="300" w:lineRule="exact"/>
              <w:rPr>
                <w:rFonts w:ascii="仿宋_GB2312"/>
                <w:color w:val="000000" w:themeColor="text1"/>
              </w:rPr>
            </w:pPr>
            <w:r>
              <w:rPr>
                <w:rFonts w:hint="eastAsia" w:ascii="仿宋_GB2312"/>
                <w:color w:val="000000" w:themeColor="text1"/>
              </w:rPr>
              <w:t>公民身份号码、姓名、出生日期、性别、民族、户籍地、户籍门(楼)详址、学历，联系方式、现住地、现住门(楼)详址，上访状态、上访类型、上访原因</w:t>
            </w:r>
          </w:p>
        </w:tc>
        <w:tc>
          <w:tcPr>
            <w:tcW w:w="1359" w:type="dxa"/>
            <w:vAlign w:val="center"/>
          </w:tcPr>
          <w:p>
            <w:pPr>
              <w:spacing w:line="300" w:lineRule="exact"/>
              <w:rPr>
                <w:rFonts w:ascii="仿宋_GB2312"/>
                <w:color w:val="000000" w:themeColor="text1"/>
              </w:rPr>
            </w:pPr>
            <w:r>
              <w:rPr>
                <w:rFonts w:hint="eastAsia" w:ascii="仿宋_GB2312"/>
                <w:color w:val="000000" w:themeColor="text1"/>
              </w:rPr>
              <w:t>省综治办</w:t>
            </w:r>
          </w:p>
        </w:tc>
        <w:tc>
          <w:tcPr>
            <w:tcW w:w="1016" w:type="dxa"/>
            <w:vMerge w:val="continue"/>
            <w:vAlign w:val="center"/>
          </w:tcPr>
          <w:p>
            <w:pPr>
              <w:spacing w:line="300" w:lineRule="exact"/>
              <w:rPr>
                <w:rFonts w:ascii="仿宋_GB2312"/>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jc w:val="center"/>
        </w:trPr>
        <w:tc>
          <w:tcPr>
            <w:tcW w:w="616" w:type="dxa"/>
            <w:noWrap/>
            <w:vAlign w:val="center"/>
          </w:tcPr>
          <w:p>
            <w:pPr>
              <w:spacing w:line="300" w:lineRule="exact"/>
              <w:jc w:val="center"/>
              <w:rPr>
                <w:rFonts w:ascii="仿宋_GB2312"/>
                <w:color w:val="000000" w:themeColor="text1"/>
              </w:rPr>
            </w:pPr>
            <w:r>
              <w:rPr>
                <w:rFonts w:hint="eastAsia" w:ascii="仿宋_GB2312"/>
                <w:color w:val="000000" w:themeColor="text1"/>
              </w:rPr>
              <w:t>7</w:t>
            </w:r>
          </w:p>
        </w:tc>
        <w:tc>
          <w:tcPr>
            <w:tcW w:w="1616" w:type="dxa"/>
            <w:noWrap/>
            <w:vAlign w:val="center"/>
          </w:tcPr>
          <w:p>
            <w:pPr>
              <w:spacing w:line="300" w:lineRule="exact"/>
              <w:jc w:val="center"/>
              <w:rPr>
                <w:rFonts w:ascii="仿宋_GB2312"/>
                <w:color w:val="000000" w:themeColor="text1"/>
              </w:rPr>
            </w:pPr>
            <w:r>
              <w:rPr>
                <w:rFonts w:hint="eastAsia" w:ascii="仿宋_GB2312"/>
                <w:color w:val="000000" w:themeColor="text1"/>
              </w:rPr>
              <w:t>危险品从业人员</w:t>
            </w:r>
          </w:p>
        </w:tc>
        <w:tc>
          <w:tcPr>
            <w:tcW w:w="4680" w:type="dxa"/>
            <w:vAlign w:val="center"/>
          </w:tcPr>
          <w:p>
            <w:pPr>
              <w:spacing w:line="300" w:lineRule="exact"/>
              <w:rPr>
                <w:rFonts w:ascii="仿宋_GB2312"/>
                <w:color w:val="000000" w:themeColor="text1"/>
              </w:rPr>
            </w:pPr>
            <w:r>
              <w:rPr>
                <w:rFonts w:hint="eastAsia" w:ascii="仿宋_GB2312"/>
                <w:color w:val="000000" w:themeColor="text1"/>
              </w:rPr>
              <w:t>公民身份号码、姓名、出生日期、性别、民族、户籍地、户籍门(楼)详址、学历，联系方式、现住地、现住门(楼)详址，危险从业类别、从业资格证书、从业资格证书号码、从业资格证书有效期日期、企业法人代表姓名、企业法人联系方式、企业法人工作单位</w:t>
            </w:r>
          </w:p>
        </w:tc>
        <w:tc>
          <w:tcPr>
            <w:tcW w:w="1359" w:type="dxa"/>
            <w:vAlign w:val="center"/>
          </w:tcPr>
          <w:p>
            <w:pPr>
              <w:spacing w:line="300" w:lineRule="exact"/>
              <w:rPr>
                <w:rFonts w:ascii="仿宋_GB2312"/>
                <w:color w:val="000000" w:themeColor="text1"/>
              </w:rPr>
            </w:pPr>
            <w:r>
              <w:rPr>
                <w:rFonts w:hint="eastAsia" w:ascii="仿宋_GB2312"/>
                <w:color w:val="000000" w:themeColor="text1"/>
              </w:rPr>
              <w:t>省综治办</w:t>
            </w:r>
          </w:p>
        </w:tc>
        <w:tc>
          <w:tcPr>
            <w:tcW w:w="1016" w:type="dxa"/>
            <w:vMerge w:val="continue"/>
            <w:vAlign w:val="center"/>
          </w:tcPr>
          <w:p>
            <w:pPr>
              <w:spacing w:line="300" w:lineRule="exact"/>
              <w:rPr>
                <w:rFonts w:ascii="仿宋_GB2312"/>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616" w:type="dxa"/>
            <w:noWrap/>
            <w:vAlign w:val="center"/>
          </w:tcPr>
          <w:p>
            <w:pPr>
              <w:spacing w:line="300" w:lineRule="exact"/>
              <w:jc w:val="center"/>
              <w:rPr>
                <w:rFonts w:ascii="仿宋_GB2312"/>
                <w:color w:val="000000" w:themeColor="text1"/>
              </w:rPr>
            </w:pPr>
            <w:r>
              <w:rPr>
                <w:rFonts w:hint="eastAsia" w:ascii="仿宋_GB2312"/>
                <w:color w:val="000000" w:themeColor="text1"/>
              </w:rPr>
              <w:t>8</w:t>
            </w:r>
          </w:p>
        </w:tc>
        <w:tc>
          <w:tcPr>
            <w:tcW w:w="1616" w:type="dxa"/>
            <w:noWrap/>
            <w:vAlign w:val="center"/>
          </w:tcPr>
          <w:p>
            <w:pPr>
              <w:spacing w:line="300" w:lineRule="exact"/>
              <w:jc w:val="center"/>
              <w:rPr>
                <w:rFonts w:ascii="仿宋_GB2312"/>
                <w:color w:val="000000" w:themeColor="text1"/>
              </w:rPr>
            </w:pPr>
            <w:r>
              <w:rPr>
                <w:rFonts w:hint="eastAsia" w:ascii="仿宋_GB2312"/>
                <w:color w:val="000000" w:themeColor="text1"/>
              </w:rPr>
              <w:t>需要救助人员</w:t>
            </w:r>
          </w:p>
        </w:tc>
        <w:tc>
          <w:tcPr>
            <w:tcW w:w="4680" w:type="dxa"/>
            <w:vAlign w:val="center"/>
          </w:tcPr>
          <w:p>
            <w:pPr>
              <w:spacing w:line="300" w:lineRule="exact"/>
              <w:rPr>
                <w:rFonts w:ascii="仿宋_GB2312"/>
                <w:color w:val="000000" w:themeColor="text1"/>
              </w:rPr>
            </w:pPr>
            <w:r>
              <w:rPr>
                <w:rFonts w:hint="eastAsia" w:ascii="仿宋_GB2312"/>
                <w:color w:val="000000" w:themeColor="text1"/>
              </w:rPr>
              <w:t>公民身份号码、姓名、出生日期、性别、民族、户籍地、户籍门(楼)详址、学历，联系方式、现住地、现住门(楼)详址，救助原因、是否低保户</w:t>
            </w:r>
          </w:p>
        </w:tc>
        <w:tc>
          <w:tcPr>
            <w:tcW w:w="1359" w:type="dxa"/>
            <w:vAlign w:val="center"/>
          </w:tcPr>
          <w:p>
            <w:pPr>
              <w:spacing w:line="300" w:lineRule="exact"/>
              <w:rPr>
                <w:rFonts w:ascii="仿宋_GB2312"/>
                <w:color w:val="000000" w:themeColor="text1"/>
              </w:rPr>
            </w:pPr>
            <w:r>
              <w:rPr>
                <w:rFonts w:hint="eastAsia" w:ascii="仿宋_GB2312"/>
                <w:color w:val="000000" w:themeColor="text1"/>
              </w:rPr>
              <w:t>省综治办</w:t>
            </w:r>
          </w:p>
        </w:tc>
        <w:tc>
          <w:tcPr>
            <w:tcW w:w="1016" w:type="dxa"/>
            <w:vMerge w:val="continue"/>
            <w:vAlign w:val="center"/>
          </w:tcPr>
          <w:p>
            <w:pPr>
              <w:spacing w:line="300" w:lineRule="exact"/>
              <w:rPr>
                <w:rFonts w:ascii="仿宋_GB2312"/>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jc w:val="center"/>
        </w:trPr>
        <w:tc>
          <w:tcPr>
            <w:tcW w:w="616" w:type="dxa"/>
            <w:noWrap/>
            <w:vAlign w:val="center"/>
          </w:tcPr>
          <w:p>
            <w:pPr>
              <w:spacing w:line="300" w:lineRule="exact"/>
              <w:jc w:val="center"/>
              <w:rPr>
                <w:rFonts w:ascii="仿宋_GB2312"/>
                <w:color w:val="000000" w:themeColor="text1"/>
              </w:rPr>
            </w:pPr>
            <w:r>
              <w:rPr>
                <w:rFonts w:hint="eastAsia" w:ascii="仿宋_GB2312"/>
                <w:color w:val="000000" w:themeColor="text1"/>
              </w:rPr>
              <w:t>9</w:t>
            </w:r>
          </w:p>
        </w:tc>
        <w:tc>
          <w:tcPr>
            <w:tcW w:w="1616" w:type="dxa"/>
            <w:noWrap/>
            <w:vAlign w:val="center"/>
          </w:tcPr>
          <w:p>
            <w:pPr>
              <w:spacing w:line="300" w:lineRule="exact"/>
              <w:jc w:val="center"/>
              <w:rPr>
                <w:rFonts w:ascii="仿宋_GB2312"/>
                <w:color w:val="000000" w:themeColor="text1"/>
              </w:rPr>
            </w:pPr>
            <w:r>
              <w:rPr>
                <w:rFonts w:hint="eastAsia" w:ascii="仿宋_GB2312"/>
                <w:color w:val="000000" w:themeColor="text1"/>
              </w:rPr>
              <w:t>见义勇为人员</w:t>
            </w:r>
          </w:p>
        </w:tc>
        <w:tc>
          <w:tcPr>
            <w:tcW w:w="4680" w:type="dxa"/>
            <w:vAlign w:val="center"/>
          </w:tcPr>
          <w:p>
            <w:pPr>
              <w:spacing w:line="300" w:lineRule="exact"/>
              <w:rPr>
                <w:rFonts w:ascii="仿宋_GB2312"/>
                <w:color w:val="000000" w:themeColor="text1"/>
              </w:rPr>
            </w:pPr>
            <w:r>
              <w:rPr>
                <w:rFonts w:hint="eastAsia" w:ascii="仿宋_GB2312"/>
                <w:color w:val="000000" w:themeColor="text1"/>
              </w:rPr>
              <w:t>公民身份号码、姓名、出生日期、性别、民族、户籍地、户籍门(楼)详址、学历，联系方式、现住地、现住门(楼)详址，行为发生日期、行为确认日期、行为发生地址、确认单位、奖励情况、荣誉称号、服务保障情况、身体状况、是否困难家庭、收入情况、主要事迹</w:t>
            </w:r>
          </w:p>
        </w:tc>
        <w:tc>
          <w:tcPr>
            <w:tcW w:w="1359" w:type="dxa"/>
            <w:vAlign w:val="center"/>
          </w:tcPr>
          <w:p>
            <w:pPr>
              <w:spacing w:line="300" w:lineRule="exact"/>
              <w:rPr>
                <w:rFonts w:ascii="仿宋_GB2312"/>
                <w:color w:val="000000" w:themeColor="text1"/>
              </w:rPr>
            </w:pPr>
            <w:r>
              <w:rPr>
                <w:rFonts w:hint="eastAsia" w:ascii="仿宋_GB2312"/>
                <w:color w:val="000000" w:themeColor="text1"/>
              </w:rPr>
              <w:t>省综治办</w:t>
            </w:r>
          </w:p>
        </w:tc>
        <w:tc>
          <w:tcPr>
            <w:tcW w:w="1016" w:type="dxa"/>
            <w:vMerge w:val="continue"/>
            <w:vAlign w:val="center"/>
          </w:tcPr>
          <w:p>
            <w:pPr>
              <w:spacing w:line="300" w:lineRule="exact"/>
              <w:rPr>
                <w:rFonts w:ascii="仿宋_GB2312"/>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40" w:hRule="atLeast"/>
          <w:jc w:val="center"/>
        </w:trPr>
        <w:tc>
          <w:tcPr>
            <w:tcW w:w="616" w:type="dxa"/>
            <w:noWrap/>
            <w:vAlign w:val="center"/>
          </w:tcPr>
          <w:p>
            <w:pPr>
              <w:spacing w:line="300" w:lineRule="exact"/>
              <w:jc w:val="center"/>
              <w:rPr>
                <w:rFonts w:ascii="仿宋_GB2312"/>
                <w:color w:val="000000" w:themeColor="text1"/>
              </w:rPr>
            </w:pPr>
            <w:r>
              <w:rPr>
                <w:rFonts w:hint="eastAsia" w:ascii="仿宋_GB2312"/>
                <w:color w:val="000000" w:themeColor="text1"/>
              </w:rPr>
              <w:t>10</w:t>
            </w:r>
          </w:p>
        </w:tc>
        <w:tc>
          <w:tcPr>
            <w:tcW w:w="1616" w:type="dxa"/>
            <w:noWrap/>
            <w:vAlign w:val="center"/>
          </w:tcPr>
          <w:p>
            <w:pPr>
              <w:spacing w:line="300" w:lineRule="exact"/>
              <w:jc w:val="center"/>
              <w:rPr>
                <w:rFonts w:ascii="仿宋_GB2312"/>
                <w:color w:val="000000" w:themeColor="text1"/>
              </w:rPr>
            </w:pPr>
            <w:r>
              <w:rPr>
                <w:rFonts w:hint="eastAsia" w:ascii="仿宋_GB2312"/>
                <w:color w:val="000000" w:themeColor="text1"/>
              </w:rPr>
              <w:t>实有房屋</w:t>
            </w:r>
          </w:p>
        </w:tc>
        <w:tc>
          <w:tcPr>
            <w:tcW w:w="4680" w:type="dxa"/>
            <w:vAlign w:val="center"/>
          </w:tcPr>
          <w:p>
            <w:pPr>
              <w:spacing w:line="300" w:lineRule="exact"/>
              <w:rPr>
                <w:rFonts w:ascii="仿宋_GB2312"/>
                <w:color w:val="000000" w:themeColor="text1"/>
              </w:rPr>
            </w:pPr>
            <w:r>
              <w:rPr>
                <w:rFonts w:hint="eastAsia" w:ascii="仿宋_GB2312"/>
                <w:color w:val="000000" w:themeColor="text1"/>
              </w:rPr>
              <w:t>房屋地址、建筑物名称、建筑物用途、物管单位名称、业主姓名、公民身份号码、业主联系方式、房屋户型、建成日期、本户建筑面积，房屋结构、房屋用途、房屋来源、房屋凭证、房屋权证号码、发证日期、土地凭证、土地权证号码、发证日期、产权人类型、产权人姓名、证件类型、证件号码、产权人联系方式</w:t>
            </w:r>
          </w:p>
        </w:tc>
        <w:tc>
          <w:tcPr>
            <w:tcW w:w="1359" w:type="dxa"/>
            <w:vAlign w:val="center"/>
          </w:tcPr>
          <w:p>
            <w:pPr>
              <w:spacing w:line="300" w:lineRule="exact"/>
              <w:rPr>
                <w:rFonts w:ascii="仿宋_GB2312"/>
                <w:color w:val="000000" w:themeColor="text1"/>
              </w:rPr>
            </w:pPr>
            <w:r>
              <w:rPr>
                <w:rFonts w:hint="eastAsia" w:ascii="仿宋_GB2312"/>
                <w:color w:val="000000" w:themeColor="text1"/>
              </w:rPr>
              <w:t>省综治办</w:t>
            </w:r>
          </w:p>
        </w:tc>
        <w:tc>
          <w:tcPr>
            <w:tcW w:w="1016" w:type="dxa"/>
            <w:vMerge w:val="continue"/>
            <w:vAlign w:val="center"/>
          </w:tcPr>
          <w:p>
            <w:pPr>
              <w:spacing w:line="300" w:lineRule="exact"/>
              <w:rPr>
                <w:rFonts w:ascii="仿宋_GB2312"/>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60" w:hRule="atLeast"/>
          <w:jc w:val="center"/>
        </w:trPr>
        <w:tc>
          <w:tcPr>
            <w:tcW w:w="616" w:type="dxa"/>
            <w:noWrap/>
            <w:vAlign w:val="center"/>
          </w:tcPr>
          <w:p>
            <w:pPr>
              <w:spacing w:line="300" w:lineRule="exact"/>
              <w:jc w:val="center"/>
              <w:rPr>
                <w:rFonts w:ascii="仿宋_GB2312"/>
                <w:color w:val="000000" w:themeColor="text1"/>
              </w:rPr>
            </w:pPr>
            <w:r>
              <w:rPr>
                <w:rFonts w:hint="eastAsia" w:ascii="仿宋_GB2312"/>
                <w:color w:val="000000" w:themeColor="text1"/>
              </w:rPr>
              <w:t>11</w:t>
            </w:r>
          </w:p>
        </w:tc>
        <w:tc>
          <w:tcPr>
            <w:tcW w:w="1616" w:type="dxa"/>
            <w:noWrap/>
            <w:vAlign w:val="center"/>
          </w:tcPr>
          <w:p>
            <w:pPr>
              <w:spacing w:line="300" w:lineRule="exact"/>
              <w:jc w:val="center"/>
              <w:rPr>
                <w:rFonts w:ascii="仿宋_GB2312"/>
                <w:color w:val="000000" w:themeColor="text1"/>
              </w:rPr>
            </w:pPr>
            <w:r>
              <w:rPr>
                <w:rFonts w:hint="eastAsia" w:ascii="仿宋_GB2312"/>
                <w:color w:val="000000" w:themeColor="text1"/>
              </w:rPr>
              <w:t>出租房</w:t>
            </w:r>
          </w:p>
        </w:tc>
        <w:tc>
          <w:tcPr>
            <w:tcW w:w="4680" w:type="dxa"/>
            <w:vAlign w:val="center"/>
          </w:tcPr>
          <w:p>
            <w:pPr>
              <w:spacing w:line="300" w:lineRule="exact"/>
              <w:rPr>
                <w:rFonts w:ascii="仿宋_GB2312"/>
                <w:color w:val="000000" w:themeColor="text1"/>
              </w:rPr>
            </w:pPr>
            <w:r>
              <w:rPr>
                <w:rFonts w:hint="eastAsia" w:ascii="仿宋_GB2312"/>
                <w:color w:val="000000" w:themeColor="text1"/>
              </w:rPr>
              <w:t>房屋编号、房屋地址、房主公民身份号码、房主姓名、房主联系方式、房主现居详址、出租用途，承租人姓名、承租人联系方式、承租人证件类型、承租人公民身份号码、有无安全通道、有无消防通道、是否签订治安责任保证书，建筑用途、建筑面积(平方米)、隐患类型、经度、纬度、租赁备案证号、隐患情况、管理类别、出租房结构、出租房性质、出租房类别、限制人数、登记日期、出租间数，出租日期、月租金，居住人数、消防设施配备情况、单位检查信息、检查时间、排查人单位、检查结果、排查人员、整改情况</w:t>
            </w:r>
          </w:p>
        </w:tc>
        <w:tc>
          <w:tcPr>
            <w:tcW w:w="1359" w:type="dxa"/>
            <w:vAlign w:val="center"/>
          </w:tcPr>
          <w:p>
            <w:pPr>
              <w:spacing w:line="300" w:lineRule="exact"/>
              <w:rPr>
                <w:rFonts w:ascii="仿宋_GB2312"/>
                <w:color w:val="000000" w:themeColor="text1"/>
              </w:rPr>
            </w:pPr>
            <w:r>
              <w:rPr>
                <w:rFonts w:hint="eastAsia" w:ascii="仿宋_GB2312"/>
                <w:color w:val="000000" w:themeColor="text1"/>
              </w:rPr>
              <w:t>省综治办</w:t>
            </w:r>
          </w:p>
        </w:tc>
        <w:tc>
          <w:tcPr>
            <w:tcW w:w="1016" w:type="dxa"/>
            <w:vMerge w:val="continue"/>
            <w:vAlign w:val="center"/>
          </w:tcPr>
          <w:p>
            <w:pPr>
              <w:spacing w:line="300" w:lineRule="exact"/>
              <w:rPr>
                <w:rFonts w:ascii="仿宋_GB2312"/>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616" w:type="dxa"/>
            <w:noWrap/>
            <w:vAlign w:val="center"/>
          </w:tcPr>
          <w:p>
            <w:pPr>
              <w:spacing w:line="300" w:lineRule="exact"/>
              <w:jc w:val="center"/>
              <w:rPr>
                <w:rFonts w:ascii="仿宋_GB2312"/>
                <w:color w:val="000000" w:themeColor="text1"/>
              </w:rPr>
            </w:pPr>
            <w:r>
              <w:rPr>
                <w:rFonts w:hint="eastAsia" w:ascii="仿宋_GB2312"/>
                <w:color w:val="000000" w:themeColor="text1"/>
              </w:rPr>
              <w:t>12</w:t>
            </w:r>
          </w:p>
        </w:tc>
        <w:tc>
          <w:tcPr>
            <w:tcW w:w="1616" w:type="dxa"/>
            <w:noWrap/>
            <w:vAlign w:val="center"/>
          </w:tcPr>
          <w:p>
            <w:pPr>
              <w:spacing w:line="300" w:lineRule="exact"/>
              <w:jc w:val="center"/>
              <w:rPr>
                <w:rFonts w:ascii="仿宋_GB2312"/>
                <w:color w:val="000000" w:themeColor="text1"/>
              </w:rPr>
            </w:pPr>
            <w:r>
              <w:rPr>
                <w:rFonts w:hint="eastAsia" w:ascii="仿宋_GB2312"/>
                <w:color w:val="000000" w:themeColor="text1"/>
              </w:rPr>
              <w:t>治安重点</w:t>
            </w:r>
          </w:p>
        </w:tc>
        <w:tc>
          <w:tcPr>
            <w:tcW w:w="4680" w:type="dxa"/>
            <w:vAlign w:val="center"/>
          </w:tcPr>
          <w:p>
            <w:pPr>
              <w:spacing w:line="300" w:lineRule="exact"/>
              <w:rPr>
                <w:rFonts w:ascii="仿宋_GB2312"/>
                <w:color w:val="000000" w:themeColor="text1"/>
              </w:rPr>
            </w:pPr>
            <w:r>
              <w:rPr>
                <w:rFonts w:hint="eastAsia" w:ascii="仿宋_GB2312"/>
                <w:color w:val="000000" w:themeColor="text1"/>
              </w:rPr>
              <w:t>场所名称、场所地址、负责人姓名、场所类型、负责人联系方式、是否存在隐患、隐患情况，隐患整改情况</w:t>
            </w:r>
          </w:p>
        </w:tc>
        <w:tc>
          <w:tcPr>
            <w:tcW w:w="1359" w:type="dxa"/>
            <w:vAlign w:val="center"/>
          </w:tcPr>
          <w:p>
            <w:pPr>
              <w:spacing w:line="300" w:lineRule="exact"/>
              <w:rPr>
                <w:rFonts w:ascii="仿宋_GB2312"/>
                <w:color w:val="000000" w:themeColor="text1"/>
              </w:rPr>
            </w:pPr>
            <w:r>
              <w:rPr>
                <w:rFonts w:hint="eastAsia" w:ascii="仿宋_GB2312"/>
                <w:color w:val="000000" w:themeColor="text1"/>
              </w:rPr>
              <w:t>省综治办</w:t>
            </w:r>
          </w:p>
        </w:tc>
        <w:tc>
          <w:tcPr>
            <w:tcW w:w="1016" w:type="dxa"/>
            <w:vMerge w:val="continue"/>
            <w:vAlign w:val="center"/>
          </w:tcPr>
          <w:p>
            <w:pPr>
              <w:spacing w:line="300" w:lineRule="exact"/>
              <w:rPr>
                <w:rFonts w:ascii="仿宋_GB2312"/>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616" w:type="dxa"/>
            <w:noWrap/>
            <w:vAlign w:val="center"/>
          </w:tcPr>
          <w:p>
            <w:pPr>
              <w:spacing w:line="300" w:lineRule="exact"/>
              <w:jc w:val="center"/>
              <w:rPr>
                <w:rFonts w:ascii="仿宋_GB2312"/>
                <w:color w:val="000000" w:themeColor="text1"/>
              </w:rPr>
            </w:pPr>
            <w:r>
              <w:rPr>
                <w:rFonts w:hint="eastAsia" w:ascii="仿宋_GB2312"/>
                <w:color w:val="000000" w:themeColor="text1"/>
              </w:rPr>
              <w:t>13</w:t>
            </w:r>
          </w:p>
        </w:tc>
        <w:tc>
          <w:tcPr>
            <w:tcW w:w="1616" w:type="dxa"/>
            <w:noWrap/>
            <w:vAlign w:val="center"/>
          </w:tcPr>
          <w:p>
            <w:pPr>
              <w:spacing w:line="300" w:lineRule="exact"/>
              <w:jc w:val="center"/>
              <w:rPr>
                <w:rFonts w:ascii="仿宋_GB2312"/>
                <w:color w:val="000000" w:themeColor="text1"/>
              </w:rPr>
            </w:pPr>
            <w:r>
              <w:rPr>
                <w:rFonts w:hint="eastAsia" w:ascii="仿宋_GB2312"/>
                <w:color w:val="000000" w:themeColor="text1"/>
              </w:rPr>
              <w:t>公共复杂场所</w:t>
            </w:r>
          </w:p>
        </w:tc>
        <w:tc>
          <w:tcPr>
            <w:tcW w:w="4680" w:type="dxa"/>
            <w:vAlign w:val="center"/>
          </w:tcPr>
          <w:p>
            <w:pPr>
              <w:spacing w:line="300" w:lineRule="exact"/>
              <w:rPr>
                <w:rFonts w:ascii="仿宋_GB2312"/>
                <w:color w:val="000000" w:themeColor="text1"/>
              </w:rPr>
            </w:pPr>
            <w:r>
              <w:rPr>
                <w:rFonts w:hint="eastAsia" w:ascii="仿宋_GB2312"/>
                <w:color w:val="000000" w:themeColor="text1"/>
              </w:rPr>
              <w:t>场所名称、负责人姓名，负责人联系方式、场所类别、所属***、场所地址、是否存在隐患、隐患整改情况</w:t>
            </w:r>
          </w:p>
        </w:tc>
        <w:tc>
          <w:tcPr>
            <w:tcW w:w="1359" w:type="dxa"/>
            <w:vAlign w:val="center"/>
          </w:tcPr>
          <w:p>
            <w:pPr>
              <w:spacing w:line="300" w:lineRule="exact"/>
              <w:rPr>
                <w:rFonts w:ascii="仿宋_GB2312"/>
                <w:color w:val="000000" w:themeColor="text1"/>
              </w:rPr>
            </w:pPr>
            <w:r>
              <w:rPr>
                <w:rFonts w:hint="eastAsia" w:ascii="仿宋_GB2312"/>
                <w:color w:val="000000" w:themeColor="text1"/>
              </w:rPr>
              <w:t>省综治办</w:t>
            </w:r>
          </w:p>
        </w:tc>
        <w:tc>
          <w:tcPr>
            <w:tcW w:w="1016" w:type="dxa"/>
            <w:vMerge w:val="continue"/>
            <w:vAlign w:val="center"/>
          </w:tcPr>
          <w:p>
            <w:pPr>
              <w:spacing w:line="300" w:lineRule="exact"/>
              <w:rPr>
                <w:rFonts w:ascii="仿宋_GB2312"/>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616" w:type="dxa"/>
            <w:noWrap/>
            <w:vAlign w:val="center"/>
          </w:tcPr>
          <w:p>
            <w:pPr>
              <w:spacing w:line="300" w:lineRule="exact"/>
              <w:jc w:val="center"/>
              <w:rPr>
                <w:rFonts w:ascii="仿宋_GB2312"/>
                <w:color w:val="000000" w:themeColor="text1"/>
              </w:rPr>
            </w:pPr>
            <w:r>
              <w:rPr>
                <w:rFonts w:hint="eastAsia" w:ascii="仿宋_GB2312"/>
                <w:color w:val="000000" w:themeColor="text1"/>
              </w:rPr>
              <w:t>14</w:t>
            </w:r>
          </w:p>
        </w:tc>
        <w:tc>
          <w:tcPr>
            <w:tcW w:w="1616" w:type="dxa"/>
            <w:noWrap/>
            <w:vAlign w:val="center"/>
          </w:tcPr>
          <w:p>
            <w:pPr>
              <w:spacing w:line="300" w:lineRule="exact"/>
              <w:jc w:val="center"/>
              <w:rPr>
                <w:rFonts w:ascii="仿宋_GB2312"/>
                <w:color w:val="000000" w:themeColor="text1"/>
              </w:rPr>
            </w:pPr>
            <w:r>
              <w:rPr>
                <w:rFonts w:hint="eastAsia" w:ascii="仿宋_GB2312"/>
                <w:color w:val="000000" w:themeColor="text1"/>
              </w:rPr>
              <w:t>事件及记录</w:t>
            </w:r>
          </w:p>
        </w:tc>
        <w:tc>
          <w:tcPr>
            <w:tcW w:w="4680" w:type="dxa"/>
            <w:vAlign w:val="center"/>
          </w:tcPr>
          <w:p>
            <w:pPr>
              <w:spacing w:line="300" w:lineRule="exact"/>
              <w:rPr>
                <w:rFonts w:ascii="仿宋_GB2312"/>
                <w:color w:val="000000" w:themeColor="text1"/>
              </w:rPr>
            </w:pPr>
            <w:r>
              <w:rPr>
                <w:rFonts w:hint="eastAsia" w:ascii="仿宋_GB2312"/>
                <w:color w:val="000000" w:themeColor="text1"/>
              </w:rPr>
              <w:t>事件名称、发生网格、发生地点、是否重点场所、发生日期、主要当事人姓名、主要当事人联系方式、涉及重点人员、涉及人数、事件规模，是否紧急、是否重点关注事件、事件类型、事件简述</w:t>
            </w:r>
          </w:p>
        </w:tc>
        <w:tc>
          <w:tcPr>
            <w:tcW w:w="1359" w:type="dxa"/>
            <w:vAlign w:val="center"/>
          </w:tcPr>
          <w:p>
            <w:pPr>
              <w:spacing w:line="300" w:lineRule="exact"/>
              <w:rPr>
                <w:rFonts w:ascii="仿宋_GB2312"/>
                <w:color w:val="000000" w:themeColor="text1"/>
              </w:rPr>
            </w:pPr>
            <w:r>
              <w:rPr>
                <w:rFonts w:hint="eastAsia" w:ascii="仿宋_GB2312"/>
                <w:color w:val="000000" w:themeColor="text1"/>
              </w:rPr>
              <w:t>省综治办</w:t>
            </w:r>
          </w:p>
        </w:tc>
        <w:tc>
          <w:tcPr>
            <w:tcW w:w="1016" w:type="dxa"/>
            <w:vMerge w:val="continue"/>
            <w:vAlign w:val="center"/>
          </w:tcPr>
          <w:p>
            <w:pPr>
              <w:spacing w:line="300" w:lineRule="exact"/>
              <w:rPr>
                <w:rFonts w:ascii="仿宋_GB2312"/>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jc w:val="center"/>
        </w:trPr>
        <w:tc>
          <w:tcPr>
            <w:tcW w:w="616" w:type="dxa"/>
            <w:noWrap/>
            <w:vAlign w:val="center"/>
          </w:tcPr>
          <w:p>
            <w:pPr>
              <w:spacing w:line="300" w:lineRule="exact"/>
              <w:jc w:val="center"/>
              <w:rPr>
                <w:rFonts w:ascii="仿宋_GB2312"/>
                <w:color w:val="000000" w:themeColor="text1"/>
              </w:rPr>
            </w:pPr>
            <w:r>
              <w:rPr>
                <w:rFonts w:hint="eastAsia" w:ascii="仿宋_GB2312"/>
                <w:color w:val="000000" w:themeColor="text1"/>
              </w:rPr>
              <w:t>15</w:t>
            </w:r>
          </w:p>
        </w:tc>
        <w:tc>
          <w:tcPr>
            <w:tcW w:w="1616" w:type="dxa"/>
            <w:noWrap/>
            <w:vAlign w:val="center"/>
          </w:tcPr>
          <w:p>
            <w:pPr>
              <w:spacing w:line="300" w:lineRule="exact"/>
              <w:jc w:val="center"/>
              <w:rPr>
                <w:rFonts w:ascii="仿宋_GB2312"/>
                <w:color w:val="000000" w:themeColor="text1"/>
              </w:rPr>
            </w:pPr>
            <w:r>
              <w:rPr>
                <w:rFonts w:hint="eastAsia" w:ascii="仿宋_GB2312"/>
                <w:color w:val="000000" w:themeColor="text1"/>
              </w:rPr>
              <w:t>特种行业</w:t>
            </w:r>
          </w:p>
        </w:tc>
        <w:tc>
          <w:tcPr>
            <w:tcW w:w="4680" w:type="dxa"/>
            <w:vAlign w:val="center"/>
          </w:tcPr>
          <w:p>
            <w:pPr>
              <w:spacing w:line="300" w:lineRule="exact"/>
              <w:rPr>
                <w:rFonts w:ascii="仿宋_GB2312"/>
                <w:color w:val="000000" w:themeColor="text1"/>
              </w:rPr>
            </w:pPr>
            <w:r>
              <w:rPr>
                <w:rFonts w:hint="eastAsia" w:ascii="仿宋_GB2312"/>
                <w:color w:val="000000" w:themeColor="text1"/>
              </w:rPr>
              <w:t>企业名称、企业地址、综治负责人姓名、综治负责人联系方式、特种行业类型，法人代表姓名、法人联系方式、特业许可证号、工商照号、物业许可证有效期、企业联系方式、企业传真、隐患情况、隐患整改情况</w:t>
            </w:r>
          </w:p>
        </w:tc>
        <w:tc>
          <w:tcPr>
            <w:tcW w:w="1359" w:type="dxa"/>
            <w:vAlign w:val="center"/>
          </w:tcPr>
          <w:p>
            <w:pPr>
              <w:spacing w:line="300" w:lineRule="exact"/>
              <w:rPr>
                <w:rFonts w:ascii="仿宋_GB2312"/>
                <w:color w:val="000000" w:themeColor="text1"/>
              </w:rPr>
            </w:pPr>
            <w:r>
              <w:rPr>
                <w:rFonts w:hint="eastAsia" w:ascii="仿宋_GB2312"/>
                <w:color w:val="000000" w:themeColor="text1"/>
              </w:rPr>
              <w:t>省综治办</w:t>
            </w:r>
          </w:p>
        </w:tc>
        <w:tc>
          <w:tcPr>
            <w:tcW w:w="1016" w:type="dxa"/>
            <w:vMerge w:val="continue"/>
            <w:vAlign w:val="center"/>
          </w:tcPr>
          <w:p>
            <w:pPr>
              <w:spacing w:line="300" w:lineRule="exact"/>
              <w:rPr>
                <w:rFonts w:ascii="仿宋_GB2312"/>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jc w:val="center"/>
        </w:trPr>
        <w:tc>
          <w:tcPr>
            <w:tcW w:w="616" w:type="dxa"/>
            <w:noWrap/>
            <w:vAlign w:val="center"/>
          </w:tcPr>
          <w:p>
            <w:pPr>
              <w:spacing w:line="300" w:lineRule="exact"/>
              <w:jc w:val="center"/>
              <w:rPr>
                <w:rFonts w:ascii="仿宋_GB2312"/>
                <w:color w:val="000000" w:themeColor="text1"/>
              </w:rPr>
            </w:pPr>
            <w:r>
              <w:rPr>
                <w:rFonts w:hint="eastAsia" w:ascii="仿宋_GB2312"/>
                <w:color w:val="000000" w:themeColor="text1"/>
              </w:rPr>
              <w:t>16</w:t>
            </w:r>
          </w:p>
        </w:tc>
        <w:tc>
          <w:tcPr>
            <w:tcW w:w="1616" w:type="dxa"/>
            <w:noWrap/>
            <w:vAlign w:val="center"/>
          </w:tcPr>
          <w:p>
            <w:pPr>
              <w:spacing w:line="300" w:lineRule="exact"/>
              <w:jc w:val="center"/>
              <w:rPr>
                <w:rFonts w:ascii="仿宋_GB2312"/>
                <w:color w:val="000000" w:themeColor="text1"/>
              </w:rPr>
            </w:pPr>
            <w:r>
              <w:rPr>
                <w:rFonts w:hint="eastAsia" w:ascii="仿宋_GB2312"/>
                <w:color w:val="000000" w:themeColor="text1"/>
              </w:rPr>
              <w:t>社会组织</w:t>
            </w:r>
          </w:p>
        </w:tc>
        <w:tc>
          <w:tcPr>
            <w:tcW w:w="4680" w:type="dxa"/>
            <w:vAlign w:val="center"/>
          </w:tcPr>
          <w:p>
            <w:pPr>
              <w:spacing w:line="300" w:lineRule="exact"/>
              <w:rPr>
                <w:rFonts w:ascii="仿宋_GB2312"/>
                <w:color w:val="000000" w:themeColor="text1"/>
              </w:rPr>
            </w:pPr>
            <w:r>
              <w:rPr>
                <w:rFonts w:hint="eastAsia" w:ascii="仿宋_GB2312"/>
                <w:color w:val="000000" w:themeColor="text1"/>
              </w:rPr>
              <w:t>社会组织名称、社会组织类别、办公地址、法人代表人姓名、负责人姓名、负责人证件号码、业务主管单位名称、负责人联系方式、组织机构代码、主要职责、是否具备建立中共党组织条件、是否有中共党组织、中共党员数量、简介、获得荣誉</w:t>
            </w:r>
          </w:p>
        </w:tc>
        <w:tc>
          <w:tcPr>
            <w:tcW w:w="1359" w:type="dxa"/>
            <w:vAlign w:val="center"/>
          </w:tcPr>
          <w:p>
            <w:pPr>
              <w:spacing w:line="300" w:lineRule="exact"/>
              <w:rPr>
                <w:rFonts w:ascii="仿宋_GB2312"/>
                <w:color w:val="000000" w:themeColor="text1"/>
              </w:rPr>
            </w:pPr>
            <w:r>
              <w:rPr>
                <w:rFonts w:hint="eastAsia" w:ascii="仿宋_GB2312"/>
                <w:color w:val="000000" w:themeColor="text1"/>
              </w:rPr>
              <w:t>省综治办</w:t>
            </w:r>
          </w:p>
        </w:tc>
        <w:tc>
          <w:tcPr>
            <w:tcW w:w="1016" w:type="dxa"/>
            <w:vMerge w:val="continue"/>
            <w:vAlign w:val="center"/>
          </w:tcPr>
          <w:p>
            <w:pPr>
              <w:spacing w:line="300" w:lineRule="exact"/>
              <w:rPr>
                <w:rFonts w:ascii="仿宋_GB2312"/>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820" w:hRule="atLeast"/>
          <w:jc w:val="center"/>
        </w:trPr>
        <w:tc>
          <w:tcPr>
            <w:tcW w:w="616" w:type="dxa"/>
            <w:noWrap/>
            <w:vAlign w:val="center"/>
          </w:tcPr>
          <w:p>
            <w:pPr>
              <w:spacing w:line="300" w:lineRule="exact"/>
              <w:jc w:val="center"/>
              <w:rPr>
                <w:rFonts w:ascii="仿宋_GB2312"/>
                <w:color w:val="000000" w:themeColor="text1"/>
              </w:rPr>
            </w:pPr>
            <w:r>
              <w:rPr>
                <w:rFonts w:hint="eastAsia" w:ascii="仿宋_GB2312"/>
                <w:color w:val="000000" w:themeColor="text1"/>
              </w:rPr>
              <w:t>17</w:t>
            </w:r>
          </w:p>
        </w:tc>
        <w:tc>
          <w:tcPr>
            <w:tcW w:w="1616" w:type="dxa"/>
            <w:noWrap/>
            <w:vAlign w:val="center"/>
          </w:tcPr>
          <w:p>
            <w:pPr>
              <w:spacing w:line="300" w:lineRule="exact"/>
              <w:jc w:val="center"/>
              <w:rPr>
                <w:rFonts w:ascii="仿宋_GB2312"/>
                <w:color w:val="000000" w:themeColor="text1"/>
              </w:rPr>
            </w:pPr>
            <w:r>
              <w:rPr>
                <w:rFonts w:hint="eastAsia" w:ascii="仿宋_GB2312"/>
                <w:color w:val="000000" w:themeColor="text1"/>
              </w:rPr>
              <w:t>社区矫正人员</w:t>
            </w:r>
          </w:p>
        </w:tc>
        <w:tc>
          <w:tcPr>
            <w:tcW w:w="4680" w:type="dxa"/>
            <w:vAlign w:val="center"/>
          </w:tcPr>
          <w:p>
            <w:pPr>
              <w:spacing w:line="300" w:lineRule="exact"/>
              <w:rPr>
                <w:rFonts w:ascii="仿宋_GB2312"/>
                <w:color w:val="000000" w:themeColor="text1"/>
              </w:rPr>
            </w:pPr>
            <w:r>
              <w:rPr>
                <w:rFonts w:hint="eastAsia" w:ascii="仿宋_GB2312"/>
                <w:color w:val="000000" w:themeColor="text1"/>
              </w:rPr>
              <w:t>姓名、曾用名、公民身份号码、出生日期、性别、民族、户籍地、户籍门(楼)详址、籍贯、学历、婚姻状况、政治面貌、宗教信仰、职业、现住地、现住门(楼)详址、联系方式、照片、社区矫正人员编号、接收方式、案件类别、具体罪名、”四史”情况、“三涉”情况、是否累惯犯、矫正类别、原判刑期(起末)、矫正开始日期、矫正结束日期、是否建立矫正小组、矫正小组人员组成情况、矫正解除(终止)类型，安置帮教成员信息：姓名、性别、公民身份号码、出生日期、职务、所在组织、联系方式，原羁押场所、是否有脱管、检察监督脱管情况、脱管纠正一情况、是否有漏管、漏管原因、检察监督漏管情况、漏管纠正情况、奖惩情况、刑罚变更执行情况、是否重新犯罪、重新犯罪名称</w:t>
            </w:r>
          </w:p>
        </w:tc>
        <w:tc>
          <w:tcPr>
            <w:tcW w:w="1359" w:type="dxa"/>
            <w:vAlign w:val="center"/>
          </w:tcPr>
          <w:p>
            <w:pPr>
              <w:spacing w:line="300" w:lineRule="exact"/>
              <w:rPr>
                <w:rFonts w:ascii="仿宋_GB2312"/>
                <w:color w:val="000000" w:themeColor="text1"/>
              </w:rPr>
            </w:pPr>
            <w:r>
              <w:rPr>
                <w:rFonts w:hint="eastAsia" w:ascii="仿宋_GB2312"/>
                <w:color w:val="000000" w:themeColor="text1"/>
              </w:rPr>
              <w:t>省综治办</w:t>
            </w:r>
          </w:p>
        </w:tc>
        <w:tc>
          <w:tcPr>
            <w:tcW w:w="1016" w:type="dxa"/>
            <w:vMerge w:val="continue"/>
            <w:vAlign w:val="center"/>
          </w:tcPr>
          <w:p>
            <w:pPr>
              <w:spacing w:line="300" w:lineRule="exact"/>
              <w:rPr>
                <w:rFonts w:ascii="仿宋_GB2312"/>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616" w:type="dxa"/>
            <w:noWrap/>
            <w:vAlign w:val="center"/>
          </w:tcPr>
          <w:p>
            <w:pPr>
              <w:spacing w:line="300" w:lineRule="exact"/>
              <w:jc w:val="center"/>
              <w:rPr>
                <w:rFonts w:ascii="仿宋_GB2312"/>
                <w:color w:val="000000" w:themeColor="text1"/>
              </w:rPr>
            </w:pPr>
            <w:r>
              <w:rPr>
                <w:rFonts w:hint="eastAsia" w:ascii="仿宋_GB2312"/>
                <w:color w:val="000000" w:themeColor="text1"/>
              </w:rPr>
              <w:t>19</w:t>
            </w:r>
          </w:p>
        </w:tc>
        <w:tc>
          <w:tcPr>
            <w:tcW w:w="1616" w:type="dxa"/>
            <w:vAlign w:val="center"/>
          </w:tcPr>
          <w:p>
            <w:pPr>
              <w:spacing w:line="300" w:lineRule="exact"/>
              <w:jc w:val="center"/>
              <w:rPr>
                <w:rFonts w:ascii="仿宋_GB2312"/>
                <w:color w:val="000000" w:themeColor="text1"/>
              </w:rPr>
            </w:pPr>
            <w:r>
              <w:rPr>
                <w:rFonts w:hint="eastAsia" w:ascii="仿宋_GB2312"/>
                <w:color w:val="000000" w:themeColor="text1"/>
              </w:rPr>
              <w:t>网格员信息</w:t>
            </w:r>
          </w:p>
        </w:tc>
        <w:tc>
          <w:tcPr>
            <w:tcW w:w="4680" w:type="dxa"/>
            <w:vAlign w:val="center"/>
          </w:tcPr>
          <w:p>
            <w:pPr>
              <w:spacing w:line="300" w:lineRule="exact"/>
              <w:rPr>
                <w:rFonts w:ascii="仿宋_GB2312"/>
                <w:color w:val="000000" w:themeColor="text1"/>
              </w:rPr>
            </w:pPr>
            <w:r>
              <w:rPr>
                <w:rFonts w:hint="eastAsia" w:ascii="仿宋_GB2312"/>
                <w:color w:val="000000" w:themeColor="text1"/>
              </w:rPr>
              <w:t>姓名、性别、出生年份、职务、分管工作、联系方式、公民身份号码、现居住地址、个人简介、所属网格编码</w:t>
            </w:r>
          </w:p>
        </w:tc>
        <w:tc>
          <w:tcPr>
            <w:tcW w:w="1359" w:type="dxa"/>
            <w:vAlign w:val="center"/>
          </w:tcPr>
          <w:p>
            <w:pPr>
              <w:spacing w:line="300" w:lineRule="exact"/>
              <w:rPr>
                <w:rFonts w:ascii="仿宋_GB2312"/>
                <w:color w:val="000000" w:themeColor="text1"/>
              </w:rPr>
            </w:pPr>
            <w:r>
              <w:rPr>
                <w:rFonts w:hint="eastAsia" w:ascii="仿宋_GB2312"/>
                <w:color w:val="000000" w:themeColor="text1"/>
              </w:rPr>
              <w:t>省综治办</w:t>
            </w:r>
          </w:p>
        </w:tc>
        <w:tc>
          <w:tcPr>
            <w:tcW w:w="1016" w:type="dxa"/>
            <w:vMerge w:val="continue"/>
            <w:vAlign w:val="center"/>
          </w:tcPr>
          <w:p>
            <w:pPr>
              <w:spacing w:line="300" w:lineRule="exact"/>
              <w:rPr>
                <w:rFonts w:ascii="仿宋_GB2312"/>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jc w:val="center"/>
        </w:trPr>
        <w:tc>
          <w:tcPr>
            <w:tcW w:w="616" w:type="dxa"/>
            <w:noWrap/>
            <w:vAlign w:val="center"/>
          </w:tcPr>
          <w:p>
            <w:pPr>
              <w:spacing w:line="300" w:lineRule="exact"/>
              <w:jc w:val="center"/>
              <w:rPr>
                <w:rFonts w:ascii="仿宋_GB2312"/>
                <w:color w:val="000000" w:themeColor="text1"/>
              </w:rPr>
            </w:pPr>
            <w:r>
              <w:rPr>
                <w:rFonts w:hint="eastAsia" w:ascii="仿宋_GB2312"/>
                <w:color w:val="000000" w:themeColor="text1"/>
              </w:rPr>
              <w:t>20</w:t>
            </w:r>
          </w:p>
        </w:tc>
        <w:tc>
          <w:tcPr>
            <w:tcW w:w="1616" w:type="dxa"/>
            <w:vAlign w:val="center"/>
          </w:tcPr>
          <w:p>
            <w:pPr>
              <w:spacing w:line="300" w:lineRule="exact"/>
              <w:jc w:val="center"/>
              <w:rPr>
                <w:rFonts w:ascii="仿宋_GB2312"/>
                <w:color w:val="000000" w:themeColor="text1"/>
              </w:rPr>
            </w:pPr>
            <w:r>
              <w:rPr>
                <w:rFonts w:hint="eastAsia" w:ascii="仿宋_GB2312"/>
                <w:color w:val="000000" w:themeColor="text1"/>
              </w:rPr>
              <w:t>精神障碍人员</w:t>
            </w:r>
          </w:p>
        </w:tc>
        <w:tc>
          <w:tcPr>
            <w:tcW w:w="4680" w:type="dxa"/>
            <w:vAlign w:val="center"/>
          </w:tcPr>
          <w:p>
            <w:pPr>
              <w:spacing w:line="300" w:lineRule="exact"/>
              <w:rPr>
                <w:rFonts w:ascii="仿宋_GB2312"/>
                <w:color w:val="000000" w:themeColor="text1"/>
              </w:rPr>
            </w:pPr>
            <w:r>
              <w:rPr>
                <w:rFonts w:hint="eastAsia" w:ascii="仿宋_GB2312"/>
                <w:color w:val="000000" w:themeColor="text1"/>
              </w:rPr>
              <w:t>公民身份号码、姓名、曾用名、性别、出生日期、民族、户籍地、户籍门(楼)详址、籍贯、学历、婚姻状况、政治面貌、宗教信仰、职业、现住地、危险程度、患病名称、康复机构、工作情况、家庭关系、经济状况、目前情绪状态、基本诉求</w:t>
            </w:r>
          </w:p>
        </w:tc>
        <w:tc>
          <w:tcPr>
            <w:tcW w:w="1359" w:type="dxa"/>
            <w:vAlign w:val="center"/>
          </w:tcPr>
          <w:p>
            <w:pPr>
              <w:spacing w:line="300" w:lineRule="exact"/>
              <w:rPr>
                <w:rFonts w:ascii="仿宋_GB2312"/>
                <w:color w:val="000000" w:themeColor="text1"/>
              </w:rPr>
            </w:pPr>
            <w:r>
              <w:rPr>
                <w:rFonts w:hint="eastAsia" w:ascii="仿宋_GB2312"/>
                <w:color w:val="000000" w:themeColor="text1"/>
              </w:rPr>
              <w:t>省综治办</w:t>
            </w:r>
          </w:p>
        </w:tc>
        <w:tc>
          <w:tcPr>
            <w:tcW w:w="1016" w:type="dxa"/>
            <w:vMerge w:val="continue"/>
            <w:vAlign w:val="center"/>
          </w:tcPr>
          <w:p>
            <w:pPr>
              <w:spacing w:line="300" w:lineRule="exact"/>
              <w:rPr>
                <w:rFonts w:ascii="仿宋_GB2312"/>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616" w:type="dxa"/>
            <w:noWrap/>
            <w:vAlign w:val="center"/>
          </w:tcPr>
          <w:p>
            <w:pPr>
              <w:spacing w:line="300" w:lineRule="exact"/>
              <w:jc w:val="center"/>
              <w:rPr>
                <w:rFonts w:ascii="仿宋_GB2312"/>
                <w:color w:val="000000" w:themeColor="text1"/>
              </w:rPr>
            </w:pPr>
            <w:r>
              <w:rPr>
                <w:rFonts w:hint="eastAsia" w:ascii="仿宋_GB2312"/>
                <w:color w:val="000000" w:themeColor="text1"/>
              </w:rPr>
              <w:t>21</w:t>
            </w:r>
          </w:p>
        </w:tc>
        <w:tc>
          <w:tcPr>
            <w:tcW w:w="1616" w:type="dxa"/>
            <w:vAlign w:val="center"/>
          </w:tcPr>
          <w:p>
            <w:pPr>
              <w:spacing w:line="300" w:lineRule="exact"/>
              <w:jc w:val="center"/>
              <w:rPr>
                <w:rFonts w:ascii="仿宋_GB2312"/>
                <w:color w:val="000000" w:themeColor="text1"/>
              </w:rPr>
            </w:pPr>
            <w:r>
              <w:rPr>
                <w:rFonts w:hint="eastAsia" w:ascii="仿宋_GB2312"/>
                <w:color w:val="000000" w:themeColor="text1"/>
              </w:rPr>
              <w:t>标准地址信息</w:t>
            </w:r>
          </w:p>
        </w:tc>
        <w:tc>
          <w:tcPr>
            <w:tcW w:w="4680" w:type="dxa"/>
            <w:vAlign w:val="center"/>
          </w:tcPr>
          <w:p>
            <w:pPr>
              <w:spacing w:line="300" w:lineRule="exact"/>
              <w:rPr>
                <w:rFonts w:ascii="仿宋_GB2312"/>
                <w:color w:val="000000" w:themeColor="text1"/>
              </w:rPr>
            </w:pPr>
            <w:r>
              <w:rPr>
                <w:rFonts w:hint="eastAsia" w:ascii="仿宋_GB2312"/>
                <w:color w:val="000000" w:themeColor="text1"/>
              </w:rPr>
              <w:t>标准地址信息</w:t>
            </w:r>
          </w:p>
        </w:tc>
        <w:tc>
          <w:tcPr>
            <w:tcW w:w="1359" w:type="dxa"/>
            <w:noWrap/>
            <w:vAlign w:val="center"/>
          </w:tcPr>
          <w:p>
            <w:pPr>
              <w:spacing w:line="300" w:lineRule="exact"/>
              <w:rPr>
                <w:rFonts w:ascii="仿宋_GB2312"/>
                <w:color w:val="000000" w:themeColor="text1"/>
              </w:rPr>
            </w:pPr>
            <w:r>
              <w:rPr>
                <w:rFonts w:hint="eastAsia" w:ascii="仿宋_GB2312"/>
                <w:color w:val="000000" w:themeColor="text1"/>
              </w:rPr>
              <w:t>市公安</w:t>
            </w:r>
          </w:p>
        </w:tc>
        <w:tc>
          <w:tcPr>
            <w:tcW w:w="1016" w:type="dxa"/>
            <w:vMerge w:val="continue"/>
            <w:vAlign w:val="center"/>
          </w:tcPr>
          <w:p>
            <w:pPr>
              <w:spacing w:line="300" w:lineRule="exact"/>
              <w:rPr>
                <w:rFonts w:ascii="仿宋_GB2312"/>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616" w:type="dxa"/>
            <w:noWrap/>
            <w:vAlign w:val="center"/>
          </w:tcPr>
          <w:p>
            <w:pPr>
              <w:spacing w:line="300" w:lineRule="exact"/>
              <w:jc w:val="center"/>
              <w:rPr>
                <w:rFonts w:ascii="仿宋_GB2312"/>
                <w:color w:val="000000" w:themeColor="text1"/>
              </w:rPr>
            </w:pPr>
            <w:r>
              <w:rPr>
                <w:rFonts w:hint="eastAsia" w:ascii="仿宋_GB2312"/>
                <w:color w:val="000000" w:themeColor="text1"/>
              </w:rPr>
              <w:t>22</w:t>
            </w:r>
          </w:p>
        </w:tc>
        <w:tc>
          <w:tcPr>
            <w:tcW w:w="1616" w:type="dxa"/>
            <w:vAlign w:val="center"/>
          </w:tcPr>
          <w:p>
            <w:pPr>
              <w:spacing w:line="300" w:lineRule="exact"/>
              <w:jc w:val="center"/>
              <w:rPr>
                <w:rFonts w:ascii="仿宋_GB2312"/>
                <w:color w:val="000000" w:themeColor="text1"/>
              </w:rPr>
            </w:pPr>
            <w:r>
              <w:rPr>
                <w:rFonts w:hint="eastAsia" w:ascii="仿宋_GB2312"/>
                <w:color w:val="000000" w:themeColor="text1"/>
              </w:rPr>
              <w:t>视频台账信息</w:t>
            </w:r>
          </w:p>
        </w:tc>
        <w:tc>
          <w:tcPr>
            <w:tcW w:w="4680" w:type="dxa"/>
            <w:vAlign w:val="center"/>
          </w:tcPr>
          <w:p>
            <w:pPr>
              <w:spacing w:line="300" w:lineRule="exact"/>
              <w:rPr>
                <w:rFonts w:ascii="仿宋_GB2312"/>
                <w:color w:val="000000" w:themeColor="text1"/>
              </w:rPr>
            </w:pPr>
            <w:r>
              <w:rPr>
                <w:rFonts w:hint="eastAsia" w:ascii="仿宋_GB2312"/>
                <w:color w:val="000000" w:themeColor="text1"/>
              </w:rPr>
              <w:t>名称、点位类型、在线状态、视频分类、描述、安装地址、所属区域、坐标等信息</w:t>
            </w:r>
          </w:p>
        </w:tc>
        <w:tc>
          <w:tcPr>
            <w:tcW w:w="1359" w:type="dxa"/>
            <w:noWrap/>
            <w:vAlign w:val="center"/>
          </w:tcPr>
          <w:p>
            <w:pPr>
              <w:spacing w:line="300" w:lineRule="exact"/>
              <w:rPr>
                <w:rFonts w:ascii="仿宋_GB2312"/>
                <w:color w:val="000000" w:themeColor="text1"/>
              </w:rPr>
            </w:pPr>
            <w:r>
              <w:rPr>
                <w:rFonts w:hint="eastAsia" w:ascii="仿宋_GB2312"/>
                <w:color w:val="000000" w:themeColor="text1"/>
              </w:rPr>
              <w:t>市公安</w:t>
            </w:r>
          </w:p>
        </w:tc>
        <w:tc>
          <w:tcPr>
            <w:tcW w:w="1016" w:type="dxa"/>
            <w:vMerge w:val="continue"/>
            <w:vAlign w:val="center"/>
          </w:tcPr>
          <w:p>
            <w:pPr>
              <w:spacing w:line="300" w:lineRule="exact"/>
              <w:rPr>
                <w:rFonts w:ascii="仿宋_GB2312"/>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616" w:type="dxa"/>
            <w:noWrap/>
            <w:vAlign w:val="center"/>
          </w:tcPr>
          <w:p>
            <w:pPr>
              <w:spacing w:line="300" w:lineRule="exact"/>
              <w:jc w:val="center"/>
              <w:rPr>
                <w:rFonts w:ascii="仿宋_GB2312"/>
                <w:color w:val="000000" w:themeColor="text1"/>
              </w:rPr>
            </w:pPr>
            <w:r>
              <w:rPr>
                <w:rFonts w:hint="eastAsia" w:ascii="仿宋_GB2312"/>
                <w:color w:val="000000" w:themeColor="text1"/>
              </w:rPr>
              <w:t>23</w:t>
            </w:r>
          </w:p>
        </w:tc>
        <w:tc>
          <w:tcPr>
            <w:tcW w:w="1616" w:type="dxa"/>
            <w:vAlign w:val="center"/>
          </w:tcPr>
          <w:p>
            <w:pPr>
              <w:spacing w:line="300" w:lineRule="exact"/>
              <w:jc w:val="center"/>
              <w:rPr>
                <w:rFonts w:ascii="仿宋_GB2312"/>
                <w:color w:val="000000" w:themeColor="text1"/>
              </w:rPr>
            </w:pPr>
            <w:r>
              <w:rPr>
                <w:rFonts w:hint="eastAsia" w:ascii="仿宋_GB2312"/>
                <w:color w:val="000000" w:themeColor="text1"/>
              </w:rPr>
              <w:t>公安案件数据</w:t>
            </w:r>
          </w:p>
        </w:tc>
        <w:tc>
          <w:tcPr>
            <w:tcW w:w="4680" w:type="dxa"/>
            <w:vAlign w:val="center"/>
          </w:tcPr>
          <w:p>
            <w:pPr>
              <w:spacing w:line="300" w:lineRule="exact"/>
              <w:rPr>
                <w:rFonts w:ascii="仿宋_GB2312"/>
                <w:color w:val="000000" w:themeColor="text1"/>
              </w:rPr>
            </w:pPr>
            <w:r>
              <w:rPr>
                <w:rFonts w:hint="eastAsia" w:ascii="仿宋_GB2312"/>
                <w:color w:val="000000" w:themeColor="text1"/>
              </w:rPr>
              <w:t>案件侦查信息</w:t>
            </w:r>
          </w:p>
        </w:tc>
        <w:tc>
          <w:tcPr>
            <w:tcW w:w="1359" w:type="dxa"/>
            <w:vAlign w:val="center"/>
          </w:tcPr>
          <w:p>
            <w:pPr>
              <w:spacing w:line="300" w:lineRule="exact"/>
              <w:rPr>
                <w:rFonts w:ascii="仿宋_GB2312"/>
                <w:color w:val="000000" w:themeColor="text1"/>
              </w:rPr>
            </w:pPr>
            <w:r>
              <w:rPr>
                <w:rFonts w:hint="eastAsia" w:ascii="仿宋_GB2312"/>
                <w:color w:val="000000" w:themeColor="text1"/>
              </w:rPr>
              <w:t>市公安</w:t>
            </w:r>
          </w:p>
        </w:tc>
        <w:tc>
          <w:tcPr>
            <w:tcW w:w="1016" w:type="dxa"/>
            <w:vMerge w:val="continue"/>
            <w:vAlign w:val="center"/>
          </w:tcPr>
          <w:p>
            <w:pPr>
              <w:spacing w:line="300" w:lineRule="exact"/>
              <w:rPr>
                <w:rFonts w:ascii="仿宋_GB2312"/>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616" w:type="dxa"/>
            <w:noWrap/>
            <w:vAlign w:val="center"/>
          </w:tcPr>
          <w:p>
            <w:pPr>
              <w:spacing w:line="300" w:lineRule="exact"/>
              <w:jc w:val="center"/>
              <w:rPr>
                <w:rFonts w:ascii="仿宋_GB2312"/>
                <w:color w:val="000000" w:themeColor="text1"/>
              </w:rPr>
            </w:pPr>
            <w:r>
              <w:rPr>
                <w:rFonts w:hint="eastAsia" w:ascii="仿宋_GB2312"/>
                <w:color w:val="000000" w:themeColor="text1"/>
              </w:rPr>
              <w:t>24</w:t>
            </w:r>
          </w:p>
        </w:tc>
        <w:tc>
          <w:tcPr>
            <w:tcW w:w="1616" w:type="dxa"/>
            <w:vAlign w:val="center"/>
          </w:tcPr>
          <w:p>
            <w:pPr>
              <w:spacing w:line="300" w:lineRule="exact"/>
              <w:jc w:val="center"/>
              <w:rPr>
                <w:rFonts w:ascii="仿宋_GB2312"/>
                <w:color w:val="000000" w:themeColor="text1"/>
              </w:rPr>
            </w:pPr>
            <w:r>
              <w:rPr>
                <w:rFonts w:hint="eastAsia" w:ascii="仿宋_GB2312"/>
                <w:color w:val="000000" w:themeColor="text1"/>
              </w:rPr>
              <w:t>检察院案件数据</w:t>
            </w:r>
          </w:p>
        </w:tc>
        <w:tc>
          <w:tcPr>
            <w:tcW w:w="4680" w:type="dxa"/>
            <w:vAlign w:val="center"/>
          </w:tcPr>
          <w:p>
            <w:pPr>
              <w:spacing w:line="300" w:lineRule="exact"/>
              <w:rPr>
                <w:rFonts w:ascii="仿宋_GB2312"/>
                <w:color w:val="000000" w:themeColor="text1"/>
              </w:rPr>
            </w:pPr>
            <w:r>
              <w:rPr>
                <w:rFonts w:hint="eastAsia" w:ascii="仿宋_GB2312"/>
                <w:color w:val="000000" w:themeColor="text1"/>
              </w:rPr>
              <w:t>批捕起诉信息；民事、刑事案件信息</w:t>
            </w:r>
          </w:p>
        </w:tc>
        <w:tc>
          <w:tcPr>
            <w:tcW w:w="1359" w:type="dxa"/>
            <w:vAlign w:val="center"/>
          </w:tcPr>
          <w:p>
            <w:pPr>
              <w:spacing w:line="300" w:lineRule="exact"/>
              <w:rPr>
                <w:rFonts w:ascii="仿宋_GB2312"/>
                <w:color w:val="000000" w:themeColor="text1"/>
              </w:rPr>
            </w:pPr>
            <w:r>
              <w:rPr>
                <w:rFonts w:hint="eastAsia" w:ascii="仿宋_GB2312"/>
                <w:color w:val="000000" w:themeColor="text1"/>
              </w:rPr>
              <w:t>市检察院</w:t>
            </w:r>
          </w:p>
        </w:tc>
        <w:tc>
          <w:tcPr>
            <w:tcW w:w="1016" w:type="dxa"/>
            <w:vMerge w:val="continue"/>
            <w:vAlign w:val="center"/>
          </w:tcPr>
          <w:p>
            <w:pPr>
              <w:spacing w:line="300" w:lineRule="exact"/>
              <w:rPr>
                <w:rFonts w:ascii="仿宋_GB2312"/>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616" w:type="dxa"/>
            <w:noWrap/>
            <w:vAlign w:val="center"/>
          </w:tcPr>
          <w:p>
            <w:pPr>
              <w:spacing w:line="300" w:lineRule="exact"/>
              <w:jc w:val="center"/>
              <w:rPr>
                <w:rFonts w:ascii="仿宋_GB2312"/>
                <w:color w:val="000000" w:themeColor="text1"/>
              </w:rPr>
            </w:pPr>
            <w:r>
              <w:rPr>
                <w:rFonts w:hint="eastAsia" w:ascii="仿宋_GB2312"/>
                <w:color w:val="000000" w:themeColor="text1"/>
              </w:rPr>
              <w:t>25</w:t>
            </w:r>
          </w:p>
        </w:tc>
        <w:tc>
          <w:tcPr>
            <w:tcW w:w="1616" w:type="dxa"/>
            <w:vAlign w:val="center"/>
          </w:tcPr>
          <w:p>
            <w:pPr>
              <w:spacing w:line="300" w:lineRule="exact"/>
              <w:jc w:val="center"/>
              <w:rPr>
                <w:rFonts w:ascii="仿宋_GB2312"/>
                <w:color w:val="000000" w:themeColor="text1"/>
              </w:rPr>
            </w:pPr>
            <w:r>
              <w:rPr>
                <w:rFonts w:hint="eastAsia" w:ascii="仿宋_GB2312"/>
                <w:color w:val="000000" w:themeColor="text1"/>
              </w:rPr>
              <w:t>法院案件数据</w:t>
            </w:r>
          </w:p>
        </w:tc>
        <w:tc>
          <w:tcPr>
            <w:tcW w:w="4680" w:type="dxa"/>
            <w:vAlign w:val="center"/>
          </w:tcPr>
          <w:p>
            <w:pPr>
              <w:spacing w:line="300" w:lineRule="exact"/>
              <w:rPr>
                <w:rFonts w:ascii="仿宋_GB2312"/>
                <w:color w:val="000000" w:themeColor="text1"/>
              </w:rPr>
            </w:pPr>
            <w:r>
              <w:rPr>
                <w:rFonts w:hint="eastAsia" w:ascii="仿宋_GB2312"/>
                <w:color w:val="000000" w:themeColor="text1"/>
              </w:rPr>
              <w:t>案件审判、执行信息；</w:t>
            </w:r>
          </w:p>
        </w:tc>
        <w:tc>
          <w:tcPr>
            <w:tcW w:w="1359" w:type="dxa"/>
            <w:vAlign w:val="center"/>
          </w:tcPr>
          <w:p>
            <w:pPr>
              <w:spacing w:line="300" w:lineRule="exact"/>
              <w:rPr>
                <w:rFonts w:ascii="仿宋_GB2312"/>
                <w:color w:val="000000" w:themeColor="text1"/>
              </w:rPr>
            </w:pPr>
            <w:r>
              <w:rPr>
                <w:rFonts w:hint="eastAsia" w:ascii="仿宋_GB2312"/>
                <w:color w:val="000000" w:themeColor="text1"/>
              </w:rPr>
              <w:t>市法院</w:t>
            </w:r>
          </w:p>
        </w:tc>
        <w:tc>
          <w:tcPr>
            <w:tcW w:w="1016" w:type="dxa"/>
            <w:vMerge w:val="continue"/>
            <w:vAlign w:val="center"/>
          </w:tcPr>
          <w:p>
            <w:pPr>
              <w:spacing w:line="300" w:lineRule="exact"/>
              <w:rPr>
                <w:rFonts w:ascii="仿宋_GB2312"/>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616" w:type="dxa"/>
            <w:noWrap/>
            <w:vAlign w:val="center"/>
          </w:tcPr>
          <w:p>
            <w:pPr>
              <w:spacing w:line="300" w:lineRule="exact"/>
              <w:jc w:val="center"/>
              <w:rPr>
                <w:rFonts w:ascii="仿宋_GB2312"/>
                <w:color w:val="000000" w:themeColor="text1"/>
              </w:rPr>
            </w:pPr>
            <w:r>
              <w:rPr>
                <w:rFonts w:hint="eastAsia" w:ascii="仿宋_GB2312"/>
                <w:color w:val="000000" w:themeColor="text1"/>
              </w:rPr>
              <w:t>26</w:t>
            </w:r>
          </w:p>
        </w:tc>
        <w:tc>
          <w:tcPr>
            <w:tcW w:w="1616" w:type="dxa"/>
            <w:vAlign w:val="center"/>
          </w:tcPr>
          <w:p>
            <w:pPr>
              <w:spacing w:line="300" w:lineRule="exact"/>
              <w:jc w:val="center"/>
              <w:rPr>
                <w:rFonts w:ascii="仿宋_GB2312"/>
                <w:color w:val="000000" w:themeColor="text1"/>
              </w:rPr>
            </w:pPr>
            <w:r>
              <w:rPr>
                <w:rFonts w:hint="eastAsia" w:ascii="仿宋_GB2312"/>
                <w:color w:val="000000" w:themeColor="text1"/>
              </w:rPr>
              <w:t>8890便民服务中心数据</w:t>
            </w:r>
          </w:p>
        </w:tc>
        <w:tc>
          <w:tcPr>
            <w:tcW w:w="4680" w:type="dxa"/>
            <w:vAlign w:val="center"/>
          </w:tcPr>
          <w:p>
            <w:pPr>
              <w:spacing w:line="300" w:lineRule="exact"/>
              <w:rPr>
                <w:rFonts w:ascii="仿宋_GB2312"/>
                <w:color w:val="000000" w:themeColor="text1"/>
              </w:rPr>
            </w:pPr>
            <w:r>
              <w:rPr>
                <w:rFonts w:hint="eastAsia" w:ascii="仿宋_GB2312"/>
                <w:color w:val="000000" w:themeColor="text1"/>
              </w:rPr>
              <w:t>咨询事件信息、生活服务事件信息、效能投诉事件信息</w:t>
            </w:r>
          </w:p>
        </w:tc>
        <w:tc>
          <w:tcPr>
            <w:tcW w:w="1359" w:type="dxa"/>
            <w:vAlign w:val="center"/>
          </w:tcPr>
          <w:p>
            <w:pPr>
              <w:spacing w:line="300" w:lineRule="exact"/>
              <w:rPr>
                <w:rFonts w:ascii="仿宋_GB2312"/>
                <w:color w:val="000000" w:themeColor="text1"/>
              </w:rPr>
            </w:pPr>
            <w:r>
              <w:rPr>
                <w:rFonts w:hint="eastAsia" w:ascii="仿宋_GB2312"/>
                <w:color w:val="000000" w:themeColor="text1"/>
              </w:rPr>
              <w:t>8890便民服务中心</w:t>
            </w:r>
          </w:p>
        </w:tc>
        <w:tc>
          <w:tcPr>
            <w:tcW w:w="1016" w:type="dxa"/>
            <w:vAlign w:val="center"/>
          </w:tcPr>
          <w:p>
            <w:pPr>
              <w:spacing w:line="300" w:lineRule="exact"/>
              <w:rPr>
                <w:rFonts w:ascii="仿宋_GB2312"/>
                <w:color w:val="000000" w:themeColor="text1"/>
              </w:rPr>
            </w:pPr>
          </w:p>
        </w:tc>
      </w:tr>
    </w:tbl>
    <w:p>
      <w:pPr>
        <w:ind w:firstLine="480"/>
        <w:rPr>
          <w:color w:val="000000" w:themeColor="text1"/>
        </w:rPr>
      </w:pPr>
    </w:p>
    <w:p>
      <w:pPr>
        <w:ind w:firstLine="480"/>
        <w:rPr>
          <w:color w:val="000000" w:themeColor="text1"/>
        </w:rPr>
      </w:pPr>
      <w:r>
        <w:rPr>
          <w:color w:val="000000" w:themeColor="text1"/>
        </w:rPr>
        <w:t>应用系统安全要求</w:t>
      </w:r>
    </w:p>
    <w:p>
      <w:pPr>
        <w:ind w:firstLine="480"/>
        <w:rPr>
          <w:color w:val="000000" w:themeColor="text1"/>
        </w:rPr>
      </w:pPr>
      <w:r>
        <w:rPr>
          <w:rFonts w:hint="eastAsia"/>
          <w:color w:val="000000" w:themeColor="text1"/>
        </w:rPr>
        <w:t>应用系统的安全保障采用在政务云上租赁安全系统的方式。</w:t>
      </w:r>
    </w:p>
    <w:p>
      <w:pPr>
        <w:ind w:firstLine="480"/>
        <w:rPr>
          <w:color w:val="000000" w:themeColor="text1"/>
        </w:rPr>
      </w:pPr>
      <w:r>
        <w:rPr>
          <w:color w:val="000000" w:themeColor="text1"/>
        </w:rPr>
        <w:t>本次专网部署多个</w:t>
      </w:r>
      <w:r>
        <w:rPr>
          <w:rFonts w:hint="eastAsia"/>
          <w:color w:val="000000" w:themeColor="text1"/>
        </w:rPr>
        <w:t>应用</w:t>
      </w:r>
      <w:r>
        <w:rPr>
          <w:color w:val="000000" w:themeColor="text1"/>
        </w:rPr>
        <w:t>系统，系统内包含了大量重要的敏感业务数据，这些敏感数据必须通过有效的安全保护，才能保障数据的安全。通过数据库安全管理系统，依据敏感数据分类管理机制，敏感数据脱离数据库账户的自主访问控制体系，从大量数据中隔离开来，包括DBA、SYSDBA、数据Schema用户等账户，都无法直接访问敏感数据，必须进行授权后才可以访问敏感数据。</w:t>
      </w:r>
    </w:p>
    <w:p>
      <w:pPr>
        <w:ind w:firstLine="480"/>
        <w:rPr>
          <w:color w:val="000000" w:themeColor="text1"/>
        </w:rPr>
      </w:pPr>
      <w:r>
        <w:rPr>
          <w:color w:val="000000" w:themeColor="text1"/>
        </w:rPr>
        <w:t>通过特定授权的安全应用进行访问，能阻止不授权用户或应用登陆后台数据库，针对Sqlplus、Sqldev等通用工具，通过灵活的安全配置规则，包含IP地址、用户名、操作时间、应用程序等多个要素。数据库安全管理系统可以识别“假冒”应用，避免非法人员利用黑客工具盗取业务系统内的敏感数据。针对敏感数据上的敏感类操作，可以结合专用U盾认证，来对敏感操作进行控制，确保每次操作责任到人。通过数字证书和U盾等信息替代数据库账户来进行访问人员识别，达成数据库访问和访问人员身份的一致性，极大的增强业务数据库访问人员安全性。</w:t>
      </w:r>
    </w:p>
    <w:p>
      <w:pPr>
        <w:ind w:firstLine="480"/>
        <w:rPr>
          <w:color w:val="000000" w:themeColor="text1"/>
        </w:rPr>
      </w:pPr>
      <w:r>
        <w:rPr>
          <w:color w:val="000000" w:themeColor="text1"/>
        </w:rPr>
        <w:t>数据库堡垒机是一个对应用透明的，可以实现数据库运维工具管理、运维人员管理。</w:t>
      </w:r>
    </w:p>
    <w:p>
      <w:pPr>
        <w:ind w:firstLine="480"/>
        <w:rPr>
          <w:color w:val="000000" w:themeColor="text1"/>
        </w:rPr>
      </w:pPr>
      <w:bookmarkStart w:id="374" w:name="_Toc521863895"/>
      <w:r>
        <w:rPr>
          <w:color w:val="000000" w:themeColor="text1"/>
        </w:rPr>
        <w:t>系统安全</w:t>
      </w:r>
      <w:bookmarkEnd w:id="374"/>
    </w:p>
    <w:p>
      <w:pPr>
        <w:ind w:firstLine="480"/>
        <w:rPr>
          <w:color w:val="000000" w:themeColor="text1"/>
        </w:rPr>
      </w:pPr>
      <w:r>
        <w:rPr>
          <w:color w:val="000000" w:themeColor="text1"/>
        </w:rPr>
        <w:t>系统安全重点解决操作系统、数据库和服务器等系统级安全问题，以建立一个安全的系统运行平台，来有效抵抗黑客利用系统的安全缺陷对系统进行攻击，主要措施包括：安全操作系统、安全数据库、黑客入侵检测、系统漏洞扫描及病毒防护系统等。</w:t>
      </w:r>
    </w:p>
    <w:p>
      <w:pPr>
        <w:ind w:firstLine="480"/>
        <w:rPr>
          <w:color w:val="000000" w:themeColor="text1"/>
        </w:rPr>
      </w:pPr>
      <w:r>
        <w:rPr>
          <w:color w:val="000000" w:themeColor="text1"/>
        </w:rPr>
        <w:t>通过安装配置网络版杀毒软件，有效地杀除主机及网络病毒，并能够自动在线升级病毒库，防范最新的病毒，维护网络的整体安全。</w:t>
      </w:r>
    </w:p>
    <w:p>
      <w:pPr>
        <w:ind w:firstLine="480"/>
        <w:rPr>
          <w:color w:val="000000" w:themeColor="text1"/>
        </w:rPr>
      </w:pPr>
      <w:r>
        <w:rPr>
          <w:color w:val="000000" w:themeColor="text1"/>
        </w:rPr>
        <w:t>通过漏洞扫描、入侵检测以及日志审计组成的“事前、事中、事后”三阶段立体防范体系，有效地防范黑客入侵行为；通过不同安全组件之间的互动防范，使得黑客防范体系具备一定的智能性，动态防范未来黑客的入侵行为。</w:t>
      </w:r>
    </w:p>
    <w:p>
      <w:pPr>
        <w:ind w:firstLine="480"/>
        <w:rPr>
          <w:color w:val="000000" w:themeColor="text1"/>
        </w:rPr>
      </w:pPr>
      <w:r>
        <w:rPr>
          <w:color w:val="000000" w:themeColor="text1"/>
        </w:rPr>
        <w:t>数据库运维安全</w:t>
      </w:r>
    </w:p>
    <w:p>
      <w:pPr>
        <w:ind w:firstLine="480"/>
        <w:rPr>
          <w:color w:val="000000" w:themeColor="text1"/>
        </w:rPr>
      </w:pPr>
      <w:r>
        <w:rPr>
          <w:color w:val="000000" w:themeColor="text1"/>
        </w:rPr>
        <w:t>系统概述：数据库运维安全管理主要目标是实现第三方运维人员、开发人员、内部运维人员、应用系统合法的授权用户、操作系统管理员、数据库管理员的管理，包括运维人员和开发人员的正确识别，避免非运维人员利用运维工具访问，阻断入侵者和黑客通过运维路径进入数据库和访问敏感数据。总体而言，主要包含以下目标：</w:t>
      </w:r>
    </w:p>
    <w:p>
      <w:pPr>
        <w:ind w:firstLine="480"/>
        <w:rPr>
          <w:color w:val="000000" w:themeColor="text1"/>
        </w:rPr>
      </w:pPr>
      <w:r>
        <w:rPr>
          <w:color w:val="000000" w:themeColor="text1"/>
        </w:rPr>
        <w:t>1、敏感数据分类分级和三权分立机制的实现</w:t>
      </w:r>
    </w:p>
    <w:p>
      <w:pPr>
        <w:ind w:firstLine="480"/>
        <w:rPr>
          <w:color w:val="000000" w:themeColor="text1"/>
        </w:rPr>
      </w:pPr>
      <w:r>
        <w:rPr>
          <w:color w:val="000000" w:themeColor="text1"/>
        </w:rPr>
        <w:t>敏感数据保护安全管理的基础需要建立敏感数据分类分级和三权分立的机制实现，数据库运维堡垒机不仅仅实现了敏感数据分类，而且还实现了危险性操作集合的定义。</w:t>
      </w:r>
    </w:p>
    <w:p>
      <w:pPr>
        <w:ind w:firstLine="480"/>
        <w:rPr>
          <w:color w:val="000000" w:themeColor="text1"/>
        </w:rPr>
      </w:pPr>
      <w:r>
        <w:rPr>
          <w:color w:val="000000" w:themeColor="text1"/>
        </w:rPr>
        <w:t>2、隔离敏感数据，避免运维人员接触敏感数据</w:t>
      </w:r>
    </w:p>
    <w:p>
      <w:pPr>
        <w:ind w:firstLine="480"/>
        <w:rPr>
          <w:color w:val="000000" w:themeColor="text1"/>
        </w:rPr>
      </w:pPr>
      <w:r>
        <w:rPr>
          <w:color w:val="000000" w:themeColor="text1"/>
        </w:rPr>
        <w:t>运维和开发人员从本质上不应该接触敏感数据，隔离敏感数据被运维人员接触，极大程度的降低运维安全风险的产生，保护运维人员。</w:t>
      </w:r>
    </w:p>
    <w:p>
      <w:pPr>
        <w:ind w:firstLine="480"/>
        <w:rPr>
          <w:color w:val="000000" w:themeColor="text1"/>
        </w:rPr>
      </w:pPr>
      <w:r>
        <w:rPr>
          <w:color w:val="000000" w:themeColor="text1"/>
        </w:rPr>
        <w:t>3、危险性操作防御和误操作快速恢复</w:t>
      </w:r>
    </w:p>
    <w:p>
      <w:pPr>
        <w:ind w:firstLine="480"/>
        <w:rPr>
          <w:color w:val="000000" w:themeColor="text1"/>
        </w:rPr>
      </w:pPr>
      <w:r>
        <w:rPr>
          <w:color w:val="000000" w:themeColor="text1"/>
        </w:rPr>
        <w:t>运维操作往往在高度疲乏的环境中进行，很容易产生误操作。数据库运维安全通过危险性操作来降低甚至避免误操作的发生，并且可以在误操作发生之后执行快速的恢复。</w:t>
      </w:r>
    </w:p>
    <w:p>
      <w:pPr>
        <w:ind w:firstLine="480"/>
        <w:rPr>
          <w:color w:val="000000" w:themeColor="text1"/>
        </w:rPr>
      </w:pPr>
      <w:r>
        <w:rPr>
          <w:color w:val="000000" w:themeColor="text1"/>
        </w:rPr>
        <w:t>4、构建黑客入侵的最后一道防线</w:t>
      </w:r>
    </w:p>
    <w:p>
      <w:pPr>
        <w:ind w:firstLine="480"/>
        <w:rPr>
          <w:color w:val="000000" w:themeColor="text1"/>
        </w:rPr>
      </w:pPr>
      <w:r>
        <w:rPr>
          <w:color w:val="000000" w:themeColor="text1"/>
        </w:rPr>
        <w:t>互联网的发达使黑客比较以前更加容易进入到内部网络，通过数据库运维安全管理体系的建设，可以构成黑客入侵的最后一道防线，使其无法进入数据库或者无法接触敏感数据和危险性操作。</w:t>
      </w:r>
    </w:p>
    <w:p>
      <w:pPr>
        <w:ind w:firstLine="480"/>
        <w:rPr>
          <w:color w:val="000000" w:themeColor="text1"/>
        </w:rPr>
      </w:pPr>
      <w:r>
        <w:rPr>
          <w:color w:val="000000" w:themeColor="text1"/>
        </w:rPr>
        <w:t>5、敏感数据定义和分级分类</w:t>
      </w:r>
    </w:p>
    <w:p>
      <w:pPr>
        <w:ind w:firstLine="480"/>
        <w:rPr>
          <w:color w:val="000000" w:themeColor="text1"/>
        </w:rPr>
      </w:pPr>
      <w:r>
        <w:rPr>
          <w:color w:val="000000" w:themeColor="text1"/>
        </w:rPr>
        <w:t>以表格为基础的敏感数据分类分级，表格是数据库数据的基础存储单元，代表了数据的基本特征。通过表格归类形成一个个敏感数据集合，并且对敏感数据集合进行敏感级别定义。</w:t>
      </w:r>
    </w:p>
    <w:p>
      <w:pPr>
        <w:ind w:firstLine="480"/>
        <w:rPr>
          <w:color w:val="000000" w:themeColor="text1"/>
        </w:rPr>
      </w:pPr>
      <w:r>
        <w:rPr>
          <w:color w:val="000000" w:themeColor="text1"/>
        </w:rPr>
        <w:t>6、特权账户管理和敏感数据隔离</w:t>
      </w:r>
    </w:p>
    <w:p>
      <w:pPr>
        <w:ind w:firstLine="480"/>
        <w:rPr>
          <w:color w:val="000000" w:themeColor="text1"/>
        </w:rPr>
      </w:pPr>
      <w:r>
        <w:rPr>
          <w:color w:val="000000" w:themeColor="text1"/>
        </w:rPr>
        <w:t>隔离DBA特权管理，SYSDBA和DBA拥有数据库的最高权限，天然可以访问任何数据。敏感数据保护隔离DBA特权，使DBA不再具有访问敏感数据的天然权限，保护敏感数据安全。</w:t>
      </w:r>
    </w:p>
    <w:p>
      <w:pPr>
        <w:ind w:firstLine="480"/>
        <w:rPr>
          <w:color w:val="000000" w:themeColor="text1"/>
        </w:rPr>
      </w:pPr>
      <w:r>
        <w:rPr>
          <w:color w:val="000000" w:themeColor="text1"/>
        </w:rPr>
        <w:t>隔离其他any权限特权管理，Select(update,insert,delete,drop)anytable等系统权限拥有访问任意数据的能力。敏感数据保护隔离any权限的特权，使any权限不再具有访问敏感数据的天然权限，保护敏感数据安全。</w:t>
      </w:r>
    </w:p>
    <w:p>
      <w:pPr>
        <w:ind w:firstLine="480"/>
        <w:rPr>
          <w:color w:val="000000" w:themeColor="text1"/>
        </w:rPr>
      </w:pPr>
      <w:r>
        <w:rPr>
          <w:color w:val="000000" w:themeColor="text1"/>
        </w:rPr>
        <w:t>通过对敏感数据分级分类和危险操作定义，可以把敏感数据和危险操作从海量事件审计数据中分离出来，使安全管理工作的重点聚焦在真正需要关注的安全事件之上。</w:t>
      </w:r>
    </w:p>
    <w:p>
      <w:pPr>
        <w:ind w:firstLine="480"/>
        <w:rPr>
          <w:color w:val="000000" w:themeColor="text1"/>
        </w:rPr>
      </w:pPr>
      <w:r>
        <w:rPr>
          <w:color w:val="000000" w:themeColor="text1"/>
        </w:rPr>
        <w:t>7、运维人员管理和运维合规</w:t>
      </w:r>
    </w:p>
    <w:p>
      <w:pPr>
        <w:ind w:firstLine="480"/>
        <w:rPr>
          <w:color w:val="000000" w:themeColor="text1"/>
        </w:rPr>
      </w:pPr>
      <w:r>
        <w:rPr>
          <w:color w:val="000000" w:themeColor="text1"/>
        </w:rPr>
        <w:t>众多的法令法规（等级保护、企业内控条例、SOX、PCI、HIPAA、GLBA等）都对运维安全提出了不同的安全需求，其核心都在于运维人员的行为管理。数据库运维堡垒机包含了众多法规的配置向导和完整的报表方便运维操作完成法规遵循，降低运营风险。</w:t>
      </w:r>
    </w:p>
    <w:p>
      <w:pPr>
        <w:ind w:firstLine="480"/>
        <w:rPr>
          <w:color w:val="000000" w:themeColor="text1"/>
        </w:rPr>
      </w:pPr>
      <w:r>
        <w:rPr>
          <w:color w:val="000000" w:themeColor="text1"/>
        </w:rPr>
        <w:t>DBA等运维人员管理和合规，帮助DBA和驻场合作伙伴等运维开发人员运维合规隔离敏感数据，危险性操作防御降低了犯错的可能性，简单的工作日志可以及时发现运维工作是否合规。合作伙伴或者其他机构临时需要访问数据库，通过身份交付，工作日志的形式确保临时性访客运维合规，降低各种未知风险。</w:t>
      </w:r>
    </w:p>
    <w:p>
      <w:pPr>
        <w:ind w:firstLine="480"/>
        <w:rPr>
          <w:color w:val="000000" w:themeColor="text1"/>
        </w:rPr>
      </w:pPr>
      <w:r>
        <w:rPr>
          <w:color w:val="000000" w:themeColor="text1"/>
        </w:rPr>
        <w:t>数据库准入系统</w:t>
      </w:r>
    </w:p>
    <w:p>
      <w:pPr>
        <w:ind w:firstLine="480"/>
        <w:rPr>
          <w:color w:val="000000" w:themeColor="text1"/>
        </w:rPr>
      </w:pPr>
      <w:r>
        <w:rPr>
          <w:color w:val="000000" w:themeColor="text1"/>
        </w:rPr>
        <w:t>系统概述：数据库准入系统提供了完整的身份认证解决方案，采用双因素或者多因素验证，仅允许合法的可信任的人、或合法的可信任的设备接入数据库，对非法的数据库请求行为做到实时检测和告警，并提供完整的分析报告，数据库准入系统还可以主动检测密码猜测暴力行为，可以设置密码猜测次数限制，达到密码猜测限制时，直接锁定猜测终端。</w:t>
      </w:r>
    </w:p>
    <w:p>
      <w:pPr>
        <w:ind w:firstLine="480"/>
        <w:rPr>
          <w:color w:val="000000" w:themeColor="text1"/>
        </w:rPr>
      </w:pPr>
      <w:r>
        <w:rPr>
          <w:color w:val="000000" w:themeColor="text1"/>
        </w:rPr>
        <w:t>从数据库准入的角度考虑，需要重点在以下领域进行关注：</w:t>
      </w:r>
    </w:p>
    <w:p>
      <w:pPr>
        <w:ind w:firstLine="480"/>
        <w:rPr>
          <w:color w:val="000000" w:themeColor="text1"/>
        </w:rPr>
      </w:pPr>
      <w:r>
        <w:rPr>
          <w:color w:val="000000" w:themeColor="text1"/>
        </w:rPr>
        <w:t>1、多维身份认证，保障数据库账号安全</w:t>
      </w:r>
    </w:p>
    <w:p>
      <w:pPr>
        <w:ind w:firstLine="480"/>
        <w:rPr>
          <w:color w:val="000000" w:themeColor="text1"/>
        </w:rPr>
      </w:pPr>
      <w:r>
        <w:rPr>
          <w:color w:val="000000" w:themeColor="text1"/>
        </w:rPr>
        <w:t>事实证明单纯依赖账户和密码的数据库准入机制存在非常大的安全隐患。数据库准入系统提供了周密完整的身份认证解决方案，采用双因素或者多因素验证，仅允许合法的可信任的人、或合法的可信任的设备接入数据库，有效保护数据库安全。</w:t>
      </w:r>
    </w:p>
    <w:p>
      <w:pPr>
        <w:ind w:firstLine="480"/>
        <w:rPr>
          <w:color w:val="000000" w:themeColor="text1"/>
        </w:rPr>
      </w:pPr>
      <w:r>
        <w:rPr>
          <w:color w:val="000000" w:themeColor="text1"/>
        </w:rPr>
        <w:t>2、实时监测密码猜测和泄露，全面防御密码攻击</w:t>
      </w:r>
    </w:p>
    <w:p>
      <w:pPr>
        <w:ind w:firstLine="480"/>
        <w:rPr>
          <w:color w:val="000000" w:themeColor="text1"/>
        </w:rPr>
      </w:pPr>
      <w:r>
        <w:rPr>
          <w:color w:val="000000" w:themeColor="text1"/>
        </w:rPr>
        <w:t>众所周知的数据库密码策略使密码猜测和密码暴力破解成为数据库安全面临的主要风险之一。密码在线猜测有可能会导致业务系统瘫痪，数据库准入系统能实时检测密码猜测和密码破解行为，并及时告警。</w:t>
      </w:r>
    </w:p>
    <w:p>
      <w:pPr>
        <w:ind w:firstLine="480"/>
        <w:rPr>
          <w:color w:val="000000" w:themeColor="text1"/>
        </w:rPr>
      </w:pPr>
      <w:r>
        <w:rPr>
          <w:color w:val="000000" w:themeColor="text1"/>
        </w:rPr>
        <w:t>3、数据库准入分析报告</w:t>
      </w:r>
    </w:p>
    <w:p>
      <w:pPr>
        <w:ind w:firstLine="480"/>
        <w:rPr>
          <w:color w:val="000000" w:themeColor="text1"/>
        </w:rPr>
      </w:pPr>
      <w:r>
        <w:rPr>
          <w:color w:val="000000" w:themeColor="text1"/>
        </w:rPr>
        <w:t>数据库准入系统通过分析海量数据库准入信息，包括成功登录信息和失败登录信息，及时发现数据库准入潜在风险，优化数据库准入策略配置。</w:t>
      </w:r>
    </w:p>
    <w:p>
      <w:pPr>
        <w:ind w:firstLine="480"/>
        <w:rPr>
          <w:color w:val="000000" w:themeColor="text1"/>
        </w:rPr>
      </w:pPr>
      <w:r>
        <w:rPr>
          <w:color w:val="000000" w:themeColor="text1"/>
        </w:rPr>
        <w:t>4、监控和告警</w:t>
      </w:r>
    </w:p>
    <w:p>
      <w:pPr>
        <w:ind w:firstLine="480"/>
        <w:rPr>
          <w:color w:val="000000" w:themeColor="text1"/>
        </w:rPr>
      </w:pPr>
      <w:r>
        <w:rPr>
          <w:color w:val="000000" w:themeColor="text1"/>
        </w:rPr>
        <w:t>数据库准入提供安全事件WEB监控功能，基于规则的方位控制识别违规行为或者操作，并且通过灵活的规则配置聚焦高风险行为。同时还能提供智能检测未知风险功能：对于首次或长时间未进入数据库的相关身份特征进行风险告警，第一时间发现潜在数据库高风险行为，智能化主动防御，检测未知风险。任何违规行为或操作都会在第一时间向管理者告警，告警方式可以是短信、邮件、闪烁、网页等多种方式，及时告警信息量是经过过滤的，数量少而精，若通知信息太多，会造成管理者对数据安全管理的麻木性，数据库堡垒机通过精确的行为识别和灵活的规则配置，发现真正的违规和高风险行为，杜绝告警泛滥，聚焦真正安全问题。</w:t>
      </w:r>
    </w:p>
    <w:p>
      <w:pPr>
        <w:pStyle w:val="4"/>
        <w:ind w:firstLine="562"/>
        <w:rPr>
          <w:color w:val="000000" w:themeColor="text1"/>
        </w:rPr>
      </w:pPr>
      <w:bookmarkStart w:id="375" w:name="_Toc7521690"/>
      <w:bookmarkStart w:id="376" w:name="_Toc8760714"/>
      <w:r>
        <w:rPr>
          <w:rFonts w:hint="eastAsia"/>
          <w:color w:val="000000" w:themeColor="text1"/>
        </w:rPr>
        <w:t>（二）项目清单</w:t>
      </w:r>
      <w:bookmarkEnd w:id="375"/>
      <w:bookmarkEnd w:id="376"/>
    </w:p>
    <w:tbl>
      <w:tblPr>
        <w:tblStyle w:val="53"/>
        <w:tblW w:w="8426" w:type="dxa"/>
        <w:tblInd w:w="118" w:type="dxa"/>
        <w:tblLayout w:type="fixed"/>
        <w:tblCellMar>
          <w:top w:w="0" w:type="dxa"/>
          <w:left w:w="108" w:type="dxa"/>
          <w:bottom w:w="0" w:type="dxa"/>
          <w:right w:w="108" w:type="dxa"/>
        </w:tblCellMar>
      </w:tblPr>
      <w:tblGrid>
        <w:gridCol w:w="469"/>
        <w:gridCol w:w="1176"/>
        <w:gridCol w:w="1180"/>
        <w:gridCol w:w="4370"/>
        <w:gridCol w:w="775"/>
        <w:gridCol w:w="456"/>
      </w:tblGrid>
      <w:tr>
        <w:tblPrEx>
          <w:tblLayout w:type="fixed"/>
          <w:tblCellMar>
            <w:top w:w="0" w:type="dxa"/>
            <w:left w:w="108" w:type="dxa"/>
            <w:bottom w:w="0" w:type="dxa"/>
            <w:right w:w="108" w:type="dxa"/>
          </w:tblCellMar>
        </w:tblPrEx>
        <w:trPr>
          <w:trHeight w:val="300" w:hRule="atLeast"/>
        </w:trPr>
        <w:tc>
          <w:tcPr>
            <w:tcW w:w="469" w:type="dxa"/>
            <w:vMerge w:val="restart"/>
            <w:tcBorders>
              <w:top w:val="single" w:color="auto" w:sz="8" w:space="0"/>
              <w:left w:val="single" w:color="auto" w:sz="8" w:space="0"/>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序号</w:t>
            </w:r>
          </w:p>
        </w:tc>
        <w:tc>
          <w:tcPr>
            <w:tcW w:w="1176" w:type="dxa"/>
            <w:vMerge w:val="restart"/>
            <w:tcBorders>
              <w:top w:val="single" w:color="auto" w:sz="8" w:space="0"/>
              <w:left w:val="single" w:color="auto" w:sz="8" w:space="0"/>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项目</w:t>
            </w:r>
          </w:p>
        </w:tc>
        <w:tc>
          <w:tcPr>
            <w:tcW w:w="1180" w:type="dxa"/>
            <w:vMerge w:val="restart"/>
            <w:tcBorders>
              <w:top w:val="single" w:color="auto" w:sz="8" w:space="0"/>
              <w:left w:val="single" w:color="auto" w:sz="8" w:space="0"/>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子项目</w:t>
            </w:r>
          </w:p>
        </w:tc>
        <w:tc>
          <w:tcPr>
            <w:tcW w:w="4370" w:type="dxa"/>
            <w:vMerge w:val="restart"/>
            <w:tcBorders>
              <w:top w:val="single" w:color="auto" w:sz="8" w:space="0"/>
              <w:left w:val="single" w:color="auto" w:sz="8" w:space="0"/>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技术参数要求</w:t>
            </w:r>
          </w:p>
        </w:tc>
        <w:tc>
          <w:tcPr>
            <w:tcW w:w="775" w:type="dxa"/>
            <w:vMerge w:val="restart"/>
            <w:tcBorders>
              <w:top w:val="single" w:color="auto" w:sz="8" w:space="0"/>
              <w:left w:val="single" w:color="auto" w:sz="8" w:space="0"/>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数量</w:t>
            </w:r>
          </w:p>
        </w:tc>
        <w:tc>
          <w:tcPr>
            <w:tcW w:w="456" w:type="dxa"/>
            <w:vMerge w:val="restart"/>
            <w:tcBorders>
              <w:top w:val="single" w:color="auto" w:sz="8" w:space="0"/>
              <w:left w:val="single" w:color="auto" w:sz="8" w:space="0"/>
              <w:bottom w:val="nil"/>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单位</w:t>
            </w:r>
          </w:p>
        </w:tc>
      </w:tr>
      <w:tr>
        <w:tblPrEx>
          <w:tblLayout w:type="fixed"/>
          <w:tblCellMar>
            <w:top w:w="0" w:type="dxa"/>
            <w:left w:w="108" w:type="dxa"/>
            <w:bottom w:w="0" w:type="dxa"/>
            <w:right w:w="108" w:type="dxa"/>
          </w:tblCellMar>
        </w:tblPrEx>
        <w:trPr>
          <w:trHeight w:val="300" w:hRule="atLeast"/>
        </w:trPr>
        <w:tc>
          <w:tcPr>
            <w:tcW w:w="469" w:type="dxa"/>
            <w:vMerge w:val="continue"/>
            <w:tcBorders>
              <w:top w:val="single" w:color="auto" w:sz="8" w:space="0"/>
              <w:left w:val="single" w:color="auto" w:sz="8" w:space="0"/>
              <w:bottom w:val="nil"/>
              <w:right w:val="single" w:color="auto" w:sz="8" w:space="0"/>
            </w:tcBorders>
            <w:vAlign w:val="center"/>
          </w:tcPr>
          <w:p>
            <w:pPr>
              <w:spacing w:line="300" w:lineRule="exact"/>
              <w:rPr>
                <w:rFonts w:ascii="仿宋_GB2312" w:hAnsi="宋体" w:cs="宋体"/>
                <w:color w:val="000000" w:themeColor="text1"/>
              </w:rPr>
            </w:pPr>
          </w:p>
        </w:tc>
        <w:tc>
          <w:tcPr>
            <w:tcW w:w="1176" w:type="dxa"/>
            <w:vMerge w:val="continue"/>
            <w:tcBorders>
              <w:top w:val="single" w:color="auto" w:sz="8" w:space="0"/>
              <w:left w:val="single" w:color="auto" w:sz="8" w:space="0"/>
              <w:bottom w:val="nil"/>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single" w:color="auto" w:sz="8" w:space="0"/>
              <w:left w:val="single" w:color="auto" w:sz="8" w:space="0"/>
              <w:bottom w:val="nil"/>
              <w:right w:val="single" w:color="auto" w:sz="8" w:space="0"/>
            </w:tcBorders>
            <w:vAlign w:val="center"/>
          </w:tcPr>
          <w:p>
            <w:pPr>
              <w:spacing w:line="300" w:lineRule="exact"/>
              <w:rPr>
                <w:rFonts w:ascii="仿宋_GB2312" w:hAnsi="宋体" w:cs="宋体"/>
                <w:color w:val="000000" w:themeColor="text1"/>
              </w:rPr>
            </w:pPr>
          </w:p>
        </w:tc>
        <w:tc>
          <w:tcPr>
            <w:tcW w:w="4370" w:type="dxa"/>
            <w:vMerge w:val="continue"/>
            <w:tcBorders>
              <w:top w:val="single" w:color="auto" w:sz="8" w:space="0"/>
              <w:left w:val="single" w:color="auto" w:sz="8" w:space="0"/>
              <w:bottom w:val="nil"/>
              <w:right w:val="single" w:color="auto" w:sz="8" w:space="0"/>
            </w:tcBorders>
            <w:vAlign w:val="center"/>
          </w:tcPr>
          <w:p>
            <w:pPr>
              <w:spacing w:line="300" w:lineRule="exact"/>
              <w:rPr>
                <w:rFonts w:ascii="仿宋_GB2312" w:hAnsi="宋体" w:cs="宋体"/>
                <w:color w:val="000000" w:themeColor="text1"/>
              </w:rPr>
            </w:pPr>
          </w:p>
        </w:tc>
        <w:tc>
          <w:tcPr>
            <w:tcW w:w="775" w:type="dxa"/>
            <w:vMerge w:val="continue"/>
            <w:tcBorders>
              <w:top w:val="single" w:color="auto" w:sz="8" w:space="0"/>
              <w:left w:val="single" w:color="auto" w:sz="8" w:space="0"/>
              <w:bottom w:val="nil"/>
              <w:right w:val="single" w:color="auto" w:sz="8" w:space="0"/>
            </w:tcBorders>
            <w:vAlign w:val="center"/>
          </w:tcPr>
          <w:p>
            <w:pPr>
              <w:spacing w:line="300" w:lineRule="exact"/>
              <w:rPr>
                <w:rFonts w:ascii="仿宋_GB2312" w:hAnsi="宋体" w:cs="宋体"/>
                <w:color w:val="000000" w:themeColor="text1"/>
              </w:rPr>
            </w:pPr>
          </w:p>
        </w:tc>
        <w:tc>
          <w:tcPr>
            <w:tcW w:w="456" w:type="dxa"/>
            <w:vMerge w:val="continue"/>
            <w:tcBorders>
              <w:top w:val="single" w:color="auto" w:sz="8" w:space="0"/>
              <w:left w:val="single" w:color="auto" w:sz="8" w:space="0"/>
              <w:bottom w:val="nil"/>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8426"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综合指挥中心（指挥大厅）</w:t>
            </w:r>
          </w:p>
        </w:tc>
      </w:tr>
      <w:tr>
        <w:tblPrEx>
          <w:tblLayout w:type="fixed"/>
          <w:tblCellMar>
            <w:top w:w="0" w:type="dxa"/>
            <w:left w:w="108" w:type="dxa"/>
            <w:bottom w:w="0" w:type="dxa"/>
            <w:right w:w="108" w:type="dxa"/>
          </w:tblCellMar>
        </w:tblPrEx>
        <w:tc>
          <w:tcPr>
            <w:tcW w:w="8426"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一、装饰装修系统</w:t>
            </w:r>
          </w:p>
        </w:tc>
      </w:tr>
      <w:tr>
        <w:tblPrEx>
          <w:tblLayout w:type="fixed"/>
          <w:tblCellMar>
            <w:top w:w="0" w:type="dxa"/>
            <w:left w:w="108" w:type="dxa"/>
            <w:bottom w:w="0" w:type="dxa"/>
            <w:right w:w="108" w:type="dxa"/>
          </w:tblCellMar>
        </w:tblPrEx>
        <w:tc>
          <w:tcPr>
            <w:tcW w:w="469" w:type="dxa"/>
            <w:tcBorders>
              <w:top w:val="nil"/>
              <w:left w:val="single" w:color="auto" w:sz="4" w:space="0"/>
              <w:bottom w:val="single" w:color="auto" w:sz="4" w:space="0"/>
              <w:right w:val="single" w:color="auto" w:sz="4"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6726" w:type="dxa"/>
            <w:gridSpan w:val="3"/>
            <w:tcBorders>
              <w:top w:val="single" w:color="auto" w:sz="4" w:space="0"/>
              <w:left w:val="nil"/>
              <w:bottom w:val="single" w:color="auto" w:sz="4"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装饰装修系统</w:t>
            </w:r>
            <w:r>
              <w:rPr>
                <w:rFonts w:hint="eastAsia" w:eastAsia="等线" w:cs="宋体"/>
                <w:color w:val="000000" w:themeColor="text1"/>
              </w:rPr>
              <w:t>(</w:t>
            </w:r>
            <w:r>
              <w:rPr>
                <w:rFonts w:hint="eastAsia" w:ascii="仿宋_GB2312" w:hAnsi="宋体" w:cs="宋体"/>
                <w:color w:val="000000" w:themeColor="text1"/>
              </w:rPr>
              <w:t>详见附表</w:t>
            </w:r>
            <w:r>
              <w:rPr>
                <w:rFonts w:hint="eastAsia" w:eastAsia="等线" w:cs="宋体"/>
                <w:color w:val="000000" w:themeColor="text1"/>
              </w:rPr>
              <w:t>1)</w:t>
            </w:r>
          </w:p>
        </w:tc>
        <w:tc>
          <w:tcPr>
            <w:tcW w:w="775" w:type="dxa"/>
            <w:tcBorders>
              <w:top w:val="nil"/>
              <w:left w:val="nil"/>
              <w:bottom w:val="single" w:color="auto" w:sz="4" w:space="0"/>
              <w:right w:val="single" w:color="auto" w:sz="4"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4"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8426"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二、大屏显示系统</w:t>
            </w:r>
          </w:p>
        </w:tc>
      </w:tr>
      <w:tr>
        <w:tblPrEx>
          <w:tblLayout w:type="fixed"/>
          <w:tblCellMar>
            <w:top w:w="0" w:type="dxa"/>
            <w:left w:w="108" w:type="dxa"/>
            <w:bottom w:w="0" w:type="dxa"/>
            <w:right w:w="108" w:type="dxa"/>
          </w:tblCellMar>
        </w:tblPrEx>
        <w:tc>
          <w:tcPr>
            <w:tcW w:w="469"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1176"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color w:val="000000" w:themeColor="text1"/>
              </w:rPr>
              <w:t>▲</w:t>
            </w:r>
            <w:r>
              <w:rPr>
                <w:rFonts w:hint="eastAsia" w:ascii="仿宋_GB2312" w:hAnsi="宋体" w:cs="宋体"/>
                <w:color w:val="000000" w:themeColor="text1"/>
              </w:rPr>
              <w:t>大屏显示系统</w:t>
            </w:r>
          </w:p>
        </w:tc>
        <w:tc>
          <w:tcPr>
            <w:tcW w:w="1180"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LED</w:t>
            </w:r>
            <w:r>
              <w:rPr>
                <w:rFonts w:hint="eastAsia" w:ascii="仿宋_GB2312" w:cs="宋体"/>
                <w:color w:val="000000" w:themeColor="text1"/>
              </w:rPr>
              <w:t>小间距全彩显示屏</w:t>
            </w:r>
            <w:r>
              <w:rPr>
                <w:rFonts w:hint="eastAsia" w:eastAsia="等线" w:cs="宋体"/>
                <w:color w:val="000000" w:themeColor="text1"/>
              </w:rPr>
              <w:t>1</w:t>
            </w: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长</w:t>
            </w:r>
            <w:r>
              <w:rPr>
                <w:rFonts w:hint="eastAsia" w:eastAsia="等线" w:cs="宋体"/>
                <w:color w:val="000000" w:themeColor="text1"/>
              </w:rPr>
              <w:t>≥12.1984</w:t>
            </w:r>
            <w:r>
              <w:rPr>
                <w:rFonts w:hint="eastAsia" w:ascii="仿宋_GB2312" w:hAnsi="宋体" w:cs="宋体"/>
                <w:color w:val="000000" w:themeColor="text1"/>
              </w:rPr>
              <w:t>米，宽</w:t>
            </w:r>
            <w:r>
              <w:rPr>
                <w:rFonts w:hint="eastAsia" w:eastAsia="等线" w:cs="宋体"/>
                <w:color w:val="000000" w:themeColor="text1"/>
              </w:rPr>
              <w:t>≥3.375</w:t>
            </w:r>
            <w:r>
              <w:rPr>
                <w:rFonts w:hint="eastAsia" w:ascii="仿宋_GB2312" w:hAnsi="宋体" w:cs="宋体"/>
                <w:color w:val="000000" w:themeColor="text1"/>
              </w:rPr>
              <w:t>米按照</w:t>
            </w:r>
            <w:r>
              <w:rPr>
                <w:rFonts w:hint="eastAsia" w:eastAsia="等线" w:cs="宋体"/>
                <w:color w:val="000000" w:themeColor="text1"/>
              </w:rPr>
              <w:t>32:9</w:t>
            </w:r>
            <w:r>
              <w:rPr>
                <w:rFonts w:hint="eastAsia" w:ascii="仿宋_GB2312" w:hAnsi="宋体" w:cs="宋体"/>
                <w:color w:val="000000" w:themeColor="text1"/>
              </w:rPr>
              <w:t>的比例（显示两块</w:t>
            </w:r>
            <w:r>
              <w:rPr>
                <w:rFonts w:hint="eastAsia" w:eastAsia="等线" w:cs="宋体"/>
                <w:color w:val="000000" w:themeColor="text1"/>
              </w:rPr>
              <w:t>16:9</w:t>
            </w:r>
            <w:r>
              <w:rPr>
                <w:rFonts w:hint="eastAsia" w:ascii="仿宋_GB2312" w:hAnsi="宋体" w:cs="宋体"/>
                <w:color w:val="000000" w:themeColor="text1"/>
              </w:rPr>
              <w:t>画面）设计</w:t>
            </w:r>
          </w:p>
        </w:tc>
        <w:tc>
          <w:tcPr>
            <w:tcW w:w="775"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41.85</w:t>
            </w:r>
          </w:p>
        </w:tc>
        <w:tc>
          <w:tcPr>
            <w:tcW w:w="456" w:type="dxa"/>
            <w:vMerge w:val="restart"/>
            <w:tcBorders>
              <w:top w:val="nil"/>
              <w:left w:val="single" w:color="auto" w:sz="8" w:space="0"/>
              <w:bottom w:val="single" w:color="000000" w:sz="8" w:space="0"/>
              <w:right w:val="single" w:color="auto" w:sz="4"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m²</w:t>
            </w: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1</w:t>
            </w:r>
            <w:r>
              <w:rPr>
                <w:rFonts w:hint="eastAsia" w:ascii="仿宋_GB2312" w:cs="宋体"/>
                <w:color w:val="000000" w:themeColor="text1"/>
              </w:rPr>
              <w:t>）小间距</w:t>
            </w:r>
            <w:r>
              <w:rPr>
                <w:rFonts w:hint="eastAsia" w:eastAsia="等线" w:cs="宋体"/>
                <w:color w:val="000000" w:themeColor="text1"/>
              </w:rPr>
              <w:t>LED</w:t>
            </w:r>
            <w:r>
              <w:rPr>
                <w:rFonts w:hint="eastAsia" w:ascii="仿宋_GB2312" w:cs="宋体"/>
                <w:color w:val="000000" w:themeColor="text1"/>
              </w:rPr>
              <w:t>全彩显示屏；</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eastAsia="等线"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2</w:t>
            </w:r>
            <w:r>
              <w:rPr>
                <w:rFonts w:hint="eastAsia" w:ascii="仿宋_GB2312" w:cs="宋体"/>
                <w:color w:val="000000" w:themeColor="text1"/>
              </w:rPr>
              <w:t>）像素间距：不大于</w:t>
            </w:r>
            <w:r>
              <w:rPr>
                <w:rFonts w:hint="eastAsia" w:eastAsia="等线" w:cs="宋体"/>
                <w:color w:val="000000" w:themeColor="text1"/>
              </w:rPr>
              <w:t>1.27mm</w:t>
            </w:r>
            <w:r>
              <w:rPr>
                <w:rFonts w:hint="eastAsia" w:ascii="仿宋_GB2312" w:cs="宋体"/>
                <w:color w:val="000000" w:themeColor="text1"/>
              </w:rPr>
              <w:t>；</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eastAsia="等线"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3</w:t>
            </w:r>
            <w:r>
              <w:rPr>
                <w:rFonts w:hint="eastAsia" w:ascii="仿宋_GB2312" w:cs="宋体"/>
                <w:color w:val="000000" w:themeColor="text1"/>
              </w:rPr>
              <w:t>）屏幕宽高比：</w:t>
            </w:r>
            <w:r>
              <w:rPr>
                <w:rFonts w:hint="eastAsia" w:eastAsia="等线" w:cs="宋体"/>
                <w:color w:val="000000" w:themeColor="text1"/>
              </w:rPr>
              <w:t>16:9</w:t>
            </w:r>
            <w:r>
              <w:rPr>
                <w:rFonts w:hint="eastAsia" w:ascii="仿宋_GB2312" w:cs="宋体"/>
                <w:color w:val="000000" w:themeColor="text1"/>
              </w:rPr>
              <w:t>，压铸铝材质；</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eastAsia="等线"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4</w:t>
            </w:r>
            <w:r>
              <w:rPr>
                <w:rFonts w:hint="eastAsia" w:ascii="仿宋_GB2312" w:cs="宋体"/>
                <w:color w:val="000000" w:themeColor="text1"/>
              </w:rPr>
              <w:t>）像素结构：</w:t>
            </w:r>
            <w:r>
              <w:rPr>
                <w:rFonts w:hint="eastAsia" w:eastAsia="等线" w:cs="宋体"/>
                <w:color w:val="000000" w:themeColor="text1"/>
              </w:rPr>
              <w:t>LED</w:t>
            </w:r>
            <w:r>
              <w:rPr>
                <w:rFonts w:hint="eastAsia" w:ascii="仿宋_GB2312" w:cs="宋体"/>
                <w:color w:val="000000" w:themeColor="text1"/>
              </w:rPr>
              <w:t>表贴三合一；</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eastAsia="等线"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5</w:t>
            </w:r>
            <w:r>
              <w:rPr>
                <w:rFonts w:hint="eastAsia" w:ascii="仿宋_GB2312" w:cs="宋体"/>
                <w:color w:val="000000" w:themeColor="text1"/>
              </w:rPr>
              <w:t>）单元分辨率</w:t>
            </w:r>
            <w:r>
              <w:rPr>
                <w:rFonts w:hint="eastAsia" w:eastAsia="等线" w:cs="宋体"/>
                <w:color w:val="000000" w:themeColor="text1"/>
              </w:rPr>
              <w:t>≥480×270</w:t>
            </w:r>
            <w:r>
              <w:rPr>
                <w:rFonts w:hint="eastAsia" w:ascii="仿宋_GB2312" w:cs="宋体"/>
                <w:color w:val="000000" w:themeColor="text1"/>
              </w:rPr>
              <w:t>；</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eastAsia="等线"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6</w:t>
            </w:r>
            <w:r>
              <w:rPr>
                <w:rFonts w:hint="eastAsia" w:ascii="仿宋_GB2312" w:cs="宋体"/>
                <w:color w:val="000000" w:themeColor="text1"/>
              </w:rPr>
              <w:t>）像素密度：</w:t>
            </w:r>
            <w:r>
              <w:rPr>
                <w:rFonts w:hint="eastAsia" w:eastAsia="等线" w:cs="宋体"/>
                <w:color w:val="000000" w:themeColor="text1"/>
              </w:rPr>
              <w:t>620000</w:t>
            </w:r>
            <w:r>
              <w:rPr>
                <w:rFonts w:hint="eastAsia" w:ascii="仿宋_GB2312" w:cs="宋体"/>
                <w:color w:val="000000" w:themeColor="text1"/>
              </w:rPr>
              <w:t>点</w:t>
            </w:r>
            <w:r>
              <w:rPr>
                <w:rFonts w:hint="eastAsia" w:eastAsia="等线" w:cs="宋体"/>
                <w:color w:val="000000" w:themeColor="text1"/>
              </w:rPr>
              <w:t>/</w:t>
            </w:r>
            <w:r>
              <w:rPr>
                <w:rFonts w:hint="eastAsia" w:ascii="Batang" w:hAnsi="Batang" w:eastAsia="Batang" w:cs="Batang"/>
                <w:color w:val="000000" w:themeColor="text1"/>
              </w:rPr>
              <w:t>㎡</w:t>
            </w:r>
            <w:r>
              <w:rPr>
                <w:rFonts w:hint="eastAsia" w:ascii="仿宋_GB2312" w:hAnsi="仿宋_GB2312" w:cs="仿宋_GB2312"/>
                <w:color w:val="000000" w:themeColor="text1"/>
              </w:rPr>
              <w:t>；</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eastAsia="等线"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7</w:t>
            </w:r>
            <w:r>
              <w:rPr>
                <w:rFonts w:hint="eastAsia" w:ascii="仿宋_GB2312" w:cs="宋体"/>
                <w:color w:val="000000" w:themeColor="text1"/>
              </w:rPr>
              <w:t>）光学参数：显示屏亮度</w:t>
            </w:r>
            <w:r>
              <w:rPr>
                <w:rFonts w:hint="eastAsia" w:eastAsia="等线" w:cs="宋体"/>
                <w:color w:val="000000" w:themeColor="text1"/>
              </w:rPr>
              <w:t>≥1200nits</w:t>
            </w:r>
            <w:r>
              <w:rPr>
                <w:rFonts w:hint="eastAsia" w:ascii="仿宋_GB2312" w:cs="宋体"/>
                <w:color w:val="000000" w:themeColor="text1"/>
              </w:rPr>
              <w:t>，色温</w:t>
            </w:r>
            <w:r>
              <w:rPr>
                <w:rFonts w:hint="eastAsia" w:eastAsia="等线" w:cs="宋体"/>
                <w:color w:val="000000" w:themeColor="text1"/>
              </w:rPr>
              <w:t>2500K—10000K</w:t>
            </w:r>
            <w:r>
              <w:rPr>
                <w:rFonts w:hint="eastAsia" w:ascii="仿宋_GB2312" w:cs="宋体"/>
                <w:color w:val="000000" w:themeColor="text1"/>
              </w:rPr>
              <w:t>可调，水平、垂直视角</w:t>
            </w:r>
            <w:r>
              <w:rPr>
                <w:rFonts w:hint="eastAsia" w:eastAsia="等线" w:cs="宋体"/>
                <w:color w:val="000000" w:themeColor="text1"/>
              </w:rPr>
              <w:t>160°</w:t>
            </w:r>
            <w:r>
              <w:rPr>
                <w:rFonts w:hint="eastAsia" w:ascii="仿宋_GB2312" w:cs="宋体"/>
                <w:color w:val="000000" w:themeColor="text1"/>
              </w:rPr>
              <w:t>，推荐视距</w:t>
            </w:r>
            <w:r>
              <w:rPr>
                <w:rFonts w:hint="eastAsia" w:eastAsia="等线" w:cs="宋体"/>
                <w:color w:val="000000" w:themeColor="text1"/>
              </w:rPr>
              <w:t>≥2m</w:t>
            </w:r>
            <w:r>
              <w:rPr>
                <w:rFonts w:hint="eastAsia" w:ascii="仿宋_GB2312" w:cs="宋体"/>
                <w:color w:val="000000" w:themeColor="text1"/>
              </w:rPr>
              <w:t>，亮度均匀性</w:t>
            </w:r>
            <w:r>
              <w:rPr>
                <w:rFonts w:hint="eastAsia" w:eastAsia="等线" w:cs="宋体"/>
                <w:color w:val="000000" w:themeColor="text1"/>
              </w:rPr>
              <w:t>≥97%</w:t>
            </w:r>
            <w:r>
              <w:rPr>
                <w:rFonts w:hint="eastAsia" w:ascii="仿宋_GB2312" w:cs="宋体"/>
                <w:color w:val="000000" w:themeColor="text1"/>
              </w:rPr>
              <w:t>，色度均匀性</w:t>
            </w:r>
            <w:r>
              <w:rPr>
                <w:rFonts w:hint="eastAsia" w:eastAsia="等线" w:cs="宋体"/>
                <w:color w:val="000000" w:themeColor="text1"/>
              </w:rPr>
              <w:t>±0.003Cx,Cy</w:t>
            </w:r>
            <w:r>
              <w:rPr>
                <w:rFonts w:hint="eastAsia" w:ascii="仿宋_GB2312" w:cs="宋体"/>
                <w:color w:val="000000" w:themeColor="text1"/>
              </w:rPr>
              <w:t>之内，最大对比度</w:t>
            </w:r>
            <w:r>
              <w:rPr>
                <w:rFonts w:hint="eastAsia" w:eastAsia="等线" w:cs="宋体"/>
                <w:color w:val="000000" w:themeColor="text1"/>
              </w:rPr>
              <w:t>≥8000:1</w:t>
            </w:r>
            <w:r>
              <w:rPr>
                <w:rFonts w:hint="eastAsia" w:ascii="仿宋_GB2312" w:cs="宋体"/>
                <w:color w:val="000000" w:themeColor="text1"/>
              </w:rPr>
              <w:t>；</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eastAsia="等线"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8</w:t>
            </w:r>
            <w:r>
              <w:rPr>
                <w:rFonts w:hint="eastAsia" w:ascii="仿宋_GB2312" w:cs="宋体"/>
                <w:color w:val="000000" w:themeColor="text1"/>
              </w:rPr>
              <w:t>）处理深度：</w:t>
            </w:r>
            <w:r>
              <w:rPr>
                <w:rFonts w:hint="eastAsia" w:eastAsia="等线" w:cs="宋体"/>
                <w:color w:val="000000" w:themeColor="text1"/>
              </w:rPr>
              <w:t>16bits</w:t>
            </w:r>
            <w:r>
              <w:rPr>
                <w:rFonts w:hint="eastAsia" w:ascii="仿宋_GB2312" w:cs="宋体"/>
                <w:color w:val="000000" w:themeColor="text1"/>
              </w:rPr>
              <w:t>，灰度等级：</w:t>
            </w:r>
            <w:r>
              <w:rPr>
                <w:rFonts w:hint="eastAsia" w:eastAsia="等线" w:cs="宋体"/>
                <w:color w:val="000000" w:themeColor="text1"/>
              </w:rPr>
              <w:t>65536Level</w:t>
            </w:r>
            <w:r>
              <w:rPr>
                <w:rFonts w:hint="eastAsia" w:ascii="仿宋_GB2312" w:cs="宋体"/>
                <w:color w:val="000000" w:themeColor="text1"/>
              </w:rPr>
              <w:t>；</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eastAsia="等线"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9</w:t>
            </w:r>
            <w:r>
              <w:rPr>
                <w:rFonts w:hint="eastAsia" w:ascii="仿宋_GB2312" w:cs="宋体"/>
                <w:color w:val="000000" w:themeColor="text1"/>
              </w:rPr>
              <w:t>）电气参数：峰值功耗</w:t>
            </w:r>
            <w:r>
              <w:rPr>
                <w:rFonts w:hint="eastAsia" w:eastAsia="等线" w:cs="宋体"/>
                <w:color w:val="000000" w:themeColor="text1"/>
              </w:rPr>
              <w:t>≤850W/</w:t>
            </w:r>
            <w:r>
              <w:rPr>
                <w:rFonts w:hint="eastAsia" w:ascii="Batang" w:hAnsi="Batang" w:eastAsia="Batang" w:cs="Batang"/>
                <w:color w:val="000000" w:themeColor="text1"/>
              </w:rPr>
              <w:t>㎡</w:t>
            </w:r>
            <w:r>
              <w:rPr>
                <w:rFonts w:hint="eastAsia" w:ascii="仿宋_GB2312" w:hAnsi="仿宋_GB2312" w:cs="仿宋_GB2312"/>
                <w:color w:val="000000" w:themeColor="text1"/>
              </w:rPr>
              <w:t>，平均功耗</w:t>
            </w:r>
            <w:r>
              <w:rPr>
                <w:rFonts w:hint="eastAsia" w:eastAsia="等线" w:cs="宋体"/>
                <w:color w:val="000000" w:themeColor="text1"/>
              </w:rPr>
              <w:t>≤275W/</w:t>
            </w:r>
            <w:r>
              <w:rPr>
                <w:rFonts w:hint="eastAsia" w:ascii="Batang" w:hAnsi="Batang" w:eastAsia="Batang" w:cs="Batang"/>
                <w:color w:val="000000" w:themeColor="text1"/>
              </w:rPr>
              <w:t>㎡</w:t>
            </w:r>
            <w:r>
              <w:rPr>
                <w:rFonts w:hint="eastAsia" w:ascii="仿宋_GB2312" w:hAnsi="仿宋_GB2312" w:cs="仿宋_GB2312"/>
                <w:color w:val="000000" w:themeColor="text1"/>
              </w:rPr>
              <w:t>，供电要求</w:t>
            </w:r>
            <w:r>
              <w:rPr>
                <w:rFonts w:hint="eastAsia" w:eastAsia="等线" w:cs="宋体"/>
                <w:color w:val="000000" w:themeColor="text1"/>
              </w:rPr>
              <w:t>110~264VAC±15%</w:t>
            </w:r>
            <w:r>
              <w:rPr>
                <w:rFonts w:hint="eastAsia" w:ascii="仿宋_GB2312" w:cs="宋体"/>
                <w:color w:val="000000" w:themeColor="text1"/>
              </w:rPr>
              <w:t>；</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eastAsia="等线"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10</w:t>
            </w:r>
            <w:r>
              <w:rPr>
                <w:rFonts w:hint="eastAsia" w:ascii="仿宋_GB2312" w:cs="宋体"/>
                <w:color w:val="000000" w:themeColor="text1"/>
              </w:rPr>
              <w:t>）寿命：</w:t>
            </w:r>
            <w:r>
              <w:rPr>
                <w:rFonts w:hint="eastAsia" w:eastAsia="等线" w:cs="宋体"/>
                <w:color w:val="000000" w:themeColor="text1"/>
              </w:rPr>
              <w:t>≥10</w:t>
            </w:r>
            <w:r>
              <w:rPr>
                <w:rFonts w:hint="eastAsia" w:ascii="仿宋_GB2312" w:cs="宋体"/>
                <w:color w:val="000000" w:themeColor="text1"/>
              </w:rPr>
              <w:t>万小时，工作温度范围</w:t>
            </w:r>
            <w:r>
              <w:rPr>
                <w:rFonts w:hint="eastAsia" w:eastAsia="等线" w:cs="宋体"/>
                <w:color w:val="000000" w:themeColor="text1"/>
              </w:rPr>
              <w:t>-10—45</w:t>
            </w:r>
            <w:r>
              <w:rPr>
                <w:rFonts w:hint="eastAsia" w:ascii="仿宋_GB2312" w:cs="宋体"/>
                <w:color w:val="000000" w:themeColor="text1"/>
              </w:rPr>
              <w:t>℃，存储温度范围</w:t>
            </w:r>
            <w:r>
              <w:rPr>
                <w:rFonts w:hint="eastAsia" w:eastAsia="等线" w:cs="宋体"/>
                <w:color w:val="000000" w:themeColor="text1"/>
              </w:rPr>
              <w:t>-20—60</w:t>
            </w:r>
            <w:r>
              <w:rPr>
                <w:rFonts w:hint="eastAsia" w:ascii="仿宋_GB2312" w:cs="宋体"/>
                <w:color w:val="000000" w:themeColor="text1"/>
              </w:rPr>
              <w:t>℃，工作湿度范围（</w:t>
            </w:r>
            <w:r>
              <w:rPr>
                <w:rFonts w:hint="eastAsia" w:eastAsia="等线" w:cs="宋体"/>
                <w:color w:val="000000" w:themeColor="text1"/>
              </w:rPr>
              <w:t>RH</w:t>
            </w:r>
            <w:r>
              <w:rPr>
                <w:rFonts w:hint="eastAsia" w:ascii="仿宋_GB2312" w:cs="宋体"/>
                <w:color w:val="000000" w:themeColor="text1"/>
              </w:rPr>
              <w:t>）无结露</w:t>
            </w:r>
            <w:r>
              <w:rPr>
                <w:rFonts w:hint="eastAsia" w:eastAsia="等线" w:cs="宋体"/>
                <w:color w:val="000000" w:themeColor="text1"/>
              </w:rPr>
              <w:t>10-90%</w:t>
            </w:r>
            <w:r>
              <w:rPr>
                <w:rFonts w:hint="eastAsia" w:ascii="仿宋_GB2312" w:cs="宋体"/>
                <w:color w:val="000000" w:themeColor="text1"/>
              </w:rPr>
              <w:t>，存储湿度范围（</w:t>
            </w:r>
            <w:r>
              <w:rPr>
                <w:rFonts w:hint="eastAsia" w:eastAsia="等线" w:cs="宋体"/>
                <w:color w:val="000000" w:themeColor="text1"/>
              </w:rPr>
              <w:t>RH</w:t>
            </w:r>
            <w:r>
              <w:rPr>
                <w:rFonts w:hint="eastAsia" w:ascii="仿宋_GB2312" w:cs="宋体"/>
                <w:color w:val="000000" w:themeColor="text1"/>
              </w:rPr>
              <w:t>）无结露</w:t>
            </w:r>
            <w:r>
              <w:rPr>
                <w:rFonts w:hint="eastAsia" w:eastAsia="等线" w:cs="宋体"/>
                <w:color w:val="000000" w:themeColor="text1"/>
              </w:rPr>
              <w:t>10-90%</w:t>
            </w:r>
            <w:r>
              <w:rPr>
                <w:rFonts w:hint="eastAsia" w:ascii="仿宋_GB2312" w:cs="宋体"/>
                <w:color w:val="000000" w:themeColor="text1"/>
              </w:rPr>
              <w:t>。</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eastAsia="等线"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11</w:t>
            </w:r>
            <w:r>
              <w:rPr>
                <w:rFonts w:hint="eastAsia" w:ascii="仿宋_GB2312" w:cs="宋体"/>
                <w:color w:val="000000" w:themeColor="text1"/>
              </w:rPr>
              <w:t>）功能特性：支持任意方向、任意尺寸、任意造型拼接，画面均匀一致，无黑线，实现真正无缝拼接。</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eastAsia="等线" w:cs="宋体"/>
                <w:color w:val="000000" w:themeColor="text1"/>
              </w:rPr>
            </w:pPr>
          </w:p>
        </w:tc>
      </w:tr>
      <w:tr>
        <w:tblPrEx>
          <w:tblLayout w:type="fixed"/>
          <w:tblCellMar>
            <w:top w:w="0" w:type="dxa"/>
            <w:left w:w="108" w:type="dxa"/>
            <w:bottom w:w="0" w:type="dxa"/>
            <w:right w:w="108" w:type="dxa"/>
          </w:tblCellMar>
        </w:tblPrEx>
        <w:tc>
          <w:tcPr>
            <w:tcW w:w="469"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LED</w:t>
            </w:r>
            <w:r>
              <w:rPr>
                <w:rFonts w:hint="eastAsia" w:ascii="仿宋_GB2312" w:cs="宋体"/>
                <w:color w:val="000000" w:themeColor="text1"/>
              </w:rPr>
              <w:t>小间距全彩显示屏</w:t>
            </w:r>
            <w:r>
              <w:rPr>
                <w:rFonts w:hint="eastAsia" w:eastAsia="等线" w:cs="宋体"/>
                <w:color w:val="000000" w:themeColor="text1"/>
              </w:rPr>
              <w:t>2</w:t>
            </w: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长</w:t>
            </w:r>
            <w:r>
              <w:rPr>
                <w:rFonts w:hint="eastAsia" w:eastAsia="等线" w:cs="宋体"/>
                <w:color w:val="000000" w:themeColor="text1"/>
              </w:rPr>
              <w:t>≥3.6</w:t>
            </w:r>
            <w:r>
              <w:rPr>
                <w:rFonts w:hint="eastAsia" w:ascii="仿宋_GB2312" w:hAnsi="宋体" w:cs="宋体"/>
                <w:color w:val="000000" w:themeColor="text1"/>
              </w:rPr>
              <w:t>米，宽</w:t>
            </w:r>
            <w:r>
              <w:rPr>
                <w:rFonts w:hint="eastAsia" w:eastAsia="等线" w:cs="宋体"/>
                <w:color w:val="000000" w:themeColor="text1"/>
              </w:rPr>
              <w:t>≥2.025</w:t>
            </w:r>
            <w:r>
              <w:rPr>
                <w:rFonts w:hint="eastAsia" w:ascii="仿宋_GB2312" w:hAnsi="宋体" w:cs="宋体"/>
                <w:color w:val="000000" w:themeColor="text1"/>
              </w:rPr>
              <w:t>米按照</w:t>
            </w:r>
            <w:r>
              <w:rPr>
                <w:rFonts w:hint="eastAsia" w:eastAsia="等线" w:cs="宋体"/>
                <w:color w:val="000000" w:themeColor="text1"/>
              </w:rPr>
              <w:t>16:9</w:t>
            </w:r>
            <w:r>
              <w:rPr>
                <w:rFonts w:hint="eastAsia" w:ascii="仿宋_GB2312" w:hAnsi="宋体" w:cs="宋体"/>
                <w:color w:val="000000" w:themeColor="text1"/>
              </w:rPr>
              <w:t>的比例设计</w:t>
            </w:r>
          </w:p>
        </w:tc>
        <w:tc>
          <w:tcPr>
            <w:tcW w:w="775"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7.29</w:t>
            </w:r>
          </w:p>
        </w:tc>
        <w:tc>
          <w:tcPr>
            <w:tcW w:w="456" w:type="dxa"/>
            <w:vMerge w:val="restart"/>
            <w:tcBorders>
              <w:top w:val="nil"/>
              <w:left w:val="single" w:color="auto" w:sz="8" w:space="0"/>
              <w:bottom w:val="single" w:color="000000" w:sz="8" w:space="0"/>
              <w:right w:val="single" w:color="auto" w:sz="4"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m²</w:t>
            </w: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1</w:t>
            </w:r>
            <w:r>
              <w:rPr>
                <w:rFonts w:hint="eastAsia" w:ascii="仿宋_GB2312" w:cs="宋体"/>
                <w:color w:val="000000" w:themeColor="text1"/>
              </w:rPr>
              <w:t>）小间距</w:t>
            </w:r>
            <w:r>
              <w:rPr>
                <w:rFonts w:hint="eastAsia" w:eastAsia="等线" w:cs="宋体"/>
                <w:color w:val="000000" w:themeColor="text1"/>
              </w:rPr>
              <w:t>LED</w:t>
            </w:r>
            <w:r>
              <w:rPr>
                <w:rFonts w:hint="eastAsia" w:ascii="仿宋_GB2312" w:cs="宋体"/>
                <w:color w:val="000000" w:themeColor="text1"/>
              </w:rPr>
              <w:t>全彩显示屏；</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eastAsia="等线"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2</w:t>
            </w:r>
            <w:r>
              <w:rPr>
                <w:rFonts w:hint="eastAsia" w:ascii="仿宋_GB2312" w:cs="宋体"/>
                <w:color w:val="000000" w:themeColor="text1"/>
              </w:rPr>
              <w:t>）像素间距：不大于</w:t>
            </w:r>
            <w:r>
              <w:rPr>
                <w:rFonts w:hint="eastAsia" w:eastAsia="等线" w:cs="宋体"/>
                <w:color w:val="000000" w:themeColor="text1"/>
              </w:rPr>
              <w:t>1.27mm</w:t>
            </w:r>
            <w:r>
              <w:rPr>
                <w:rFonts w:hint="eastAsia" w:ascii="仿宋_GB2312" w:cs="宋体"/>
                <w:color w:val="000000" w:themeColor="text1"/>
              </w:rPr>
              <w:t>；</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eastAsia="等线"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3</w:t>
            </w:r>
            <w:r>
              <w:rPr>
                <w:rFonts w:hint="eastAsia" w:ascii="仿宋_GB2312" w:cs="宋体"/>
                <w:color w:val="000000" w:themeColor="text1"/>
              </w:rPr>
              <w:t>）屏幕宽高比：</w:t>
            </w:r>
            <w:r>
              <w:rPr>
                <w:rFonts w:hint="eastAsia" w:eastAsia="等线" w:cs="宋体"/>
                <w:color w:val="000000" w:themeColor="text1"/>
              </w:rPr>
              <w:t>16:9</w:t>
            </w:r>
            <w:r>
              <w:rPr>
                <w:rFonts w:hint="eastAsia" w:ascii="仿宋_GB2312" w:cs="宋体"/>
                <w:color w:val="000000" w:themeColor="text1"/>
              </w:rPr>
              <w:t>，压铸铝材质；</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eastAsia="等线"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4</w:t>
            </w:r>
            <w:r>
              <w:rPr>
                <w:rFonts w:hint="eastAsia" w:ascii="仿宋_GB2312" w:cs="宋体"/>
                <w:color w:val="000000" w:themeColor="text1"/>
              </w:rPr>
              <w:t>）像素结构：</w:t>
            </w:r>
            <w:r>
              <w:rPr>
                <w:rFonts w:hint="eastAsia" w:eastAsia="等线" w:cs="宋体"/>
                <w:color w:val="000000" w:themeColor="text1"/>
              </w:rPr>
              <w:t>LED</w:t>
            </w:r>
            <w:r>
              <w:rPr>
                <w:rFonts w:hint="eastAsia" w:ascii="仿宋_GB2312" w:cs="宋体"/>
                <w:color w:val="000000" w:themeColor="text1"/>
              </w:rPr>
              <w:t>表贴三合一；</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eastAsia="等线"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5</w:t>
            </w:r>
            <w:r>
              <w:rPr>
                <w:rFonts w:hint="eastAsia" w:ascii="仿宋_GB2312" w:cs="宋体"/>
                <w:color w:val="000000" w:themeColor="text1"/>
              </w:rPr>
              <w:t>）单元分辨率</w:t>
            </w:r>
            <w:r>
              <w:rPr>
                <w:rFonts w:hint="eastAsia" w:eastAsia="等线" w:cs="宋体"/>
                <w:color w:val="000000" w:themeColor="text1"/>
              </w:rPr>
              <w:t>≥480×270</w:t>
            </w:r>
            <w:r>
              <w:rPr>
                <w:rFonts w:hint="eastAsia" w:ascii="仿宋_GB2312" w:cs="宋体"/>
                <w:color w:val="000000" w:themeColor="text1"/>
              </w:rPr>
              <w:t>；</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eastAsia="等线"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6</w:t>
            </w:r>
            <w:r>
              <w:rPr>
                <w:rFonts w:hint="eastAsia" w:ascii="仿宋_GB2312" w:cs="宋体"/>
                <w:color w:val="000000" w:themeColor="text1"/>
              </w:rPr>
              <w:t>）像素密度：</w:t>
            </w:r>
            <w:r>
              <w:rPr>
                <w:rFonts w:hint="eastAsia" w:eastAsia="等线" w:cs="宋体"/>
                <w:color w:val="000000" w:themeColor="text1"/>
              </w:rPr>
              <w:t>620000</w:t>
            </w:r>
            <w:r>
              <w:rPr>
                <w:rFonts w:hint="eastAsia" w:ascii="仿宋_GB2312" w:cs="宋体"/>
                <w:color w:val="000000" w:themeColor="text1"/>
              </w:rPr>
              <w:t>点</w:t>
            </w:r>
            <w:r>
              <w:rPr>
                <w:rFonts w:hint="eastAsia" w:eastAsia="等线" w:cs="宋体"/>
                <w:color w:val="000000" w:themeColor="text1"/>
              </w:rPr>
              <w:t>/</w:t>
            </w:r>
            <w:r>
              <w:rPr>
                <w:rFonts w:hint="eastAsia" w:ascii="Batang" w:hAnsi="Batang" w:eastAsia="Batang" w:cs="Batang"/>
                <w:color w:val="000000" w:themeColor="text1"/>
              </w:rPr>
              <w:t>㎡</w:t>
            </w:r>
            <w:r>
              <w:rPr>
                <w:rFonts w:hint="eastAsia" w:ascii="仿宋_GB2312" w:hAnsi="仿宋_GB2312" w:cs="仿宋_GB2312"/>
                <w:color w:val="000000" w:themeColor="text1"/>
              </w:rPr>
              <w:t>；</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eastAsia="等线"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7</w:t>
            </w:r>
            <w:r>
              <w:rPr>
                <w:rFonts w:hint="eastAsia" w:ascii="仿宋_GB2312" w:cs="宋体"/>
                <w:color w:val="000000" w:themeColor="text1"/>
              </w:rPr>
              <w:t>）光学参数：显示屏亮度</w:t>
            </w:r>
            <w:r>
              <w:rPr>
                <w:rFonts w:hint="eastAsia" w:eastAsia="等线" w:cs="宋体"/>
                <w:color w:val="000000" w:themeColor="text1"/>
              </w:rPr>
              <w:t>≥1200nits</w:t>
            </w:r>
            <w:r>
              <w:rPr>
                <w:rFonts w:hint="eastAsia" w:ascii="仿宋_GB2312" w:cs="宋体"/>
                <w:color w:val="000000" w:themeColor="text1"/>
              </w:rPr>
              <w:t>，色温</w:t>
            </w:r>
            <w:r>
              <w:rPr>
                <w:rFonts w:hint="eastAsia" w:eastAsia="等线" w:cs="宋体"/>
                <w:color w:val="000000" w:themeColor="text1"/>
              </w:rPr>
              <w:t>2500K—10000K</w:t>
            </w:r>
            <w:r>
              <w:rPr>
                <w:rFonts w:hint="eastAsia" w:ascii="仿宋_GB2312" w:cs="宋体"/>
                <w:color w:val="000000" w:themeColor="text1"/>
              </w:rPr>
              <w:t>可调，水平、垂直视角</w:t>
            </w:r>
            <w:r>
              <w:rPr>
                <w:rFonts w:hint="eastAsia" w:eastAsia="等线" w:cs="宋体"/>
                <w:color w:val="000000" w:themeColor="text1"/>
              </w:rPr>
              <w:t>160°</w:t>
            </w:r>
            <w:r>
              <w:rPr>
                <w:rFonts w:hint="eastAsia" w:ascii="仿宋_GB2312" w:cs="宋体"/>
                <w:color w:val="000000" w:themeColor="text1"/>
              </w:rPr>
              <w:t>，推荐视距</w:t>
            </w:r>
            <w:r>
              <w:rPr>
                <w:rFonts w:hint="eastAsia" w:eastAsia="等线" w:cs="宋体"/>
                <w:color w:val="000000" w:themeColor="text1"/>
              </w:rPr>
              <w:t>≥2m</w:t>
            </w:r>
            <w:r>
              <w:rPr>
                <w:rFonts w:hint="eastAsia" w:ascii="仿宋_GB2312" w:cs="宋体"/>
                <w:color w:val="000000" w:themeColor="text1"/>
              </w:rPr>
              <w:t>，亮度均匀性</w:t>
            </w:r>
            <w:r>
              <w:rPr>
                <w:rFonts w:hint="eastAsia" w:eastAsia="等线" w:cs="宋体"/>
                <w:color w:val="000000" w:themeColor="text1"/>
              </w:rPr>
              <w:t>≥97%</w:t>
            </w:r>
            <w:r>
              <w:rPr>
                <w:rFonts w:hint="eastAsia" w:ascii="仿宋_GB2312" w:cs="宋体"/>
                <w:color w:val="000000" w:themeColor="text1"/>
              </w:rPr>
              <w:t>，色度均匀性</w:t>
            </w:r>
            <w:r>
              <w:rPr>
                <w:rFonts w:hint="eastAsia" w:eastAsia="等线" w:cs="宋体"/>
                <w:color w:val="000000" w:themeColor="text1"/>
              </w:rPr>
              <w:t>±0.003Cx,Cy</w:t>
            </w:r>
            <w:r>
              <w:rPr>
                <w:rFonts w:hint="eastAsia" w:ascii="仿宋_GB2312" w:cs="宋体"/>
                <w:color w:val="000000" w:themeColor="text1"/>
              </w:rPr>
              <w:t>之内，最大对比度</w:t>
            </w:r>
            <w:r>
              <w:rPr>
                <w:rFonts w:hint="eastAsia" w:eastAsia="等线" w:cs="宋体"/>
                <w:color w:val="000000" w:themeColor="text1"/>
              </w:rPr>
              <w:t>≥8000:1</w:t>
            </w:r>
            <w:r>
              <w:rPr>
                <w:rFonts w:hint="eastAsia" w:ascii="仿宋_GB2312" w:cs="宋体"/>
                <w:color w:val="000000" w:themeColor="text1"/>
              </w:rPr>
              <w:t>；</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eastAsia="等线"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8</w:t>
            </w:r>
            <w:r>
              <w:rPr>
                <w:rFonts w:hint="eastAsia" w:ascii="仿宋_GB2312" w:cs="宋体"/>
                <w:color w:val="000000" w:themeColor="text1"/>
              </w:rPr>
              <w:t>）处理深度：</w:t>
            </w:r>
            <w:r>
              <w:rPr>
                <w:rFonts w:hint="eastAsia" w:eastAsia="等线" w:cs="宋体"/>
                <w:color w:val="000000" w:themeColor="text1"/>
              </w:rPr>
              <w:t>16bits</w:t>
            </w:r>
            <w:r>
              <w:rPr>
                <w:rFonts w:hint="eastAsia" w:ascii="仿宋_GB2312" w:cs="宋体"/>
                <w:color w:val="000000" w:themeColor="text1"/>
              </w:rPr>
              <w:t>，灰度等级：</w:t>
            </w:r>
            <w:r>
              <w:rPr>
                <w:rFonts w:hint="eastAsia" w:eastAsia="等线" w:cs="宋体"/>
                <w:color w:val="000000" w:themeColor="text1"/>
              </w:rPr>
              <w:t>65536Level</w:t>
            </w:r>
            <w:r>
              <w:rPr>
                <w:rFonts w:hint="eastAsia" w:ascii="仿宋_GB2312" w:cs="宋体"/>
                <w:color w:val="000000" w:themeColor="text1"/>
              </w:rPr>
              <w:t>；</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eastAsia="等线"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9</w:t>
            </w:r>
            <w:r>
              <w:rPr>
                <w:rFonts w:hint="eastAsia" w:ascii="仿宋_GB2312" w:cs="宋体"/>
                <w:color w:val="000000" w:themeColor="text1"/>
              </w:rPr>
              <w:t>）电气参数：峰值功耗</w:t>
            </w:r>
            <w:r>
              <w:rPr>
                <w:rFonts w:hint="eastAsia" w:eastAsia="等线" w:cs="宋体"/>
                <w:color w:val="000000" w:themeColor="text1"/>
              </w:rPr>
              <w:t>≤850W/</w:t>
            </w:r>
            <w:r>
              <w:rPr>
                <w:rFonts w:hint="eastAsia" w:ascii="Batang" w:hAnsi="Batang" w:eastAsia="Batang" w:cs="Batang"/>
                <w:color w:val="000000" w:themeColor="text1"/>
              </w:rPr>
              <w:t>㎡</w:t>
            </w:r>
            <w:r>
              <w:rPr>
                <w:rFonts w:hint="eastAsia" w:ascii="仿宋_GB2312" w:hAnsi="仿宋_GB2312" w:cs="仿宋_GB2312"/>
                <w:color w:val="000000" w:themeColor="text1"/>
              </w:rPr>
              <w:t>，平均功耗</w:t>
            </w:r>
            <w:r>
              <w:rPr>
                <w:rFonts w:hint="eastAsia" w:eastAsia="等线" w:cs="宋体"/>
                <w:color w:val="000000" w:themeColor="text1"/>
              </w:rPr>
              <w:t>≤275W/</w:t>
            </w:r>
            <w:r>
              <w:rPr>
                <w:rFonts w:hint="eastAsia" w:ascii="Batang" w:hAnsi="Batang" w:eastAsia="Batang" w:cs="Batang"/>
                <w:color w:val="000000" w:themeColor="text1"/>
              </w:rPr>
              <w:t>㎡</w:t>
            </w:r>
            <w:r>
              <w:rPr>
                <w:rFonts w:hint="eastAsia" w:ascii="仿宋_GB2312" w:hAnsi="仿宋_GB2312" w:cs="仿宋_GB2312"/>
                <w:color w:val="000000" w:themeColor="text1"/>
              </w:rPr>
              <w:t>，供电要求</w:t>
            </w:r>
            <w:r>
              <w:rPr>
                <w:rFonts w:hint="eastAsia" w:eastAsia="等线" w:cs="宋体"/>
                <w:color w:val="000000" w:themeColor="text1"/>
              </w:rPr>
              <w:t>110~264VAC±15%</w:t>
            </w:r>
            <w:r>
              <w:rPr>
                <w:rFonts w:hint="eastAsia" w:ascii="仿宋_GB2312" w:cs="宋体"/>
                <w:color w:val="000000" w:themeColor="text1"/>
              </w:rPr>
              <w:t>；</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eastAsia="等线"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10</w:t>
            </w:r>
            <w:r>
              <w:rPr>
                <w:rFonts w:hint="eastAsia" w:ascii="仿宋_GB2312" w:cs="宋体"/>
                <w:color w:val="000000" w:themeColor="text1"/>
              </w:rPr>
              <w:t>）寿命：</w:t>
            </w:r>
            <w:r>
              <w:rPr>
                <w:rFonts w:hint="eastAsia" w:eastAsia="等线" w:cs="宋体"/>
                <w:color w:val="000000" w:themeColor="text1"/>
              </w:rPr>
              <w:t>≥10</w:t>
            </w:r>
            <w:r>
              <w:rPr>
                <w:rFonts w:hint="eastAsia" w:ascii="仿宋_GB2312" w:cs="宋体"/>
                <w:color w:val="000000" w:themeColor="text1"/>
              </w:rPr>
              <w:t>万小时，工作温度范围</w:t>
            </w:r>
            <w:r>
              <w:rPr>
                <w:rFonts w:hint="eastAsia" w:eastAsia="等线" w:cs="宋体"/>
                <w:color w:val="000000" w:themeColor="text1"/>
              </w:rPr>
              <w:t>-10—45</w:t>
            </w:r>
            <w:r>
              <w:rPr>
                <w:rFonts w:hint="eastAsia" w:ascii="仿宋_GB2312" w:cs="宋体"/>
                <w:color w:val="000000" w:themeColor="text1"/>
              </w:rPr>
              <w:t>℃，存储温度范围</w:t>
            </w:r>
            <w:r>
              <w:rPr>
                <w:rFonts w:hint="eastAsia" w:eastAsia="等线" w:cs="宋体"/>
                <w:color w:val="000000" w:themeColor="text1"/>
              </w:rPr>
              <w:t>-20—60</w:t>
            </w:r>
            <w:r>
              <w:rPr>
                <w:rFonts w:hint="eastAsia" w:ascii="仿宋_GB2312" w:cs="宋体"/>
                <w:color w:val="000000" w:themeColor="text1"/>
              </w:rPr>
              <w:t>℃，工作湿度范围（</w:t>
            </w:r>
            <w:r>
              <w:rPr>
                <w:rFonts w:hint="eastAsia" w:eastAsia="等线" w:cs="宋体"/>
                <w:color w:val="000000" w:themeColor="text1"/>
              </w:rPr>
              <w:t>RH</w:t>
            </w:r>
            <w:r>
              <w:rPr>
                <w:rFonts w:hint="eastAsia" w:ascii="仿宋_GB2312" w:cs="宋体"/>
                <w:color w:val="000000" w:themeColor="text1"/>
              </w:rPr>
              <w:t>）无结露</w:t>
            </w:r>
            <w:r>
              <w:rPr>
                <w:rFonts w:hint="eastAsia" w:eastAsia="等线" w:cs="宋体"/>
                <w:color w:val="000000" w:themeColor="text1"/>
              </w:rPr>
              <w:t>10-90%</w:t>
            </w:r>
            <w:r>
              <w:rPr>
                <w:rFonts w:hint="eastAsia" w:ascii="仿宋_GB2312" w:cs="宋体"/>
                <w:color w:val="000000" w:themeColor="text1"/>
              </w:rPr>
              <w:t>，存储湿度范围（</w:t>
            </w:r>
            <w:r>
              <w:rPr>
                <w:rFonts w:hint="eastAsia" w:eastAsia="等线" w:cs="宋体"/>
                <w:color w:val="000000" w:themeColor="text1"/>
              </w:rPr>
              <w:t>RH</w:t>
            </w:r>
            <w:r>
              <w:rPr>
                <w:rFonts w:hint="eastAsia" w:ascii="仿宋_GB2312" w:cs="宋体"/>
                <w:color w:val="000000" w:themeColor="text1"/>
              </w:rPr>
              <w:t>）无结露</w:t>
            </w:r>
            <w:r>
              <w:rPr>
                <w:rFonts w:hint="eastAsia" w:eastAsia="等线" w:cs="宋体"/>
                <w:color w:val="000000" w:themeColor="text1"/>
              </w:rPr>
              <w:t>10-90%</w:t>
            </w:r>
            <w:r>
              <w:rPr>
                <w:rFonts w:hint="eastAsia" w:ascii="仿宋_GB2312" w:cs="宋体"/>
                <w:color w:val="000000" w:themeColor="text1"/>
              </w:rPr>
              <w:t>。</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eastAsia="等线"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11</w:t>
            </w:r>
            <w:r>
              <w:rPr>
                <w:rFonts w:hint="eastAsia" w:ascii="仿宋_GB2312" w:cs="宋体"/>
                <w:color w:val="000000" w:themeColor="text1"/>
              </w:rPr>
              <w:t>）功能特性：支持任意方向、任意尺寸、任意造型拼接，画面均匀一致，无黑线，实现真正无缝拼接。</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eastAsia="等线" w:cs="宋体"/>
                <w:color w:val="000000" w:themeColor="text1"/>
              </w:rPr>
            </w:pPr>
          </w:p>
        </w:tc>
      </w:tr>
      <w:tr>
        <w:tblPrEx>
          <w:tblLayout w:type="fixed"/>
          <w:tblCellMar>
            <w:top w:w="0" w:type="dxa"/>
            <w:left w:w="108" w:type="dxa"/>
            <w:bottom w:w="0" w:type="dxa"/>
            <w:right w:w="108" w:type="dxa"/>
          </w:tblCellMar>
        </w:tblPrEx>
        <w:tc>
          <w:tcPr>
            <w:tcW w:w="469"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3</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LED</w:t>
            </w:r>
            <w:r>
              <w:rPr>
                <w:rFonts w:hint="eastAsia" w:ascii="仿宋_GB2312" w:cs="宋体"/>
                <w:color w:val="000000" w:themeColor="text1"/>
              </w:rPr>
              <w:t>小间距全彩显示屏</w:t>
            </w:r>
            <w:r>
              <w:rPr>
                <w:rFonts w:hint="eastAsia" w:eastAsia="等线" w:cs="宋体"/>
                <w:color w:val="000000" w:themeColor="text1"/>
              </w:rPr>
              <w:t>3</w:t>
            </w: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长</w:t>
            </w:r>
            <w:r>
              <w:rPr>
                <w:rFonts w:hint="eastAsia" w:eastAsia="等线" w:cs="宋体"/>
                <w:color w:val="000000" w:themeColor="text1"/>
              </w:rPr>
              <w:t>≥3.6</w:t>
            </w:r>
            <w:r>
              <w:rPr>
                <w:rFonts w:hint="eastAsia" w:ascii="仿宋_GB2312" w:hAnsi="宋体" w:cs="宋体"/>
                <w:color w:val="000000" w:themeColor="text1"/>
              </w:rPr>
              <w:t>米，宽</w:t>
            </w:r>
            <w:r>
              <w:rPr>
                <w:rFonts w:hint="eastAsia" w:eastAsia="等线" w:cs="宋体"/>
                <w:color w:val="000000" w:themeColor="text1"/>
              </w:rPr>
              <w:t>≥2.025</w:t>
            </w:r>
            <w:r>
              <w:rPr>
                <w:rFonts w:hint="eastAsia" w:ascii="仿宋_GB2312" w:hAnsi="宋体" w:cs="宋体"/>
                <w:color w:val="000000" w:themeColor="text1"/>
              </w:rPr>
              <w:t>米按照</w:t>
            </w:r>
            <w:r>
              <w:rPr>
                <w:rFonts w:hint="eastAsia" w:eastAsia="等线" w:cs="宋体"/>
                <w:color w:val="000000" w:themeColor="text1"/>
              </w:rPr>
              <w:t>16:9</w:t>
            </w:r>
            <w:r>
              <w:rPr>
                <w:rFonts w:hint="eastAsia" w:ascii="仿宋_GB2312" w:hAnsi="宋体" w:cs="宋体"/>
                <w:color w:val="000000" w:themeColor="text1"/>
              </w:rPr>
              <w:t>的比例设计</w:t>
            </w:r>
          </w:p>
        </w:tc>
        <w:tc>
          <w:tcPr>
            <w:tcW w:w="775"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7.29</w:t>
            </w:r>
          </w:p>
        </w:tc>
        <w:tc>
          <w:tcPr>
            <w:tcW w:w="456" w:type="dxa"/>
            <w:vMerge w:val="restart"/>
            <w:tcBorders>
              <w:top w:val="nil"/>
              <w:left w:val="single" w:color="auto" w:sz="8" w:space="0"/>
              <w:bottom w:val="single" w:color="000000" w:sz="8" w:space="0"/>
              <w:right w:val="single" w:color="auto" w:sz="4"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m²</w:t>
            </w: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1</w:t>
            </w:r>
            <w:r>
              <w:rPr>
                <w:rFonts w:hint="eastAsia" w:ascii="仿宋_GB2312" w:cs="宋体"/>
                <w:color w:val="000000" w:themeColor="text1"/>
              </w:rPr>
              <w:t>）小间距</w:t>
            </w:r>
            <w:r>
              <w:rPr>
                <w:rFonts w:hint="eastAsia" w:eastAsia="等线" w:cs="宋体"/>
                <w:color w:val="000000" w:themeColor="text1"/>
              </w:rPr>
              <w:t>LED</w:t>
            </w:r>
            <w:r>
              <w:rPr>
                <w:rFonts w:hint="eastAsia" w:ascii="仿宋_GB2312" w:cs="宋体"/>
                <w:color w:val="000000" w:themeColor="text1"/>
              </w:rPr>
              <w:t>全彩显示屏；</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eastAsia="等线"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2</w:t>
            </w:r>
            <w:r>
              <w:rPr>
                <w:rFonts w:hint="eastAsia" w:ascii="仿宋_GB2312" w:cs="宋体"/>
                <w:color w:val="000000" w:themeColor="text1"/>
              </w:rPr>
              <w:t>）像素间距：不大于</w:t>
            </w:r>
            <w:r>
              <w:rPr>
                <w:rFonts w:hint="eastAsia" w:eastAsia="等线" w:cs="宋体"/>
                <w:color w:val="000000" w:themeColor="text1"/>
              </w:rPr>
              <w:t>1.27mm</w:t>
            </w:r>
            <w:r>
              <w:rPr>
                <w:rFonts w:hint="eastAsia" w:ascii="仿宋_GB2312" w:cs="宋体"/>
                <w:color w:val="000000" w:themeColor="text1"/>
              </w:rPr>
              <w:t>；</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eastAsia="等线"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3</w:t>
            </w:r>
            <w:r>
              <w:rPr>
                <w:rFonts w:hint="eastAsia" w:ascii="仿宋_GB2312" w:cs="宋体"/>
                <w:color w:val="000000" w:themeColor="text1"/>
              </w:rPr>
              <w:t>）屏幕宽高比：</w:t>
            </w:r>
            <w:r>
              <w:rPr>
                <w:rFonts w:hint="eastAsia" w:eastAsia="等线" w:cs="宋体"/>
                <w:color w:val="000000" w:themeColor="text1"/>
              </w:rPr>
              <w:t>16:9</w:t>
            </w:r>
            <w:r>
              <w:rPr>
                <w:rFonts w:hint="eastAsia" w:ascii="仿宋_GB2312" w:cs="宋体"/>
                <w:color w:val="000000" w:themeColor="text1"/>
              </w:rPr>
              <w:t>，压铸铝材质；</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eastAsia="等线"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4</w:t>
            </w:r>
            <w:r>
              <w:rPr>
                <w:rFonts w:hint="eastAsia" w:ascii="仿宋_GB2312" w:cs="宋体"/>
                <w:color w:val="000000" w:themeColor="text1"/>
              </w:rPr>
              <w:t>）像素结构：</w:t>
            </w:r>
            <w:r>
              <w:rPr>
                <w:rFonts w:hint="eastAsia" w:eastAsia="等线" w:cs="宋体"/>
                <w:color w:val="000000" w:themeColor="text1"/>
              </w:rPr>
              <w:t>LED</w:t>
            </w:r>
            <w:r>
              <w:rPr>
                <w:rFonts w:hint="eastAsia" w:ascii="仿宋_GB2312" w:cs="宋体"/>
                <w:color w:val="000000" w:themeColor="text1"/>
              </w:rPr>
              <w:t>表贴三合一；</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eastAsia="等线"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5</w:t>
            </w:r>
            <w:r>
              <w:rPr>
                <w:rFonts w:hint="eastAsia" w:ascii="仿宋_GB2312" w:cs="宋体"/>
                <w:color w:val="000000" w:themeColor="text1"/>
              </w:rPr>
              <w:t>）单元分辨率</w:t>
            </w:r>
            <w:r>
              <w:rPr>
                <w:rFonts w:hint="eastAsia" w:eastAsia="等线" w:cs="宋体"/>
                <w:color w:val="000000" w:themeColor="text1"/>
              </w:rPr>
              <w:t>≥480×270</w:t>
            </w:r>
            <w:r>
              <w:rPr>
                <w:rFonts w:hint="eastAsia" w:ascii="仿宋_GB2312" w:cs="宋体"/>
                <w:color w:val="000000" w:themeColor="text1"/>
              </w:rPr>
              <w:t>；</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eastAsia="等线"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6</w:t>
            </w:r>
            <w:r>
              <w:rPr>
                <w:rFonts w:hint="eastAsia" w:ascii="仿宋_GB2312" w:cs="宋体"/>
                <w:color w:val="000000" w:themeColor="text1"/>
              </w:rPr>
              <w:t>）像素密度：</w:t>
            </w:r>
            <w:r>
              <w:rPr>
                <w:rFonts w:hint="eastAsia" w:eastAsia="等线" w:cs="宋体"/>
                <w:color w:val="000000" w:themeColor="text1"/>
              </w:rPr>
              <w:t>620000</w:t>
            </w:r>
            <w:r>
              <w:rPr>
                <w:rFonts w:hint="eastAsia" w:ascii="仿宋_GB2312" w:cs="宋体"/>
                <w:color w:val="000000" w:themeColor="text1"/>
              </w:rPr>
              <w:t>点</w:t>
            </w:r>
            <w:r>
              <w:rPr>
                <w:rFonts w:hint="eastAsia" w:eastAsia="等线" w:cs="宋体"/>
                <w:color w:val="000000" w:themeColor="text1"/>
              </w:rPr>
              <w:t>/</w:t>
            </w:r>
            <w:r>
              <w:rPr>
                <w:rFonts w:hint="eastAsia" w:ascii="Batang" w:hAnsi="Batang" w:eastAsia="Batang" w:cs="Batang"/>
                <w:color w:val="000000" w:themeColor="text1"/>
              </w:rPr>
              <w:t>㎡</w:t>
            </w:r>
            <w:r>
              <w:rPr>
                <w:rFonts w:hint="eastAsia" w:ascii="仿宋_GB2312" w:hAnsi="仿宋_GB2312" w:cs="仿宋_GB2312"/>
                <w:color w:val="000000" w:themeColor="text1"/>
              </w:rPr>
              <w:t>；</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eastAsia="等线"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7</w:t>
            </w:r>
            <w:r>
              <w:rPr>
                <w:rFonts w:hint="eastAsia" w:ascii="仿宋_GB2312" w:cs="宋体"/>
                <w:color w:val="000000" w:themeColor="text1"/>
              </w:rPr>
              <w:t>）光学参数：显示屏亮度</w:t>
            </w:r>
            <w:r>
              <w:rPr>
                <w:rFonts w:hint="eastAsia" w:eastAsia="等线" w:cs="宋体"/>
                <w:color w:val="000000" w:themeColor="text1"/>
              </w:rPr>
              <w:t>≥1200nits</w:t>
            </w:r>
            <w:r>
              <w:rPr>
                <w:rFonts w:hint="eastAsia" w:ascii="仿宋_GB2312" w:cs="宋体"/>
                <w:color w:val="000000" w:themeColor="text1"/>
              </w:rPr>
              <w:t>，色温</w:t>
            </w:r>
            <w:r>
              <w:rPr>
                <w:rFonts w:hint="eastAsia" w:eastAsia="等线" w:cs="宋体"/>
                <w:color w:val="000000" w:themeColor="text1"/>
              </w:rPr>
              <w:t>2500K—10000K</w:t>
            </w:r>
            <w:r>
              <w:rPr>
                <w:rFonts w:hint="eastAsia" w:ascii="仿宋_GB2312" w:cs="宋体"/>
                <w:color w:val="000000" w:themeColor="text1"/>
              </w:rPr>
              <w:t>可调，水平、垂直视角</w:t>
            </w:r>
            <w:r>
              <w:rPr>
                <w:rFonts w:hint="eastAsia" w:eastAsia="等线" w:cs="宋体"/>
                <w:color w:val="000000" w:themeColor="text1"/>
              </w:rPr>
              <w:t>160°</w:t>
            </w:r>
            <w:r>
              <w:rPr>
                <w:rFonts w:hint="eastAsia" w:ascii="仿宋_GB2312" w:cs="宋体"/>
                <w:color w:val="000000" w:themeColor="text1"/>
              </w:rPr>
              <w:t>，推荐视距</w:t>
            </w:r>
            <w:r>
              <w:rPr>
                <w:rFonts w:hint="eastAsia" w:eastAsia="等线" w:cs="宋体"/>
                <w:color w:val="000000" w:themeColor="text1"/>
              </w:rPr>
              <w:t>≥2m</w:t>
            </w:r>
            <w:r>
              <w:rPr>
                <w:rFonts w:hint="eastAsia" w:ascii="仿宋_GB2312" w:cs="宋体"/>
                <w:color w:val="000000" w:themeColor="text1"/>
              </w:rPr>
              <w:t>，亮度均匀性</w:t>
            </w:r>
            <w:r>
              <w:rPr>
                <w:rFonts w:hint="eastAsia" w:eastAsia="等线" w:cs="宋体"/>
                <w:color w:val="000000" w:themeColor="text1"/>
              </w:rPr>
              <w:t>≥97%</w:t>
            </w:r>
            <w:r>
              <w:rPr>
                <w:rFonts w:hint="eastAsia" w:ascii="仿宋_GB2312" w:cs="宋体"/>
                <w:color w:val="000000" w:themeColor="text1"/>
              </w:rPr>
              <w:t>，色度均匀性</w:t>
            </w:r>
            <w:r>
              <w:rPr>
                <w:rFonts w:hint="eastAsia" w:eastAsia="等线" w:cs="宋体"/>
                <w:color w:val="000000" w:themeColor="text1"/>
              </w:rPr>
              <w:t>±0.003Cx,Cy</w:t>
            </w:r>
            <w:r>
              <w:rPr>
                <w:rFonts w:hint="eastAsia" w:ascii="仿宋_GB2312" w:cs="宋体"/>
                <w:color w:val="000000" w:themeColor="text1"/>
              </w:rPr>
              <w:t>之内，最大对比度</w:t>
            </w:r>
            <w:r>
              <w:rPr>
                <w:rFonts w:hint="eastAsia" w:eastAsia="等线" w:cs="宋体"/>
                <w:color w:val="000000" w:themeColor="text1"/>
              </w:rPr>
              <w:t>≥8000:1</w:t>
            </w:r>
            <w:r>
              <w:rPr>
                <w:rFonts w:hint="eastAsia" w:ascii="仿宋_GB2312" w:cs="宋体"/>
                <w:color w:val="000000" w:themeColor="text1"/>
              </w:rPr>
              <w:t>；</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eastAsia="等线"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8</w:t>
            </w:r>
            <w:r>
              <w:rPr>
                <w:rFonts w:hint="eastAsia" w:ascii="仿宋_GB2312" w:cs="宋体"/>
                <w:color w:val="000000" w:themeColor="text1"/>
              </w:rPr>
              <w:t>）处理深度：</w:t>
            </w:r>
            <w:r>
              <w:rPr>
                <w:rFonts w:hint="eastAsia" w:eastAsia="等线" w:cs="宋体"/>
                <w:color w:val="000000" w:themeColor="text1"/>
              </w:rPr>
              <w:t>16bits</w:t>
            </w:r>
            <w:r>
              <w:rPr>
                <w:rFonts w:hint="eastAsia" w:ascii="仿宋_GB2312" w:cs="宋体"/>
                <w:color w:val="000000" w:themeColor="text1"/>
              </w:rPr>
              <w:t>，灰度等级：</w:t>
            </w:r>
            <w:r>
              <w:rPr>
                <w:rFonts w:hint="eastAsia" w:eastAsia="等线" w:cs="宋体"/>
                <w:color w:val="000000" w:themeColor="text1"/>
              </w:rPr>
              <w:t>65536Level</w:t>
            </w:r>
            <w:r>
              <w:rPr>
                <w:rFonts w:hint="eastAsia" w:ascii="仿宋_GB2312" w:cs="宋体"/>
                <w:color w:val="000000" w:themeColor="text1"/>
              </w:rPr>
              <w:t>；</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eastAsia="等线"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9</w:t>
            </w:r>
            <w:r>
              <w:rPr>
                <w:rFonts w:hint="eastAsia" w:ascii="仿宋_GB2312" w:cs="宋体"/>
                <w:color w:val="000000" w:themeColor="text1"/>
              </w:rPr>
              <w:t>）电气参数：峰值功耗</w:t>
            </w:r>
            <w:r>
              <w:rPr>
                <w:rFonts w:hint="eastAsia" w:eastAsia="等线" w:cs="宋体"/>
                <w:color w:val="000000" w:themeColor="text1"/>
              </w:rPr>
              <w:t>≤850W/</w:t>
            </w:r>
            <w:r>
              <w:rPr>
                <w:rFonts w:hint="eastAsia" w:ascii="Batang" w:hAnsi="Batang" w:eastAsia="Batang" w:cs="Batang"/>
                <w:color w:val="000000" w:themeColor="text1"/>
              </w:rPr>
              <w:t>㎡</w:t>
            </w:r>
            <w:r>
              <w:rPr>
                <w:rFonts w:hint="eastAsia" w:ascii="仿宋_GB2312" w:hAnsi="仿宋_GB2312" w:cs="仿宋_GB2312"/>
                <w:color w:val="000000" w:themeColor="text1"/>
              </w:rPr>
              <w:t>，平均功耗</w:t>
            </w:r>
            <w:r>
              <w:rPr>
                <w:rFonts w:hint="eastAsia" w:eastAsia="等线" w:cs="宋体"/>
                <w:color w:val="000000" w:themeColor="text1"/>
              </w:rPr>
              <w:t>≤275W/</w:t>
            </w:r>
            <w:r>
              <w:rPr>
                <w:rFonts w:hint="eastAsia" w:ascii="Batang" w:hAnsi="Batang" w:eastAsia="Batang" w:cs="Batang"/>
                <w:color w:val="000000" w:themeColor="text1"/>
              </w:rPr>
              <w:t>㎡</w:t>
            </w:r>
            <w:r>
              <w:rPr>
                <w:rFonts w:hint="eastAsia" w:ascii="仿宋_GB2312" w:hAnsi="仿宋_GB2312" w:cs="仿宋_GB2312"/>
                <w:color w:val="000000" w:themeColor="text1"/>
              </w:rPr>
              <w:t>，供电要求</w:t>
            </w:r>
            <w:r>
              <w:rPr>
                <w:rFonts w:hint="eastAsia" w:eastAsia="等线" w:cs="宋体"/>
                <w:color w:val="000000" w:themeColor="text1"/>
              </w:rPr>
              <w:t>110~264VAC±15%</w:t>
            </w:r>
            <w:r>
              <w:rPr>
                <w:rFonts w:hint="eastAsia" w:ascii="仿宋_GB2312" w:cs="宋体"/>
                <w:color w:val="000000" w:themeColor="text1"/>
              </w:rPr>
              <w:t>；</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eastAsia="等线"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10</w:t>
            </w:r>
            <w:r>
              <w:rPr>
                <w:rFonts w:hint="eastAsia" w:ascii="仿宋_GB2312" w:cs="宋体"/>
                <w:color w:val="000000" w:themeColor="text1"/>
              </w:rPr>
              <w:t>）寿命：</w:t>
            </w:r>
            <w:r>
              <w:rPr>
                <w:rFonts w:hint="eastAsia" w:eastAsia="等线" w:cs="宋体"/>
                <w:color w:val="000000" w:themeColor="text1"/>
              </w:rPr>
              <w:t>≥10</w:t>
            </w:r>
            <w:r>
              <w:rPr>
                <w:rFonts w:hint="eastAsia" w:ascii="仿宋_GB2312" w:cs="宋体"/>
                <w:color w:val="000000" w:themeColor="text1"/>
              </w:rPr>
              <w:t>万小时，工作温度范围</w:t>
            </w:r>
            <w:r>
              <w:rPr>
                <w:rFonts w:hint="eastAsia" w:eastAsia="等线" w:cs="宋体"/>
                <w:color w:val="000000" w:themeColor="text1"/>
              </w:rPr>
              <w:t>-10—45</w:t>
            </w:r>
            <w:r>
              <w:rPr>
                <w:rFonts w:hint="eastAsia" w:ascii="仿宋_GB2312" w:cs="宋体"/>
                <w:color w:val="000000" w:themeColor="text1"/>
              </w:rPr>
              <w:t>℃，存储温度范围</w:t>
            </w:r>
            <w:r>
              <w:rPr>
                <w:rFonts w:hint="eastAsia" w:eastAsia="等线" w:cs="宋体"/>
                <w:color w:val="000000" w:themeColor="text1"/>
              </w:rPr>
              <w:t>-20—60</w:t>
            </w:r>
            <w:r>
              <w:rPr>
                <w:rFonts w:hint="eastAsia" w:ascii="仿宋_GB2312" w:cs="宋体"/>
                <w:color w:val="000000" w:themeColor="text1"/>
              </w:rPr>
              <w:t>℃，工作湿度范围（</w:t>
            </w:r>
            <w:r>
              <w:rPr>
                <w:rFonts w:hint="eastAsia" w:eastAsia="等线" w:cs="宋体"/>
                <w:color w:val="000000" w:themeColor="text1"/>
              </w:rPr>
              <w:t>RH</w:t>
            </w:r>
            <w:r>
              <w:rPr>
                <w:rFonts w:hint="eastAsia" w:ascii="仿宋_GB2312" w:cs="宋体"/>
                <w:color w:val="000000" w:themeColor="text1"/>
              </w:rPr>
              <w:t>）无结露</w:t>
            </w:r>
            <w:r>
              <w:rPr>
                <w:rFonts w:hint="eastAsia" w:eastAsia="等线" w:cs="宋体"/>
                <w:color w:val="000000" w:themeColor="text1"/>
              </w:rPr>
              <w:t>10-90%</w:t>
            </w:r>
            <w:r>
              <w:rPr>
                <w:rFonts w:hint="eastAsia" w:ascii="仿宋_GB2312" w:cs="宋体"/>
                <w:color w:val="000000" w:themeColor="text1"/>
              </w:rPr>
              <w:t>，存储湿度范围（</w:t>
            </w:r>
            <w:r>
              <w:rPr>
                <w:rFonts w:hint="eastAsia" w:eastAsia="等线" w:cs="宋体"/>
                <w:color w:val="000000" w:themeColor="text1"/>
              </w:rPr>
              <w:t>RH</w:t>
            </w:r>
            <w:r>
              <w:rPr>
                <w:rFonts w:hint="eastAsia" w:ascii="仿宋_GB2312" w:cs="宋体"/>
                <w:color w:val="000000" w:themeColor="text1"/>
              </w:rPr>
              <w:t>）无结露</w:t>
            </w:r>
            <w:r>
              <w:rPr>
                <w:rFonts w:hint="eastAsia" w:eastAsia="等线" w:cs="宋体"/>
                <w:color w:val="000000" w:themeColor="text1"/>
              </w:rPr>
              <w:t>10-90%</w:t>
            </w:r>
            <w:r>
              <w:rPr>
                <w:rFonts w:hint="eastAsia" w:ascii="仿宋_GB2312" w:cs="宋体"/>
                <w:color w:val="000000" w:themeColor="text1"/>
              </w:rPr>
              <w:t>。</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eastAsia="等线"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11</w:t>
            </w:r>
            <w:r>
              <w:rPr>
                <w:rFonts w:hint="eastAsia" w:ascii="仿宋_GB2312" w:cs="宋体"/>
                <w:color w:val="000000" w:themeColor="text1"/>
              </w:rPr>
              <w:t>）功能特性：支持任意方向、任意尺寸、任意造型拼接，画面均匀一致，无黑线，实现真正无缝拼接。</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eastAsia="等线" w:cs="宋体"/>
                <w:color w:val="000000" w:themeColor="text1"/>
              </w:rPr>
            </w:pPr>
          </w:p>
        </w:tc>
      </w:tr>
      <w:tr>
        <w:tblPrEx>
          <w:tblLayout w:type="fixed"/>
          <w:tblCellMar>
            <w:top w:w="0" w:type="dxa"/>
            <w:left w:w="108" w:type="dxa"/>
            <w:bottom w:w="0" w:type="dxa"/>
            <w:right w:w="108" w:type="dxa"/>
          </w:tblCellMar>
        </w:tblPrEx>
        <w:tc>
          <w:tcPr>
            <w:tcW w:w="469"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4</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LED</w:t>
            </w:r>
            <w:r>
              <w:rPr>
                <w:rFonts w:hint="eastAsia" w:ascii="仿宋_GB2312" w:cs="宋体"/>
                <w:color w:val="000000" w:themeColor="text1"/>
              </w:rPr>
              <w:t>全彩显示屏控制器</w:t>
            </w: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LED</w:t>
            </w:r>
            <w:r>
              <w:rPr>
                <w:rFonts w:hint="eastAsia" w:ascii="仿宋_GB2312" w:cs="宋体"/>
                <w:color w:val="000000" w:themeColor="text1"/>
              </w:rPr>
              <w:t>全彩显示屏控制器，配合全彩</w:t>
            </w:r>
            <w:r>
              <w:rPr>
                <w:rFonts w:hint="eastAsia" w:eastAsia="等线" w:cs="宋体"/>
                <w:color w:val="000000" w:themeColor="text1"/>
              </w:rPr>
              <w:t>LED</w:t>
            </w:r>
            <w:r>
              <w:rPr>
                <w:rFonts w:hint="eastAsia" w:ascii="仿宋_GB2312" w:cs="宋体"/>
                <w:color w:val="000000" w:themeColor="text1"/>
              </w:rPr>
              <w:t>显示屏使用，可实现任意尺寸大屏无缝拼接显示，适用于会议室、演播厅、体育场、机场车站、银行、广告、家庭影院等多种场合。</w:t>
            </w:r>
          </w:p>
        </w:tc>
        <w:tc>
          <w:tcPr>
            <w:tcW w:w="775"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20</w:t>
            </w:r>
          </w:p>
        </w:tc>
        <w:tc>
          <w:tcPr>
            <w:tcW w:w="456" w:type="dxa"/>
            <w:vMerge w:val="restart"/>
            <w:tcBorders>
              <w:top w:val="nil"/>
              <w:left w:val="single" w:color="auto" w:sz="8" w:space="0"/>
              <w:bottom w:val="single" w:color="000000"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4</w:t>
            </w:r>
            <w:r>
              <w:rPr>
                <w:rFonts w:hint="eastAsia" w:ascii="仿宋_GB2312" w:cs="宋体"/>
                <w:color w:val="000000" w:themeColor="text1"/>
              </w:rPr>
              <w:t>个千兆网口输出，单个网口最大带载</w:t>
            </w:r>
            <w:r>
              <w:rPr>
                <w:rFonts w:hint="eastAsia" w:eastAsia="等线" w:cs="宋体"/>
                <w:color w:val="000000" w:themeColor="text1"/>
              </w:rPr>
              <w:t>65</w:t>
            </w:r>
            <w:r>
              <w:rPr>
                <w:rFonts w:hint="eastAsia" w:ascii="仿宋_GB2312" w:cs="宋体"/>
                <w:color w:val="000000" w:themeColor="text1"/>
              </w:rPr>
              <w:t>万个像素点；</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带载分辨率：</w:t>
            </w:r>
            <w:r>
              <w:rPr>
                <w:rFonts w:hint="eastAsia" w:eastAsia="等线" w:cs="宋体"/>
                <w:color w:val="000000" w:themeColor="text1"/>
              </w:rPr>
              <w:t>2048×1152@60Hz</w:t>
            </w:r>
            <w:r>
              <w:rPr>
                <w:rFonts w:hint="eastAsia" w:ascii="仿宋_GB2312" w:hAnsi="宋体" w:cs="宋体"/>
                <w:color w:val="000000" w:themeColor="text1"/>
              </w:rPr>
              <w:t>或</w:t>
            </w:r>
            <w:r>
              <w:rPr>
                <w:rFonts w:hint="eastAsia" w:eastAsia="等线" w:cs="宋体"/>
                <w:color w:val="000000" w:themeColor="text1"/>
              </w:rPr>
              <w:t>1920×1200@60Hz</w:t>
            </w:r>
            <w:r>
              <w:rPr>
                <w:rFonts w:hint="eastAsia" w:ascii="仿宋_GB2312" w:hAnsi="宋体" w:cs="宋体"/>
                <w:color w:val="000000" w:themeColor="text1"/>
              </w:rPr>
              <w:t>；</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DVI</w:t>
            </w:r>
            <w:r>
              <w:rPr>
                <w:rFonts w:hint="eastAsia" w:ascii="仿宋_GB2312" w:cs="宋体"/>
                <w:color w:val="000000" w:themeColor="text1"/>
              </w:rPr>
              <w:t>、</w:t>
            </w:r>
            <w:r>
              <w:rPr>
                <w:rFonts w:hint="eastAsia" w:eastAsia="等线" w:cs="宋体"/>
                <w:color w:val="000000" w:themeColor="text1"/>
              </w:rPr>
              <w:t>DP</w:t>
            </w:r>
            <w:r>
              <w:rPr>
                <w:rFonts w:hint="eastAsia" w:ascii="仿宋_GB2312" w:cs="宋体"/>
                <w:color w:val="000000" w:themeColor="text1"/>
              </w:rPr>
              <w:t>、</w:t>
            </w:r>
            <w:r>
              <w:rPr>
                <w:rFonts w:hint="eastAsia" w:eastAsia="等线" w:cs="宋体"/>
                <w:color w:val="000000" w:themeColor="text1"/>
              </w:rPr>
              <w:t>HDMI</w:t>
            </w:r>
            <w:r>
              <w:rPr>
                <w:rFonts w:hint="eastAsia" w:ascii="仿宋_GB2312" w:cs="宋体"/>
                <w:color w:val="000000" w:themeColor="text1"/>
              </w:rPr>
              <w:t>、</w:t>
            </w:r>
            <w:r>
              <w:rPr>
                <w:rFonts w:hint="eastAsia" w:eastAsia="等线" w:cs="宋体"/>
                <w:color w:val="000000" w:themeColor="text1"/>
              </w:rPr>
              <w:t>VGA</w:t>
            </w:r>
            <w:r>
              <w:rPr>
                <w:rFonts w:hint="eastAsia" w:ascii="仿宋_GB2312" w:cs="宋体"/>
                <w:color w:val="000000" w:themeColor="text1"/>
              </w:rPr>
              <w:t>多信号输入，支持信源自动检测，无需手动切换信源；</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16bit</w:t>
            </w:r>
            <w:r>
              <w:rPr>
                <w:rFonts w:hint="eastAsia" w:ascii="仿宋_GB2312" w:cs="宋体"/>
                <w:color w:val="000000" w:themeColor="text1"/>
              </w:rPr>
              <w:t>处理深度，低亮高灰，真实还原图像色彩；</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3840Hz</w:t>
            </w:r>
            <w:r>
              <w:rPr>
                <w:rFonts w:hint="eastAsia" w:ascii="仿宋_GB2312" w:cs="宋体"/>
                <w:color w:val="000000" w:themeColor="text1"/>
              </w:rPr>
              <w:t>高刷新率，纳秒级响应时间，视频画面更细腻流畅；</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支持屏幕亮度自动调整</w:t>
            </w:r>
            <w:r>
              <w:rPr>
                <w:rFonts w:hint="eastAsia" w:eastAsia="等线" w:cs="宋体"/>
                <w:color w:val="000000" w:themeColor="text1"/>
              </w:rPr>
              <w:t>,</w:t>
            </w:r>
            <w:r>
              <w:rPr>
                <w:rFonts w:hint="eastAsia" w:ascii="仿宋_GB2312" w:hAnsi="宋体" w:cs="宋体"/>
                <w:color w:val="000000" w:themeColor="text1"/>
              </w:rPr>
              <w:t>自适应环境光亮度（配合多功能卡使用）；</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图像色温调节，标准、冷、暖三色可调；</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5</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字幕条屏</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P4</w:t>
            </w:r>
            <w:r>
              <w:rPr>
                <w:rFonts w:hint="eastAsia" w:ascii="仿宋_GB2312" w:cs="宋体"/>
                <w:color w:val="000000" w:themeColor="text1"/>
              </w:rPr>
              <w:t>全彩表贴，屏幕面积</w:t>
            </w:r>
            <w:r>
              <w:rPr>
                <w:rFonts w:hint="eastAsia" w:eastAsia="等线" w:cs="宋体"/>
                <w:color w:val="000000" w:themeColor="text1"/>
              </w:rPr>
              <w:t>12.1984m×0.4m=4.88m²</w:t>
            </w:r>
            <w:r>
              <w:rPr>
                <w:rFonts w:hint="eastAsia" w:ascii="仿宋_GB2312" w:cs="宋体"/>
                <w:color w:val="000000" w:themeColor="text1"/>
              </w:rPr>
              <w:t>，亮度：</w:t>
            </w:r>
            <w:r>
              <w:rPr>
                <w:rFonts w:hint="eastAsia" w:eastAsia="等线" w:cs="宋体"/>
                <w:color w:val="000000" w:themeColor="text1"/>
              </w:rPr>
              <w:t>800cd/m2</w:t>
            </w:r>
            <w:r>
              <w:rPr>
                <w:rFonts w:hint="eastAsia" w:ascii="仿宋_GB2312" w:cs="宋体"/>
                <w:color w:val="000000" w:themeColor="text1"/>
              </w:rPr>
              <w:t>，支架与大屏一体化安装，含控制软件</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4.88</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平方米</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6</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LED</w:t>
            </w:r>
            <w:r>
              <w:rPr>
                <w:rFonts w:hint="eastAsia" w:ascii="仿宋_GB2312" w:cs="宋体"/>
                <w:color w:val="000000" w:themeColor="text1"/>
              </w:rPr>
              <w:t>屏落地支架</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落地安装支架</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7</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LED</w:t>
            </w:r>
            <w:r>
              <w:rPr>
                <w:rFonts w:hint="eastAsia" w:ascii="仿宋_GB2312" w:cs="宋体"/>
                <w:color w:val="000000" w:themeColor="text1"/>
              </w:rPr>
              <w:t>屏壁挂支架</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壁挂安装支架</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8</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大屏四周装饰</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四周包边及装饰，与整体装修风格相符合</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9</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配电柜</w:t>
            </w: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 xml:space="preserve">1) </w:t>
            </w:r>
            <w:r>
              <w:rPr>
                <w:rFonts w:hint="eastAsia" w:ascii="仿宋_GB2312" w:cs="宋体"/>
                <w:color w:val="000000" w:themeColor="text1"/>
              </w:rPr>
              <w:t>类型：</w:t>
            </w:r>
            <w:r>
              <w:rPr>
                <w:rFonts w:hint="eastAsia" w:eastAsia="等线" w:cs="宋体"/>
                <w:color w:val="000000" w:themeColor="text1"/>
              </w:rPr>
              <w:t>50KW</w:t>
            </w:r>
            <w:r>
              <w:rPr>
                <w:rFonts w:hint="eastAsia" w:ascii="仿宋_GB2312" w:cs="宋体"/>
                <w:color w:val="000000" w:themeColor="text1"/>
              </w:rPr>
              <w:t>配电柜</w:t>
            </w:r>
          </w:p>
        </w:tc>
        <w:tc>
          <w:tcPr>
            <w:tcW w:w="775"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vMerge w:val="restart"/>
            <w:tcBorders>
              <w:top w:val="nil"/>
              <w:left w:val="single" w:color="auto" w:sz="8" w:space="0"/>
              <w:bottom w:val="single" w:color="000000"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 xml:space="preserve">2) </w:t>
            </w:r>
            <w:r>
              <w:rPr>
                <w:rFonts w:hint="eastAsia" w:ascii="仿宋_GB2312" w:cs="宋体"/>
                <w:color w:val="000000" w:themeColor="text1"/>
              </w:rPr>
              <w:t>控制：欧姆龙</w:t>
            </w:r>
            <w:r>
              <w:rPr>
                <w:rFonts w:hint="eastAsia" w:eastAsia="等线" w:cs="宋体"/>
                <w:color w:val="000000" w:themeColor="text1"/>
              </w:rPr>
              <w:t>PLC</w:t>
            </w:r>
            <w:r>
              <w:rPr>
                <w:rFonts w:hint="eastAsia" w:ascii="仿宋_GB2312" w:cs="宋体"/>
                <w:color w:val="000000" w:themeColor="text1"/>
              </w:rPr>
              <w:t>控制器，网络远程控制</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3</w:t>
            </w:r>
            <w:r>
              <w:rPr>
                <w:rFonts w:hint="eastAsia" w:ascii="仿宋_GB2312" w:cs="宋体"/>
                <w:color w:val="000000" w:themeColor="text1"/>
              </w:rPr>
              <w:t>）元器件：德力西断路器，施耐德接触器</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 xml:space="preserve">4) </w:t>
            </w:r>
            <w:r>
              <w:rPr>
                <w:rFonts w:hint="eastAsia" w:ascii="仿宋_GB2312" w:cs="宋体"/>
                <w:color w:val="000000" w:themeColor="text1"/>
              </w:rPr>
              <w:t>输入电压：</w:t>
            </w:r>
            <w:r>
              <w:rPr>
                <w:rFonts w:hint="eastAsia" w:eastAsia="等线" w:cs="宋体"/>
                <w:color w:val="000000" w:themeColor="text1"/>
              </w:rPr>
              <w:t>380V</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5</w:t>
            </w:r>
            <w:r>
              <w:rPr>
                <w:rFonts w:hint="eastAsia" w:ascii="仿宋_GB2312" w:cs="宋体"/>
                <w:color w:val="000000" w:themeColor="text1"/>
              </w:rPr>
              <w:t>）输出电压：</w:t>
            </w:r>
            <w:r>
              <w:rPr>
                <w:rFonts w:hint="eastAsia" w:eastAsia="等线" w:cs="宋体"/>
                <w:color w:val="000000" w:themeColor="text1"/>
              </w:rPr>
              <w:t>220V</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6</w:t>
            </w:r>
            <w:r>
              <w:rPr>
                <w:rFonts w:hint="eastAsia" w:ascii="仿宋_GB2312" w:cs="宋体"/>
                <w:color w:val="000000" w:themeColor="text1"/>
              </w:rPr>
              <w:t>）输出回路：三个三相回路，</w:t>
            </w:r>
            <w:r>
              <w:rPr>
                <w:rFonts w:hint="eastAsia" w:eastAsia="等线" w:cs="宋体"/>
                <w:color w:val="000000" w:themeColor="text1"/>
              </w:rPr>
              <w:t>15</w:t>
            </w:r>
            <w:r>
              <w:rPr>
                <w:rFonts w:hint="eastAsia" w:ascii="仿宋_GB2312" w:cs="宋体"/>
                <w:color w:val="000000" w:themeColor="text1"/>
              </w:rPr>
              <w:t>个单相回路</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7</w:t>
            </w:r>
            <w:r>
              <w:rPr>
                <w:rFonts w:hint="eastAsia" w:ascii="仿宋_GB2312" w:cs="宋体"/>
                <w:color w:val="000000" w:themeColor="text1"/>
              </w:rPr>
              <w:t>）尺寸：</w:t>
            </w:r>
            <w:r>
              <w:rPr>
                <w:rFonts w:hint="eastAsia" w:eastAsia="等线" w:cs="宋体"/>
                <w:color w:val="000000" w:themeColor="text1"/>
              </w:rPr>
              <w:t>600*1000*250</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10</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大屏配套线缆</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大屏供电电缆</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11</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大屏幕控制软件</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全中文操作界面，支持窗口菜单、子窗口、树型目录等界面以及双击、右键菜单选择等操作，界面简洁，操作方便。可对各种视频信号、</w:t>
            </w:r>
            <w:r>
              <w:rPr>
                <w:rFonts w:hint="eastAsia" w:eastAsia="等线" w:cs="宋体"/>
                <w:color w:val="000000" w:themeColor="text1"/>
              </w:rPr>
              <w:t>RGB</w:t>
            </w:r>
            <w:r>
              <w:rPr>
                <w:rFonts w:hint="eastAsia" w:ascii="仿宋_GB2312" w:hAnsi="宋体" w:cs="宋体"/>
                <w:color w:val="000000" w:themeColor="text1"/>
              </w:rPr>
              <w:t>信号、网络计算机等信号源进行设置、管理、选择调用和切换显示，可对各信号的色彩、亮度等参数进行设置、调整。控制软件支持对各种信号源预览及快速调用，操作员可在各类信号源上屏显示之前对信号进行开窗预览，并用鼠标快速将信号窗口拖移上屏显示。控制软件具备信号窗口回显功能，支持显示墙上所有信号窗口画面在控制界面中以相同比例和位置同步仿真显示，呈现给用户一个完全仿真的显示墙，可使操作人员不用看大屏幕即可在控制终端上监视投影墙的显示内容。可以对大屏幕上显示的各种信号窗口进行管理和控制，如单屏显示、跨屏显示、任意大小显示、整屏显示，移动或缩放各信号窗口。支持将显示墙划分为多个显示功能区域，为每个分区设定相应的信号源及操作员权限，实现不同显示区域的专人专区管理。</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12</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大屏拼接处理器</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ascii="仿宋_GB2312" w:cs="宋体"/>
                <w:color w:val="000000" w:themeColor="text1"/>
              </w:rPr>
              <w:t>标准机箱，满足各种规模的监控需求；标准机架式设计，运营级</w:t>
            </w:r>
            <w:r>
              <w:rPr>
                <w:rFonts w:hint="eastAsia" w:eastAsia="等线" w:cs="宋体"/>
                <w:color w:val="000000" w:themeColor="text1"/>
              </w:rPr>
              <w:t>ATCA</w:t>
            </w:r>
            <w:r>
              <w:rPr>
                <w:rFonts w:hint="eastAsia" w:ascii="仿宋_GB2312" w:cs="宋体"/>
                <w:color w:val="000000" w:themeColor="text1"/>
              </w:rPr>
              <w:t>机箱系统；插拔式模块化设计，可根据需求灵活扩展；</w:t>
            </w:r>
            <w:r>
              <w:rPr>
                <w:rFonts w:ascii="宋体" w:hAnsi="宋体"/>
                <w:color w:val="000000" w:themeColor="text1"/>
                <w:szCs w:val="21"/>
              </w:rPr>
              <w:t>≥</w:t>
            </w:r>
            <w:r>
              <w:rPr>
                <w:rFonts w:hint="eastAsia" w:eastAsia="等线" w:cs="宋体"/>
                <w:color w:val="000000" w:themeColor="text1"/>
              </w:rPr>
              <w:t>14</w:t>
            </w:r>
            <w:r>
              <w:rPr>
                <w:rFonts w:hint="eastAsia" w:ascii="仿宋_GB2312" w:cs="宋体"/>
                <w:color w:val="000000" w:themeColor="text1"/>
              </w:rPr>
              <w:t>槽位机箱，双电源适配器，单主控板；业务模块支持热插拔、双电源冗余、智能风扇自动调温，确保系统稳定可靠；双高速无阻塞背板设计，满足大容量视频数据高速交换的需求。</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13</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输入板</w:t>
            </w: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视频输入口：</w:t>
            </w:r>
            <w:r>
              <w:rPr>
                <w:rFonts w:hint="eastAsia" w:eastAsia="等线" w:cs="宋体"/>
                <w:color w:val="000000" w:themeColor="text1"/>
              </w:rPr>
              <w:t>8</w:t>
            </w:r>
            <w:r>
              <w:rPr>
                <w:rFonts w:hint="eastAsia" w:ascii="仿宋_GB2312" w:hAnsi="宋体" w:cs="宋体"/>
                <w:color w:val="000000" w:themeColor="text1"/>
              </w:rPr>
              <w:t>路视频输入，</w:t>
            </w:r>
            <w:r>
              <w:rPr>
                <w:rFonts w:hint="eastAsia" w:eastAsia="等线" w:cs="宋体"/>
                <w:color w:val="000000" w:themeColor="text1"/>
              </w:rPr>
              <w:t>4</w:t>
            </w:r>
            <w:r>
              <w:rPr>
                <w:rFonts w:hint="eastAsia" w:ascii="仿宋_GB2312" w:hAnsi="宋体" w:cs="宋体"/>
                <w:color w:val="000000" w:themeColor="text1"/>
              </w:rPr>
              <w:t>个</w:t>
            </w:r>
            <w:r>
              <w:rPr>
                <w:rFonts w:hint="eastAsia" w:eastAsia="等线" w:cs="宋体"/>
                <w:color w:val="000000" w:themeColor="text1"/>
              </w:rPr>
              <w:t>VGA</w:t>
            </w:r>
            <w:r>
              <w:rPr>
                <w:rFonts w:hint="eastAsia" w:ascii="仿宋_GB2312" w:hAnsi="宋体" w:cs="宋体"/>
                <w:color w:val="000000" w:themeColor="text1"/>
              </w:rPr>
              <w:t>和</w:t>
            </w:r>
            <w:r>
              <w:rPr>
                <w:rFonts w:hint="eastAsia" w:eastAsia="等线" w:cs="宋体"/>
                <w:color w:val="000000" w:themeColor="text1"/>
              </w:rPr>
              <w:t>4</w:t>
            </w:r>
            <w:r>
              <w:rPr>
                <w:rFonts w:hint="eastAsia" w:ascii="仿宋_GB2312" w:hAnsi="宋体" w:cs="宋体"/>
                <w:color w:val="000000" w:themeColor="text1"/>
              </w:rPr>
              <w:t>个</w:t>
            </w:r>
            <w:r>
              <w:rPr>
                <w:rFonts w:hint="eastAsia" w:eastAsia="等线" w:cs="宋体"/>
                <w:color w:val="000000" w:themeColor="text1"/>
              </w:rPr>
              <w:t>DVI</w:t>
            </w:r>
            <w:r>
              <w:rPr>
                <w:rFonts w:hint="eastAsia" w:ascii="仿宋_GB2312" w:hAnsi="宋体" w:cs="宋体"/>
                <w:color w:val="000000" w:themeColor="text1"/>
              </w:rPr>
              <w:t>；</w:t>
            </w:r>
          </w:p>
        </w:tc>
        <w:tc>
          <w:tcPr>
            <w:tcW w:w="775"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3</w:t>
            </w:r>
          </w:p>
        </w:tc>
        <w:tc>
          <w:tcPr>
            <w:tcW w:w="456" w:type="dxa"/>
            <w:vMerge w:val="restart"/>
            <w:tcBorders>
              <w:top w:val="nil"/>
              <w:left w:val="single" w:color="auto" w:sz="8" w:space="0"/>
              <w:bottom w:val="single" w:color="000000"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块</w:t>
            </w: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输入分辨率：</w:t>
            </w:r>
            <w:r>
              <w:rPr>
                <w:rFonts w:hint="eastAsia" w:eastAsia="等线" w:cs="宋体"/>
                <w:color w:val="000000" w:themeColor="text1"/>
              </w:rPr>
              <w:t>1024×768@60Hz</w:t>
            </w:r>
            <w:r>
              <w:rPr>
                <w:rFonts w:hint="eastAsia" w:ascii="仿宋_GB2312" w:hAnsi="宋体" w:cs="宋体"/>
                <w:color w:val="000000" w:themeColor="text1"/>
              </w:rPr>
              <w:t>、</w:t>
            </w:r>
            <w:r>
              <w:rPr>
                <w:rFonts w:hint="eastAsia" w:eastAsia="等线" w:cs="宋体"/>
                <w:color w:val="000000" w:themeColor="text1"/>
              </w:rPr>
              <w:t>1280×1024@60Hz</w:t>
            </w:r>
            <w:r>
              <w:rPr>
                <w:rFonts w:hint="eastAsia" w:ascii="仿宋_GB2312" w:hAnsi="宋体" w:cs="宋体"/>
                <w:color w:val="000000" w:themeColor="text1"/>
              </w:rPr>
              <w:t>、</w:t>
            </w:r>
            <w:r>
              <w:rPr>
                <w:rFonts w:hint="eastAsia" w:eastAsia="等线" w:cs="宋体"/>
                <w:color w:val="000000" w:themeColor="text1"/>
              </w:rPr>
              <w:t>1280×800@60Hz</w:t>
            </w:r>
            <w:r>
              <w:rPr>
                <w:rFonts w:hint="eastAsia" w:ascii="仿宋_GB2312" w:hAnsi="宋体" w:cs="宋体"/>
                <w:color w:val="000000" w:themeColor="text1"/>
              </w:rPr>
              <w:t>、</w:t>
            </w:r>
            <w:r>
              <w:rPr>
                <w:rFonts w:hint="eastAsia" w:eastAsia="等线" w:cs="宋体"/>
                <w:color w:val="000000" w:themeColor="text1"/>
              </w:rPr>
              <w:t>1366×768@60Hz</w:t>
            </w:r>
            <w:r>
              <w:rPr>
                <w:rFonts w:hint="eastAsia" w:ascii="仿宋_GB2312" w:hAnsi="宋体" w:cs="宋体"/>
                <w:color w:val="000000" w:themeColor="text1"/>
              </w:rPr>
              <w:t>、</w:t>
            </w:r>
            <w:r>
              <w:rPr>
                <w:rFonts w:hint="eastAsia" w:eastAsia="等线" w:cs="宋体"/>
                <w:color w:val="000000" w:themeColor="text1"/>
              </w:rPr>
              <w:t>1440×900@60Hz</w:t>
            </w:r>
            <w:r>
              <w:rPr>
                <w:rFonts w:hint="eastAsia" w:ascii="仿宋_GB2312" w:hAnsi="宋体" w:cs="宋体"/>
                <w:color w:val="000000" w:themeColor="text1"/>
              </w:rPr>
              <w:t>、</w:t>
            </w:r>
            <w:r>
              <w:rPr>
                <w:rFonts w:hint="eastAsia" w:eastAsia="等线" w:cs="宋体"/>
                <w:color w:val="000000" w:themeColor="text1"/>
              </w:rPr>
              <w:t>1680×1050@60Hz</w:t>
            </w:r>
            <w:r>
              <w:rPr>
                <w:rFonts w:hint="eastAsia" w:ascii="仿宋_GB2312" w:hAnsi="宋体" w:cs="宋体"/>
                <w:color w:val="000000" w:themeColor="text1"/>
              </w:rPr>
              <w:t>、</w:t>
            </w:r>
            <w:r>
              <w:rPr>
                <w:rFonts w:hint="eastAsia" w:eastAsia="等线" w:cs="宋体"/>
                <w:color w:val="000000" w:themeColor="text1"/>
              </w:rPr>
              <w:t>1280×960@60Hz</w:t>
            </w:r>
            <w:r>
              <w:rPr>
                <w:rFonts w:hint="eastAsia" w:ascii="仿宋_GB2312" w:hAnsi="宋体" w:cs="宋体"/>
                <w:color w:val="000000" w:themeColor="text1"/>
              </w:rPr>
              <w:t>、</w:t>
            </w:r>
            <w:r>
              <w:rPr>
                <w:rFonts w:hint="eastAsia" w:eastAsia="等线" w:cs="宋体"/>
                <w:color w:val="000000" w:themeColor="text1"/>
              </w:rPr>
              <w:t>1600×1200@60Hz</w:t>
            </w:r>
            <w:r>
              <w:rPr>
                <w:rFonts w:hint="eastAsia" w:ascii="仿宋_GB2312" w:hAnsi="宋体" w:cs="宋体"/>
                <w:color w:val="000000" w:themeColor="text1"/>
              </w:rPr>
              <w:t>、</w:t>
            </w:r>
            <w:r>
              <w:rPr>
                <w:rFonts w:hint="eastAsia" w:eastAsia="等线" w:cs="宋体"/>
                <w:color w:val="000000" w:themeColor="text1"/>
              </w:rPr>
              <w:t>1280×720P@50Hz</w:t>
            </w:r>
            <w:r>
              <w:rPr>
                <w:rFonts w:hint="eastAsia" w:ascii="仿宋_GB2312" w:hAnsi="宋体" w:cs="宋体"/>
                <w:color w:val="000000" w:themeColor="text1"/>
              </w:rPr>
              <w:t>、</w:t>
            </w:r>
            <w:r>
              <w:rPr>
                <w:rFonts w:hint="eastAsia" w:eastAsia="等线" w:cs="宋体"/>
                <w:color w:val="000000" w:themeColor="text1"/>
              </w:rPr>
              <w:t>1280×720P@60Hz</w:t>
            </w:r>
            <w:r>
              <w:rPr>
                <w:rFonts w:hint="eastAsia" w:ascii="仿宋_GB2312" w:hAnsi="宋体" w:cs="宋体"/>
                <w:color w:val="000000" w:themeColor="text1"/>
              </w:rPr>
              <w:t>、</w:t>
            </w:r>
            <w:r>
              <w:rPr>
                <w:rFonts w:hint="eastAsia" w:eastAsia="等线" w:cs="宋体"/>
                <w:color w:val="000000" w:themeColor="text1"/>
              </w:rPr>
              <w:t>1920×1080I@50Hz</w:t>
            </w:r>
            <w:r>
              <w:rPr>
                <w:rFonts w:hint="eastAsia" w:ascii="仿宋_GB2312" w:hAnsi="宋体" w:cs="宋体"/>
                <w:color w:val="000000" w:themeColor="text1"/>
              </w:rPr>
              <w:t>、</w:t>
            </w:r>
            <w:r>
              <w:rPr>
                <w:rFonts w:hint="eastAsia" w:eastAsia="等线" w:cs="宋体"/>
                <w:color w:val="000000" w:themeColor="text1"/>
              </w:rPr>
              <w:t>1920×1080I@60Hz</w:t>
            </w:r>
            <w:r>
              <w:rPr>
                <w:rFonts w:hint="eastAsia" w:ascii="仿宋_GB2312" w:hAnsi="宋体" w:cs="宋体"/>
                <w:color w:val="000000" w:themeColor="text1"/>
              </w:rPr>
              <w:t>、</w:t>
            </w:r>
            <w:r>
              <w:rPr>
                <w:rFonts w:hint="eastAsia" w:eastAsia="等线" w:cs="宋体"/>
                <w:color w:val="000000" w:themeColor="text1"/>
              </w:rPr>
              <w:t>1920×1080P@50Hz</w:t>
            </w:r>
            <w:r>
              <w:rPr>
                <w:rFonts w:hint="eastAsia" w:ascii="仿宋_GB2312" w:hAnsi="宋体" w:cs="宋体"/>
                <w:color w:val="000000" w:themeColor="text1"/>
              </w:rPr>
              <w:t>、</w:t>
            </w:r>
            <w:r>
              <w:rPr>
                <w:rFonts w:hint="eastAsia" w:eastAsia="等线" w:cs="宋体"/>
                <w:color w:val="000000" w:themeColor="text1"/>
              </w:rPr>
              <w:t>1920×1080P@60Hz</w:t>
            </w:r>
            <w:r>
              <w:rPr>
                <w:rFonts w:hint="eastAsia" w:ascii="仿宋_GB2312" w:hAnsi="宋体" w:cs="宋体"/>
                <w:color w:val="000000" w:themeColor="text1"/>
              </w:rPr>
              <w:t>；</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14</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输出板</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8</w:t>
            </w:r>
            <w:r>
              <w:rPr>
                <w:rFonts w:hint="eastAsia" w:ascii="仿宋_GB2312" w:cs="宋体"/>
                <w:color w:val="000000" w:themeColor="text1"/>
              </w:rPr>
              <w:t>个</w:t>
            </w:r>
            <w:r>
              <w:rPr>
                <w:rFonts w:hint="eastAsia" w:eastAsia="等线" w:cs="宋体"/>
                <w:color w:val="000000" w:themeColor="text1"/>
              </w:rPr>
              <w:t>DVI</w:t>
            </w:r>
            <w:r>
              <w:rPr>
                <w:rFonts w:hint="eastAsia" w:ascii="仿宋_GB2312" w:cs="宋体"/>
                <w:color w:val="000000" w:themeColor="text1"/>
              </w:rPr>
              <w:t>输出口，支持小间距全彩显示屏，分辨率适应性更佳</w:t>
            </w:r>
            <w:r>
              <w:rPr>
                <w:rFonts w:hint="eastAsia" w:eastAsia="等线" w:cs="宋体"/>
                <w:color w:val="000000" w:themeColor="text1"/>
              </w:rPr>
              <w:t>;</w:t>
            </w:r>
            <w:r>
              <w:rPr>
                <w:rFonts w:hint="eastAsia" w:ascii="仿宋_GB2312" w:cs="宋体"/>
                <w:color w:val="000000" w:themeColor="text1"/>
              </w:rPr>
              <w:t>支持</w:t>
            </w:r>
            <w:r>
              <w:rPr>
                <w:rFonts w:hint="eastAsia" w:eastAsia="等线" w:cs="宋体"/>
                <w:color w:val="000000" w:themeColor="text1"/>
              </w:rPr>
              <w:t>16</w:t>
            </w:r>
            <w:r>
              <w:rPr>
                <w:rFonts w:hint="eastAsia" w:ascii="仿宋_GB2312" w:cs="宋体"/>
                <w:color w:val="000000" w:themeColor="text1"/>
              </w:rPr>
              <w:t>路</w:t>
            </w:r>
            <w:r>
              <w:rPr>
                <w:rFonts w:hint="eastAsia" w:eastAsia="等线" w:cs="宋体"/>
                <w:color w:val="000000" w:themeColor="text1"/>
              </w:rPr>
              <w:t>800W/64</w:t>
            </w:r>
            <w:r>
              <w:rPr>
                <w:rFonts w:hint="eastAsia" w:ascii="仿宋_GB2312" w:cs="宋体"/>
                <w:color w:val="000000" w:themeColor="text1"/>
              </w:rPr>
              <w:t>路</w:t>
            </w:r>
            <w:r>
              <w:rPr>
                <w:rFonts w:hint="eastAsia" w:eastAsia="等线" w:cs="宋体"/>
                <w:color w:val="000000" w:themeColor="text1"/>
              </w:rPr>
              <w:t>1080P/128</w:t>
            </w:r>
            <w:r>
              <w:rPr>
                <w:rFonts w:hint="eastAsia" w:ascii="仿宋_GB2312" w:cs="宋体"/>
                <w:color w:val="000000" w:themeColor="text1"/>
              </w:rPr>
              <w:t>路</w:t>
            </w:r>
            <w:r>
              <w:rPr>
                <w:rFonts w:hint="eastAsia" w:eastAsia="等线" w:cs="宋体"/>
                <w:color w:val="000000" w:themeColor="text1"/>
              </w:rPr>
              <w:t>720P/256</w:t>
            </w:r>
            <w:r>
              <w:rPr>
                <w:rFonts w:hint="eastAsia" w:ascii="仿宋_GB2312" w:cs="宋体"/>
                <w:color w:val="000000" w:themeColor="text1"/>
              </w:rPr>
              <w:t>路</w:t>
            </w:r>
            <w:r>
              <w:rPr>
                <w:rFonts w:hint="eastAsia" w:eastAsia="等线" w:cs="宋体"/>
                <w:color w:val="000000" w:themeColor="text1"/>
              </w:rPr>
              <w:t>4CIF</w:t>
            </w:r>
            <w:r>
              <w:rPr>
                <w:rFonts w:hint="eastAsia" w:ascii="仿宋_GB2312" w:cs="宋体"/>
                <w:color w:val="000000" w:themeColor="text1"/>
              </w:rPr>
              <w:t>解码</w:t>
            </w:r>
            <w:r>
              <w:rPr>
                <w:rFonts w:hint="eastAsia" w:eastAsia="等线" w:cs="宋体"/>
                <w:color w:val="000000" w:themeColor="text1"/>
              </w:rPr>
              <w:t>H.264/H.265</w:t>
            </w:r>
            <w:r>
              <w:rPr>
                <w:rFonts w:hint="eastAsia" w:ascii="仿宋_GB2312" w:cs="宋体"/>
                <w:color w:val="000000" w:themeColor="text1"/>
              </w:rPr>
              <w:t>解码；支持大屏拼接漫游；</w:t>
            </w:r>
            <w:r>
              <w:rPr>
                <w:rFonts w:hint="eastAsia" w:eastAsia="等线" w:cs="宋体"/>
                <w:color w:val="000000" w:themeColor="text1"/>
              </w:rPr>
              <w:t>1</w:t>
            </w:r>
            <w:r>
              <w:rPr>
                <w:rFonts w:hint="eastAsia" w:ascii="仿宋_GB2312" w:cs="宋体"/>
                <w:color w:val="000000" w:themeColor="text1"/>
              </w:rPr>
              <w:t>个</w:t>
            </w:r>
            <w:r>
              <w:rPr>
                <w:rFonts w:hint="eastAsia" w:eastAsia="等线" w:cs="宋体"/>
                <w:color w:val="000000" w:themeColor="text1"/>
              </w:rPr>
              <w:t>DB15</w:t>
            </w:r>
            <w:r>
              <w:rPr>
                <w:rFonts w:hint="eastAsia" w:ascii="仿宋_GB2312" w:cs="宋体"/>
                <w:color w:val="000000" w:themeColor="text1"/>
              </w:rPr>
              <w:t>转</w:t>
            </w:r>
            <w:r>
              <w:rPr>
                <w:rFonts w:hint="eastAsia" w:eastAsia="等线" w:cs="宋体"/>
                <w:color w:val="000000" w:themeColor="text1"/>
              </w:rPr>
              <w:t>8</w:t>
            </w:r>
            <w:r>
              <w:rPr>
                <w:rFonts w:hint="eastAsia" w:ascii="仿宋_GB2312" w:cs="宋体"/>
                <w:color w:val="000000" w:themeColor="text1"/>
              </w:rPr>
              <w:t>路音频输出；</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6</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15</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超窄边</w:t>
            </w:r>
            <w:r>
              <w:rPr>
                <w:rFonts w:hint="eastAsia" w:eastAsia="等线" w:cs="宋体"/>
                <w:color w:val="000000" w:themeColor="text1"/>
              </w:rPr>
              <w:t>LCD</w:t>
            </w:r>
            <w:r>
              <w:rPr>
                <w:rFonts w:hint="eastAsia" w:ascii="仿宋_GB2312" w:hAnsi="宋体" w:cs="宋体"/>
                <w:color w:val="000000" w:themeColor="text1"/>
              </w:rPr>
              <w:t>显示屏</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LCD</w:t>
            </w:r>
            <w:r>
              <w:rPr>
                <w:rFonts w:hint="eastAsia" w:ascii="仿宋_GB2312" w:cs="宋体"/>
                <w:color w:val="000000" w:themeColor="text1"/>
              </w:rPr>
              <w:t>显示单元为：</w:t>
            </w:r>
            <w:r>
              <w:rPr>
                <w:rFonts w:hint="eastAsia" w:eastAsia="等线" w:cs="宋体"/>
                <w:color w:val="000000" w:themeColor="text1"/>
              </w:rPr>
              <w:t>55“</w:t>
            </w:r>
            <w:r>
              <w:rPr>
                <w:rFonts w:hint="eastAsia" w:ascii="仿宋_GB2312" w:cs="宋体"/>
                <w:color w:val="000000" w:themeColor="text1"/>
              </w:rPr>
              <w:t>超窄边液晶屏；亮度达到</w:t>
            </w:r>
            <w:r>
              <w:rPr>
                <w:rFonts w:hint="eastAsia" w:eastAsia="等线" w:cs="宋体"/>
                <w:color w:val="000000" w:themeColor="text1"/>
              </w:rPr>
              <w:t>500cd/</w:t>
            </w:r>
            <w:r>
              <w:rPr>
                <w:rFonts w:hint="eastAsia" w:ascii="Batang" w:hAnsi="Batang" w:eastAsia="Batang" w:cs="Batang"/>
                <w:color w:val="000000" w:themeColor="text1"/>
              </w:rPr>
              <w:t>㎡</w:t>
            </w:r>
            <w:r>
              <w:rPr>
                <w:rFonts w:hint="eastAsia" w:ascii="仿宋_GB2312" w:hAnsi="仿宋_GB2312" w:cs="仿宋_GB2312"/>
                <w:color w:val="000000" w:themeColor="text1"/>
              </w:rPr>
              <w:t>，对比度达到</w:t>
            </w:r>
            <w:r>
              <w:rPr>
                <w:rFonts w:hint="eastAsia" w:eastAsia="等线" w:cs="宋体"/>
                <w:color w:val="000000" w:themeColor="text1"/>
              </w:rPr>
              <w:t>4000:1</w:t>
            </w:r>
            <w:r>
              <w:rPr>
                <w:rFonts w:hint="eastAsia" w:ascii="仿宋_GB2312" w:cs="宋体"/>
                <w:color w:val="000000" w:themeColor="text1"/>
              </w:rPr>
              <w:t>；物理拼缝</w:t>
            </w:r>
            <w:r>
              <w:rPr>
                <w:rFonts w:hint="eastAsia" w:eastAsia="等线" w:cs="宋体"/>
                <w:color w:val="000000" w:themeColor="text1"/>
              </w:rPr>
              <w:t>≤1.8mm</w:t>
            </w:r>
            <w:r>
              <w:rPr>
                <w:rFonts w:hint="eastAsia" w:ascii="仿宋_GB2312" w:cs="宋体"/>
                <w:color w:val="000000" w:themeColor="text1"/>
              </w:rPr>
              <w:t>。输入接口：</w:t>
            </w:r>
            <w:r>
              <w:rPr>
                <w:rFonts w:hint="eastAsia" w:eastAsia="等线" w:cs="宋体"/>
                <w:color w:val="000000" w:themeColor="text1"/>
              </w:rPr>
              <w:t>VGAX1</w:t>
            </w:r>
            <w:r>
              <w:rPr>
                <w:rFonts w:hint="eastAsia" w:ascii="仿宋_GB2312" w:cs="宋体"/>
                <w:color w:val="000000" w:themeColor="text1"/>
              </w:rPr>
              <w:t>，</w:t>
            </w:r>
            <w:r>
              <w:rPr>
                <w:rFonts w:hint="eastAsia" w:eastAsia="等线" w:cs="宋体"/>
                <w:color w:val="000000" w:themeColor="text1"/>
              </w:rPr>
              <w:t>DVIX1</w:t>
            </w:r>
            <w:r>
              <w:rPr>
                <w:rFonts w:hint="eastAsia" w:ascii="仿宋_GB2312" w:cs="宋体"/>
                <w:color w:val="000000" w:themeColor="text1"/>
              </w:rPr>
              <w:t>，</w:t>
            </w:r>
            <w:r>
              <w:rPr>
                <w:rFonts w:hint="eastAsia" w:eastAsia="等线" w:cs="宋体"/>
                <w:color w:val="000000" w:themeColor="text1"/>
              </w:rPr>
              <w:t>BNCX1</w:t>
            </w:r>
            <w:r>
              <w:rPr>
                <w:rFonts w:hint="eastAsia" w:ascii="仿宋_GB2312" w:cs="宋体"/>
                <w:color w:val="000000" w:themeColor="text1"/>
              </w:rPr>
              <w:t>，</w:t>
            </w:r>
            <w:r>
              <w:rPr>
                <w:rFonts w:hint="eastAsia" w:eastAsia="等线" w:cs="宋体"/>
                <w:color w:val="000000" w:themeColor="text1"/>
              </w:rPr>
              <w:t>YPbPrX1,HDMIX1;</w:t>
            </w:r>
            <w:r>
              <w:rPr>
                <w:rFonts w:hint="eastAsia" w:ascii="仿宋_GB2312" w:cs="宋体"/>
                <w:color w:val="000000" w:themeColor="text1"/>
              </w:rPr>
              <w:t>输出接口：</w:t>
            </w:r>
            <w:r>
              <w:rPr>
                <w:rFonts w:hint="eastAsia" w:eastAsia="等线" w:cs="宋体"/>
                <w:color w:val="000000" w:themeColor="text1"/>
              </w:rPr>
              <w:t>VGAX1</w:t>
            </w:r>
            <w:r>
              <w:rPr>
                <w:rFonts w:hint="eastAsia" w:ascii="仿宋_GB2312" w:cs="宋体"/>
                <w:color w:val="000000" w:themeColor="text1"/>
              </w:rPr>
              <w:t>，</w:t>
            </w:r>
            <w:r>
              <w:rPr>
                <w:rFonts w:hint="eastAsia" w:eastAsia="等线" w:cs="宋体"/>
                <w:color w:val="000000" w:themeColor="text1"/>
              </w:rPr>
              <w:t>DVIX1</w:t>
            </w:r>
            <w:r>
              <w:rPr>
                <w:rFonts w:hint="eastAsia" w:ascii="仿宋_GB2312" w:cs="宋体"/>
                <w:color w:val="000000" w:themeColor="text1"/>
              </w:rPr>
              <w:t>，</w:t>
            </w:r>
            <w:r>
              <w:rPr>
                <w:rFonts w:hint="eastAsia" w:eastAsia="等线" w:cs="宋体"/>
                <w:color w:val="000000" w:themeColor="text1"/>
              </w:rPr>
              <w:t>BNCX2</w:t>
            </w:r>
            <w:r>
              <w:rPr>
                <w:rFonts w:hint="eastAsia" w:ascii="仿宋_GB2312" w:cs="宋体"/>
                <w:color w:val="000000" w:themeColor="text1"/>
              </w:rPr>
              <w:t>。</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9</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16</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拼接屏支架底座</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壁挂式支架</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9</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17</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信息发布播放盒</w:t>
            </w: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CPU</w:t>
            </w:r>
            <w:r>
              <w:rPr>
                <w:rFonts w:hint="eastAsia" w:ascii="仿宋_GB2312" w:cs="宋体"/>
                <w:color w:val="000000" w:themeColor="text1"/>
              </w:rPr>
              <w:t>：</w:t>
            </w:r>
            <w:r>
              <w:rPr>
                <w:rFonts w:hint="eastAsia" w:eastAsia="等线" w:cs="宋体"/>
                <w:color w:val="000000" w:themeColor="text1"/>
              </w:rPr>
              <w:t>4</w:t>
            </w:r>
            <w:r>
              <w:rPr>
                <w:rFonts w:hint="eastAsia" w:ascii="仿宋_GB2312" w:cs="宋体"/>
                <w:color w:val="000000" w:themeColor="text1"/>
              </w:rPr>
              <w:t>核</w:t>
            </w:r>
            <w:r>
              <w:rPr>
                <w:rFonts w:hint="eastAsia" w:eastAsia="等线" w:cs="宋体"/>
                <w:color w:val="000000" w:themeColor="text1"/>
              </w:rPr>
              <w:t xml:space="preserve">Cortex-A7@1.2GHz   </w:t>
            </w:r>
          </w:p>
        </w:tc>
        <w:tc>
          <w:tcPr>
            <w:tcW w:w="775"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vMerge w:val="restart"/>
            <w:tcBorders>
              <w:top w:val="nil"/>
              <w:left w:val="single" w:color="auto" w:sz="8" w:space="0"/>
              <w:bottom w:val="single" w:color="000000"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存储参数：内存</w:t>
            </w:r>
            <w:r>
              <w:rPr>
                <w:rFonts w:hint="eastAsia" w:eastAsia="等线" w:cs="宋体"/>
                <w:color w:val="000000" w:themeColor="text1"/>
              </w:rPr>
              <w:t>1G,</w:t>
            </w:r>
            <w:r>
              <w:rPr>
                <w:rFonts w:hint="eastAsia" w:ascii="仿宋_GB2312" w:hAnsi="宋体" w:cs="宋体"/>
                <w:color w:val="000000" w:themeColor="text1"/>
              </w:rPr>
              <w:t>内置</w:t>
            </w:r>
            <w:r>
              <w:rPr>
                <w:rFonts w:hint="eastAsia" w:eastAsia="等线" w:cs="宋体"/>
                <w:color w:val="000000" w:themeColor="text1"/>
              </w:rPr>
              <w:t>SD</w:t>
            </w:r>
            <w:r>
              <w:rPr>
                <w:rFonts w:hint="eastAsia" w:ascii="仿宋_GB2312" w:hAnsi="宋体" w:cs="宋体"/>
                <w:color w:val="000000" w:themeColor="text1"/>
              </w:rPr>
              <w:t>卡</w:t>
            </w:r>
            <w:r>
              <w:rPr>
                <w:rFonts w:hint="eastAsia" w:eastAsia="等线" w:cs="宋体"/>
                <w:color w:val="000000" w:themeColor="text1"/>
              </w:rPr>
              <w:t>32G</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网络：有线、无线</w:t>
            </w:r>
            <w:r>
              <w:rPr>
                <w:rFonts w:hint="eastAsia" w:eastAsia="等线" w:cs="宋体"/>
                <w:color w:val="000000" w:themeColor="text1"/>
              </w:rPr>
              <w:t>WIFI</w:t>
            </w:r>
            <w:r>
              <w:rPr>
                <w:rFonts w:hint="eastAsia" w:ascii="仿宋_GB2312" w:hAnsi="宋体" w:cs="宋体"/>
                <w:color w:val="000000" w:themeColor="text1"/>
              </w:rPr>
              <w:t>、</w:t>
            </w:r>
            <w:r>
              <w:rPr>
                <w:rFonts w:hint="eastAsia" w:eastAsia="等线" w:cs="宋体"/>
                <w:color w:val="000000" w:themeColor="text1"/>
              </w:rPr>
              <w:t>3G/4G</w:t>
            </w:r>
            <w:r>
              <w:rPr>
                <w:rFonts w:hint="eastAsia" w:ascii="仿宋_GB2312" w:hAnsi="宋体" w:cs="宋体"/>
                <w:color w:val="000000" w:themeColor="text1"/>
              </w:rPr>
              <w:t>可选</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接口：</w:t>
            </w:r>
            <w:r>
              <w:rPr>
                <w:rFonts w:hint="eastAsia" w:eastAsia="等线" w:cs="宋体"/>
                <w:color w:val="000000" w:themeColor="text1"/>
              </w:rPr>
              <w:t>HDMI OUT×1,HDMI IN×1,AUDIO IN×1,AUDIO OUT×1,</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RJ45 IN×1,USB2.0×1,USB3.0×1,SD×1</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18</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信息发布软件</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支持图片、动画、音频、视频、文档、动态素材等多种内容组合的发布，满足客户对于广告宣传的各自需求。</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19</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80</w:t>
            </w:r>
            <w:r>
              <w:rPr>
                <w:rFonts w:hint="eastAsia" w:ascii="仿宋_GB2312" w:cs="宋体"/>
                <w:color w:val="000000" w:themeColor="text1"/>
              </w:rPr>
              <w:t>寸液晶电视</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80</w:t>
            </w:r>
            <w:r>
              <w:rPr>
                <w:rFonts w:hint="eastAsia" w:ascii="仿宋_GB2312" w:cs="宋体"/>
                <w:color w:val="000000" w:themeColor="text1"/>
              </w:rPr>
              <w:t>寸</w:t>
            </w:r>
            <w:r>
              <w:rPr>
                <w:rFonts w:hint="eastAsia" w:eastAsia="等线" w:cs="宋体"/>
                <w:color w:val="000000" w:themeColor="text1"/>
              </w:rPr>
              <w:t>4K</w:t>
            </w:r>
            <w:r>
              <w:rPr>
                <w:rFonts w:hint="eastAsia" w:ascii="仿宋_GB2312" w:cs="宋体"/>
                <w:color w:val="000000" w:themeColor="text1"/>
              </w:rPr>
              <w:t>（分辨率</w:t>
            </w:r>
            <w:r>
              <w:rPr>
                <w:rFonts w:hint="eastAsia" w:eastAsia="等线" w:cs="宋体"/>
                <w:color w:val="000000" w:themeColor="text1"/>
              </w:rPr>
              <w:t>3840x2160</w:t>
            </w:r>
            <w:r>
              <w:rPr>
                <w:rFonts w:hint="eastAsia" w:ascii="仿宋_GB2312" w:cs="宋体"/>
                <w:color w:val="000000" w:themeColor="text1"/>
              </w:rPr>
              <w:t>）超清电视，</w:t>
            </w:r>
            <w:r>
              <w:rPr>
                <w:rFonts w:hint="eastAsia" w:eastAsia="等线" w:cs="宋体"/>
                <w:color w:val="000000" w:themeColor="text1"/>
              </w:rPr>
              <w:t>16:9</w:t>
            </w:r>
            <w:r>
              <w:rPr>
                <w:rFonts w:hint="eastAsia" w:ascii="仿宋_GB2312" w:cs="宋体"/>
                <w:color w:val="000000" w:themeColor="text1"/>
              </w:rPr>
              <w:t>显示，软屏，双核</w:t>
            </w:r>
            <w:r>
              <w:rPr>
                <w:rFonts w:hint="eastAsia" w:eastAsia="等线" w:cs="宋体"/>
                <w:color w:val="000000" w:themeColor="text1"/>
              </w:rPr>
              <w:t>CPU</w:t>
            </w:r>
            <w:r>
              <w:rPr>
                <w:rFonts w:hint="eastAsia" w:ascii="仿宋_GB2312" w:cs="宋体"/>
                <w:color w:val="000000" w:themeColor="text1"/>
              </w:rPr>
              <w:t>，四核</w:t>
            </w:r>
            <w:r>
              <w:rPr>
                <w:rFonts w:hint="eastAsia" w:eastAsia="等线" w:cs="宋体"/>
                <w:color w:val="000000" w:themeColor="text1"/>
              </w:rPr>
              <w:t>GPU</w:t>
            </w:r>
            <w:r>
              <w:rPr>
                <w:rFonts w:hint="eastAsia" w:ascii="仿宋_GB2312" w:cs="宋体"/>
                <w:color w:val="000000" w:themeColor="text1"/>
              </w:rPr>
              <w:t>，存储内存</w:t>
            </w:r>
            <w:r>
              <w:rPr>
                <w:rFonts w:hint="eastAsia" w:eastAsia="等线" w:cs="宋体"/>
                <w:color w:val="000000" w:themeColor="text1"/>
              </w:rPr>
              <w:t>8G</w:t>
            </w:r>
            <w:r>
              <w:rPr>
                <w:rFonts w:hint="eastAsia" w:ascii="仿宋_GB2312" w:cs="宋体"/>
                <w:color w:val="000000" w:themeColor="text1"/>
              </w:rPr>
              <w:t>，自带扬声器，含</w:t>
            </w:r>
            <w:r>
              <w:rPr>
                <w:rFonts w:hint="eastAsia" w:eastAsia="等线" w:cs="宋体"/>
                <w:color w:val="000000" w:themeColor="text1"/>
              </w:rPr>
              <w:t>USB</w:t>
            </w:r>
            <w:r>
              <w:rPr>
                <w:rFonts w:hint="eastAsia" w:ascii="仿宋_GB2312" w:cs="宋体"/>
                <w:color w:val="000000" w:themeColor="text1"/>
              </w:rPr>
              <w:t>、</w:t>
            </w:r>
            <w:r>
              <w:rPr>
                <w:rFonts w:hint="eastAsia" w:eastAsia="等线" w:cs="宋体"/>
                <w:color w:val="000000" w:themeColor="text1"/>
              </w:rPr>
              <w:t>HDMI</w:t>
            </w:r>
            <w:r>
              <w:rPr>
                <w:rFonts w:hint="eastAsia" w:ascii="仿宋_GB2312" w:cs="宋体"/>
                <w:color w:val="000000" w:themeColor="text1"/>
              </w:rPr>
              <w:t>等接口</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4</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20</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底座</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定制底座，用于固定</w:t>
            </w:r>
            <w:r>
              <w:rPr>
                <w:rFonts w:hint="eastAsia" w:eastAsia="等线" w:cs="宋体"/>
                <w:color w:val="000000" w:themeColor="text1"/>
              </w:rPr>
              <w:t>3</w:t>
            </w:r>
            <w:r>
              <w:rPr>
                <w:rFonts w:hint="eastAsia" w:ascii="仿宋_GB2312" w:hAnsi="宋体" w:cs="宋体"/>
                <w:color w:val="000000" w:themeColor="text1"/>
              </w:rPr>
              <w:t>台</w:t>
            </w:r>
            <w:r>
              <w:rPr>
                <w:rFonts w:hint="eastAsia" w:eastAsia="等线" w:cs="宋体"/>
                <w:color w:val="000000" w:themeColor="text1"/>
              </w:rPr>
              <w:t>80</w:t>
            </w:r>
            <w:r>
              <w:rPr>
                <w:rFonts w:hint="eastAsia" w:ascii="仿宋_GB2312" w:hAnsi="宋体" w:cs="宋体"/>
                <w:color w:val="000000" w:themeColor="text1"/>
              </w:rPr>
              <w:t>寸液晶电视，可灵活调节显示角度</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21</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restart"/>
            <w:tcBorders>
              <w:top w:val="nil"/>
              <w:left w:val="single" w:color="auto" w:sz="8" w:space="0"/>
              <w:bottom w:val="single" w:color="000000" w:sz="8" w:space="0"/>
              <w:right w:val="single" w:color="auto" w:sz="8" w:space="0"/>
            </w:tcBorders>
            <w:shd w:val="clear" w:color="auto" w:fill="auto"/>
            <w:noWrap/>
            <w:vAlign w:val="center"/>
          </w:tcPr>
          <w:p>
            <w:pPr>
              <w:spacing w:line="300" w:lineRule="exact"/>
              <w:rPr>
                <w:rFonts w:eastAsia="等线" w:cs="宋体"/>
                <w:color w:val="000000" w:themeColor="text1"/>
              </w:rPr>
            </w:pPr>
            <w:r>
              <w:rPr>
                <w:rFonts w:hint="eastAsia" w:eastAsia="等线" w:cs="宋体"/>
                <w:color w:val="000000" w:themeColor="text1"/>
              </w:rPr>
              <w:t>RGB</w:t>
            </w:r>
            <w:r>
              <w:rPr>
                <w:rFonts w:hint="eastAsia" w:ascii="仿宋_GB2312" w:cs="宋体"/>
                <w:color w:val="000000" w:themeColor="text1"/>
              </w:rPr>
              <w:t>矩阵切换器</w:t>
            </w: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32</w:t>
            </w:r>
            <w:r>
              <w:rPr>
                <w:rFonts w:hint="eastAsia" w:ascii="仿宋_GB2312" w:cs="宋体"/>
                <w:color w:val="000000" w:themeColor="text1"/>
              </w:rPr>
              <w:t>进</w:t>
            </w:r>
            <w:r>
              <w:rPr>
                <w:rFonts w:hint="eastAsia" w:eastAsia="等线" w:cs="宋体"/>
                <w:color w:val="000000" w:themeColor="text1"/>
              </w:rPr>
              <w:t>16</w:t>
            </w:r>
            <w:r>
              <w:rPr>
                <w:rFonts w:hint="eastAsia" w:ascii="仿宋_GB2312" w:cs="宋体"/>
                <w:color w:val="000000" w:themeColor="text1"/>
              </w:rPr>
              <w:t>出宽带矩阵切换器，</w:t>
            </w:r>
            <w:r>
              <w:rPr>
                <w:rFonts w:hint="eastAsia" w:eastAsia="等线" w:cs="宋体"/>
                <w:color w:val="000000" w:themeColor="text1"/>
              </w:rPr>
              <w:t>RGB</w:t>
            </w:r>
            <w:r>
              <w:rPr>
                <w:rFonts w:hint="eastAsia" w:ascii="仿宋_GB2312" w:cs="宋体"/>
                <w:color w:val="000000" w:themeColor="text1"/>
              </w:rPr>
              <w:t>信号，</w:t>
            </w:r>
            <w:r>
              <w:rPr>
                <w:rFonts w:hint="eastAsia" w:eastAsia="等线" w:cs="宋体"/>
                <w:color w:val="000000" w:themeColor="text1"/>
              </w:rPr>
              <w:t>5BNC</w:t>
            </w:r>
            <w:r>
              <w:rPr>
                <w:rFonts w:hint="eastAsia" w:ascii="仿宋_GB2312" w:cs="宋体"/>
                <w:color w:val="000000" w:themeColor="text1"/>
              </w:rPr>
              <w:t>接口，</w:t>
            </w:r>
            <w:r>
              <w:rPr>
                <w:rFonts w:hint="eastAsia" w:eastAsia="等线" w:cs="宋体"/>
                <w:color w:val="000000" w:themeColor="text1"/>
              </w:rPr>
              <w:t xml:space="preserve">350MHZ, </w:t>
            </w:r>
            <w:r>
              <w:rPr>
                <w:rFonts w:hint="eastAsia" w:ascii="仿宋_GB2312" w:cs="宋体"/>
                <w:color w:val="000000" w:themeColor="text1"/>
              </w:rPr>
              <w:t>面板</w:t>
            </w:r>
            <w:r>
              <w:rPr>
                <w:rFonts w:hint="eastAsia" w:eastAsia="等线" w:cs="宋体"/>
                <w:color w:val="000000" w:themeColor="text1"/>
              </w:rPr>
              <w:t>/RS-232</w:t>
            </w:r>
            <w:r>
              <w:rPr>
                <w:rFonts w:hint="eastAsia" w:ascii="仿宋_GB2312" w:cs="宋体"/>
                <w:color w:val="000000" w:themeColor="text1"/>
              </w:rPr>
              <w:t>控制，带行场检测，液晶显示，支持</w:t>
            </w:r>
            <w:r>
              <w:rPr>
                <w:rFonts w:hint="eastAsia" w:eastAsia="等线" w:cs="宋体"/>
                <w:color w:val="000000" w:themeColor="text1"/>
              </w:rPr>
              <w:t>DVI</w:t>
            </w:r>
            <w:r>
              <w:rPr>
                <w:rFonts w:hint="eastAsia" w:ascii="仿宋_GB2312" w:cs="宋体"/>
                <w:color w:val="000000" w:themeColor="text1"/>
              </w:rPr>
              <w:t>信号接入；</w:t>
            </w:r>
          </w:p>
        </w:tc>
        <w:tc>
          <w:tcPr>
            <w:tcW w:w="775"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vMerge w:val="restart"/>
            <w:tcBorders>
              <w:top w:val="nil"/>
              <w:left w:val="single" w:color="auto" w:sz="8" w:space="0"/>
              <w:bottom w:val="single" w:color="000000"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独立的</w:t>
            </w:r>
            <w:r>
              <w:rPr>
                <w:rFonts w:hint="eastAsia" w:eastAsia="等线" w:cs="宋体"/>
                <w:color w:val="000000" w:themeColor="text1"/>
              </w:rPr>
              <w:t>RGBHV</w:t>
            </w:r>
            <w:r>
              <w:rPr>
                <w:rFonts w:hint="eastAsia" w:ascii="仿宋_GB2312" w:hAnsi="宋体" w:cs="宋体"/>
                <w:color w:val="000000" w:themeColor="text1"/>
              </w:rPr>
              <w:t>分量输入、输出端子，每路分量信号单独传输，单独切换，实现逻辑矩阵功能，任意选择搭配输出切换；</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使信号传输衰减降至最低，使图像信号能高保真输出；</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可通过串口进行电脑远程控制，含二次开发包；</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22</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其他配套</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高清输入线缆、辅助部件等</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23</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工作主机</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i7/8G</w:t>
            </w:r>
            <w:r>
              <w:rPr>
                <w:rFonts w:hint="eastAsia" w:ascii="仿宋_GB2312" w:cs="宋体"/>
                <w:color w:val="000000" w:themeColor="text1"/>
              </w:rPr>
              <w:t>内存</w:t>
            </w:r>
            <w:r>
              <w:rPr>
                <w:rFonts w:hint="eastAsia" w:eastAsia="等线" w:cs="宋体"/>
                <w:color w:val="000000" w:themeColor="text1"/>
              </w:rPr>
              <w:t>/256G SSD/500G</w:t>
            </w:r>
            <w:r>
              <w:rPr>
                <w:rFonts w:hint="eastAsia" w:ascii="仿宋_GB2312" w:cs="宋体"/>
                <w:color w:val="000000" w:themeColor="text1"/>
              </w:rPr>
              <w:t>硬盘</w:t>
            </w:r>
            <w:r>
              <w:rPr>
                <w:rFonts w:hint="eastAsia" w:eastAsia="等线" w:cs="宋体"/>
                <w:color w:val="000000" w:themeColor="text1"/>
              </w:rPr>
              <w:t>/WIN7 64</w:t>
            </w:r>
            <w:r>
              <w:rPr>
                <w:rFonts w:hint="eastAsia" w:ascii="仿宋_GB2312" w:cs="宋体"/>
                <w:color w:val="000000" w:themeColor="text1"/>
              </w:rPr>
              <w:t>专业版</w:t>
            </w:r>
            <w:r>
              <w:rPr>
                <w:rFonts w:hint="eastAsia" w:eastAsia="等线" w:cs="宋体"/>
                <w:color w:val="000000" w:themeColor="text1"/>
              </w:rPr>
              <w:t>/</w:t>
            </w:r>
            <w:r>
              <w:rPr>
                <w:rFonts w:hint="eastAsia" w:ascii="仿宋_GB2312" w:cs="宋体"/>
                <w:color w:val="000000" w:themeColor="text1"/>
              </w:rPr>
              <w:t>支持一机三屏</w:t>
            </w:r>
            <w:r>
              <w:rPr>
                <w:rFonts w:hint="eastAsia" w:eastAsia="等线" w:cs="宋体"/>
                <w:color w:val="000000" w:themeColor="text1"/>
              </w:rPr>
              <w:t>/</w:t>
            </w:r>
            <w:r>
              <w:rPr>
                <w:rFonts w:hint="eastAsia" w:ascii="仿宋_GB2312" w:cs="宋体"/>
                <w:color w:val="000000" w:themeColor="text1"/>
              </w:rPr>
              <w:t>键盘鼠标</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14</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24</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高清显示器</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21.5</w:t>
            </w:r>
            <w:r>
              <w:rPr>
                <w:rFonts w:hint="eastAsia" w:ascii="仿宋_GB2312" w:cs="宋体"/>
                <w:color w:val="000000" w:themeColor="text1"/>
              </w:rPr>
              <w:t>英寸，宽屏，屏幕比例</w:t>
            </w:r>
            <w:r>
              <w:rPr>
                <w:rFonts w:hint="eastAsia" w:eastAsia="等线" w:cs="宋体"/>
                <w:color w:val="000000" w:themeColor="text1"/>
              </w:rPr>
              <w:t>16</w:t>
            </w:r>
            <w:r>
              <w:rPr>
                <w:rFonts w:hint="eastAsia" w:ascii="仿宋_GB2312" w:cs="宋体"/>
                <w:color w:val="000000" w:themeColor="text1"/>
              </w:rPr>
              <w:t>：</w:t>
            </w:r>
            <w:r>
              <w:rPr>
                <w:rFonts w:hint="eastAsia" w:eastAsia="等线" w:cs="宋体"/>
                <w:color w:val="000000" w:themeColor="text1"/>
              </w:rPr>
              <w:t>9</w:t>
            </w:r>
            <w:r>
              <w:rPr>
                <w:rFonts w:hint="eastAsia" w:ascii="仿宋_GB2312" w:cs="宋体"/>
                <w:color w:val="000000" w:themeColor="text1"/>
              </w:rPr>
              <w:t>，最佳分辨率</w:t>
            </w:r>
            <w:r>
              <w:rPr>
                <w:rFonts w:hint="eastAsia" w:eastAsia="等线" w:cs="宋体"/>
                <w:color w:val="000000" w:themeColor="text1"/>
              </w:rPr>
              <w:t>1920x1080</w:t>
            </w:r>
            <w:r>
              <w:rPr>
                <w:rFonts w:hint="eastAsia" w:ascii="仿宋_GB2312" w:cs="宋体"/>
                <w:color w:val="000000" w:themeColor="text1"/>
              </w:rPr>
              <w:t>，接口：</w:t>
            </w:r>
            <w:r>
              <w:rPr>
                <w:rFonts w:hint="eastAsia" w:eastAsia="等线" w:cs="宋体"/>
                <w:color w:val="000000" w:themeColor="text1"/>
              </w:rPr>
              <w:t>VGA 1</w:t>
            </w:r>
            <w:r>
              <w:rPr>
                <w:rFonts w:hint="eastAsia" w:ascii="仿宋_GB2312" w:cs="宋体"/>
                <w:color w:val="000000" w:themeColor="text1"/>
              </w:rPr>
              <w:t>个，</w:t>
            </w:r>
            <w:r>
              <w:rPr>
                <w:rFonts w:hint="eastAsia" w:eastAsia="等线" w:cs="宋体"/>
                <w:color w:val="000000" w:themeColor="text1"/>
              </w:rPr>
              <w:t>DVI 1</w:t>
            </w:r>
            <w:r>
              <w:rPr>
                <w:rFonts w:hint="eastAsia" w:ascii="仿宋_GB2312" w:cs="宋体"/>
                <w:color w:val="000000" w:themeColor="text1"/>
              </w:rPr>
              <w:t>个；</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42</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25</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触控转轴式升降一体显示屏</w:t>
            </w: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1</w:t>
            </w:r>
            <w:r>
              <w:rPr>
                <w:rFonts w:hint="eastAsia" w:ascii="仿宋_GB2312" w:cs="宋体"/>
                <w:color w:val="000000" w:themeColor="text1"/>
              </w:rPr>
              <w:t>、一体显示器：</w:t>
            </w:r>
            <w:r>
              <w:rPr>
                <w:rFonts w:hint="eastAsia" w:eastAsia="等线" w:cs="宋体"/>
                <w:color w:val="000000" w:themeColor="text1"/>
              </w:rPr>
              <w:t>15.6</w:t>
            </w:r>
            <w:r>
              <w:rPr>
                <w:rFonts w:hint="eastAsia" w:ascii="仿宋_GB2312" w:cs="宋体"/>
                <w:color w:val="000000" w:themeColor="text1"/>
              </w:rPr>
              <w:t>寸高亮真彩液晶宽屏，屏分辨率</w:t>
            </w:r>
            <w:r>
              <w:rPr>
                <w:rFonts w:hint="eastAsia" w:eastAsia="等线" w:cs="宋体"/>
                <w:color w:val="000000" w:themeColor="text1"/>
              </w:rPr>
              <w:t>1920*1080dpi</w:t>
            </w:r>
            <w:r>
              <w:rPr>
                <w:rFonts w:hint="eastAsia" w:ascii="仿宋_GB2312" w:cs="宋体"/>
                <w:color w:val="000000" w:themeColor="text1"/>
              </w:rPr>
              <w:t>，</w:t>
            </w:r>
            <w:r>
              <w:rPr>
                <w:rFonts w:hint="eastAsia" w:eastAsia="等线" w:cs="宋体"/>
                <w:color w:val="000000" w:themeColor="text1"/>
              </w:rPr>
              <w:t>IPS</w:t>
            </w:r>
            <w:r>
              <w:rPr>
                <w:rFonts w:hint="eastAsia" w:ascii="仿宋_GB2312" w:cs="宋体"/>
                <w:color w:val="000000" w:themeColor="text1"/>
              </w:rPr>
              <w:t>视网膜高清屏；视角水平视角</w:t>
            </w:r>
            <w:r>
              <w:rPr>
                <w:rFonts w:hint="eastAsia" w:eastAsia="等线" w:cs="宋体"/>
                <w:color w:val="000000" w:themeColor="text1"/>
              </w:rPr>
              <w:t>(</w:t>
            </w:r>
            <w:r>
              <w:rPr>
                <w:rFonts w:hint="eastAsia" w:ascii="仿宋_GB2312" w:cs="宋体"/>
                <w:color w:val="000000" w:themeColor="text1"/>
              </w:rPr>
              <w:t>度</w:t>
            </w:r>
            <w:r>
              <w:rPr>
                <w:rFonts w:hint="eastAsia" w:eastAsia="等线" w:cs="宋体"/>
                <w:color w:val="000000" w:themeColor="text1"/>
              </w:rPr>
              <w:t>)0~176</w:t>
            </w:r>
            <w:r>
              <w:rPr>
                <w:rFonts w:hint="eastAsia" w:ascii="仿宋_GB2312" w:cs="宋体"/>
                <w:color w:val="000000" w:themeColor="text1"/>
              </w:rPr>
              <w:t>度，亮度</w:t>
            </w:r>
            <w:r>
              <w:rPr>
                <w:rFonts w:hint="eastAsia" w:eastAsia="等线" w:cs="宋体"/>
                <w:color w:val="000000" w:themeColor="text1"/>
              </w:rPr>
              <w:t>400cd/m2</w:t>
            </w:r>
            <w:r>
              <w:rPr>
                <w:rFonts w:hint="eastAsia" w:ascii="仿宋_GB2312" w:cs="宋体"/>
                <w:color w:val="000000" w:themeColor="text1"/>
              </w:rPr>
              <w:t>，垂直视角（度）</w:t>
            </w:r>
            <w:r>
              <w:rPr>
                <w:rFonts w:hint="eastAsia" w:eastAsia="等线" w:cs="宋体"/>
                <w:color w:val="000000" w:themeColor="text1"/>
              </w:rPr>
              <w:t>30~150</w:t>
            </w:r>
            <w:r>
              <w:rPr>
                <w:rFonts w:hint="eastAsia" w:ascii="仿宋_GB2312" w:cs="宋体"/>
                <w:color w:val="000000" w:themeColor="text1"/>
              </w:rPr>
              <w:t>度；屏幕比例</w:t>
            </w:r>
            <w:r>
              <w:rPr>
                <w:rFonts w:hint="eastAsia" w:eastAsia="等线" w:cs="宋体"/>
                <w:color w:val="000000" w:themeColor="text1"/>
              </w:rPr>
              <w:t>16:9</w:t>
            </w:r>
            <w:r>
              <w:rPr>
                <w:rFonts w:hint="eastAsia" w:ascii="仿宋_GB2312" w:cs="宋体"/>
                <w:color w:val="000000" w:themeColor="text1"/>
              </w:rPr>
              <w:t>；</w:t>
            </w:r>
          </w:p>
        </w:tc>
        <w:tc>
          <w:tcPr>
            <w:tcW w:w="775"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17</w:t>
            </w:r>
          </w:p>
        </w:tc>
        <w:tc>
          <w:tcPr>
            <w:tcW w:w="456" w:type="dxa"/>
            <w:vMerge w:val="restart"/>
            <w:tcBorders>
              <w:top w:val="nil"/>
              <w:left w:val="single" w:color="auto" w:sz="8" w:space="0"/>
              <w:bottom w:val="single" w:color="000000"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2</w:t>
            </w:r>
            <w:r>
              <w:rPr>
                <w:rFonts w:hint="eastAsia" w:ascii="仿宋_GB2312" w:cs="宋体"/>
                <w:color w:val="000000" w:themeColor="text1"/>
              </w:rPr>
              <w:t>、一体触摸屏：电容屏，支持</w:t>
            </w:r>
            <w:r>
              <w:rPr>
                <w:rFonts w:hint="eastAsia" w:eastAsia="等线" w:cs="宋体"/>
                <w:color w:val="000000" w:themeColor="text1"/>
              </w:rPr>
              <w:t>10</w:t>
            </w:r>
            <w:r>
              <w:rPr>
                <w:rFonts w:hint="eastAsia" w:ascii="仿宋_GB2312" w:cs="宋体"/>
                <w:color w:val="000000" w:themeColor="text1"/>
              </w:rPr>
              <w:t>点触控</w:t>
            </w:r>
            <w:r>
              <w:rPr>
                <w:rFonts w:hint="eastAsia" w:eastAsia="等线" w:cs="宋体"/>
                <w:color w:val="000000" w:themeColor="text1"/>
              </w:rPr>
              <w:t>,</w:t>
            </w:r>
            <w:r>
              <w:rPr>
                <w:rFonts w:hint="eastAsia" w:ascii="仿宋_GB2312" w:cs="宋体"/>
                <w:color w:val="000000" w:themeColor="text1"/>
              </w:rPr>
              <w:t>感应力度</w:t>
            </w:r>
            <w:r>
              <w:rPr>
                <w:rFonts w:hint="eastAsia" w:eastAsia="等线" w:cs="宋体"/>
                <w:color w:val="000000" w:themeColor="text1"/>
              </w:rPr>
              <w:t>&lt;=10g</w:t>
            </w:r>
            <w:r>
              <w:rPr>
                <w:rFonts w:hint="eastAsia" w:ascii="仿宋_GB2312" w:cs="宋体"/>
                <w:color w:val="000000" w:themeColor="text1"/>
              </w:rPr>
              <w:t>，触摸反应时间</w:t>
            </w:r>
            <w:r>
              <w:rPr>
                <w:rFonts w:hint="eastAsia" w:eastAsia="等线" w:cs="宋体"/>
                <w:color w:val="000000" w:themeColor="text1"/>
              </w:rPr>
              <w:t>&lt;=5ms</w:t>
            </w:r>
            <w:r>
              <w:rPr>
                <w:rFonts w:hint="eastAsia" w:ascii="仿宋_GB2312" w:cs="宋体"/>
                <w:color w:val="000000" w:themeColor="text1"/>
              </w:rPr>
              <w:t>，动态对比度：</w:t>
            </w:r>
            <w:r>
              <w:rPr>
                <w:rFonts w:hint="eastAsia" w:eastAsia="等线" w:cs="宋体"/>
                <w:color w:val="000000" w:themeColor="text1"/>
              </w:rPr>
              <w:t>100000</w:t>
            </w:r>
            <w:r>
              <w:rPr>
                <w:rFonts w:hint="eastAsia" w:ascii="仿宋_GB2312" w:cs="宋体"/>
                <w:color w:val="000000" w:themeColor="text1"/>
              </w:rPr>
              <w:t>：</w:t>
            </w:r>
            <w:r>
              <w:rPr>
                <w:rFonts w:hint="eastAsia" w:eastAsia="等线" w:cs="宋体"/>
                <w:color w:val="000000" w:themeColor="text1"/>
              </w:rPr>
              <w:t>1</w:t>
            </w:r>
            <w:r>
              <w:rPr>
                <w:rFonts w:hint="eastAsia" w:ascii="仿宋_GB2312" w:cs="宋体"/>
                <w:color w:val="000000" w:themeColor="text1"/>
              </w:rPr>
              <w:t>；</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3</w:t>
            </w:r>
            <w:r>
              <w:rPr>
                <w:rFonts w:hint="eastAsia" w:ascii="仿宋_GB2312" w:cs="宋体"/>
                <w:color w:val="000000" w:themeColor="text1"/>
              </w:rPr>
              <w:t>、外观设计：屏体弧形设计，屏体厚度不大于</w:t>
            </w:r>
            <w:r>
              <w:rPr>
                <w:rFonts w:hint="eastAsia" w:eastAsia="等线" w:cs="宋体"/>
                <w:color w:val="000000" w:themeColor="text1"/>
              </w:rPr>
              <w:t>12mm</w:t>
            </w:r>
            <w:r>
              <w:rPr>
                <w:rFonts w:hint="eastAsia" w:ascii="仿宋_GB2312" w:cs="宋体"/>
                <w:color w:val="000000" w:themeColor="text1"/>
              </w:rPr>
              <w:t>，边缘弧形厚度不大于</w:t>
            </w:r>
            <w:r>
              <w:rPr>
                <w:rFonts w:hint="eastAsia" w:eastAsia="等线" w:cs="宋体"/>
                <w:color w:val="000000" w:themeColor="text1"/>
              </w:rPr>
              <w:t>5.5mm</w:t>
            </w:r>
            <w:r>
              <w:rPr>
                <w:rFonts w:hint="eastAsia" w:ascii="仿宋_GB2312" w:cs="宋体"/>
                <w:color w:val="000000" w:themeColor="text1"/>
              </w:rPr>
              <w:t>；</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4</w:t>
            </w:r>
            <w:r>
              <w:rPr>
                <w:rFonts w:hint="eastAsia" w:ascii="仿宋_GB2312" w:cs="宋体"/>
                <w:color w:val="000000" w:themeColor="text1"/>
              </w:rPr>
              <w:t>、升降系统：嵌入式转轴电动升降系统，自上而下顺装，按键控制升降及控制前后仰角</w:t>
            </w:r>
            <w:r>
              <w:rPr>
                <w:rFonts w:hint="eastAsia" w:eastAsia="等线" w:cs="宋体"/>
                <w:color w:val="000000" w:themeColor="text1"/>
              </w:rPr>
              <w:t>0-62</w:t>
            </w:r>
            <w:r>
              <w:rPr>
                <w:rFonts w:hint="eastAsia" w:ascii="仿宋_GB2312" w:cs="宋体"/>
                <w:color w:val="000000" w:themeColor="text1"/>
              </w:rPr>
              <w:t>度可调，面板尺寸</w:t>
            </w:r>
            <w:r>
              <w:rPr>
                <w:rFonts w:hint="eastAsia" w:eastAsia="等线" w:cs="宋体"/>
                <w:color w:val="000000" w:themeColor="text1"/>
              </w:rPr>
              <w:t>&lt;=420mm*68*4mm</w:t>
            </w:r>
            <w:r>
              <w:rPr>
                <w:rFonts w:hint="eastAsia" w:ascii="仿宋_GB2312" w:cs="宋体"/>
                <w:color w:val="000000" w:themeColor="text1"/>
              </w:rPr>
              <w:t>（长宽厚），箱体尺寸</w:t>
            </w:r>
            <w:r>
              <w:rPr>
                <w:rFonts w:hint="eastAsia" w:eastAsia="等线" w:cs="宋体"/>
                <w:color w:val="000000" w:themeColor="text1"/>
              </w:rPr>
              <w:t>&lt;=410mm*60*600mm</w:t>
            </w:r>
            <w:r>
              <w:rPr>
                <w:rFonts w:hint="eastAsia" w:ascii="仿宋_GB2312" w:cs="宋体"/>
                <w:color w:val="000000" w:themeColor="text1"/>
              </w:rPr>
              <w:t>（长宽高），具有电源保护功能，产品支持</w:t>
            </w:r>
            <w:r>
              <w:rPr>
                <w:rFonts w:hint="eastAsia" w:eastAsia="等线" w:cs="宋体"/>
                <w:color w:val="000000" w:themeColor="text1"/>
              </w:rPr>
              <w:t>RS-485</w:t>
            </w:r>
            <w:r>
              <w:rPr>
                <w:rFonts w:hint="eastAsia" w:ascii="仿宋_GB2312" w:cs="宋体"/>
                <w:color w:val="000000" w:themeColor="text1"/>
              </w:rPr>
              <w:t>通讯协议控制升降、仰俯；</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5</w:t>
            </w:r>
            <w:r>
              <w:rPr>
                <w:rFonts w:hint="eastAsia" w:ascii="仿宋_GB2312" w:cs="宋体"/>
                <w:color w:val="000000" w:themeColor="text1"/>
              </w:rPr>
              <w:t>、材质：产品全身为高档铝合金（包括升降器箱体）；</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6</w:t>
            </w:r>
            <w:r>
              <w:rPr>
                <w:rFonts w:hint="eastAsia" w:ascii="仿宋_GB2312" w:cs="宋体"/>
                <w:color w:val="000000" w:themeColor="text1"/>
              </w:rPr>
              <w:t>、信号切换功能：支持本地</w:t>
            </w:r>
            <w:r>
              <w:rPr>
                <w:rFonts w:hint="eastAsia" w:eastAsia="等线" w:cs="宋体"/>
                <w:color w:val="000000" w:themeColor="text1"/>
              </w:rPr>
              <w:t>VGA</w:t>
            </w:r>
            <w:r>
              <w:rPr>
                <w:rFonts w:hint="eastAsia" w:ascii="仿宋_GB2312" w:cs="宋体"/>
                <w:color w:val="000000" w:themeColor="text1"/>
              </w:rPr>
              <w:t>信号，外界</w:t>
            </w:r>
            <w:r>
              <w:rPr>
                <w:rFonts w:hint="eastAsia" w:eastAsia="等线" w:cs="宋体"/>
                <w:color w:val="000000" w:themeColor="text1"/>
              </w:rPr>
              <w:t>DVI</w:t>
            </w:r>
            <w:r>
              <w:rPr>
                <w:rFonts w:hint="eastAsia" w:ascii="仿宋_GB2312" w:cs="宋体"/>
                <w:color w:val="000000" w:themeColor="text1"/>
              </w:rPr>
              <w:t>及</w:t>
            </w:r>
            <w:r>
              <w:rPr>
                <w:rFonts w:hint="eastAsia" w:eastAsia="等线" w:cs="宋体"/>
                <w:color w:val="000000" w:themeColor="text1"/>
              </w:rPr>
              <w:t>HDMI</w:t>
            </w:r>
            <w:r>
              <w:rPr>
                <w:rFonts w:hint="eastAsia" w:ascii="仿宋_GB2312" w:cs="宋体"/>
                <w:color w:val="000000" w:themeColor="text1"/>
              </w:rPr>
              <w:t>信号三路信号切换，支持</w:t>
            </w:r>
            <w:r>
              <w:rPr>
                <w:rFonts w:hint="eastAsia" w:eastAsia="等线" w:cs="宋体"/>
                <w:color w:val="000000" w:themeColor="text1"/>
              </w:rPr>
              <w:t>RS485</w:t>
            </w:r>
            <w:r>
              <w:rPr>
                <w:rFonts w:hint="eastAsia" w:ascii="仿宋_GB2312" w:cs="宋体"/>
                <w:color w:val="000000" w:themeColor="text1"/>
              </w:rPr>
              <w:t>协议串口统一切换信号；</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7</w:t>
            </w:r>
            <w:r>
              <w:rPr>
                <w:rFonts w:hint="eastAsia" w:ascii="仿宋_GB2312" w:cs="宋体"/>
                <w:color w:val="000000" w:themeColor="text1"/>
              </w:rPr>
              <w:t>、工艺处理：铝合金表面采用微细拉丝处理或细磨砂处理；</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8</w:t>
            </w:r>
            <w:r>
              <w:rPr>
                <w:rFonts w:hint="eastAsia" w:ascii="仿宋_GB2312" w:cs="宋体"/>
                <w:color w:val="000000" w:themeColor="text1"/>
              </w:rPr>
              <w:t>、结构式三防（防夹手、防掉笔、防掉异物）；</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9</w:t>
            </w:r>
            <w:r>
              <w:rPr>
                <w:rFonts w:hint="eastAsia" w:ascii="仿宋_GB2312" w:cs="宋体"/>
                <w:color w:val="000000" w:themeColor="text1"/>
              </w:rPr>
              <w:t>、传动方式：采用双钢丝软传动设计；</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10</w:t>
            </w:r>
            <w:r>
              <w:rPr>
                <w:rFonts w:hint="eastAsia" w:ascii="仿宋_GB2312" w:cs="宋体"/>
                <w:color w:val="000000" w:themeColor="text1"/>
              </w:rPr>
              <w:t>、面板按键：上升键</w:t>
            </w:r>
            <w:r>
              <w:rPr>
                <w:rFonts w:hint="eastAsia" w:eastAsia="等线" w:cs="宋体"/>
                <w:color w:val="000000" w:themeColor="text1"/>
              </w:rPr>
              <w:t>(</w:t>
            </w:r>
            <w:r>
              <w:rPr>
                <w:rFonts w:hint="eastAsia" w:ascii="仿宋_GB2312" w:cs="宋体"/>
                <w:color w:val="000000" w:themeColor="text1"/>
              </w:rPr>
              <w:t>该按键同时支持仰角调节</w:t>
            </w:r>
            <w:r>
              <w:rPr>
                <w:rFonts w:hint="eastAsia" w:eastAsia="等线" w:cs="宋体"/>
                <w:color w:val="000000" w:themeColor="text1"/>
              </w:rPr>
              <w:t>)</w:t>
            </w:r>
            <w:r>
              <w:rPr>
                <w:rFonts w:hint="eastAsia" w:ascii="仿宋_GB2312" w:cs="宋体"/>
                <w:color w:val="000000" w:themeColor="text1"/>
              </w:rPr>
              <w:t>、下降键</w:t>
            </w:r>
            <w:r>
              <w:rPr>
                <w:rFonts w:hint="eastAsia" w:eastAsia="等线" w:cs="宋体"/>
                <w:color w:val="000000" w:themeColor="text1"/>
              </w:rPr>
              <w:t>(</w:t>
            </w:r>
            <w:r>
              <w:rPr>
                <w:rFonts w:hint="eastAsia" w:ascii="仿宋_GB2312" w:cs="宋体"/>
                <w:color w:val="000000" w:themeColor="text1"/>
              </w:rPr>
              <w:t>该按键同时支持仰角调节</w:t>
            </w:r>
            <w:r>
              <w:rPr>
                <w:rFonts w:hint="eastAsia" w:eastAsia="等线" w:cs="宋体"/>
                <w:color w:val="000000" w:themeColor="text1"/>
              </w:rPr>
              <w:t>)</w:t>
            </w:r>
            <w:r>
              <w:rPr>
                <w:rFonts w:hint="eastAsia" w:ascii="仿宋_GB2312" w:cs="宋体"/>
                <w:color w:val="000000" w:themeColor="text1"/>
              </w:rPr>
              <w:t>、停止按键、电脑开</w:t>
            </w:r>
            <w:r>
              <w:rPr>
                <w:rFonts w:hint="eastAsia" w:eastAsia="等线" w:cs="宋体"/>
                <w:color w:val="000000" w:themeColor="text1"/>
              </w:rPr>
              <w:t>/</w:t>
            </w:r>
            <w:r>
              <w:rPr>
                <w:rFonts w:hint="eastAsia" w:ascii="仿宋_GB2312" w:cs="宋体"/>
                <w:color w:val="000000" w:themeColor="text1"/>
              </w:rPr>
              <w:t>关机按键、</w:t>
            </w:r>
            <w:r>
              <w:rPr>
                <w:rFonts w:hint="eastAsia" w:eastAsia="等线" w:cs="宋体"/>
                <w:color w:val="000000" w:themeColor="text1"/>
              </w:rPr>
              <w:t>VGA</w:t>
            </w:r>
            <w:r>
              <w:rPr>
                <w:rFonts w:hint="eastAsia" w:ascii="仿宋_GB2312" w:cs="宋体"/>
                <w:color w:val="000000" w:themeColor="text1"/>
              </w:rPr>
              <w:t>／</w:t>
            </w:r>
            <w:r>
              <w:rPr>
                <w:rFonts w:hint="eastAsia" w:eastAsia="等线" w:cs="宋体"/>
                <w:color w:val="000000" w:themeColor="text1"/>
              </w:rPr>
              <w:t>HDMI</w:t>
            </w:r>
            <w:r>
              <w:rPr>
                <w:rFonts w:hint="eastAsia" w:ascii="仿宋_GB2312" w:cs="宋体"/>
                <w:color w:val="000000" w:themeColor="text1"/>
              </w:rPr>
              <w:t>／</w:t>
            </w:r>
            <w:r>
              <w:rPr>
                <w:rFonts w:hint="eastAsia" w:eastAsia="等线" w:cs="宋体"/>
                <w:color w:val="000000" w:themeColor="text1"/>
              </w:rPr>
              <w:t>HDMI</w:t>
            </w:r>
            <w:r>
              <w:rPr>
                <w:rFonts w:hint="eastAsia" w:ascii="仿宋_GB2312" w:cs="宋体"/>
                <w:color w:val="000000" w:themeColor="text1"/>
              </w:rPr>
              <w:t>三信号切换键、</w:t>
            </w:r>
            <w:r>
              <w:rPr>
                <w:rFonts w:hint="eastAsia" w:eastAsia="等线" w:cs="宋体"/>
                <w:color w:val="000000" w:themeColor="text1"/>
              </w:rPr>
              <w:t>USB</w:t>
            </w:r>
            <w:r>
              <w:rPr>
                <w:rFonts w:hint="eastAsia" w:ascii="仿宋_GB2312" w:cs="宋体"/>
                <w:color w:val="000000" w:themeColor="text1"/>
              </w:rPr>
              <w:t>接口等；</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26</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显示屏客户端主机</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windows7/windows8/Windows10</w:t>
            </w:r>
            <w:r>
              <w:rPr>
                <w:rFonts w:hint="eastAsia" w:ascii="仿宋_GB2312" w:cs="宋体"/>
                <w:color w:val="000000" w:themeColor="text1"/>
              </w:rPr>
              <w:t>操作系统平台，</w:t>
            </w:r>
            <w:r>
              <w:rPr>
                <w:rFonts w:hint="eastAsia" w:eastAsia="等线" w:cs="宋体"/>
                <w:color w:val="000000" w:themeColor="text1"/>
              </w:rPr>
              <w:t>CPU</w:t>
            </w:r>
            <w:r>
              <w:rPr>
                <w:rFonts w:hint="eastAsia" w:ascii="仿宋_GB2312" w:cs="宋体"/>
                <w:color w:val="000000" w:themeColor="text1"/>
              </w:rPr>
              <w:t>为双核或四核，</w:t>
            </w:r>
            <w:r>
              <w:rPr>
                <w:rFonts w:hint="eastAsia" w:eastAsia="等线" w:cs="宋体"/>
                <w:color w:val="000000" w:themeColor="text1"/>
              </w:rPr>
              <w:t>4G</w:t>
            </w:r>
            <w:r>
              <w:rPr>
                <w:rFonts w:hint="eastAsia" w:ascii="仿宋_GB2312" w:cs="宋体"/>
                <w:color w:val="000000" w:themeColor="text1"/>
              </w:rPr>
              <w:t>内存，</w:t>
            </w:r>
            <w:r>
              <w:rPr>
                <w:rFonts w:hint="eastAsia" w:eastAsia="等线" w:cs="宋体"/>
                <w:color w:val="000000" w:themeColor="text1"/>
              </w:rPr>
              <w:t>60GSSD</w:t>
            </w:r>
            <w:r>
              <w:rPr>
                <w:rFonts w:hint="eastAsia" w:ascii="仿宋_GB2312" w:cs="宋体"/>
                <w:color w:val="000000" w:themeColor="text1"/>
              </w:rPr>
              <w:t>固态硬盘，接口含</w:t>
            </w:r>
            <w:r>
              <w:rPr>
                <w:rFonts w:hint="eastAsia" w:eastAsia="等线" w:cs="宋体"/>
                <w:color w:val="000000" w:themeColor="text1"/>
              </w:rPr>
              <w:t>VGA/HDMI</w:t>
            </w:r>
            <w:r>
              <w:rPr>
                <w:rFonts w:hint="eastAsia" w:ascii="仿宋_GB2312" w:cs="宋体"/>
                <w:color w:val="000000" w:themeColor="text1"/>
              </w:rPr>
              <w:t>、</w:t>
            </w:r>
            <w:r>
              <w:rPr>
                <w:rFonts w:hint="eastAsia" w:eastAsia="等线" w:cs="宋体"/>
                <w:color w:val="000000" w:themeColor="text1"/>
              </w:rPr>
              <w:t>DC</w:t>
            </w:r>
            <w:r>
              <w:rPr>
                <w:rFonts w:hint="eastAsia" w:ascii="仿宋_GB2312" w:cs="宋体"/>
                <w:color w:val="000000" w:themeColor="text1"/>
              </w:rPr>
              <w:t>、</w:t>
            </w:r>
            <w:r>
              <w:rPr>
                <w:rFonts w:hint="eastAsia" w:eastAsia="等线" w:cs="宋体"/>
                <w:color w:val="000000" w:themeColor="text1"/>
              </w:rPr>
              <w:t>RJ45</w:t>
            </w:r>
            <w:r>
              <w:rPr>
                <w:rFonts w:hint="eastAsia" w:ascii="仿宋_GB2312" w:cs="宋体"/>
                <w:color w:val="000000" w:themeColor="text1"/>
              </w:rPr>
              <w:t>、</w:t>
            </w:r>
            <w:r>
              <w:rPr>
                <w:rFonts w:hint="eastAsia" w:eastAsia="等线" w:cs="宋体"/>
                <w:color w:val="000000" w:themeColor="text1"/>
              </w:rPr>
              <w:t>USB*4</w:t>
            </w:r>
            <w:r>
              <w:rPr>
                <w:rFonts w:hint="eastAsia" w:ascii="仿宋_GB2312" w:cs="宋体"/>
                <w:color w:val="000000" w:themeColor="text1"/>
              </w:rPr>
              <w:t>、</w:t>
            </w:r>
            <w:r>
              <w:rPr>
                <w:rFonts w:hint="eastAsia" w:eastAsia="等线" w:cs="宋体"/>
                <w:color w:val="000000" w:themeColor="text1"/>
              </w:rPr>
              <w:t>COM</w:t>
            </w:r>
            <w:r>
              <w:rPr>
                <w:rFonts w:hint="eastAsia" w:ascii="仿宋_GB2312" w:cs="宋体"/>
                <w:color w:val="000000" w:themeColor="text1"/>
              </w:rPr>
              <w:t>接口；</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17</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27</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多媒体信息盒</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HDMI*1+3.5</w:t>
            </w:r>
            <w:r>
              <w:rPr>
                <w:rFonts w:hint="eastAsia" w:ascii="仿宋_GB2312" w:cs="宋体"/>
                <w:color w:val="000000" w:themeColor="text1"/>
              </w:rPr>
              <w:t>音频</w:t>
            </w:r>
            <w:r>
              <w:rPr>
                <w:rFonts w:hint="eastAsia" w:eastAsia="等线" w:cs="宋体"/>
                <w:color w:val="000000" w:themeColor="text1"/>
              </w:rPr>
              <w:t>*1+</w:t>
            </w:r>
            <w:r>
              <w:rPr>
                <w:rFonts w:hint="eastAsia" w:ascii="仿宋_GB2312" w:cs="宋体"/>
                <w:color w:val="000000" w:themeColor="text1"/>
              </w:rPr>
              <w:t>网口</w:t>
            </w:r>
            <w:r>
              <w:rPr>
                <w:rFonts w:hint="eastAsia" w:eastAsia="等线" w:cs="宋体"/>
                <w:color w:val="000000" w:themeColor="text1"/>
              </w:rPr>
              <w:t>*2+</w:t>
            </w:r>
            <w:r>
              <w:rPr>
                <w:rFonts w:hint="eastAsia" w:ascii="仿宋_GB2312" w:cs="宋体"/>
                <w:color w:val="000000" w:themeColor="text1"/>
              </w:rPr>
              <w:t>电源模块</w:t>
            </w:r>
            <w:r>
              <w:rPr>
                <w:rFonts w:hint="eastAsia" w:eastAsia="等线" w:cs="宋体"/>
                <w:color w:val="000000" w:themeColor="text1"/>
              </w:rPr>
              <w:t>*1</w:t>
            </w:r>
            <w:r>
              <w:rPr>
                <w:rFonts w:hint="eastAsia" w:ascii="仿宋_GB2312" w:cs="宋体"/>
                <w:color w:val="000000" w:themeColor="text1"/>
              </w:rPr>
              <w:t>，桌用</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17</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28</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多媒体地插</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HDMI*1+</w:t>
            </w:r>
            <w:r>
              <w:rPr>
                <w:rFonts w:hint="eastAsia" w:ascii="仿宋_GB2312" w:cs="宋体"/>
                <w:color w:val="000000" w:themeColor="text1"/>
              </w:rPr>
              <w:t>网口</w:t>
            </w:r>
            <w:r>
              <w:rPr>
                <w:rFonts w:hint="eastAsia" w:eastAsia="等线" w:cs="宋体"/>
                <w:color w:val="000000" w:themeColor="text1"/>
              </w:rPr>
              <w:t>*2+</w:t>
            </w:r>
            <w:r>
              <w:rPr>
                <w:rFonts w:hint="eastAsia" w:ascii="仿宋_GB2312" w:cs="宋体"/>
                <w:color w:val="000000" w:themeColor="text1"/>
              </w:rPr>
              <w:t>电源模块</w:t>
            </w:r>
            <w:r>
              <w:rPr>
                <w:rFonts w:hint="eastAsia" w:eastAsia="等线" w:cs="宋体"/>
                <w:color w:val="000000" w:themeColor="text1"/>
              </w:rPr>
              <w:t>*1</w:t>
            </w:r>
            <w:r>
              <w:rPr>
                <w:rFonts w:hint="eastAsia" w:ascii="仿宋_GB2312" w:cs="宋体"/>
                <w:color w:val="000000" w:themeColor="text1"/>
              </w:rPr>
              <w:t>，电话</w:t>
            </w:r>
            <w:r>
              <w:rPr>
                <w:rFonts w:hint="eastAsia" w:eastAsia="等线" w:cs="宋体"/>
                <w:color w:val="000000" w:themeColor="text1"/>
              </w:rPr>
              <w:t>*1</w:t>
            </w:r>
            <w:r>
              <w:rPr>
                <w:rFonts w:hint="eastAsia" w:ascii="仿宋_GB2312" w:cs="宋体"/>
                <w:color w:val="000000" w:themeColor="text1"/>
              </w:rPr>
              <w:t>地插</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31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29</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高清电缆</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各种规格</w:t>
            </w:r>
            <w:r>
              <w:rPr>
                <w:rFonts w:hint="eastAsia" w:eastAsia="等线" w:cs="宋体"/>
                <w:color w:val="000000" w:themeColor="text1"/>
              </w:rPr>
              <w:t>DVI</w:t>
            </w:r>
            <w:r>
              <w:rPr>
                <w:rFonts w:hint="eastAsia" w:ascii="仿宋_GB2312" w:hAnsi="宋体" w:cs="宋体"/>
                <w:color w:val="000000" w:themeColor="text1"/>
              </w:rPr>
              <w:t>高清线缆</w:t>
            </w:r>
            <w:r>
              <w:rPr>
                <w:rFonts w:hint="eastAsia" w:eastAsia="等线" w:cs="宋体"/>
                <w:color w:val="000000" w:themeColor="text1"/>
              </w:rPr>
              <w:t>,</w:t>
            </w:r>
            <w:r>
              <w:rPr>
                <w:rFonts w:hint="eastAsia" w:ascii="仿宋_GB2312" w:hAnsi="宋体" w:cs="宋体"/>
                <w:color w:val="000000" w:themeColor="text1"/>
              </w:rPr>
              <w:t>满足显示器、解码器、工作主机的高清输入要求</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30</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零星材料</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水晶头、扎带、视频分配器等</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31</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UPS</w:t>
            </w:r>
            <w:r>
              <w:rPr>
                <w:rFonts w:hint="eastAsia" w:ascii="仿宋_GB2312" w:cs="宋体"/>
                <w:color w:val="000000" w:themeColor="text1"/>
              </w:rPr>
              <w:t>主机</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60KVA UPS</w:t>
            </w:r>
            <w:r>
              <w:rPr>
                <w:rFonts w:hint="eastAsia" w:ascii="仿宋_GB2312" w:cs="宋体"/>
                <w:color w:val="000000" w:themeColor="text1"/>
              </w:rPr>
              <w:t>，给全彩主显示屏及</w:t>
            </w:r>
            <w:r>
              <w:rPr>
                <w:rFonts w:hint="eastAsia" w:eastAsia="等线" w:cs="宋体"/>
                <w:color w:val="000000" w:themeColor="text1"/>
              </w:rPr>
              <w:t>4</w:t>
            </w:r>
            <w:r>
              <w:rPr>
                <w:rFonts w:hint="eastAsia" w:ascii="仿宋_GB2312" w:cs="宋体"/>
                <w:color w:val="000000" w:themeColor="text1"/>
              </w:rPr>
              <w:t>个机柜供电</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32</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蓄电池</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12V100AH</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64</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节</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33</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电池柜</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A32</w:t>
            </w:r>
            <w:r>
              <w:rPr>
                <w:rFonts w:hint="eastAsia" w:ascii="仿宋_GB2312" w:cs="宋体"/>
                <w:color w:val="000000" w:themeColor="text1"/>
              </w:rPr>
              <w:t>蓄电池放置柜，含承重散力架</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8426" w:type="dxa"/>
            <w:gridSpan w:val="6"/>
            <w:tcBorders>
              <w:top w:val="single" w:color="auto" w:sz="8" w:space="0"/>
              <w:left w:val="single" w:color="auto" w:sz="8" w:space="0"/>
              <w:bottom w:val="single" w:color="auto" w:sz="8" w:space="0"/>
              <w:right w:val="nil"/>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三、会议扩声系统</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1176"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会议扩声系统</w:t>
            </w: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全频二分频线性主音柱</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高频</w:t>
            </w:r>
            <w:r>
              <w:rPr>
                <w:rFonts w:hint="eastAsia" w:eastAsia="等线" w:cs="宋体"/>
                <w:color w:val="000000" w:themeColor="text1"/>
              </w:rPr>
              <w:t>1×1.75"</w:t>
            </w:r>
            <w:r>
              <w:rPr>
                <w:rFonts w:hint="eastAsia" w:ascii="仿宋_GB2312" w:hAnsi="宋体" w:cs="宋体"/>
                <w:color w:val="000000" w:themeColor="text1"/>
              </w:rPr>
              <w:t>芯高音驱动器，低频</w:t>
            </w:r>
            <w:r>
              <w:rPr>
                <w:rFonts w:hint="eastAsia" w:eastAsia="等线" w:cs="宋体"/>
                <w:color w:val="000000" w:themeColor="text1"/>
              </w:rPr>
              <w:t>4×4"</w:t>
            </w:r>
            <w:r>
              <w:rPr>
                <w:rFonts w:hint="eastAsia" w:ascii="仿宋_GB2312" w:hAnsi="宋体" w:cs="宋体"/>
                <w:color w:val="000000" w:themeColor="text1"/>
              </w:rPr>
              <w:t>低频驱动单元；频率响应</w:t>
            </w:r>
            <w:r>
              <w:rPr>
                <w:rFonts w:hint="eastAsia" w:eastAsia="等线" w:cs="宋体"/>
                <w:color w:val="000000" w:themeColor="text1"/>
              </w:rPr>
              <w:t>(±3dB):160Hz-17kHz</w:t>
            </w:r>
            <w:r>
              <w:rPr>
                <w:rFonts w:hint="eastAsia" w:ascii="仿宋_GB2312" w:hAnsi="宋体" w:cs="宋体"/>
                <w:color w:val="000000" w:themeColor="text1"/>
              </w:rPr>
              <w:t>，</w:t>
            </w:r>
            <w:r>
              <w:rPr>
                <w:rFonts w:hint="eastAsia" w:eastAsia="等线" w:cs="宋体"/>
                <w:color w:val="000000" w:themeColor="text1"/>
              </w:rPr>
              <w:t>-10dB:140Hz-20kHz</w:t>
            </w:r>
            <w:r>
              <w:rPr>
                <w:rFonts w:hint="eastAsia" w:ascii="仿宋_GB2312" w:hAnsi="宋体" w:cs="宋体"/>
                <w:color w:val="000000" w:themeColor="text1"/>
              </w:rPr>
              <w:t>；额定功率</w:t>
            </w:r>
            <w:r>
              <w:rPr>
                <w:rFonts w:hint="eastAsia" w:eastAsia="等线" w:cs="宋体"/>
                <w:color w:val="000000" w:themeColor="text1"/>
              </w:rPr>
              <w:t>RMS:120W</w:t>
            </w:r>
            <w:r>
              <w:rPr>
                <w:rFonts w:hint="eastAsia" w:ascii="仿宋_GB2312" w:hAnsi="宋体" w:cs="宋体"/>
                <w:color w:val="000000" w:themeColor="text1"/>
              </w:rPr>
              <w:t>；连续功率：</w:t>
            </w:r>
            <w:r>
              <w:rPr>
                <w:rFonts w:hint="eastAsia" w:eastAsia="等线" w:cs="宋体"/>
                <w:color w:val="000000" w:themeColor="text1"/>
              </w:rPr>
              <w:t>240W</w:t>
            </w:r>
            <w:r>
              <w:rPr>
                <w:rFonts w:hint="eastAsia" w:ascii="仿宋_GB2312" w:hAnsi="宋体" w:cs="宋体"/>
                <w:color w:val="000000" w:themeColor="text1"/>
              </w:rPr>
              <w:t>；最大功率：</w:t>
            </w:r>
            <w:r>
              <w:rPr>
                <w:rFonts w:hint="eastAsia" w:eastAsia="等线" w:cs="宋体"/>
                <w:color w:val="000000" w:themeColor="text1"/>
              </w:rPr>
              <w:t>480W</w:t>
            </w:r>
            <w:r>
              <w:rPr>
                <w:rFonts w:hint="eastAsia" w:ascii="仿宋_GB2312" w:hAnsi="宋体" w:cs="宋体"/>
                <w:color w:val="000000" w:themeColor="text1"/>
              </w:rPr>
              <w:t>；水平覆盖角</w:t>
            </w:r>
            <w:r>
              <w:rPr>
                <w:rFonts w:hint="eastAsia" w:eastAsia="等线" w:cs="宋体"/>
                <w:color w:val="000000" w:themeColor="text1"/>
              </w:rPr>
              <w:t>150°</w:t>
            </w:r>
            <w:r>
              <w:rPr>
                <w:rFonts w:hint="eastAsia" w:ascii="仿宋_GB2312" w:hAnsi="宋体" w:cs="宋体"/>
                <w:color w:val="000000" w:themeColor="text1"/>
              </w:rPr>
              <w:t>，垂直覆盖角</w:t>
            </w:r>
            <w:r>
              <w:rPr>
                <w:rFonts w:hint="eastAsia" w:eastAsia="等线" w:cs="宋体"/>
                <w:color w:val="000000" w:themeColor="text1"/>
              </w:rPr>
              <w:t xml:space="preserve"> 150°</w:t>
            </w:r>
            <w:r>
              <w:rPr>
                <w:rFonts w:hint="eastAsia" w:ascii="仿宋_GB2312" w:hAnsi="宋体" w:cs="宋体"/>
                <w:color w:val="000000" w:themeColor="text1"/>
              </w:rPr>
              <w:t>；灵敏度</w:t>
            </w:r>
            <w:r>
              <w:rPr>
                <w:rFonts w:hint="eastAsia" w:eastAsia="等线" w:cs="宋体"/>
                <w:color w:val="000000" w:themeColor="text1"/>
              </w:rPr>
              <w:t>(1W/1m):88dB</w:t>
            </w:r>
            <w:r>
              <w:rPr>
                <w:rFonts w:hint="eastAsia" w:ascii="仿宋_GB2312" w:hAnsi="宋体" w:cs="宋体"/>
                <w:color w:val="000000" w:themeColor="text1"/>
              </w:rPr>
              <w:t>；最大声压级</w:t>
            </w:r>
            <w:r>
              <w:rPr>
                <w:rFonts w:hint="eastAsia" w:eastAsia="等线" w:cs="宋体"/>
                <w:color w:val="000000" w:themeColor="text1"/>
              </w:rPr>
              <w:t>:115dB(</w:t>
            </w:r>
            <w:r>
              <w:rPr>
                <w:rFonts w:hint="eastAsia" w:ascii="仿宋_GB2312" w:hAnsi="宋体" w:cs="宋体"/>
                <w:color w:val="000000" w:themeColor="text1"/>
              </w:rPr>
              <w:t>峰值</w:t>
            </w:r>
            <w:r>
              <w:rPr>
                <w:rFonts w:hint="eastAsia" w:eastAsia="等线" w:cs="宋体"/>
                <w:color w:val="000000" w:themeColor="text1"/>
              </w:rPr>
              <w:t>)</w:t>
            </w:r>
            <w:r>
              <w:rPr>
                <w:rFonts w:hint="eastAsia" w:ascii="仿宋_GB2312" w:hAnsi="宋体" w:cs="宋体"/>
                <w:color w:val="000000" w:themeColor="text1"/>
              </w:rPr>
              <w:t>；额定阻抗</w:t>
            </w:r>
            <w:r>
              <w:rPr>
                <w:rFonts w:hint="eastAsia" w:eastAsia="等线" w:cs="宋体"/>
                <w:color w:val="000000" w:themeColor="text1"/>
              </w:rPr>
              <w:t>:8Ω</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6</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只</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功率放大器</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8Ω</w:t>
            </w:r>
            <w:r>
              <w:rPr>
                <w:rFonts w:hint="eastAsia" w:ascii="仿宋_GB2312" w:cs="宋体"/>
                <w:color w:val="000000" w:themeColor="text1"/>
              </w:rPr>
              <w:t>立体声</w:t>
            </w:r>
            <w:r>
              <w:rPr>
                <w:rFonts w:hint="eastAsia" w:eastAsia="等线" w:cs="宋体"/>
                <w:color w:val="000000" w:themeColor="text1"/>
              </w:rPr>
              <w:t>&amp;</w:t>
            </w:r>
            <w:r>
              <w:rPr>
                <w:rFonts w:hint="eastAsia" w:ascii="仿宋_GB2312" w:cs="宋体"/>
                <w:color w:val="000000" w:themeColor="text1"/>
              </w:rPr>
              <w:t>并接</w:t>
            </w:r>
            <w:r>
              <w:rPr>
                <w:rFonts w:hint="eastAsia" w:eastAsia="等线" w:cs="宋体"/>
                <w:color w:val="000000" w:themeColor="text1"/>
              </w:rPr>
              <w:t>330W×2</w:t>
            </w:r>
            <w:r>
              <w:rPr>
                <w:rFonts w:hint="eastAsia" w:ascii="仿宋_GB2312" w:cs="宋体"/>
                <w:color w:val="000000" w:themeColor="text1"/>
              </w:rPr>
              <w:t>，</w:t>
            </w:r>
            <w:r>
              <w:rPr>
                <w:rFonts w:hint="eastAsia" w:eastAsia="等线" w:cs="宋体"/>
                <w:color w:val="000000" w:themeColor="text1"/>
              </w:rPr>
              <w:t>4Ω</w:t>
            </w:r>
            <w:r>
              <w:rPr>
                <w:rFonts w:hint="eastAsia" w:ascii="仿宋_GB2312" w:cs="宋体"/>
                <w:color w:val="000000" w:themeColor="text1"/>
              </w:rPr>
              <w:t>立体声</w:t>
            </w:r>
            <w:r>
              <w:rPr>
                <w:rFonts w:hint="eastAsia" w:eastAsia="等线" w:cs="宋体"/>
                <w:color w:val="000000" w:themeColor="text1"/>
              </w:rPr>
              <w:t>&amp;</w:t>
            </w:r>
            <w:r>
              <w:rPr>
                <w:rFonts w:hint="eastAsia" w:ascii="仿宋_GB2312" w:cs="宋体"/>
                <w:color w:val="000000" w:themeColor="text1"/>
              </w:rPr>
              <w:t>并接</w:t>
            </w:r>
            <w:r>
              <w:rPr>
                <w:rFonts w:hint="eastAsia" w:eastAsia="等线" w:cs="宋体"/>
                <w:color w:val="000000" w:themeColor="text1"/>
              </w:rPr>
              <w:t>500W×2</w:t>
            </w:r>
            <w:r>
              <w:rPr>
                <w:rFonts w:hint="eastAsia" w:ascii="仿宋_GB2312" w:cs="宋体"/>
                <w:color w:val="000000" w:themeColor="text1"/>
              </w:rPr>
              <w:t>，</w:t>
            </w:r>
            <w:r>
              <w:rPr>
                <w:rFonts w:hint="eastAsia" w:eastAsia="等线" w:cs="宋体"/>
                <w:color w:val="000000" w:themeColor="text1"/>
              </w:rPr>
              <w:t>8Ω</w:t>
            </w:r>
            <w:r>
              <w:rPr>
                <w:rFonts w:hint="eastAsia" w:ascii="仿宋_GB2312" w:cs="宋体"/>
                <w:color w:val="000000" w:themeColor="text1"/>
              </w:rPr>
              <w:t>桥接单声道</w:t>
            </w:r>
            <w:r>
              <w:rPr>
                <w:rFonts w:hint="eastAsia" w:eastAsia="等线" w:cs="宋体"/>
                <w:color w:val="000000" w:themeColor="text1"/>
              </w:rPr>
              <w:t>1000W</w:t>
            </w:r>
            <w:r>
              <w:rPr>
                <w:rFonts w:hint="eastAsia" w:ascii="仿宋_GB2312" w:cs="宋体"/>
                <w:color w:val="000000" w:themeColor="text1"/>
              </w:rPr>
              <w:t>；频率响应</w:t>
            </w:r>
            <w:r>
              <w:rPr>
                <w:rFonts w:hint="eastAsia" w:eastAsia="等线" w:cs="宋体"/>
                <w:color w:val="000000" w:themeColor="text1"/>
              </w:rPr>
              <w:t>&lt;±0.25dB 20Hz-20kHz</w:t>
            </w:r>
            <w:r>
              <w:rPr>
                <w:rFonts w:hint="eastAsia" w:ascii="仿宋_GB2312" w:cs="宋体"/>
                <w:color w:val="000000" w:themeColor="text1"/>
              </w:rPr>
              <w:t>；峰值输出电压</w:t>
            </w:r>
            <w:r>
              <w:rPr>
                <w:rFonts w:hint="eastAsia" w:eastAsia="等线" w:cs="宋体"/>
                <w:color w:val="000000" w:themeColor="text1"/>
              </w:rPr>
              <w:t>78V</w:t>
            </w:r>
            <w:r>
              <w:rPr>
                <w:rFonts w:hint="eastAsia" w:ascii="仿宋_GB2312" w:cs="宋体"/>
                <w:color w:val="000000" w:themeColor="text1"/>
              </w:rPr>
              <w:t>；最大</w:t>
            </w:r>
            <w:r>
              <w:rPr>
                <w:rFonts w:hint="eastAsia" w:eastAsia="等线" w:cs="宋体"/>
                <w:color w:val="000000" w:themeColor="text1"/>
              </w:rPr>
              <w:t>RMS</w:t>
            </w:r>
            <w:r>
              <w:rPr>
                <w:rFonts w:hint="eastAsia" w:ascii="仿宋_GB2312" w:cs="宋体"/>
                <w:color w:val="000000" w:themeColor="text1"/>
              </w:rPr>
              <w:t>输出电压</w:t>
            </w:r>
            <w:r>
              <w:rPr>
                <w:rFonts w:hint="eastAsia" w:eastAsia="等线" w:cs="宋体"/>
                <w:color w:val="000000" w:themeColor="text1"/>
              </w:rPr>
              <w:t>55V</w:t>
            </w:r>
            <w:r>
              <w:rPr>
                <w:rFonts w:hint="eastAsia" w:ascii="仿宋_GB2312" w:cs="宋体"/>
                <w:color w:val="000000" w:themeColor="text1"/>
              </w:rPr>
              <w:t>；输入灵敏度</w:t>
            </w:r>
            <w:r>
              <w:rPr>
                <w:rFonts w:hint="eastAsia" w:eastAsia="等线" w:cs="宋体"/>
                <w:color w:val="000000" w:themeColor="text1"/>
              </w:rPr>
              <w:t>(</w:t>
            </w:r>
            <w:r>
              <w:rPr>
                <w:rFonts w:hint="eastAsia" w:ascii="仿宋_GB2312" w:cs="宋体"/>
                <w:color w:val="000000" w:themeColor="text1"/>
              </w:rPr>
              <w:t>额定功率</w:t>
            </w:r>
            <w:r>
              <w:rPr>
                <w:rFonts w:hint="eastAsia" w:eastAsia="等线" w:cs="宋体"/>
                <w:color w:val="000000" w:themeColor="text1"/>
              </w:rPr>
              <w:t>/8Ω)1.0V RMS</w:t>
            </w:r>
            <w:r>
              <w:rPr>
                <w:rFonts w:hint="eastAsia" w:ascii="仿宋_GB2312" w:cs="宋体"/>
                <w:color w:val="000000" w:themeColor="text1"/>
              </w:rPr>
              <w:t>；总谐波失真</w:t>
            </w:r>
            <w:r>
              <w:rPr>
                <w:rFonts w:hint="eastAsia" w:eastAsia="等线" w:cs="宋体"/>
                <w:color w:val="000000" w:themeColor="text1"/>
              </w:rPr>
              <w:t xml:space="preserve"> (1kHz) &lt;0.05%</w:t>
            </w:r>
            <w:r>
              <w:rPr>
                <w:rFonts w:hint="eastAsia" w:ascii="仿宋_GB2312" w:cs="宋体"/>
                <w:color w:val="000000" w:themeColor="text1"/>
              </w:rPr>
              <w:t>；互调失真</w:t>
            </w:r>
            <w:r>
              <w:rPr>
                <w:rFonts w:hint="eastAsia" w:eastAsia="等线" w:cs="宋体"/>
                <w:color w:val="000000" w:themeColor="text1"/>
              </w:rPr>
              <w:t xml:space="preserve">(60Hz/7kHz 4:1)&lt;0.1% </w:t>
            </w:r>
            <w:r>
              <w:rPr>
                <w:rFonts w:hint="eastAsia" w:ascii="仿宋_GB2312" w:cs="宋体"/>
                <w:color w:val="000000" w:themeColor="text1"/>
              </w:rPr>
              <w:t>；功率带宽</w:t>
            </w:r>
            <w:r>
              <w:rPr>
                <w:rFonts w:hint="eastAsia" w:eastAsia="等线" w:cs="宋体"/>
                <w:color w:val="000000" w:themeColor="text1"/>
              </w:rPr>
              <w:t>(</w:t>
            </w:r>
            <w:r>
              <w:rPr>
                <w:rFonts w:hint="eastAsia" w:ascii="仿宋_GB2312" w:cs="宋体"/>
                <w:color w:val="000000" w:themeColor="text1"/>
              </w:rPr>
              <w:t>额定功率</w:t>
            </w:r>
            <w:r>
              <w:rPr>
                <w:rFonts w:hint="eastAsia" w:eastAsia="等线" w:cs="宋体"/>
                <w:color w:val="000000" w:themeColor="text1"/>
              </w:rPr>
              <w:t>/8Ω, 1% THD+N)-1dB, 20Hz-20kHz</w:t>
            </w:r>
            <w:r>
              <w:rPr>
                <w:rFonts w:hint="eastAsia" w:ascii="仿宋_GB2312" w:cs="宋体"/>
                <w:color w:val="000000" w:themeColor="text1"/>
              </w:rPr>
              <w:t>；相位响应</w:t>
            </w:r>
            <w:r>
              <w:rPr>
                <w:rFonts w:hint="eastAsia" w:eastAsia="等线" w:cs="宋体"/>
                <w:color w:val="000000" w:themeColor="text1"/>
              </w:rPr>
              <w:t>(20Hz-20kHz)&lt;±15°</w:t>
            </w:r>
            <w:r>
              <w:rPr>
                <w:rFonts w:hint="eastAsia" w:ascii="仿宋_GB2312" w:cs="宋体"/>
                <w:color w:val="000000" w:themeColor="text1"/>
              </w:rPr>
              <w:t>；信噪比</w:t>
            </w:r>
            <w:r>
              <w:rPr>
                <w:rFonts w:hint="eastAsia" w:eastAsia="等线" w:cs="宋体"/>
                <w:color w:val="000000" w:themeColor="text1"/>
              </w:rPr>
              <w:t>(1kHz, A</w:t>
            </w:r>
            <w:r>
              <w:rPr>
                <w:rFonts w:hint="eastAsia" w:ascii="仿宋_GB2312" w:cs="宋体"/>
                <w:color w:val="000000" w:themeColor="text1"/>
              </w:rPr>
              <w:t>计权</w:t>
            </w:r>
            <w:r>
              <w:rPr>
                <w:rFonts w:hint="eastAsia" w:eastAsia="等线" w:cs="宋体"/>
                <w:color w:val="000000" w:themeColor="text1"/>
              </w:rPr>
              <w:t>)&gt;108dB</w:t>
            </w:r>
            <w:r>
              <w:rPr>
                <w:rFonts w:hint="eastAsia" w:ascii="仿宋_GB2312" w:cs="宋体"/>
                <w:color w:val="000000" w:themeColor="text1"/>
              </w:rPr>
              <w:t>；阻尼系数</w:t>
            </w:r>
            <w:r>
              <w:rPr>
                <w:rFonts w:hint="eastAsia" w:eastAsia="等线" w:cs="宋体"/>
                <w:color w:val="000000" w:themeColor="text1"/>
              </w:rPr>
              <w:t xml:space="preserve">(100Hz)&gt;800 </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3</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3</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无线手持话筒</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工作频率：</w:t>
            </w:r>
            <w:r>
              <w:rPr>
                <w:rFonts w:hint="eastAsia" w:eastAsia="等线" w:cs="宋体"/>
                <w:color w:val="000000" w:themeColor="text1"/>
              </w:rPr>
              <w:t>D</w:t>
            </w:r>
            <w:r>
              <w:rPr>
                <w:rFonts w:hint="eastAsia" w:ascii="仿宋_GB2312" w:hAnsi="宋体" w:cs="宋体"/>
                <w:color w:val="000000" w:themeColor="text1"/>
              </w:rPr>
              <w:t>频段</w:t>
            </w:r>
            <w:r>
              <w:rPr>
                <w:rFonts w:hint="eastAsia" w:eastAsia="等线" w:cs="宋体"/>
                <w:color w:val="000000" w:themeColor="text1"/>
              </w:rPr>
              <w:t>656.125-678.500MHz</w:t>
            </w:r>
            <w:r>
              <w:rPr>
                <w:rFonts w:hint="eastAsia" w:ascii="仿宋_GB2312" w:hAnsi="宋体" w:cs="宋体"/>
                <w:color w:val="000000" w:themeColor="text1"/>
              </w:rPr>
              <w:t>、</w:t>
            </w:r>
            <w:r>
              <w:rPr>
                <w:rFonts w:hint="eastAsia" w:eastAsia="等线" w:cs="宋体"/>
                <w:color w:val="000000" w:themeColor="text1"/>
              </w:rPr>
              <w:t>G</w:t>
            </w:r>
            <w:r>
              <w:rPr>
                <w:rFonts w:hint="eastAsia" w:ascii="仿宋_GB2312" w:hAnsi="宋体" w:cs="宋体"/>
                <w:color w:val="000000" w:themeColor="text1"/>
              </w:rPr>
              <w:t>频段</w:t>
            </w:r>
            <w:r>
              <w:rPr>
                <w:rFonts w:hint="eastAsia" w:eastAsia="等线" w:cs="宋体"/>
                <w:color w:val="000000" w:themeColor="text1"/>
              </w:rPr>
              <w:t>722.125t-744.500MHz</w:t>
            </w:r>
            <w:r>
              <w:rPr>
                <w:rFonts w:hint="eastAsia" w:ascii="仿宋_GB2312" w:hAnsi="宋体" w:cs="宋体"/>
                <w:color w:val="000000" w:themeColor="text1"/>
              </w:rPr>
              <w:t>、</w:t>
            </w:r>
            <w:r>
              <w:rPr>
                <w:rFonts w:hint="eastAsia" w:eastAsia="等线" w:cs="宋体"/>
                <w:color w:val="000000" w:themeColor="text1"/>
              </w:rPr>
              <w:t>H</w:t>
            </w:r>
            <w:r>
              <w:rPr>
                <w:rFonts w:hint="eastAsia" w:ascii="仿宋_GB2312" w:hAnsi="宋体" w:cs="宋体"/>
                <w:color w:val="000000" w:themeColor="text1"/>
              </w:rPr>
              <w:t>频段</w:t>
            </w:r>
            <w:r>
              <w:rPr>
                <w:rFonts w:hint="eastAsia" w:eastAsia="等线" w:cs="宋体"/>
                <w:color w:val="000000" w:themeColor="text1"/>
              </w:rPr>
              <w:t>773.000t-796.625MHz</w:t>
            </w:r>
            <w:r>
              <w:rPr>
                <w:rFonts w:hint="eastAsia" w:ascii="仿宋_GB2312" w:hAnsi="宋体" w:cs="宋体"/>
                <w:color w:val="000000" w:themeColor="text1"/>
              </w:rPr>
              <w:t>、</w:t>
            </w:r>
            <w:r>
              <w:rPr>
                <w:rFonts w:hint="eastAsia" w:eastAsia="等线" w:cs="宋体"/>
                <w:color w:val="000000" w:themeColor="text1"/>
              </w:rPr>
              <w:t>I</w:t>
            </w:r>
            <w:r>
              <w:rPr>
                <w:rFonts w:hint="eastAsia" w:ascii="仿宋_GB2312" w:hAnsi="宋体" w:cs="宋体"/>
                <w:color w:val="000000" w:themeColor="text1"/>
              </w:rPr>
              <w:t>频段</w:t>
            </w:r>
            <w:r>
              <w:rPr>
                <w:rFonts w:hint="eastAsia" w:eastAsia="等线" w:cs="宋体"/>
                <w:color w:val="000000" w:themeColor="text1"/>
              </w:rPr>
              <w:t>484.125t-506.625MHz</w:t>
            </w:r>
            <w:r>
              <w:rPr>
                <w:rFonts w:hint="eastAsia" w:ascii="仿宋_GB2312" w:hAnsi="宋体" w:cs="宋体"/>
                <w:color w:val="000000" w:themeColor="text1"/>
              </w:rPr>
              <w:t>；通道数目：</w:t>
            </w:r>
            <w:r>
              <w:rPr>
                <w:rFonts w:hint="eastAsia" w:eastAsia="等线" w:cs="宋体"/>
                <w:color w:val="000000" w:themeColor="text1"/>
              </w:rPr>
              <w:t>10</w:t>
            </w:r>
            <w:r>
              <w:rPr>
                <w:rFonts w:hint="eastAsia" w:ascii="仿宋_GB2312" w:hAnsi="宋体" w:cs="宋体"/>
                <w:color w:val="000000" w:themeColor="text1"/>
              </w:rPr>
              <w:t>个可同时使用；频率稳定性：</w:t>
            </w:r>
            <w:r>
              <w:rPr>
                <w:rFonts w:hint="eastAsia" w:eastAsia="等线" w:cs="宋体"/>
                <w:color w:val="000000" w:themeColor="text1"/>
              </w:rPr>
              <w:t>±0.005%</w:t>
            </w:r>
            <w:r>
              <w:rPr>
                <w:rFonts w:hint="eastAsia" w:ascii="仿宋_GB2312" w:hAnsi="宋体" w:cs="宋体"/>
                <w:color w:val="000000" w:themeColor="text1"/>
              </w:rPr>
              <w:t>，</w:t>
            </w:r>
            <w:r>
              <w:rPr>
                <w:rFonts w:hint="eastAsia" w:eastAsia="等线" w:cs="宋体"/>
                <w:color w:val="000000" w:themeColor="text1"/>
              </w:rPr>
              <w:t>PLL</w:t>
            </w:r>
            <w:r>
              <w:rPr>
                <w:rFonts w:hint="eastAsia" w:ascii="仿宋_GB2312" w:hAnsi="宋体" w:cs="宋体"/>
                <w:color w:val="000000" w:themeColor="text1"/>
              </w:rPr>
              <w:t>锁相回路控制；调制方法：</w:t>
            </w:r>
            <w:r>
              <w:rPr>
                <w:rFonts w:hint="eastAsia" w:eastAsia="等线" w:cs="宋体"/>
                <w:color w:val="000000" w:themeColor="text1"/>
              </w:rPr>
              <w:t>FM</w:t>
            </w:r>
            <w:r>
              <w:rPr>
                <w:rFonts w:hint="eastAsia" w:ascii="仿宋_GB2312" w:hAnsi="宋体" w:cs="宋体"/>
                <w:color w:val="000000" w:themeColor="text1"/>
              </w:rPr>
              <w:t>调频；一般误差：</w:t>
            </w:r>
            <w:r>
              <w:rPr>
                <w:rFonts w:hint="eastAsia" w:eastAsia="等线" w:cs="宋体"/>
                <w:color w:val="000000" w:themeColor="text1"/>
              </w:rPr>
              <w:t>±5kHz</w:t>
            </w:r>
            <w:r>
              <w:rPr>
                <w:rFonts w:hint="eastAsia" w:ascii="仿宋_GB2312" w:hAnsi="宋体" w:cs="宋体"/>
                <w:color w:val="000000" w:themeColor="text1"/>
              </w:rPr>
              <w:t>；工作有效距离：一般</w:t>
            </w:r>
            <w:r>
              <w:rPr>
                <w:rFonts w:hint="eastAsia" w:eastAsia="等线" w:cs="宋体"/>
                <w:color w:val="000000" w:themeColor="text1"/>
              </w:rPr>
              <w:t>80</w:t>
            </w:r>
            <w:r>
              <w:rPr>
                <w:rFonts w:hint="eastAsia" w:ascii="仿宋_GB2312" w:hAnsi="宋体" w:cs="宋体"/>
                <w:color w:val="000000" w:themeColor="text1"/>
              </w:rPr>
              <w:t>米</w:t>
            </w:r>
            <w:r>
              <w:rPr>
                <w:rFonts w:hint="eastAsia" w:eastAsia="等线" w:cs="宋体"/>
                <w:color w:val="000000" w:themeColor="text1"/>
              </w:rPr>
              <w:t>(</w:t>
            </w:r>
            <w:r>
              <w:rPr>
                <w:rFonts w:hint="eastAsia" w:ascii="仿宋_GB2312" w:hAnsi="宋体" w:cs="宋体"/>
                <w:color w:val="000000" w:themeColor="text1"/>
              </w:rPr>
              <w:t>无干扰情况下</w:t>
            </w:r>
            <w:r>
              <w:rPr>
                <w:rFonts w:hint="eastAsia" w:eastAsia="等线" w:cs="宋体"/>
                <w:color w:val="000000" w:themeColor="text1"/>
              </w:rPr>
              <w:t>)</w:t>
            </w:r>
            <w:r>
              <w:rPr>
                <w:rFonts w:hint="eastAsia" w:ascii="仿宋_GB2312" w:hAnsi="宋体" w:cs="宋体"/>
                <w:color w:val="000000" w:themeColor="text1"/>
              </w:rPr>
              <w:t>；工作环境温度：</w:t>
            </w:r>
            <w:r>
              <w:rPr>
                <w:rFonts w:hint="eastAsia" w:eastAsia="等线" w:cs="宋体"/>
                <w:color w:val="000000" w:themeColor="text1"/>
              </w:rPr>
              <w:t>41°F(5°C)to113°F(45°C)</w:t>
            </w:r>
            <w:r>
              <w:rPr>
                <w:rFonts w:hint="eastAsia" w:ascii="仿宋_GB2312" w:hAnsi="宋体" w:cs="宋体"/>
                <w:color w:val="000000" w:themeColor="text1"/>
              </w:rPr>
              <w:t>；频率响应：</w:t>
            </w:r>
            <w:r>
              <w:rPr>
                <w:rFonts w:hint="eastAsia" w:eastAsia="等线" w:cs="宋体"/>
                <w:color w:val="000000" w:themeColor="text1"/>
              </w:rPr>
              <w:t>100Hzto15kHz</w:t>
            </w:r>
            <w:r>
              <w:rPr>
                <w:rFonts w:hint="eastAsia" w:ascii="仿宋_GB2312" w:hAnsi="宋体" w:cs="宋体"/>
                <w:color w:val="000000" w:themeColor="text1"/>
              </w:rPr>
              <w:t>；接收系统：自动分集式开关选择；镜频抑制：</w:t>
            </w:r>
            <w:r>
              <w:rPr>
                <w:rFonts w:hint="eastAsia" w:eastAsia="等线" w:cs="宋体"/>
                <w:color w:val="000000" w:themeColor="text1"/>
              </w:rPr>
              <w:t>55dB</w:t>
            </w:r>
            <w:r>
              <w:rPr>
                <w:rFonts w:hint="eastAsia" w:ascii="仿宋_GB2312" w:hAnsi="宋体" w:cs="宋体"/>
                <w:color w:val="000000" w:themeColor="text1"/>
              </w:rPr>
              <w:t>正常、</w:t>
            </w:r>
            <w:r>
              <w:rPr>
                <w:rFonts w:hint="eastAsia" w:eastAsia="等线" w:cs="宋体"/>
                <w:color w:val="000000" w:themeColor="text1"/>
              </w:rPr>
              <w:t>50dB</w:t>
            </w:r>
            <w:r>
              <w:rPr>
                <w:rFonts w:hint="eastAsia" w:ascii="仿宋_GB2312" w:hAnsi="宋体" w:cs="宋体"/>
                <w:color w:val="000000" w:themeColor="text1"/>
              </w:rPr>
              <w:t>最小；讯噪比：</w:t>
            </w:r>
            <w:r>
              <w:rPr>
                <w:rFonts w:hint="eastAsia" w:eastAsia="等线" w:cs="宋体"/>
                <w:color w:val="000000" w:themeColor="text1"/>
              </w:rPr>
              <w:t>100dB</w:t>
            </w:r>
            <w:r>
              <w:rPr>
                <w:rFonts w:hint="eastAsia" w:ascii="仿宋_GB2312" w:hAnsi="宋体" w:cs="宋体"/>
                <w:color w:val="000000" w:themeColor="text1"/>
              </w:rPr>
              <w:t>于</w:t>
            </w:r>
            <w:r>
              <w:rPr>
                <w:rFonts w:hint="eastAsia" w:eastAsia="等线" w:cs="宋体"/>
                <w:color w:val="000000" w:themeColor="text1"/>
              </w:rPr>
              <w:t>40kHz</w:t>
            </w:r>
            <w:r>
              <w:rPr>
                <w:rFonts w:hint="eastAsia" w:ascii="仿宋_GB2312" w:hAnsi="宋体" w:cs="宋体"/>
                <w:color w:val="000000" w:themeColor="text1"/>
              </w:rPr>
              <w:t>频偏</w:t>
            </w:r>
            <w:r>
              <w:rPr>
                <w:rFonts w:hint="eastAsia" w:eastAsia="等线" w:cs="宋体"/>
                <w:color w:val="000000" w:themeColor="text1"/>
              </w:rPr>
              <w:t>(A-</w:t>
            </w:r>
            <w:r>
              <w:rPr>
                <w:rFonts w:hint="eastAsia" w:ascii="仿宋_GB2312" w:hAnsi="宋体" w:cs="宋体"/>
                <w:color w:val="000000" w:themeColor="text1"/>
              </w:rPr>
              <w:t>加权</w:t>
            </w:r>
            <w:r>
              <w:rPr>
                <w:rFonts w:hint="eastAsia" w:eastAsia="等线" w:cs="宋体"/>
                <w:color w:val="000000" w:themeColor="text1"/>
              </w:rPr>
              <w:t>)</w:t>
            </w:r>
            <w:r>
              <w:rPr>
                <w:rFonts w:hint="eastAsia" w:ascii="仿宋_GB2312" w:hAnsi="宋体" w:cs="宋体"/>
                <w:color w:val="000000" w:themeColor="text1"/>
              </w:rPr>
              <w:t>，最大</w:t>
            </w:r>
            <w:r>
              <w:rPr>
                <w:rFonts w:hint="eastAsia" w:eastAsia="等线" w:cs="宋体"/>
                <w:color w:val="000000" w:themeColor="text1"/>
              </w:rPr>
              <w:t>40kHz</w:t>
            </w:r>
            <w:r>
              <w:rPr>
                <w:rFonts w:hint="eastAsia" w:ascii="仿宋_GB2312" w:hAnsi="宋体" w:cs="宋体"/>
                <w:color w:val="000000" w:themeColor="text1"/>
              </w:rPr>
              <w:t>调制；总谐波失真：</w:t>
            </w:r>
            <w:r>
              <w:rPr>
                <w:rFonts w:hint="eastAsia" w:eastAsia="等线" w:cs="宋体"/>
                <w:color w:val="000000" w:themeColor="text1"/>
              </w:rPr>
              <w:t>&lt;1%(±10kHz</w:t>
            </w:r>
            <w:r>
              <w:rPr>
                <w:rFonts w:hint="eastAsia" w:ascii="仿宋_GB2312" w:hAnsi="宋体" w:cs="宋体"/>
                <w:color w:val="000000" w:themeColor="text1"/>
              </w:rPr>
              <w:t>频偏于</w:t>
            </w:r>
            <w:r>
              <w:rPr>
                <w:rFonts w:hint="eastAsia" w:eastAsia="等线" w:cs="宋体"/>
                <w:color w:val="000000" w:themeColor="text1"/>
              </w:rPr>
              <w:t>1kHz)</w:t>
            </w:r>
            <w:r>
              <w:rPr>
                <w:rFonts w:hint="eastAsia" w:ascii="仿宋_GB2312" w:hAnsi="宋体" w:cs="宋体"/>
                <w:color w:val="000000" w:themeColor="text1"/>
              </w:rPr>
              <w:t>；灵敏度：</w:t>
            </w:r>
            <w:r>
              <w:rPr>
                <w:rFonts w:hint="eastAsia" w:eastAsia="等线" w:cs="宋体"/>
                <w:color w:val="000000" w:themeColor="text1"/>
              </w:rPr>
              <w:t>20dBV</w:t>
            </w:r>
            <w:r>
              <w:rPr>
                <w:rFonts w:hint="eastAsia" w:ascii="仿宋_GB2312" w:hAnsi="宋体" w:cs="宋体"/>
                <w:color w:val="000000" w:themeColor="text1"/>
              </w:rPr>
              <w:t>讯噪比为</w:t>
            </w:r>
            <w:r>
              <w:rPr>
                <w:rFonts w:hint="eastAsia" w:eastAsia="等线" w:cs="宋体"/>
                <w:color w:val="000000" w:themeColor="text1"/>
              </w:rPr>
              <w:t>60dB</w:t>
            </w:r>
            <w:r>
              <w:rPr>
                <w:rFonts w:hint="eastAsia" w:ascii="仿宋_GB2312" w:hAnsi="宋体" w:cs="宋体"/>
                <w:color w:val="000000" w:themeColor="text1"/>
              </w:rPr>
              <w:t>于</w:t>
            </w:r>
            <w:r>
              <w:rPr>
                <w:rFonts w:hint="eastAsia" w:eastAsia="等线" w:cs="宋体"/>
                <w:color w:val="000000" w:themeColor="text1"/>
              </w:rPr>
              <w:t>5kHz</w:t>
            </w:r>
            <w:r>
              <w:rPr>
                <w:rFonts w:hint="eastAsia" w:ascii="仿宋_GB2312" w:hAnsi="宋体" w:cs="宋体"/>
                <w:color w:val="000000" w:themeColor="text1"/>
              </w:rPr>
              <w:t>频偏</w:t>
            </w:r>
            <w:r>
              <w:rPr>
                <w:rFonts w:hint="eastAsia" w:eastAsia="等线" w:cs="宋体"/>
                <w:color w:val="000000" w:themeColor="text1"/>
              </w:rPr>
              <w:t>IEC</w:t>
            </w:r>
            <w:r>
              <w:rPr>
                <w:rFonts w:hint="eastAsia" w:ascii="仿宋_GB2312" w:hAnsi="宋体" w:cs="宋体"/>
                <w:color w:val="000000" w:themeColor="text1"/>
              </w:rPr>
              <w:t>加权</w:t>
            </w:r>
            <w:r>
              <w:rPr>
                <w:rFonts w:hint="eastAsia" w:eastAsia="等线" w:cs="宋体"/>
                <w:color w:val="000000" w:themeColor="text1"/>
              </w:rPr>
              <w:t>)</w:t>
            </w:r>
            <w:r>
              <w:rPr>
                <w:rFonts w:hint="eastAsia" w:ascii="仿宋_GB2312" w:hAnsi="宋体" w:cs="宋体"/>
                <w:color w:val="000000" w:themeColor="text1"/>
              </w:rPr>
              <w:t>；中频：</w:t>
            </w:r>
            <w:r>
              <w:rPr>
                <w:rFonts w:hint="eastAsia" w:eastAsia="等线" w:cs="宋体"/>
                <w:color w:val="000000" w:themeColor="text1"/>
              </w:rPr>
              <w:t>65.75MHz, 10.7MHz</w:t>
            </w:r>
            <w:r>
              <w:rPr>
                <w:rFonts w:hint="eastAsia" w:ascii="仿宋_GB2312" w:hAnsi="宋体" w:cs="宋体"/>
                <w:color w:val="000000" w:themeColor="text1"/>
              </w:rPr>
              <w:t>；音频输出：非平衡：</w:t>
            </w:r>
            <w:r>
              <w:rPr>
                <w:rFonts w:hint="eastAsia" w:eastAsia="等线" w:cs="宋体"/>
                <w:color w:val="000000" w:themeColor="text1"/>
              </w:rPr>
              <w:t>25mV(</w:t>
            </w:r>
            <w:r>
              <w:rPr>
                <w:rFonts w:hint="eastAsia" w:ascii="仿宋_GB2312" w:hAnsi="宋体" w:cs="宋体"/>
                <w:color w:val="000000" w:themeColor="text1"/>
              </w:rPr>
              <w:t>于</w:t>
            </w:r>
            <w:r>
              <w:rPr>
                <w:rFonts w:hint="eastAsia" w:eastAsia="等线" w:cs="宋体"/>
                <w:color w:val="000000" w:themeColor="text1"/>
              </w:rPr>
              <w:t>1kHz,±5kHz</w:t>
            </w:r>
            <w:r>
              <w:rPr>
                <w:rFonts w:hint="eastAsia" w:ascii="仿宋_GB2312" w:hAnsi="宋体" w:cs="宋体"/>
                <w:color w:val="000000" w:themeColor="text1"/>
              </w:rPr>
              <w:t>偏移，</w:t>
            </w:r>
            <w:r>
              <w:rPr>
                <w:rFonts w:hint="eastAsia" w:eastAsia="等线" w:cs="宋体"/>
                <w:color w:val="000000" w:themeColor="text1"/>
              </w:rPr>
              <w:t>100kΩ</w:t>
            </w:r>
            <w:r>
              <w:rPr>
                <w:rFonts w:hint="eastAsia" w:ascii="仿宋_GB2312" w:hAnsi="宋体" w:cs="宋体"/>
                <w:color w:val="000000" w:themeColor="text1"/>
              </w:rPr>
              <w:t>负载</w:t>
            </w:r>
            <w:r>
              <w:rPr>
                <w:rFonts w:hint="eastAsia" w:eastAsia="等线" w:cs="宋体"/>
                <w:color w:val="000000" w:themeColor="text1"/>
              </w:rPr>
              <w:t>)</w:t>
            </w:r>
            <w:r>
              <w:rPr>
                <w:rFonts w:hint="eastAsia" w:ascii="仿宋_GB2312" w:hAnsi="宋体" w:cs="宋体"/>
                <w:color w:val="000000" w:themeColor="text1"/>
              </w:rPr>
              <w:t>；平衡：</w:t>
            </w:r>
            <w:r>
              <w:rPr>
                <w:rFonts w:hint="eastAsia" w:eastAsia="等线" w:cs="宋体"/>
                <w:color w:val="000000" w:themeColor="text1"/>
              </w:rPr>
              <w:t>12.5mV (</w:t>
            </w:r>
            <w:r>
              <w:rPr>
                <w:rFonts w:hint="eastAsia" w:ascii="仿宋_GB2312" w:hAnsi="宋体" w:cs="宋体"/>
                <w:color w:val="000000" w:themeColor="text1"/>
              </w:rPr>
              <w:t>于</w:t>
            </w:r>
            <w:r>
              <w:rPr>
                <w:rFonts w:hint="eastAsia" w:eastAsia="等线" w:cs="宋体"/>
                <w:color w:val="000000" w:themeColor="text1"/>
              </w:rPr>
              <w:t>1kHz,±5kHz</w:t>
            </w:r>
            <w:r>
              <w:rPr>
                <w:rFonts w:hint="eastAsia" w:ascii="仿宋_GB2312" w:hAnsi="宋体" w:cs="宋体"/>
                <w:color w:val="000000" w:themeColor="text1"/>
              </w:rPr>
              <w:t>偏移，</w:t>
            </w:r>
            <w:r>
              <w:rPr>
                <w:rFonts w:hint="eastAsia" w:eastAsia="等线" w:cs="宋体"/>
                <w:color w:val="000000" w:themeColor="text1"/>
              </w:rPr>
              <w:t>100kΩ</w:t>
            </w:r>
            <w:r>
              <w:rPr>
                <w:rFonts w:hint="eastAsia" w:ascii="仿宋_GB2312" w:hAnsi="宋体" w:cs="宋体"/>
                <w:color w:val="000000" w:themeColor="text1"/>
              </w:rPr>
              <w:t>负载</w:t>
            </w:r>
            <w:r>
              <w:rPr>
                <w:rFonts w:hint="eastAsia" w:eastAsia="等线" w:cs="宋体"/>
                <w:color w:val="000000" w:themeColor="text1"/>
              </w:rPr>
              <w:t>)</w:t>
            </w:r>
            <w:r>
              <w:rPr>
                <w:rFonts w:hint="eastAsia" w:ascii="仿宋_GB2312" w:hAnsi="宋体" w:cs="宋体"/>
                <w:color w:val="000000" w:themeColor="text1"/>
              </w:rPr>
              <w:t>；</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4</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数字会议主机</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全数字技术，简洁外观设计；</w:t>
            </w:r>
            <w:r>
              <w:rPr>
                <w:rFonts w:hint="eastAsia" w:eastAsia="等线" w:cs="宋体"/>
                <w:color w:val="000000" w:themeColor="text1"/>
              </w:rPr>
              <w:t>LCD</w:t>
            </w:r>
            <w:r>
              <w:rPr>
                <w:rFonts w:hint="eastAsia" w:ascii="仿宋_GB2312" w:hAnsi="宋体" w:cs="宋体"/>
                <w:color w:val="000000" w:themeColor="text1"/>
              </w:rPr>
              <w:t>显示面板，显示各类操作菜单；支持</w:t>
            </w:r>
            <w:r>
              <w:rPr>
                <w:rFonts w:hint="eastAsia" w:eastAsia="等线" w:cs="宋体"/>
                <w:color w:val="000000" w:themeColor="text1"/>
              </w:rPr>
              <w:t>4</w:t>
            </w:r>
            <w:r>
              <w:rPr>
                <w:rFonts w:hint="eastAsia" w:ascii="仿宋_GB2312" w:hAnsi="宋体" w:cs="宋体"/>
                <w:color w:val="000000" w:themeColor="text1"/>
              </w:rPr>
              <w:t>路支路连接或者</w:t>
            </w:r>
            <w:r>
              <w:rPr>
                <w:rFonts w:hint="eastAsia" w:eastAsia="等线" w:cs="宋体"/>
                <w:color w:val="000000" w:themeColor="text1"/>
              </w:rPr>
              <w:t>2</w:t>
            </w:r>
            <w:r>
              <w:rPr>
                <w:rFonts w:hint="eastAsia" w:ascii="仿宋_GB2312" w:hAnsi="宋体" w:cs="宋体"/>
                <w:color w:val="000000" w:themeColor="text1"/>
              </w:rPr>
              <w:t>路环路连接；自动回声抑制功能；无风扇设计，保证系统稳定性和使用寿命；开会即插即用</w:t>
            </w:r>
            <w:r>
              <w:rPr>
                <w:rFonts w:hint="eastAsia" w:eastAsia="等线" w:cs="宋体"/>
                <w:color w:val="000000" w:themeColor="text1"/>
              </w:rPr>
              <w:t>-</w:t>
            </w:r>
            <w:r>
              <w:rPr>
                <w:rFonts w:hint="eastAsia" w:ascii="仿宋_GB2312" w:hAnsi="宋体" w:cs="宋体"/>
                <w:color w:val="000000" w:themeColor="text1"/>
              </w:rPr>
              <w:t>无需额外电脑软件配置；支持多种会议模式；触控按键技术；采用标准的</w:t>
            </w:r>
            <w:r>
              <w:rPr>
                <w:rFonts w:hint="eastAsia" w:eastAsia="等线" w:cs="宋体"/>
                <w:color w:val="000000" w:themeColor="text1"/>
              </w:rPr>
              <w:t>RJ45</w:t>
            </w:r>
            <w:r>
              <w:rPr>
                <w:rFonts w:hint="eastAsia" w:ascii="仿宋_GB2312" w:hAnsi="宋体" w:cs="宋体"/>
                <w:color w:val="000000" w:themeColor="text1"/>
              </w:rPr>
              <w:t>连接技术；具备冗余功能的环路连接；支持会议停止后可自动关机；支持</w:t>
            </w:r>
            <w:r>
              <w:rPr>
                <w:rFonts w:hint="eastAsia" w:eastAsia="等线" w:cs="宋体"/>
                <w:color w:val="000000" w:themeColor="text1"/>
              </w:rPr>
              <w:t>VOX</w:t>
            </w:r>
            <w:r>
              <w:rPr>
                <w:rFonts w:hint="eastAsia" w:ascii="仿宋_GB2312" w:hAnsi="宋体" w:cs="宋体"/>
                <w:color w:val="000000" w:themeColor="text1"/>
              </w:rPr>
              <w:t>语音唤醒功能；支持</w:t>
            </w:r>
            <w:r>
              <w:rPr>
                <w:rFonts w:hint="eastAsia" w:eastAsia="等线" w:cs="宋体"/>
                <w:color w:val="000000" w:themeColor="text1"/>
              </w:rPr>
              <w:t>N-1</w:t>
            </w:r>
            <w:r>
              <w:rPr>
                <w:rFonts w:hint="eastAsia" w:ascii="仿宋_GB2312" w:hAnsi="宋体" w:cs="宋体"/>
                <w:color w:val="000000" w:themeColor="text1"/>
              </w:rPr>
              <w:t>远程会议以及外部音频处理；可支持</w:t>
            </w:r>
            <w:r>
              <w:rPr>
                <w:rFonts w:hint="eastAsia" w:eastAsia="等线" w:cs="宋体"/>
                <w:color w:val="000000" w:themeColor="text1"/>
              </w:rPr>
              <w:t>8</w:t>
            </w:r>
            <w:r>
              <w:rPr>
                <w:rFonts w:hint="eastAsia" w:ascii="仿宋_GB2312" w:hAnsi="宋体" w:cs="宋体"/>
                <w:color w:val="000000" w:themeColor="text1"/>
              </w:rPr>
              <w:t>支麦克风同时开启；单系统支持</w:t>
            </w:r>
            <w:r>
              <w:rPr>
                <w:rFonts w:hint="eastAsia" w:eastAsia="等线" w:cs="宋体"/>
                <w:color w:val="000000" w:themeColor="text1"/>
              </w:rPr>
              <w:t>50</w:t>
            </w:r>
            <w:r>
              <w:rPr>
                <w:rFonts w:hint="eastAsia" w:ascii="仿宋_GB2312" w:hAnsi="宋体" w:cs="宋体"/>
                <w:color w:val="000000" w:themeColor="text1"/>
              </w:rPr>
              <w:t>个会议单元；支持主机级联扩展，最大支持</w:t>
            </w:r>
            <w:r>
              <w:rPr>
                <w:rFonts w:hint="eastAsia" w:eastAsia="等线" w:cs="宋体"/>
                <w:color w:val="000000" w:themeColor="text1"/>
              </w:rPr>
              <w:t>3</w:t>
            </w:r>
            <w:r>
              <w:rPr>
                <w:rFonts w:hint="eastAsia" w:ascii="仿宋_GB2312" w:hAnsi="宋体" w:cs="宋体"/>
                <w:color w:val="000000" w:themeColor="text1"/>
              </w:rPr>
              <w:t>台主机级联，扩展后最大支持</w:t>
            </w:r>
            <w:r>
              <w:rPr>
                <w:rFonts w:hint="eastAsia" w:eastAsia="等线" w:cs="宋体"/>
                <w:color w:val="000000" w:themeColor="text1"/>
              </w:rPr>
              <w:t>150</w:t>
            </w:r>
            <w:r>
              <w:rPr>
                <w:rFonts w:hint="eastAsia" w:ascii="仿宋_GB2312" w:hAnsi="宋体" w:cs="宋体"/>
                <w:color w:val="000000" w:themeColor="text1"/>
              </w:rPr>
              <w:t>个会议单元；支持</w:t>
            </w:r>
            <w:r>
              <w:rPr>
                <w:rFonts w:hint="eastAsia" w:eastAsia="等线" w:cs="宋体"/>
                <w:color w:val="000000" w:themeColor="text1"/>
              </w:rPr>
              <w:t>Web</w:t>
            </w:r>
            <w:r>
              <w:rPr>
                <w:rFonts w:hint="eastAsia" w:ascii="仿宋_GB2312" w:hAnsi="宋体" w:cs="宋体"/>
                <w:color w:val="000000" w:themeColor="text1"/>
              </w:rPr>
              <w:t>界面登录与系统设置；支持摄像跟踪；支持双</w:t>
            </w:r>
            <w:r>
              <w:rPr>
                <w:rFonts w:hint="eastAsia" w:eastAsia="等线" w:cs="宋体"/>
                <w:color w:val="000000" w:themeColor="text1"/>
              </w:rPr>
              <w:t>USB</w:t>
            </w:r>
            <w:r>
              <w:rPr>
                <w:rFonts w:hint="eastAsia" w:ascii="仿宋_GB2312" w:hAnsi="宋体" w:cs="宋体"/>
                <w:color w:val="000000" w:themeColor="text1"/>
              </w:rPr>
              <w:t>录音；支持</w:t>
            </w:r>
            <w:r>
              <w:rPr>
                <w:rFonts w:hint="eastAsia" w:eastAsia="等线" w:cs="宋体"/>
                <w:color w:val="000000" w:themeColor="text1"/>
              </w:rPr>
              <w:t>API</w:t>
            </w:r>
            <w:r>
              <w:rPr>
                <w:rFonts w:hint="eastAsia" w:ascii="仿宋_GB2312" w:hAnsi="宋体" w:cs="宋体"/>
                <w:color w:val="000000" w:themeColor="text1"/>
              </w:rPr>
              <w:t>编程。</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5</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会议主席单元（指挥长区）</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50cm</w:t>
            </w:r>
            <w:r>
              <w:rPr>
                <w:rFonts w:hint="eastAsia" w:ascii="仿宋_GB2312" w:cs="宋体"/>
                <w:color w:val="000000" w:themeColor="text1"/>
              </w:rPr>
              <w:t>长度麦克风；抗</w:t>
            </w:r>
            <w:r>
              <w:rPr>
                <w:rFonts w:hint="eastAsia" w:eastAsia="等线" w:cs="宋体"/>
                <w:color w:val="000000" w:themeColor="text1"/>
              </w:rPr>
              <w:t>GSM</w:t>
            </w:r>
            <w:r>
              <w:rPr>
                <w:rFonts w:hint="eastAsia" w:ascii="仿宋_GB2312" w:cs="宋体"/>
                <w:color w:val="000000" w:themeColor="text1"/>
              </w:rPr>
              <w:t>手机信号干扰；端口自动流向判断，无须定义输入</w:t>
            </w:r>
            <w:r>
              <w:rPr>
                <w:rFonts w:hint="eastAsia" w:eastAsia="等线" w:cs="宋体"/>
                <w:color w:val="000000" w:themeColor="text1"/>
              </w:rPr>
              <w:t>/</w:t>
            </w:r>
            <w:r>
              <w:rPr>
                <w:rFonts w:hint="eastAsia" w:ascii="仿宋_GB2312" w:cs="宋体"/>
                <w:color w:val="000000" w:themeColor="text1"/>
              </w:rPr>
              <w:t>输出；触控技术；主席单元</w:t>
            </w:r>
            <w:r>
              <w:rPr>
                <w:rFonts w:hint="eastAsia" w:eastAsia="等线" w:cs="宋体"/>
                <w:color w:val="000000" w:themeColor="text1"/>
              </w:rPr>
              <w:t>/</w:t>
            </w:r>
            <w:r>
              <w:rPr>
                <w:rFonts w:hint="eastAsia" w:ascii="仿宋_GB2312" w:cs="宋体"/>
                <w:color w:val="000000" w:themeColor="text1"/>
              </w:rPr>
              <w:t>会议单元之间采用网线手拉手连接</w:t>
            </w:r>
            <w:r>
              <w:rPr>
                <w:rFonts w:hint="eastAsia" w:eastAsia="等线" w:cs="宋体"/>
                <w:color w:val="000000" w:themeColor="text1"/>
              </w:rPr>
              <w:t>,</w:t>
            </w:r>
            <w:r>
              <w:rPr>
                <w:rFonts w:hint="eastAsia" w:ascii="仿宋_GB2312" w:cs="宋体"/>
                <w:color w:val="000000" w:themeColor="text1"/>
              </w:rPr>
              <w:t>输入输出口混用</w:t>
            </w:r>
            <w:r>
              <w:rPr>
                <w:rFonts w:hint="eastAsia" w:eastAsia="等线" w:cs="宋体"/>
                <w:color w:val="000000" w:themeColor="text1"/>
              </w:rPr>
              <w:t>.</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只</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6</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会议代表单元（指挥长区）</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50cm</w:t>
            </w:r>
            <w:r>
              <w:rPr>
                <w:rFonts w:hint="eastAsia" w:ascii="仿宋_GB2312" w:cs="宋体"/>
                <w:color w:val="000000" w:themeColor="text1"/>
              </w:rPr>
              <w:t>长度麦克风；抗</w:t>
            </w:r>
            <w:r>
              <w:rPr>
                <w:rFonts w:hint="eastAsia" w:eastAsia="等线" w:cs="宋体"/>
                <w:color w:val="000000" w:themeColor="text1"/>
              </w:rPr>
              <w:t>GSM</w:t>
            </w:r>
            <w:r>
              <w:rPr>
                <w:rFonts w:hint="eastAsia" w:ascii="仿宋_GB2312" w:cs="宋体"/>
                <w:color w:val="000000" w:themeColor="text1"/>
              </w:rPr>
              <w:t>手机信号干扰；端口自动流向判断，无须定义输入</w:t>
            </w:r>
            <w:r>
              <w:rPr>
                <w:rFonts w:hint="eastAsia" w:eastAsia="等线" w:cs="宋体"/>
                <w:color w:val="000000" w:themeColor="text1"/>
              </w:rPr>
              <w:t>/</w:t>
            </w:r>
            <w:r>
              <w:rPr>
                <w:rFonts w:hint="eastAsia" w:ascii="仿宋_GB2312" w:cs="宋体"/>
                <w:color w:val="000000" w:themeColor="text1"/>
              </w:rPr>
              <w:t>输出；触控技术；主席单元</w:t>
            </w:r>
            <w:r>
              <w:rPr>
                <w:rFonts w:hint="eastAsia" w:eastAsia="等线" w:cs="宋体"/>
                <w:color w:val="000000" w:themeColor="text1"/>
              </w:rPr>
              <w:t>/</w:t>
            </w:r>
            <w:r>
              <w:rPr>
                <w:rFonts w:hint="eastAsia" w:ascii="仿宋_GB2312" w:cs="宋体"/>
                <w:color w:val="000000" w:themeColor="text1"/>
              </w:rPr>
              <w:t>会议单元之间采用网线手拉手连接</w:t>
            </w:r>
            <w:r>
              <w:rPr>
                <w:rFonts w:hint="eastAsia" w:eastAsia="等线" w:cs="宋体"/>
                <w:color w:val="000000" w:themeColor="text1"/>
              </w:rPr>
              <w:t>,</w:t>
            </w:r>
            <w:r>
              <w:rPr>
                <w:rFonts w:hint="eastAsia" w:ascii="仿宋_GB2312" w:cs="宋体"/>
                <w:color w:val="000000" w:themeColor="text1"/>
              </w:rPr>
              <w:t>输入输出口混用</w:t>
            </w:r>
            <w:r>
              <w:rPr>
                <w:rFonts w:hint="eastAsia" w:eastAsia="等线" w:cs="宋体"/>
                <w:color w:val="000000" w:themeColor="text1"/>
              </w:rPr>
              <w:t>.</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16</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只</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7</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数字音频处理器</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16</w:t>
            </w:r>
            <w:r>
              <w:rPr>
                <w:rFonts w:hint="eastAsia" w:ascii="仿宋_GB2312" w:cs="宋体"/>
                <w:color w:val="000000" w:themeColor="text1"/>
              </w:rPr>
              <w:t>路可切换的平衡话筒或线路电平输入，</w:t>
            </w:r>
            <w:r>
              <w:rPr>
                <w:rFonts w:hint="eastAsia" w:eastAsia="等线" w:cs="宋体"/>
                <w:color w:val="000000" w:themeColor="text1"/>
              </w:rPr>
              <w:t>8</w:t>
            </w:r>
            <w:r>
              <w:rPr>
                <w:rFonts w:hint="eastAsia" w:ascii="仿宋_GB2312" w:cs="宋体"/>
                <w:color w:val="000000" w:themeColor="text1"/>
              </w:rPr>
              <w:t>路线路电平输出；标称输入电平：</w:t>
            </w:r>
            <w:r>
              <w:rPr>
                <w:rFonts w:hint="eastAsia" w:eastAsia="等线" w:cs="宋体"/>
                <w:color w:val="000000" w:themeColor="text1"/>
              </w:rPr>
              <w:t>+4dBu</w:t>
            </w:r>
            <w:r>
              <w:rPr>
                <w:rFonts w:hint="eastAsia" w:ascii="仿宋_GB2312" w:cs="宋体"/>
                <w:color w:val="000000" w:themeColor="text1"/>
              </w:rPr>
              <w:t>线路或</w:t>
            </w:r>
            <w:r>
              <w:rPr>
                <w:rFonts w:hint="eastAsia" w:eastAsia="等线" w:cs="宋体"/>
                <w:color w:val="000000" w:themeColor="text1"/>
              </w:rPr>
              <w:t>-36dBu</w:t>
            </w:r>
            <w:r>
              <w:rPr>
                <w:rFonts w:hint="eastAsia" w:ascii="仿宋_GB2312" w:cs="宋体"/>
                <w:color w:val="000000" w:themeColor="text1"/>
              </w:rPr>
              <w:t>话筒电平</w:t>
            </w:r>
            <w:r>
              <w:rPr>
                <w:rFonts w:hint="eastAsia" w:eastAsia="等线" w:cs="宋体"/>
                <w:color w:val="000000" w:themeColor="text1"/>
              </w:rPr>
              <w:t>(</w:t>
            </w:r>
            <w:r>
              <w:rPr>
                <w:rFonts w:hint="eastAsia" w:ascii="仿宋_GB2312" w:cs="宋体"/>
                <w:color w:val="000000" w:themeColor="text1"/>
              </w:rPr>
              <w:t>可选择软件</w:t>
            </w:r>
            <w:r>
              <w:rPr>
                <w:rFonts w:hint="eastAsia" w:eastAsia="等线" w:cs="宋体"/>
                <w:color w:val="000000" w:themeColor="text1"/>
              </w:rPr>
              <w:t>)</w:t>
            </w:r>
            <w:r>
              <w:rPr>
                <w:rFonts w:hint="eastAsia" w:ascii="仿宋_GB2312" w:cs="宋体"/>
                <w:color w:val="000000" w:themeColor="text1"/>
              </w:rPr>
              <w:t>，</w:t>
            </w:r>
            <w:r>
              <w:rPr>
                <w:rFonts w:hint="eastAsia" w:eastAsia="等线" w:cs="宋体"/>
                <w:color w:val="000000" w:themeColor="text1"/>
              </w:rPr>
              <w:t>20dB</w:t>
            </w:r>
            <w:r>
              <w:rPr>
                <w:rFonts w:hint="eastAsia" w:ascii="仿宋_GB2312" w:cs="宋体"/>
                <w:color w:val="000000" w:themeColor="text1"/>
              </w:rPr>
              <w:t>动态余量；话筒前置放大增益：</w:t>
            </w:r>
            <w:r>
              <w:rPr>
                <w:rFonts w:hint="eastAsia" w:eastAsia="等线" w:cs="宋体"/>
                <w:color w:val="000000" w:themeColor="text1"/>
              </w:rPr>
              <w:t>+40dB</w:t>
            </w:r>
            <w:r>
              <w:rPr>
                <w:rFonts w:hint="eastAsia" w:ascii="仿宋_GB2312" w:cs="宋体"/>
                <w:color w:val="000000" w:themeColor="text1"/>
              </w:rPr>
              <w:t>；输入微调：</w:t>
            </w:r>
            <w:r>
              <w:rPr>
                <w:rFonts w:hint="eastAsia" w:eastAsia="等线" w:cs="宋体"/>
                <w:color w:val="000000" w:themeColor="text1"/>
              </w:rPr>
              <w:t>+/-24dB</w:t>
            </w:r>
            <w:r>
              <w:rPr>
                <w:rFonts w:hint="eastAsia" w:ascii="仿宋_GB2312" w:cs="宋体"/>
                <w:color w:val="000000" w:themeColor="text1"/>
              </w:rPr>
              <w:t>；最大输入电平：</w:t>
            </w:r>
            <w:r>
              <w:rPr>
                <w:rFonts w:hint="eastAsia" w:eastAsia="等线" w:cs="宋体"/>
                <w:color w:val="000000" w:themeColor="text1"/>
              </w:rPr>
              <w:t>+23dBu</w:t>
            </w:r>
            <w:r>
              <w:rPr>
                <w:rFonts w:hint="eastAsia" w:ascii="仿宋_GB2312" w:cs="宋体"/>
                <w:color w:val="000000" w:themeColor="text1"/>
              </w:rPr>
              <w:t>；输入阻抗：</w:t>
            </w:r>
            <w:r>
              <w:rPr>
                <w:rFonts w:hint="eastAsia" w:eastAsia="等线" w:cs="宋体"/>
                <w:color w:val="000000" w:themeColor="text1"/>
              </w:rPr>
              <w:t>&gt;18kΩ</w:t>
            </w:r>
            <w:r>
              <w:rPr>
                <w:rFonts w:hint="eastAsia" w:ascii="仿宋_GB2312" w:cs="宋体"/>
                <w:color w:val="000000" w:themeColor="text1"/>
              </w:rPr>
              <w:t>平衡，</w:t>
            </w:r>
            <w:r>
              <w:rPr>
                <w:rFonts w:hint="eastAsia" w:eastAsia="等线" w:cs="宋体"/>
                <w:color w:val="000000" w:themeColor="text1"/>
              </w:rPr>
              <w:t>&gt;9kΩ</w:t>
            </w:r>
            <w:r>
              <w:rPr>
                <w:rFonts w:hint="eastAsia" w:ascii="仿宋_GB2312" w:cs="宋体"/>
                <w:color w:val="000000" w:themeColor="text1"/>
              </w:rPr>
              <w:t>非平衡，</w:t>
            </w:r>
            <w:r>
              <w:rPr>
                <w:rFonts w:hint="eastAsia" w:eastAsia="等线" w:cs="宋体"/>
                <w:color w:val="000000" w:themeColor="text1"/>
              </w:rPr>
              <w:t>&gt;2kΩ</w:t>
            </w:r>
            <w:r>
              <w:rPr>
                <w:rFonts w:hint="eastAsia" w:ascii="仿宋_GB2312" w:cs="宋体"/>
                <w:color w:val="000000" w:themeColor="text1"/>
              </w:rPr>
              <w:t>带幻象电源；共模抑制比：</w:t>
            </w:r>
            <w:r>
              <w:rPr>
                <w:rFonts w:hint="eastAsia" w:eastAsia="等线" w:cs="宋体"/>
                <w:color w:val="000000" w:themeColor="text1"/>
              </w:rPr>
              <w:t>&gt;50dB @ 1kHz,</w:t>
            </w:r>
            <w:r>
              <w:rPr>
                <w:rFonts w:hint="eastAsia" w:ascii="仿宋_GB2312" w:cs="宋体"/>
                <w:color w:val="000000" w:themeColor="text1"/>
              </w:rPr>
              <w:t>整体增益；话筒前置放大等效输入噪声：</w:t>
            </w:r>
            <w:r>
              <w:rPr>
                <w:rFonts w:hint="eastAsia" w:eastAsia="等线" w:cs="宋体"/>
                <w:color w:val="000000" w:themeColor="text1"/>
              </w:rPr>
              <w:t>&lt;-125dBu</w:t>
            </w:r>
            <w:r>
              <w:rPr>
                <w:rFonts w:hint="eastAsia" w:ascii="仿宋_GB2312" w:cs="宋体"/>
                <w:color w:val="000000" w:themeColor="text1"/>
              </w:rPr>
              <w:t>，</w:t>
            </w:r>
            <w:r>
              <w:rPr>
                <w:rFonts w:hint="eastAsia" w:eastAsia="等线" w:cs="宋体"/>
                <w:color w:val="000000" w:themeColor="text1"/>
              </w:rPr>
              <w:t>22Hz-22kHz,100Ω</w:t>
            </w:r>
            <w:r>
              <w:rPr>
                <w:rFonts w:hint="eastAsia" w:ascii="仿宋_GB2312" w:cs="宋体"/>
                <w:color w:val="000000" w:themeColor="text1"/>
              </w:rPr>
              <w:t>电源阻抗；幻象电源：</w:t>
            </w:r>
            <w:r>
              <w:rPr>
                <w:rFonts w:hint="eastAsia" w:eastAsia="等线" w:cs="宋体"/>
                <w:color w:val="000000" w:themeColor="text1"/>
              </w:rPr>
              <w:t>+20V</w:t>
            </w:r>
            <w:r>
              <w:rPr>
                <w:rFonts w:hint="eastAsia" w:ascii="仿宋_GB2312" w:cs="宋体"/>
                <w:color w:val="000000" w:themeColor="text1"/>
              </w:rPr>
              <w:t>直流</w:t>
            </w:r>
            <w:r>
              <w:rPr>
                <w:rFonts w:hint="eastAsia" w:eastAsia="等线" w:cs="宋体"/>
                <w:color w:val="000000" w:themeColor="text1"/>
              </w:rPr>
              <w:t xml:space="preserve">, </w:t>
            </w:r>
            <w:r>
              <w:rPr>
                <w:rFonts w:hint="eastAsia" w:ascii="仿宋_GB2312" w:cs="宋体"/>
                <w:color w:val="000000" w:themeColor="text1"/>
              </w:rPr>
              <w:t>每路输入最大为</w:t>
            </w:r>
            <w:r>
              <w:rPr>
                <w:rFonts w:hint="eastAsia" w:eastAsia="等线" w:cs="宋体"/>
                <w:color w:val="000000" w:themeColor="text1"/>
              </w:rPr>
              <w:t>20mA</w:t>
            </w:r>
            <w:r>
              <w:rPr>
                <w:rFonts w:hint="eastAsia" w:ascii="仿宋_GB2312" w:cs="宋体"/>
                <w:color w:val="000000" w:themeColor="text1"/>
              </w:rPr>
              <w:t>；最大输出电平：</w:t>
            </w:r>
            <w:r>
              <w:rPr>
                <w:rFonts w:hint="eastAsia" w:eastAsia="等线" w:cs="宋体"/>
                <w:color w:val="000000" w:themeColor="text1"/>
              </w:rPr>
              <w:t>+24dBu</w:t>
            </w:r>
            <w:r>
              <w:rPr>
                <w:rFonts w:hint="eastAsia" w:ascii="仿宋_GB2312" w:cs="宋体"/>
                <w:color w:val="000000" w:themeColor="text1"/>
              </w:rPr>
              <w:t>；输出阻抗：</w:t>
            </w:r>
            <w:r>
              <w:rPr>
                <w:rFonts w:hint="eastAsia" w:eastAsia="等线" w:cs="宋体"/>
                <w:color w:val="000000" w:themeColor="text1"/>
              </w:rPr>
              <w:t>200Ω</w:t>
            </w:r>
            <w:r>
              <w:rPr>
                <w:rFonts w:hint="eastAsia" w:ascii="仿宋_GB2312" w:cs="宋体"/>
                <w:color w:val="000000" w:themeColor="text1"/>
              </w:rPr>
              <w:t>平衡，</w:t>
            </w:r>
            <w:r>
              <w:rPr>
                <w:rFonts w:hint="eastAsia" w:eastAsia="等线" w:cs="宋体"/>
                <w:color w:val="000000" w:themeColor="text1"/>
              </w:rPr>
              <w:t>100Ω</w:t>
            </w:r>
            <w:r>
              <w:rPr>
                <w:rFonts w:hint="eastAsia" w:ascii="仿宋_GB2312" w:cs="宋体"/>
                <w:color w:val="000000" w:themeColor="text1"/>
              </w:rPr>
              <w:t>非平衡；采样率：</w:t>
            </w:r>
            <w:r>
              <w:rPr>
                <w:rFonts w:hint="eastAsia" w:eastAsia="等线" w:cs="宋体"/>
                <w:color w:val="000000" w:themeColor="text1"/>
              </w:rPr>
              <w:t>48kHz</w:t>
            </w:r>
            <w:r>
              <w:rPr>
                <w:rFonts w:hint="eastAsia" w:ascii="仿宋_GB2312" w:cs="宋体"/>
                <w:color w:val="000000" w:themeColor="text1"/>
              </w:rPr>
              <w:t>；频率响应：</w:t>
            </w:r>
            <w:r>
              <w:rPr>
                <w:rFonts w:hint="eastAsia" w:eastAsia="等线" w:cs="宋体"/>
                <w:color w:val="000000" w:themeColor="text1"/>
              </w:rPr>
              <w:t>20Hz-20kHz, +/-0.5dB</w:t>
            </w:r>
            <w:r>
              <w:rPr>
                <w:rFonts w:hint="eastAsia" w:ascii="仿宋_GB2312" w:cs="宋体"/>
                <w:color w:val="000000" w:themeColor="text1"/>
              </w:rPr>
              <w:t>；动态范围：</w:t>
            </w:r>
            <w:r>
              <w:rPr>
                <w:rFonts w:hint="eastAsia" w:eastAsia="等线" w:cs="宋体"/>
                <w:color w:val="000000" w:themeColor="text1"/>
              </w:rPr>
              <w:t>&gt;110dB(A</w:t>
            </w:r>
            <w:r>
              <w:rPr>
                <w:rFonts w:hint="eastAsia" w:ascii="仿宋_GB2312" w:cs="宋体"/>
                <w:color w:val="000000" w:themeColor="text1"/>
              </w:rPr>
              <w:t>计权</w:t>
            </w:r>
            <w:r>
              <w:rPr>
                <w:rFonts w:hint="eastAsia" w:eastAsia="等线" w:cs="宋体"/>
                <w:color w:val="000000" w:themeColor="text1"/>
              </w:rPr>
              <w:t>)</w:t>
            </w:r>
            <w:r>
              <w:rPr>
                <w:rFonts w:hint="eastAsia" w:ascii="仿宋_GB2312" w:cs="宋体"/>
                <w:color w:val="000000" w:themeColor="text1"/>
              </w:rPr>
              <w:t>，输入至输出；总谐波失真</w:t>
            </w:r>
            <w:r>
              <w:rPr>
                <w:rFonts w:hint="eastAsia" w:eastAsia="等线" w:cs="宋体"/>
                <w:color w:val="000000" w:themeColor="text1"/>
              </w:rPr>
              <w:t>+</w:t>
            </w:r>
            <w:r>
              <w:rPr>
                <w:rFonts w:hint="eastAsia" w:ascii="仿宋_GB2312" w:cs="宋体"/>
                <w:color w:val="000000" w:themeColor="text1"/>
              </w:rPr>
              <w:t>噪声</w:t>
            </w:r>
            <w:r>
              <w:rPr>
                <w:rFonts w:hint="eastAsia" w:eastAsia="等线" w:cs="宋体"/>
                <w:color w:val="000000" w:themeColor="text1"/>
              </w:rPr>
              <w:t>:&lt;-85 dB(</w:t>
            </w:r>
            <w:r>
              <w:rPr>
                <w:rFonts w:hint="eastAsia" w:ascii="仿宋_GB2312" w:cs="宋体"/>
                <w:color w:val="000000" w:themeColor="text1"/>
              </w:rPr>
              <w:t>未计权</w:t>
            </w:r>
            <w:r>
              <w:rPr>
                <w:rFonts w:hint="eastAsia" w:eastAsia="等线" w:cs="宋体"/>
                <w:color w:val="000000" w:themeColor="text1"/>
              </w:rPr>
              <w:t>)</w:t>
            </w:r>
            <w:r>
              <w:rPr>
                <w:rFonts w:hint="eastAsia" w:ascii="仿宋_GB2312" w:cs="宋体"/>
                <w:color w:val="000000" w:themeColor="text1"/>
              </w:rPr>
              <w:t>；</w:t>
            </w:r>
            <w:r>
              <w:rPr>
                <w:rFonts w:hint="eastAsia" w:eastAsia="等线" w:cs="宋体"/>
                <w:color w:val="000000" w:themeColor="text1"/>
              </w:rPr>
              <w:t>1kHz@+22dBu</w:t>
            </w:r>
            <w:r>
              <w:rPr>
                <w:rFonts w:hint="eastAsia" w:ascii="仿宋_GB2312" w:cs="宋体"/>
                <w:color w:val="000000" w:themeColor="text1"/>
              </w:rPr>
              <w:t>，</w:t>
            </w:r>
            <w:r>
              <w:rPr>
                <w:rFonts w:hint="eastAsia" w:eastAsia="等线" w:cs="宋体"/>
                <w:color w:val="000000" w:themeColor="text1"/>
              </w:rPr>
              <w:t>0dB</w:t>
            </w:r>
            <w:r>
              <w:rPr>
                <w:rFonts w:hint="eastAsia" w:ascii="仿宋_GB2312" w:cs="宋体"/>
                <w:color w:val="000000" w:themeColor="text1"/>
              </w:rPr>
              <w:t>增益；交叉通道串音：</w:t>
            </w:r>
            <w:r>
              <w:rPr>
                <w:rFonts w:hint="eastAsia" w:eastAsia="等线" w:cs="宋体"/>
                <w:color w:val="000000" w:themeColor="text1"/>
              </w:rPr>
              <w:t>&lt;-90dBu@1kHz,</w:t>
            </w:r>
            <w:r>
              <w:rPr>
                <w:rFonts w:hint="eastAsia" w:ascii="仿宋_GB2312" w:cs="宋体"/>
                <w:color w:val="000000" w:themeColor="text1"/>
              </w:rPr>
              <w:t>典型；延时：</w:t>
            </w:r>
            <w:r>
              <w:rPr>
                <w:rFonts w:hint="eastAsia" w:eastAsia="等线" w:cs="宋体"/>
                <w:color w:val="000000" w:themeColor="text1"/>
              </w:rPr>
              <w:t>&lt;1.6ms</w:t>
            </w:r>
            <w:r>
              <w:rPr>
                <w:rFonts w:hint="eastAsia" w:ascii="仿宋_GB2312" w:cs="宋体"/>
                <w:color w:val="000000" w:themeColor="text1"/>
              </w:rPr>
              <w:t>，输入路由至输出；电子：</w:t>
            </w:r>
            <w:r>
              <w:rPr>
                <w:rFonts w:hint="eastAsia" w:eastAsia="等线" w:cs="宋体"/>
                <w:color w:val="000000" w:themeColor="text1"/>
              </w:rPr>
              <w:t>100-240V</w:t>
            </w:r>
            <w:r>
              <w:rPr>
                <w:rFonts w:hint="eastAsia" w:ascii="仿宋_GB2312" w:cs="宋体"/>
                <w:color w:val="000000" w:themeColor="text1"/>
              </w:rPr>
              <w:t>交流</w:t>
            </w:r>
            <w:r>
              <w:rPr>
                <w:rFonts w:hint="eastAsia" w:eastAsia="等线" w:cs="宋体"/>
                <w:color w:val="000000" w:themeColor="text1"/>
              </w:rPr>
              <w:t>,50/60Hz,</w:t>
            </w:r>
            <w:r>
              <w:rPr>
                <w:rFonts w:hint="eastAsia" w:ascii="仿宋_GB2312" w:cs="宋体"/>
                <w:color w:val="000000" w:themeColor="text1"/>
              </w:rPr>
              <w:t>最大</w:t>
            </w:r>
            <w:r>
              <w:rPr>
                <w:rFonts w:hint="eastAsia" w:eastAsia="等线" w:cs="宋体"/>
                <w:color w:val="000000" w:themeColor="text1"/>
              </w:rPr>
              <w:t>25W</w:t>
            </w:r>
            <w:r>
              <w:rPr>
                <w:rFonts w:hint="eastAsia" w:ascii="仿宋_GB2312" w:cs="宋体"/>
                <w:color w:val="000000" w:themeColor="text1"/>
              </w:rPr>
              <w:t>，通用输入；</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8</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数字调音台</w:t>
            </w: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10</w:t>
            </w:r>
            <w:r>
              <w:rPr>
                <w:rFonts w:hint="eastAsia" w:ascii="仿宋_GB2312" w:cs="宋体"/>
                <w:color w:val="000000" w:themeColor="text1"/>
              </w:rPr>
              <w:t>路话筒输入，</w:t>
            </w:r>
            <w:r>
              <w:rPr>
                <w:rFonts w:hint="eastAsia" w:eastAsia="等线" w:cs="宋体"/>
                <w:color w:val="000000" w:themeColor="text1"/>
              </w:rPr>
              <w:t>12</w:t>
            </w:r>
            <w:r>
              <w:rPr>
                <w:rFonts w:hint="eastAsia" w:ascii="仿宋_GB2312" w:cs="宋体"/>
                <w:color w:val="000000" w:themeColor="text1"/>
              </w:rPr>
              <w:t>路线路输入（</w:t>
            </w:r>
            <w:r>
              <w:rPr>
                <w:rFonts w:hint="eastAsia" w:eastAsia="等线" w:cs="宋体"/>
                <w:color w:val="000000" w:themeColor="text1"/>
              </w:rPr>
              <w:t>4</w:t>
            </w:r>
            <w:r>
              <w:rPr>
                <w:rFonts w:hint="eastAsia" w:ascii="仿宋_GB2312" w:cs="宋体"/>
                <w:color w:val="000000" w:themeColor="text1"/>
              </w:rPr>
              <w:t>个单声道，</w:t>
            </w:r>
            <w:r>
              <w:rPr>
                <w:rFonts w:hint="eastAsia" w:eastAsia="等线" w:cs="宋体"/>
                <w:color w:val="000000" w:themeColor="text1"/>
              </w:rPr>
              <w:t>4</w:t>
            </w:r>
            <w:r>
              <w:rPr>
                <w:rFonts w:hint="eastAsia" w:ascii="仿宋_GB2312" w:cs="宋体"/>
                <w:color w:val="000000" w:themeColor="text1"/>
              </w:rPr>
              <w:t>个立体声）</w:t>
            </w:r>
          </w:p>
        </w:tc>
        <w:tc>
          <w:tcPr>
            <w:tcW w:w="775"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vMerge w:val="restart"/>
            <w:tcBorders>
              <w:top w:val="nil"/>
              <w:left w:val="single" w:color="auto" w:sz="8" w:space="0"/>
              <w:bottom w:val="single" w:color="000000"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48V</w:t>
            </w:r>
            <w:r>
              <w:rPr>
                <w:rFonts w:hint="eastAsia" w:ascii="仿宋_GB2312" w:cs="宋体"/>
                <w:color w:val="000000" w:themeColor="text1"/>
              </w:rPr>
              <w:t>幻象供电</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2</w:t>
            </w:r>
            <w:r>
              <w:rPr>
                <w:rFonts w:hint="eastAsia" w:ascii="仿宋_GB2312" w:cs="宋体"/>
                <w:color w:val="000000" w:themeColor="text1"/>
              </w:rPr>
              <w:t>个</w:t>
            </w:r>
            <w:r>
              <w:rPr>
                <w:rFonts w:hint="eastAsia" w:eastAsia="等线" w:cs="宋体"/>
                <w:color w:val="000000" w:themeColor="text1"/>
              </w:rPr>
              <w:t>AUX</w:t>
            </w:r>
            <w:r>
              <w:rPr>
                <w:rFonts w:hint="eastAsia" w:ascii="仿宋_GB2312" w:cs="宋体"/>
                <w:color w:val="000000" w:themeColor="text1"/>
              </w:rPr>
              <w:t>发送，</w:t>
            </w:r>
            <w:r>
              <w:rPr>
                <w:rFonts w:hint="eastAsia" w:eastAsia="等线" w:cs="宋体"/>
                <w:color w:val="000000" w:themeColor="text1"/>
              </w:rPr>
              <w:t>2</w:t>
            </w:r>
            <w:r>
              <w:rPr>
                <w:rFonts w:hint="eastAsia" w:ascii="仿宋_GB2312" w:cs="宋体"/>
                <w:color w:val="000000" w:themeColor="text1"/>
              </w:rPr>
              <w:t>个</w:t>
            </w:r>
            <w:r>
              <w:rPr>
                <w:rFonts w:hint="eastAsia" w:eastAsia="等线" w:cs="宋体"/>
                <w:color w:val="000000" w:themeColor="text1"/>
              </w:rPr>
              <w:t>FX</w:t>
            </w:r>
            <w:r>
              <w:rPr>
                <w:rFonts w:hint="eastAsia" w:ascii="仿宋_GB2312" w:cs="宋体"/>
                <w:color w:val="000000" w:themeColor="text1"/>
              </w:rPr>
              <w:t>发送</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双重数字效果处理器</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宽电压设计</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9</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会议高清摄像机</w:t>
            </w: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图像传感器</w:t>
            </w:r>
            <w:r>
              <w:rPr>
                <w:rFonts w:hint="eastAsia" w:eastAsia="等线" w:cs="宋体"/>
                <w:color w:val="000000" w:themeColor="text1"/>
              </w:rPr>
              <w:t xml:space="preserve"> 1/2.3</w:t>
            </w:r>
            <w:r>
              <w:rPr>
                <w:rFonts w:hint="eastAsia" w:ascii="仿宋_GB2312" w:hAnsi="宋体" w:cs="宋体"/>
                <w:color w:val="000000" w:themeColor="text1"/>
              </w:rPr>
              <w:t>英寸</w:t>
            </w:r>
            <w:r>
              <w:rPr>
                <w:rFonts w:hint="eastAsia" w:eastAsia="等线" w:cs="宋体"/>
                <w:color w:val="000000" w:themeColor="text1"/>
              </w:rPr>
              <w:t>MOS</w:t>
            </w:r>
            <w:r>
              <w:rPr>
                <w:rFonts w:hint="eastAsia" w:ascii="仿宋_GB2312" w:hAnsi="宋体" w:cs="宋体"/>
                <w:color w:val="000000" w:themeColor="text1"/>
              </w:rPr>
              <w:t>；镜头</w:t>
            </w:r>
            <w:r>
              <w:rPr>
                <w:rFonts w:hint="eastAsia" w:eastAsia="等线" w:cs="宋体"/>
                <w:color w:val="000000" w:themeColor="text1"/>
              </w:rPr>
              <w:t xml:space="preserve"> 22</w:t>
            </w:r>
            <w:r>
              <w:rPr>
                <w:rFonts w:hint="eastAsia" w:ascii="仿宋_GB2312" w:hAnsi="宋体" w:cs="宋体"/>
                <w:color w:val="000000" w:themeColor="text1"/>
              </w:rPr>
              <w:t>倍光学变焦镜头</w:t>
            </w:r>
            <w:r>
              <w:rPr>
                <w:rFonts w:hint="eastAsia" w:eastAsia="等线" w:cs="宋体"/>
                <w:color w:val="000000" w:themeColor="text1"/>
              </w:rPr>
              <w:t xml:space="preserve"> F1.6</w:t>
            </w:r>
            <w:r>
              <w:rPr>
                <w:rFonts w:hint="eastAsia" w:ascii="仿宋_GB2312" w:hAnsi="宋体" w:cs="宋体"/>
                <w:color w:val="000000" w:themeColor="text1"/>
              </w:rPr>
              <w:t>～</w:t>
            </w:r>
            <w:r>
              <w:rPr>
                <w:rFonts w:hint="eastAsia" w:eastAsia="等线" w:cs="宋体"/>
                <w:color w:val="000000" w:themeColor="text1"/>
              </w:rPr>
              <w:t>F4.3</w:t>
            </w:r>
            <w:r>
              <w:rPr>
                <w:rFonts w:hint="eastAsia" w:ascii="仿宋_GB2312" w:hAnsi="宋体" w:cs="宋体"/>
                <w:color w:val="000000" w:themeColor="text1"/>
              </w:rPr>
              <w:t>（</w:t>
            </w:r>
            <w:r>
              <w:rPr>
                <w:rFonts w:hint="eastAsia" w:eastAsia="等线" w:cs="宋体"/>
                <w:color w:val="000000" w:themeColor="text1"/>
              </w:rPr>
              <w:t>f=4.3mm</w:t>
            </w:r>
            <w:r>
              <w:rPr>
                <w:rFonts w:hint="eastAsia" w:ascii="仿宋_GB2312" w:hAnsi="宋体" w:cs="宋体"/>
                <w:color w:val="000000" w:themeColor="text1"/>
              </w:rPr>
              <w:t>～</w:t>
            </w:r>
            <w:r>
              <w:rPr>
                <w:rFonts w:hint="eastAsia" w:eastAsia="等线" w:cs="宋体"/>
                <w:color w:val="000000" w:themeColor="text1"/>
              </w:rPr>
              <w:t>94.6mm</w:t>
            </w:r>
            <w:r>
              <w:rPr>
                <w:rFonts w:hint="eastAsia" w:ascii="仿宋_GB2312" w:hAnsi="宋体" w:cs="宋体"/>
                <w:color w:val="000000" w:themeColor="text1"/>
              </w:rPr>
              <w:t>；</w:t>
            </w:r>
            <w:r>
              <w:rPr>
                <w:rFonts w:hint="eastAsia" w:eastAsia="等线" w:cs="宋体"/>
                <w:color w:val="000000" w:themeColor="text1"/>
              </w:rPr>
              <w:t>35mm</w:t>
            </w:r>
            <w:r>
              <w:rPr>
                <w:rFonts w:hint="eastAsia" w:ascii="仿宋_GB2312" w:hAnsi="宋体" w:cs="宋体"/>
                <w:color w:val="000000" w:themeColor="text1"/>
              </w:rPr>
              <w:t>等同于：</w:t>
            </w:r>
            <w:r>
              <w:rPr>
                <w:rFonts w:hint="eastAsia" w:eastAsia="等线" w:cs="宋体"/>
                <w:color w:val="000000" w:themeColor="text1"/>
              </w:rPr>
              <w:t>31.6mm</w:t>
            </w:r>
            <w:r>
              <w:rPr>
                <w:rFonts w:hint="eastAsia" w:ascii="仿宋_GB2312" w:hAnsi="宋体" w:cs="宋体"/>
                <w:color w:val="000000" w:themeColor="text1"/>
              </w:rPr>
              <w:t>～</w:t>
            </w:r>
            <w:r>
              <w:rPr>
                <w:rFonts w:hint="eastAsia" w:eastAsia="等线" w:cs="宋体"/>
                <w:color w:val="000000" w:themeColor="text1"/>
              </w:rPr>
              <w:t>705mm</w:t>
            </w:r>
            <w:r>
              <w:rPr>
                <w:rFonts w:hint="eastAsia" w:ascii="仿宋_GB2312" w:hAnsi="宋体" w:cs="宋体"/>
                <w:color w:val="000000" w:themeColor="text1"/>
              </w:rPr>
              <w:t>）；聚焦自动</w:t>
            </w:r>
            <w:r>
              <w:rPr>
                <w:rFonts w:hint="eastAsia" w:eastAsia="等线" w:cs="宋体"/>
                <w:color w:val="000000" w:themeColor="text1"/>
              </w:rPr>
              <w:t>/</w:t>
            </w:r>
            <w:r>
              <w:rPr>
                <w:rFonts w:hint="eastAsia" w:ascii="仿宋_GB2312" w:hAnsi="宋体" w:cs="宋体"/>
                <w:color w:val="000000" w:themeColor="text1"/>
              </w:rPr>
              <w:t>手动；焦距整体变焦范围：</w:t>
            </w:r>
            <w:r>
              <w:rPr>
                <w:rFonts w:hint="eastAsia" w:eastAsia="等线" w:cs="宋体"/>
                <w:color w:val="000000" w:themeColor="text1"/>
              </w:rPr>
              <w:t>1.2m</w:t>
            </w:r>
            <w:r>
              <w:rPr>
                <w:rFonts w:hint="eastAsia" w:ascii="仿宋_GB2312" w:hAnsi="宋体" w:cs="宋体"/>
                <w:color w:val="000000" w:themeColor="text1"/>
              </w:rPr>
              <w:t>、广角端：</w:t>
            </w:r>
            <w:r>
              <w:rPr>
                <w:rFonts w:hint="eastAsia" w:eastAsia="等线" w:cs="宋体"/>
                <w:color w:val="000000" w:themeColor="text1"/>
              </w:rPr>
              <w:t>10cm</w:t>
            </w:r>
            <w:r>
              <w:rPr>
                <w:rFonts w:hint="eastAsia" w:ascii="仿宋_GB2312" w:hAnsi="宋体" w:cs="宋体"/>
                <w:color w:val="000000" w:themeColor="text1"/>
              </w:rPr>
              <w:t>；分色光学系统片内滤色片系统；最低照度</w:t>
            </w:r>
            <w:r>
              <w:rPr>
                <w:rFonts w:hint="eastAsia" w:eastAsia="等线" w:cs="宋体"/>
                <w:color w:val="000000" w:themeColor="text1"/>
              </w:rPr>
              <w:t xml:space="preserve"> 0.7 lx</w:t>
            </w:r>
            <w:r>
              <w:rPr>
                <w:rFonts w:hint="eastAsia" w:ascii="仿宋_GB2312" w:hAnsi="宋体" w:cs="宋体"/>
                <w:color w:val="000000" w:themeColor="text1"/>
              </w:rPr>
              <w:t>（</w:t>
            </w:r>
            <w:r>
              <w:rPr>
                <w:rFonts w:hint="eastAsia" w:eastAsia="等线" w:cs="宋体"/>
                <w:color w:val="000000" w:themeColor="text1"/>
              </w:rPr>
              <w:t>50 IRE</w:t>
            </w:r>
            <w:r>
              <w:rPr>
                <w:rFonts w:hint="eastAsia" w:ascii="仿宋_GB2312" w:hAnsi="宋体" w:cs="宋体"/>
                <w:color w:val="000000" w:themeColor="text1"/>
              </w:rPr>
              <w:t>、</w:t>
            </w:r>
            <w:r>
              <w:rPr>
                <w:rFonts w:hint="eastAsia" w:eastAsia="等线" w:cs="宋体"/>
                <w:color w:val="000000" w:themeColor="text1"/>
              </w:rPr>
              <w:t>F1.6</w:t>
            </w:r>
            <w:r>
              <w:rPr>
                <w:rFonts w:hint="eastAsia" w:ascii="仿宋_GB2312" w:hAnsi="宋体" w:cs="宋体"/>
                <w:color w:val="000000" w:themeColor="text1"/>
              </w:rPr>
              <w:t>、</w:t>
            </w:r>
            <w:r>
              <w:rPr>
                <w:rFonts w:hint="eastAsia" w:eastAsia="等线" w:cs="宋体"/>
                <w:color w:val="000000" w:themeColor="text1"/>
              </w:rPr>
              <w:t>48dB</w:t>
            </w:r>
            <w:r>
              <w:rPr>
                <w:rFonts w:hint="eastAsia" w:ascii="仿宋_GB2312" w:hAnsi="宋体" w:cs="宋体"/>
                <w:color w:val="000000" w:themeColor="text1"/>
              </w:rPr>
              <w:t>、无蓄积</w:t>
            </w:r>
            <w:r>
              <w:rPr>
                <w:rFonts w:hint="eastAsia" w:eastAsia="等线" w:cs="宋体"/>
                <w:color w:val="000000" w:themeColor="text1"/>
              </w:rPr>
              <w:t xml:space="preserve"> 1/60</w:t>
            </w:r>
            <w:r>
              <w:rPr>
                <w:rFonts w:hint="eastAsia" w:ascii="仿宋_GB2312" w:hAnsi="宋体" w:cs="宋体"/>
                <w:color w:val="000000" w:themeColor="text1"/>
              </w:rPr>
              <w:t>或</w:t>
            </w:r>
            <w:r>
              <w:rPr>
                <w:rFonts w:hint="eastAsia" w:eastAsia="等线" w:cs="宋体"/>
                <w:color w:val="000000" w:themeColor="text1"/>
              </w:rPr>
              <w:t>1/50</w:t>
            </w:r>
            <w:r>
              <w:rPr>
                <w:rFonts w:hint="eastAsia" w:ascii="仿宋_GB2312" w:hAnsi="宋体" w:cs="宋体"/>
                <w:color w:val="000000" w:themeColor="text1"/>
              </w:rPr>
              <w:t>）</w:t>
            </w:r>
            <w:r>
              <w:rPr>
                <w:rFonts w:hint="eastAsia" w:eastAsia="等线" w:cs="宋体"/>
                <w:color w:val="000000" w:themeColor="text1"/>
              </w:rPr>
              <w:t>0.35 lx</w:t>
            </w:r>
            <w:r>
              <w:rPr>
                <w:rFonts w:hint="eastAsia" w:ascii="仿宋_GB2312" w:hAnsi="宋体" w:cs="宋体"/>
                <w:color w:val="000000" w:themeColor="text1"/>
              </w:rPr>
              <w:t>（</w:t>
            </w:r>
            <w:r>
              <w:rPr>
                <w:rFonts w:hint="eastAsia" w:eastAsia="等线" w:cs="宋体"/>
                <w:color w:val="000000" w:themeColor="text1"/>
              </w:rPr>
              <w:t>50 IRE</w:t>
            </w:r>
            <w:r>
              <w:rPr>
                <w:rFonts w:hint="eastAsia" w:ascii="仿宋_GB2312" w:hAnsi="宋体" w:cs="宋体"/>
                <w:color w:val="000000" w:themeColor="text1"/>
              </w:rPr>
              <w:t>、</w:t>
            </w:r>
            <w:r>
              <w:rPr>
                <w:rFonts w:hint="eastAsia" w:eastAsia="等线" w:cs="宋体"/>
                <w:color w:val="000000" w:themeColor="text1"/>
              </w:rPr>
              <w:t>F1.6</w:t>
            </w:r>
            <w:r>
              <w:rPr>
                <w:rFonts w:hint="eastAsia" w:ascii="仿宋_GB2312" w:hAnsi="宋体" w:cs="宋体"/>
                <w:color w:val="000000" w:themeColor="text1"/>
              </w:rPr>
              <w:t>、</w:t>
            </w:r>
            <w:r>
              <w:rPr>
                <w:rFonts w:hint="eastAsia" w:eastAsia="等线" w:cs="宋体"/>
                <w:color w:val="000000" w:themeColor="text1"/>
              </w:rPr>
              <w:t>48dB</w:t>
            </w:r>
            <w:r>
              <w:rPr>
                <w:rFonts w:hint="eastAsia" w:ascii="仿宋_GB2312" w:hAnsi="宋体" w:cs="宋体"/>
                <w:color w:val="000000" w:themeColor="text1"/>
              </w:rPr>
              <w:t>、有蓄积</w:t>
            </w:r>
            <w:r>
              <w:rPr>
                <w:rFonts w:hint="eastAsia" w:eastAsia="等线" w:cs="宋体"/>
                <w:color w:val="000000" w:themeColor="text1"/>
              </w:rPr>
              <w:t xml:space="preserve"> 1/30</w:t>
            </w:r>
            <w:r>
              <w:rPr>
                <w:rFonts w:hint="eastAsia" w:ascii="仿宋_GB2312" w:hAnsi="宋体" w:cs="宋体"/>
                <w:color w:val="000000" w:themeColor="text1"/>
              </w:rPr>
              <w:t>或</w:t>
            </w:r>
            <w:r>
              <w:rPr>
                <w:rFonts w:hint="eastAsia" w:eastAsia="等线" w:cs="宋体"/>
                <w:color w:val="000000" w:themeColor="text1"/>
              </w:rPr>
              <w:t>1/25</w:t>
            </w:r>
            <w:r>
              <w:rPr>
                <w:rFonts w:hint="eastAsia" w:ascii="仿宋_GB2312" w:hAnsi="宋体" w:cs="宋体"/>
                <w:color w:val="000000" w:themeColor="text1"/>
              </w:rPr>
              <w:t>（</w:t>
            </w:r>
            <w:r>
              <w:rPr>
                <w:rFonts w:hint="eastAsia" w:eastAsia="等线" w:cs="宋体"/>
                <w:color w:val="000000" w:themeColor="text1"/>
              </w:rPr>
              <w:t>Frame MIX 6dB</w:t>
            </w:r>
            <w:r>
              <w:rPr>
                <w:rFonts w:hint="eastAsia" w:ascii="仿宋_GB2312" w:hAnsi="宋体" w:cs="宋体"/>
                <w:color w:val="000000" w:themeColor="text1"/>
              </w:rPr>
              <w:t>））；水平分辨率</w:t>
            </w:r>
            <w:r>
              <w:rPr>
                <w:rFonts w:hint="eastAsia" w:eastAsia="等线" w:cs="宋体"/>
                <w:color w:val="000000" w:themeColor="text1"/>
              </w:rPr>
              <w:t xml:space="preserve"> 1000</w:t>
            </w:r>
            <w:r>
              <w:rPr>
                <w:rFonts w:hint="eastAsia" w:ascii="仿宋_GB2312" w:hAnsi="宋体" w:cs="宋体"/>
                <w:color w:val="000000" w:themeColor="text1"/>
              </w:rPr>
              <w:t>电视线以上（中心标准）；增益自动、</w:t>
            </w:r>
            <w:r>
              <w:rPr>
                <w:rFonts w:hint="eastAsia" w:eastAsia="等线" w:cs="宋体"/>
                <w:color w:val="000000" w:themeColor="text1"/>
              </w:rPr>
              <w:t>0dB</w:t>
            </w:r>
            <w:r>
              <w:rPr>
                <w:rFonts w:hint="eastAsia" w:ascii="仿宋_GB2312" w:hAnsi="宋体" w:cs="宋体"/>
                <w:color w:val="000000" w:themeColor="text1"/>
              </w:rPr>
              <w:t>～</w:t>
            </w:r>
            <w:r>
              <w:rPr>
                <w:rFonts w:hint="eastAsia" w:eastAsia="等线" w:cs="宋体"/>
                <w:color w:val="000000" w:themeColor="text1"/>
              </w:rPr>
              <w:t>48dB</w:t>
            </w:r>
            <w:r>
              <w:rPr>
                <w:rFonts w:hint="eastAsia" w:ascii="仿宋_GB2312" w:hAnsi="宋体" w:cs="宋体"/>
                <w:color w:val="000000" w:themeColor="text1"/>
              </w:rPr>
              <w:t>（</w:t>
            </w:r>
            <w:r>
              <w:rPr>
                <w:rFonts w:hint="eastAsia" w:eastAsia="等线" w:cs="宋体"/>
                <w:color w:val="000000" w:themeColor="text1"/>
              </w:rPr>
              <w:t>3dB</w:t>
            </w:r>
            <w:r>
              <w:rPr>
                <w:rFonts w:hint="eastAsia" w:ascii="仿宋_GB2312" w:hAnsi="宋体" w:cs="宋体"/>
                <w:color w:val="000000" w:themeColor="text1"/>
              </w:rPr>
              <w:t>步进）；</w:t>
            </w:r>
            <w:r>
              <w:rPr>
                <w:rFonts w:hint="eastAsia" w:eastAsia="等线" w:cs="宋体"/>
                <w:color w:val="000000" w:themeColor="text1"/>
              </w:rPr>
              <w:t xml:space="preserve">Frame MIX </w:t>
            </w:r>
            <w:r>
              <w:rPr>
                <w:rFonts w:hint="eastAsia" w:ascii="仿宋_GB2312" w:hAnsi="宋体" w:cs="宋体"/>
                <w:color w:val="000000" w:themeColor="text1"/>
              </w:rPr>
              <w:t>自动、关闭、</w:t>
            </w:r>
            <w:r>
              <w:rPr>
                <w:rFonts w:hint="eastAsia" w:eastAsia="等线" w:cs="宋体"/>
                <w:color w:val="000000" w:themeColor="text1"/>
              </w:rPr>
              <w:t>6dB</w:t>
            </w:r>
            <w:r>
              <w:rPr>
                <w:rFonts w:hint="eastAsia" w:ascii="仿宋_GB2312" w:hAnsi="宋体" w:cs="宋体"/>
                <w:color w:val="000000" w:themeColor="text1"/>
              </w:rPr>
              <w:t>、</w:t>
            </w:r>
            <w:r>
              <w:rPr>
                <w:rFonts w:hint="eastAsia" w:eastAsia="等线" w:cs="宋体"/>
                <w:color w:val="000000" w:themeColor="text1"/>
              </w:rPr>
              <w:t>12dB</w:t>
            </w:r>
            <w:r>
              <w:rPr>
                <w:rFonts w:hint="eastAsia" w:ascii="仿宋_GB2312" w:hAnsi="宋体" w:cs="宋体"/>
                <w:color w:val="000000" w:themeColor="text1"/>
              </w:rPr>
              <w:t>、</w:t>
            </w:r>
            <w:r>
              <w:rPr>
                <w:rFonts w:hint="eastAsia" w:eastAsia="等线" w:cs="宋体"/>
                <w:color w:val="000000" w:themeColor="text1"/>
              </w:rPr>
              <w:t>18dB</w:t>
            </w:r>
            <w:r>
              <w:rPr>
                <w:rFonts w:hint="eastAsia" w:ascii="仿宋_GB2312" w:hAnsi="宋体" w:cs="宋体"/>
                <w:color w:val="000000" w:themeColor="text1"/>
              </w:rPr>
              <w:t>、</w:t>
            </w:r>
            <w:r>
              <w:rPr>
                <w:rFonts w:hint="eastAsia" w:eastAsia="等线" w:cs="宋体"/>
                <w:color w:val="000000" w:themeColor="text1"/>
              </w:rPr>
              <w:t>24dB</w:t>
            </w:r>
            <w:r>
              <w:rPr>
                <w:rFonts w:hint="eastAsia" w:ascii="仿宋_GB2312" w:hAnsi="宋体" w:cs="宋体"/>
                <w:color w:val="000000" w:themeColor="text1"/>
              </w:rPr>
              <w:t>；电子快门速度全自动时：</w:t>
            </w:r>
            <w:r>
              <w:rPr>
                <w:rFonts w:hint="eastAsia" w:eastAsia="等线" w:cs="宋体"/>
                <w:color w:val="000000" w:themeColor="text1"/>
              </w:rPr>
              <w:t>1/30</w:t>
            </w:r>
            <w:r>
              <w:rPr>
                <w:rFonts w:hint="eastAsia" w:ascii="仿宋_GB2312" w:hAnsi="宋体" w:cs="宋体"/>
                <w:color w:val="000000" w:themeColor="text1"/>
              </w:rPr>
              <w:t>～</w:t>
            </w:r>
            <w:r>
              <w:rPr>
                <w:rFonts w:hint="eastAsia" w:eastAsia="等线" w:cs="宋体"/>
                <w:color w:val="000000" w:themeColor="text1"/>
              </w:rPr>
              <w:t>1/2000</w:t>
            </w:r>
            <w:r>
              <w:rPr>
                <w:rFonts w:hint="eastAsia" w:ascii="仿宋_GB2312" w:hAnsi="宋体" w:cs="宋体"/>
                <w:color w:val="000000" w:themeColor="text1"/>
              </w:rPr>
              <w:t>（</w:t>
            </w:r>
            <w:r>
              <w:rPr>
                <w:rFonts w:hint="eastAsia" w:eastAsia="等线" w:cs="宋体"/>
                <w:color w:val="000000" w:themeColor="text1"/>
              </w:rPr>
              <w:t>59.94Hz</w:t>
            </w:r>
            <w:r>
              <w:rPr>
                <w:rFonts w:hint="eastAsia" w:ascii="仿宋_GB2312" w:hAnsi="宋体" w:cs="宋体"/>
                <w:color w:val="000000" w:themeColor="text1"/>
              </w:rPr>
              <w:t>）、</w:t>
            </w:r>
            <w:r>
              <w:rPr>
                <w:rFonts w:hint="eastAsia" w:eastAsia="等线" w:cs="宋体"/>
                <w:color w:val="000000" w:themeColor="text1"/>
              </w:rPr>
              <w:t>1/25</w:t>
            </w:r>
            <w:r>
              <w:rPr>
                <w:rFonts w:hint="eastAsia" w:ascii="仿宋_GB2312" w:hAnsi="宋体" w:cs="宋体"/>
                <w:color w:val="000000" w:themeColor="text1"/>
              </w:rPr>
              <w:t>～</w:t>
            </w:r>
            <w:r>
              <w:rPr>
                <w:rFonts w:hint="eastAsia" w:eastAsia="等线" w:cs="宋体"/>
                <w:color w:val="000000" w:themeColor="text1"/>
              </w:rPr>
              <w:t>1/2000</w:t>
            </w:r>
            <w:r>
              <w:rPr>
                <w:rFonts w:hint="eastAsia" w:ascii="仿宋_GB2312" w:hAnsi="宋体" w:cs="宋体"/>
                <w:color w:val="000000" w:themeColor="text1"/>
              </w:rPr>
              <w:t>（</w:t>
            </w:r>
            <w:r>
              <w:rPr>
                <w:rFonts w:hint="eastAsia" w:eastAsia="等线" w:cs="宋体"/>
                <w:color w:val="000000" w:themeColor="text1"/>
              </w:rPr>
              <w:t>50Hz</w:t>
            </w:r>
            <w:r>
              <w:rPr>
                <w:rFonts w:hint="eastAsia" w:ascii="仿宋_GB2312" w:hAnsi="宋体" w:cs="宋体"/>
                <w:color w:val="000000" w:themeColor="text1"/>
              </w:rPr>
              <w:t>）；自动时：</w:t>
            </w:r>
            <w:r>
              <w:rPr>
                <w:rFonts w:hint="eastAsia" w:eastAsia="等线" w:cs="宋体"/>
                <w:color w:val="000000" w:themeColor="text1"/>
              </w:rPr>
              <w:t>1/60</w:t>
            </w:r>
            <w:r>
              <w:rPr>
                <w:rFonts w:hint="eastAsia" w:ascii="仿宋_GB2312" w:hAnsi="宋体" w:cs="宋体"/>
                <w:color w:val="000000" w:themeColor="text1"/>
              </w:rPr>
              <w:t>～</w:t>
            </w:r>
            <w:r>
              <w:rPr>
                <w:rFonts w:hint="eastAsia" w:eastAsia="等线" w:cs="宋体"/>
                <w:color w:val="000000" w:themeColor="text1"/>
              </w:rPr>
              <w:t>1/2000</w:t>
            </w:r>
            <w:r>
              <w:rPr>
                <w:rFonts w:hint="eastAsia" w:ascii="仿宋_GB2312" w:hAnsi="宋体" w:cs="宋体"/>
                <w:color w:val="000000" w:themeColor="text1"/>
              </w:rPr>
              <w:t>（</w:t>
            </w:r>
            <w:r>
              <w:rPr>
                <w:rFonts w:hint="eastAsia" w:eastAsia="等线" w:cs="宋体"/>
                <w:color w:val="000000" w:themeColor="text1"/>
              </w:rPr>
              <w:t>59.94Hz</w:t>
            </w:r>
            <w:r>
              <w:rPr>
                <w:rFonts w:hint="eastAsia" w:ascii="仿宋_GB2312" w:hAnsi="宋体" w:cs="宋体"/>
                <w:color w:val="000000" w:themeColor="text1"/>
              </w:rPr>
              <w:t>）、</w:t>
            </w:r>
            <w:r>
              <w:rPr>
                <w:rFonts w:hint="eastAsia" w:eastAsia="等线" w:cs="宋体"/>
                <w:color w:val="000000" w:themeColor="text1"/>
              </w:rPr>
              <w:t>1/50</w:t>
            </w:r>
            <w:r>
              <w:rPr>
                <w:rFonts w:hint="eastAsia" w:ascii="仿宋_GB2312" w:hAnsi="宋体" w:cs="宋体"/>
                <w:color w:val="000000" w:themeColor="text1"/>
              </w:rPr>
              <w:t>～</w:t>
            </w:r>
            <w:r>
              <w:rPr>
                <w:rFonts w:hint="eastAsia" w:eastAsia="等线" w:cs="宋体"/>
                <w:color w:val="000000" w:themeColor="text1"/>
              </w:rPr>
              <w:t>1/2000</w:t>
            </w:r>
            <w:r>
              <w:rPr>
                <w:rFonts w:hint="eastAsia" w:ascii="仿宋_GB2312" w:hAnsi="宋体" w:cs="宋体"/>
                <w:color w:val="000000" w:themeColor="text1"/>
              </w:rPr>
              <w:t>（</w:t>
            </w:r>
            <w:r>
              <w:rPr>
                <w:rFonts w:hint="eastAsia" w:eastAsia="等线" w:cs="宋体"/>
                <w:color w:val="000000" w:themeColor="text1"/>
              </w:rPr>
              <w:t>50Hz</w:t>
            </w:r>
            <w:r>
              <w:rPr>
                <w:rFonts w:hint="eastAsia" w:ascii="仿宋_GB2312" w:hAnsi="宋体" w:cs="宋体"/>
                <w:color w:val="000000" w:themeColor="text1"/>
              </w:rPr>
              <w:t>）；手动时：</w:t>
            </w:r>
            <w:r>
              <w:rPr>
                <w:rFonts w:hint="eastAsia" w:eastAsia="等线" w:cs="宋体"/>
                <w:color w:val="000000" w:themeColor="text1"/>
              </w:rPr>
              <w:t>59.94Hz</w:t>
            </w:r>
            <w:r>
              <w:rPr>
                <w:rFonts w:hint="eastAsia" w:ascii="仿宋_GB2312" w:hAnsi="宋体" w:cs="宋体"/>
                <w:color w:val="000000" w:themeColor="text1"/>
              </w:rPr>
              <w:t>：</w:t>
            </w:r>
            <w:r>
              <w:rPr>
                <w:rFonts w:hint="eastAsia" w:eastAsia="等线" w:cs="宋体"/>
                <w:color w:val="000000" w:themeColor="text1"/>
              </w:rPr>
              <w:t>1/100</w:t>
            </w:r>
            <w:r>
              <w:rPr>
                <w:rFonts w:hint="eastAsia" w:ascii="仿宋_GB2312" w:hAnsi="宋体" w:cs="宋体"/>
                <w:color w:val="000000" w:themeColor="text1"/>
              </w:rPr>
              <w:t>、</w:t>
            </w:r>
            <w:r>
              <w:rPr>
                <w:rFonts w:hint="eastAsia" w:eastAsia="等线" w:cs="宋体"/>
                <w:color w:val="000000" w:themeColor="text1"/>
              </w:rPr>
              <w:t>1/250</w:t>
            </w:r>
            <w:r>
              <w:rPr>
                <w:rFonts w:hint="eastAsia" w:ascii="仿宋_GB2312" w:hAnsi="宋体" w:cs="宋体"/>
                <w:color w:val="000000" w:themeColor="text1"/>
              </w:rPr>
              <w:t>、</w:t>
            </w:r>
            <w:r>
              <w:rPr>
                <w:rFonts w:hint="eastAsia" w:eastAsia="等线" w:cs="宋体"/>
                <w:color w:val="000000" w:themeColor="text1"/>
              </w:rPr>
              <w:t>1/500</w:t>
            </w:r>
            <w:r>
              <w:rPr>
                <w:rFonts w:hint="eastAsia" w:ascii="仿宋_GB2312" w:hAnsi="宋体" w:cs="宋体"/>
                <w:color w:val="000000" w:themeColor="text1"/>
              </w:rPr>
              <w:t>、</w:t>
            </w:r>
            <w:r>
              <w:rPr>
                <w:rFonts w:hint="eastAsia" w:eastAsia="等线" w:cs="宋体"/>
                <w:color w:val="000000" w:themeColor="text1"/>
              </w:rPr>
              <w:t>1/1000</w:t>
            </w:r>
            <w:r>
              <w:rPr>
                <w:rFonts w:hint="eastAsia" w:ascii="仿宋_GB2312" w:hAnsi="宋体" w:cs="宋体"/>
                <w:color w:val="000000" w:themeColor="text1"/>
              </w:rPr>
              <w:t>、</w:t>
            </w:r>
            <w:r>
              <w:rPr>
                <w:rFonts w:hint="eastAsia" w:eastAsia="等线" w:cs="宋体"/>
                <w:color w:val="000000" w:themeColor="text1"/>
              </w:rPr>
              <w:t>1/2000</w:t>
            </w:r>
            <w:r>
              <w:rPr>
                <w:rFonts w:hint="eastAsia" w:ascii="仿宋_GB2312" w:hAnsi="宋体" w:cs="宋体"/>
                <w:color w:val="000000" w:themeColor="text1"/>
              </w:rPr>
              <w:t>、</w:t>
            </w:r>
            <w:r>
              <w:rPr>
                <w:rFonts w:hint="eastAsia" w:eastAsia="等线" w:cs="宋体"/>
                <w:color w:val="000000" w:themeColor="text1"/>
              </w:rPr>
              <w:t>1/4000</w:t>
            </w:r>
            <w:r>
              <w:rPr>
                <w:rFonts w:hint="eastAsia" w:ascii="仿宋_GB2312" w:hAnsi="宋体" w:cs="宋体"/>
                <w:color w:val="000000" w:themeColor="text1"/>
              </w:rPr>
              <w:t>、</w:t>
            </w:r>
            <w:r>
              <w:rPr>
                <w:rFonts w:hint="eastAsia" w:eastAsia="等线" w:cs="宋体"/>
                <w:color w:val="000000" w:themeColor="text1"/>
              </w:rPr>
              <w:t xml:space="preserve">1/10000 </w:t>
            </w:r>
            <w:r>
              <w:rPr>
                <w:rFonts w:hint="eastAsia" w:ascii="仿宋_GB2312" w:hAnsi="宋体" w:cs="宋体"/>
                <w:color w:val="000000" w:themeColor="text1"/>
              </w:rPr>
              <w:t>，</w:t>
            </w:r>
            <w:r>
              <w:rPr>
                <w:rFonts w:hint="eastAsia" w:eastAsia="等线" w:cs="宋体"/>
                <w:color w:val="000000" w:themeColor="text1"/>
              </w:rPr>
              <w:t>50Hz</w:t>
            </w:r>
            <w:r>
              <w:rPr>
                <w:rFonts w:hint="eastAsia" w:ascii="仿宋_GB2312" w:hAnsi="宋体" w:cs="宋体"/>
                <w:color w:val="000000" w:themeColor="text1"/>
              </w:rPr>
              <w:t>：</w:t>
            </w:r>
            <w:r>
              <w:rPr>
                <w:rFonts w:hint="eastAsia" w:eastAsia="等线" w:cs="宋体"/>
                <w:color w:val="000000" w:themeColor="text1"/>
              </w:rPr>
              <w:t>1/120</w:t>
            </w:r>
            <w:r>
              <w:rPr>
                <w:rFonts w:hint="eastAsia" w:ascii="仿宋_GB2312" w:hAnsi="宋体" w:cs="宋体"/>
                <w:color w:val="000000" w:themeColor="text1"/>
              </w:rPr>
              <w:t>、</w:t>
            </w:r>
            <w:r>
              <w:rPr>
                <w:rFonts w:hint="eastAsia" w:eastAsia="等线" w:cs="宋体"/>
                <w:color w:val="000000" w:themeColor="text1"/>
              </w:rPr>
              <w:t>1/250</w:t>
            </w:r>
            <w:r>
              <w:rPr>
                <w:rFonts w:hint="eastAsia" w:ascii="仿宋_GB2312" w:hAnsi="宋体" w:cs="宋体"/>
                <w:color w:val="000000" w:themeColor="text1"/>
              </w:rPr>
              <w:t>、</w:t>
            </w:r>
            <w:r>
              <w:rPr>
                <w:rFonts w:hint="eastAsia" w:eastAsia="等线" w:cs="宋体"/>
                <w:color w:val="000000" w:themeColor="text1"/>
              </w:rPr>
              <w:t>1/500</w:t>
            </w:r>
            <w:r>
              <w:rPr>
                <w:rFonts w:hint="eastAsia" w:ascii="仿宋_GB2312" w:hAnsi="宋体" w:cs="宋体"/>
                <w:color w:val="000000" w:themeColor="text1"/>
              </w:rPr>
              <w:t>、</w:t>
            </w:r>
            <w:r>
              <w:rPr>
                <w:rFonts w:hint="eastAsia" w:eastAsia="等线" w:cs="宋体"/>
                <w:color w:val="000000" w:themeColor="text1"/>
              </w:rPr>
              <w:t>1/1000</w:t>
            </w:r>
            <w:r>
              <w:rPr>
                <w:rFonts w:hint="eastAsia" w:ascii="仿宋_GB2312" w:hAnsi="宋体" w:cs="宋体"/>
                <w:color w:val="000000" w:themeColor="text1"/>
              </w:rPr>
              <w:t>、</w:t>
            </w:r>
            <w:r>
              <w:rPr>
                <w:rFonts w:hint="eastAsia" w:eastAsia="等线" w:cs="宋体"/>
                <w:color w:val="000000" w:themeColor="text1"/>
              </w:rPr>
              <w:t>1/2000</w:t>
            </w:r>
            <w:r>
              <w:rPr>
                <w:rFonts w:hint="eastAsia" w:ascii="仿宋_GB2312" w:hAnsi="宋体" w:cs="宋体"/>
                <w:color w:val="000000" w:themeColor="text1"/>
              </w:rPr>
              <w:t>、</w:t>
            </w:r>
            <w:r>
              <w:rPr>
                <w:rFonts w:hint="eastAsia" w:eastAsia="等线" w:cs="宋体"/>
                <w:color w:val="000000" w:themeColor="text1"/>
              </w:rPr>
              <w:t>1/4000</w:t>
            </w:r>
            <w:r>
              <w:rPr>
                <w:rFonts w:hint="eastAsia" w:ascii="仿宋_GB2312" w:hAnsi="宋体" w:cs="宋体"/>
                <w:color w:val="000000" w:themeColor="text1"/>
              </w:rPr>
              <w:t>、</w:t>
            </w:r>
            <w:r>
              <w:rPr>
                <w:rFonts w:hint="eastAsia" w:eastAsia="等线" w:cs="宋体"/>
                <w:color w:val="000000" w:themeColor="text1"/>
              </w:rPr>
              <w:t>1/10000</w:t>
            </w:r>
            <w:r>
              <w:rPr>
                <w:rFonts w:hint="eastAsia" w:ascii="仿宋_GB2312" w:hAnsi="宋体" w:cs="宋体"/>
                <w:color w:val="000000" w:themeColor="text1"/>
              </w:rPr>
              <w:t>；同步扫描</w:t>
            </w:r>
            <w:r>
              <w:rPr>
                <w:rFonts w:hint="eastAsia" w:eastAsia="等线" w:cs="宋体"/>
                <w:color w:val="000000" w:themeColor="text1"/>
              </w:rPr>
              <w:t xml:space="preserve"> 59.94Hz</w:t>
            </w:r>
            <w:r>
              <w:rPr>
                <w:rFonts w:hint="eastAsia" w:ascii="仿宋_GB2312" w:hAnsi="宋体" w:cs="宋体"/>
                <w:color w:val="000000" w:themeColor="text1"/>
              </w:rPr>
              <w:t>：</w:t>
            </w:r>
            <w:r>
              <w:rPr>
                <w:rFonts w:hint="eastAsia" w:eastAsia="等线" w:cs="宋体"/>
                <w:color w:val="000000" w:themeColor="text1"/>
              </w:rPr>
              <w:t>59.94Hz</w:t>
            </w:r>
            <w:r>
              <w:rPr>
                <w:rFonts w:hint="eastAsia" w:ascii="仿宋_GB2312" w:hAnsi="宋体" w:cs="宋体"/>
                <w:color w:val="000000" w:themeColor="text1"/>
              </w:rPr>
              <w:t>～</w:t>
            </w:r>
            <w:r>
              <w:rPr>
                <w:rFonts w:hint="eastAsia" w:eastAsia="等线" w:cs="宋体"/>
                <w:color w:val="000000" w:themeColor="text1"/>
              </w:rPr>
              <w:t xml:space="preserve">660.09Hz </w:t>
            </w:r>
            <w:r>
              <w:rPr>
                <w:rFonts w:hint="eastAsia" w:ascii="仿宋_GB2312" w:hAnsi="宋体" w:cs="宋体"/>
                <w:color w:val="000000" w:themeColor="text1"/>
              </w:rPr>
              <w:t>；</w:t>
            </w:r>
            <w:r>
              <w:rPr>
                <w:rFonts w:hint="eastAsia" w:eastAsia="等线" w:cs="宋体"/>
                <w:color w:val="000000" w:themeColor="text1"/>
              </w:rPr>
              <w:t>50Hz</w:t>
            </w:r>
            <w:r>
              <w:rPr>
                <w:rFonts w:hint="eastAsia" w:ascii="仿宋_GB2312" w:hAnsi="宋体" w:cs="宋体"/>
                <w:color w:val="000000" w:themeColor="text1"/>
              </w:rPr>
              <w:t>：</w:t>
            </w:r>
            <w:r>
              <w:rPr>
                <w:rFonts w:hint="eastAsia" w:eastAsia="等线" w:cs="宋体"/>
                <w:color w:val="000000" w:themeColor="text1"/>
              </w:rPr>
              <w:t>50.00Hz</w:t>
            </w:r>
            <w:r>
              <w:rPr>
                <w:rFonts w:hint="eastAsia" w:ascii="仿宋_GB2312" w:hAnsi="宋体" w:cs="宋体"/>
                <w:color w:val="000000" w:themeColor="text1"/>
              </w:rPr>
              <w:t>～</w:t>
            </w:r>
            <w:r>
              <w:rPr>
                <w:rFonts w:hint="eastAsia" w:eastAsia="等线" w:cs="宋体"/>
                <w:color w:val="000000" w:themeColor="text1"/>
              </w:rPr>
              <w:t>570.12Hz</w:t>
            </w:r>
            <w:r>
              <w:rPr>
                <w:rFonts w:hint="eastAsia" w:ascii="仿宋_GB2312" w:hAnsi="宋体" w:cs="宋体"/>
                <w:color w:val="000000" w:themeColor="text1"/>
              </w:rPr>
              <w:t>；伽玛关、标准（低、中、高）、电影风格；白平衡</w:t>
            </w:r>
            <w:r>
              <w:rPr>
                <w:rFonts w:hint="eastAsia" w:eastAsia="等线" w:cs="宋体"/>
                <w:color w:val="000000" w:themeColor="text1"/>
              </w:rPr>
              <w:t xml:space="preserve"> AWB A</w:t>
            </w:r>
            <w:r>
              <w:rPr>
                <w:rFonts w:hint="eastAsia" w:ascii="仿宋_GB2312" w:hAnsi="宋体" w:cs="宋体"/>
                <w:color w:val="000000" w:themeColor="text1"/>
              </w:rPr>
              <w:t>、</w:t>
            </w:r>
            <w:r>
              <w:rPr>
                <w:rFonts w:hint="eastAsia" w:eastAsia="等线" w:cs="宋体"/>
                <w:color w:val="000000" w:themeColor="text1"/>
              </w:rPr>
              <w:t>AWB B</w:t>
            </w:r>
            <w:r>
              <w:rPr>
                <w:rFonts w:hint="eastAsia" w:ascii="仿宋_GB2312" w:hAnsi="宋体" w:cs="宋体"/>
                <w:color w:val="000000" w:themeColor="text1"/>
              </w:rPr>
              <w:t>、</w:t>
            </w:r>
            <w:r>
              <w:rPr>
                <w:rFonts w:hint="eastAsia" w:eastAsia="等线" w:cs="宋体"/>
                <w:color w:val="000000" w:themeColor="text1"/>
              </w:rPr>
              <w:t>ATW</w:t>
            </w:r>
            <w:r>
              <w:rPr>
                <w:rFonts w:hint="eastAsia" w:ascii="仿宋_GB2312" w:hAnsi="宋体" w:cs="宋体"/>
                <w:color w:val="000000" w:themeColor="text1"/>
              </w:rPr>
              <w:t>、</w:t>
            </w:r>
            <w:r>
              <w:rPr>
                <w:rFonts w:hint="eastAsia" w:eastAsia="等线" w:cs="宋体"/>
                <w:color w:val="000000" w:themeColor="text1"/>
              </w:rPr>
              <w:t>3200K</w:t>
            </w:r>
            <w:r>
              <w:rPr>
                <w:rFonts w:hint="eastAsia" w:ascii="仿宋_GB2312" w:hAnsi="宋体" w:cs="宋体"/>
                <w:color w:val="000000" w:themeColor="text1"/>
              </w:rPr>
              <w:t>、</w:t>
            </w:r>
            <w:r>
              <w:rPr>
                <w:rFonts w:hint="eastAsia" w:eastAsia="等线" w:cs="宋体"/>
                <w:color w:val="000000" w:themeColor="text1"/>
              </w:rPr>
              <w:t>5600K</w:t>
            </w:r>
            <w:r>
              <w:rPr>
                <w:rFonts w:hint="eastAsia" w:ascii="仿宋_GB2312" w:hAnsi="宋体" w:cs="宋体"/>
                <w:color w:val="000000" w:themeColor="text1"/>
              </w:rPr>
              <w:t>、</w:t>
            </w:r>
            <w:r>
              <w:rPr>
                <w:rFonts w:hint="eastAsia" w:eastAsia="等线" w:cs="宋体"/>
                <w:color w:val="000000" w:themeColor="text1"/>
              </w:rPr>
              <w:t>VAR</w:t>
            </w:r>
            <w:r>
              <w:rPr>
                <w:rFonts w:hint="eastAsia" w:ascii="仿宋_GB2312" w:hAnsi="宋体" w:cs="宋体"/>
                <w:color w:val="000000" w:themeColor="text1"/>
              </w:rPr>
              <w:t>（</w:t>
            </w:r>
            <w:r>
              <w:rPr>
                <w:rFonts w:hint="eastAsia" w:eastAsia="等线" w:cs="宋体"/>
                <w:color w:val="000000" w:themeColor="text1"/>
              </w:rPr>
              <w:t>2400K</w:t>
            </w:r>
            <w:r>
              <w:rPr>
                <w:rFonts w:hint="eastAsia" w:ascii="仿宋_GB2312" w:hAnsi="宋体" w:cs="宋体"/>
                <w:color w:val="000000" w:themeColor="text1"/>
              </w:rPr>
              <w:t>至</w:t>
            </w:r>
            <w:r>
              <w:rPr>
                <w:rFonts w:hint="eastAsia" w:eastAsia="等线" w:cs="宋体"/>
                <w:color w:val="000000" w:themeColor="text1"/>
              </w:rPr>
              <w:t>9900K</w:t>
            </w:r>
            <w:r>
              <w:rPr>
                <w:rFonts w:hint="eastAsia" w:ascii="仿宋_GB2312" w:hAnsi="宋体" w:cs="宋体"/>
                <w:color w:val="000000" w:themeColor="text1"/>
              </w:rPr>
              <w:t>）；色调量可调性</w:t>
            </w:r>
            <w:r>
              <w:rPr>
                <w:rFonts w:hint="eastAsia" w:eastAsia="等线" w:cs="宋体"/>
                <w:color w:val="000000" w:themeColor="text1"/>
              </w:rPr>
              <w:t xml:space="preserve"> ±3</w:t>
            </w:r>
            <w:r>
              <w:rPr>
                <w:rFonts w:hint="eastAsia" w:ascii="仿宋_GB2312" w:hAnsi="宋体" w:cs="宋体"/>
                <w:color w:val="000000" w:themeColor="text1"/>
              </w:rPr>
              <w:t>步进；场景模式全自动、手动</w:t>
            </w:r>
            <w:r>
              <w:rPr>
                <w:rFonts w:hint="eastAsia" w:eastAsia="等线" w:cs="宋体"/>
                <w:color w:val="000000" w:themeColor="text1"/>
              </w:rPr>
              <w:t>1</w:t>
            </w:r>
            <w:r>
              <w:rPr>
                <w:rFonts w:hint="eastAsia" w:ascii="仿宋_GB2312" w:hAnsi="宋体" w:cs="宋体"/>
                <w:color w:val="000000" w:themeColor="text1"/>
              </w:rPr>
              <w:t>、手动</w:t>
            </w:r>
            <w:r>
              <w:rPr>
                <w:rFonts w:hint="eastAsia" w:eastAsia="等线" w:cs="宋体"/>
                <w:color w:val="000000" w:themeColor="text1"/>
              </w:rPr>
              <w:t>2</w:t>
            </w:r>
            <w:r>
              <w:rPr>
                <w:rFonts w:hint="eastAsia" w:ascii="仿宋_GB2312" w:hAnsi="宋体" w:cs="宋体"/>
                <w:color w:val="000000" w:themeColor="text1"/>
              </w:rPr>
              <w:t>、手动</w:t>
            </w:r>
            <w:r>
              <w:rPr>
                <w:rFonts w:hint="eastAsia" w:eastAsia="等线" w:cs="宋体"/>
                <w:color w:val="000000" w:themeColor="text1"/>
              </w:rPr>
              <w:t>3</w:t>
            </w:r>
            <w:r>
              <w:rPr>
                <w:rFonts w:hint="eastAsia" w:ascii="仿宋_GB2312" w:hAnsi="宋体" w:cs="宋体"/>
                <w:color w:val="000000" w:themeColor="text1"/>
              </w:rPr>
              <w:t>；输出格式</w:t>
            </w:r>
            <w:r>
              <w:rPr>
                <w:rFonts w:hint="eastAsia" w:eastAsia="等线" w:cs="宋体"/>
                <w:color w:val="000000" w:themeColor="text1"/>
              </w:rPr>
              <w:t>1080/59.94p/50p/29.97p/25p</w:t>
            </w:r>
            <w:r>
              <w:rPr>
                <w:rFonts w:hint="eastAsia" w:ascii="仿宋_GB2312" w:hAnsi="宋体" w:cs="宋体"/>
                <w:color w:val="000000" w:themeColor="text1"/>
              </w:rPr>
              <w:t>、</w:t>
            </w:r>
            <w:r>
              <w:rPr>
                <w:rFonts w:hint="eastAsia" w:eastAsia="等线" w:cs="宋体"/>
                <w:color w:val="000000" w:themeColor="text1"/>
              </w:rPr>
              <w:t>9.94i/50i/29.97PsF/25PsF   720/59.94p/50p</w:t>
            </w:r>
            <w:r>
              <w:rPr>
                <w:rFonts w:hint="eastAsia" w:ascii="仿宋_GB2312" w:hAnsi="宋体" w:cs="宋体"/>
                <w:color w:val="000000" w:themeColor="text1"/>
              </w:rPr>
              <w:t>；</w:t>
            </w:r>
          </w:p>
        </w:tc>
        <w:tc>
          <w:tcPr>
            <w:tcW w:w="775"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w:t>
            </w:r>
          </w:p>
        </w:tc>
        <w:tc>
          <w:tcPr>
            <w:tcW w:w="456" w:type="dxa"/>
            <w:vMerge w:val="restart"/>
            <w:tcBorders>
              <w:top w:val="nil"/>
              <w:left w:val="single" w:color="auto" w:sz="8" w:space="0"/>
              <w:bottom w:val="single" w:color="000000"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同步内部同步；视频输出</w:t>
            </w:r>
            <w:r>
              <w:rPr>
                <w:rFonts w:hint="eastAsia" w:eastAsia="等线" w:cs="宋体"/>
                <w:color w:val="000000" w:themeColor="text1"/>
              </w:rPr>
              <w:t xml:space="preserve">  HDMI</w:t>
            </w:r>
            <w:r>
              <w:rPr>
                <w:rFonts w:hint="eastAsia" w:ascii="仿宋_GB2312" w:hAnsi="宋体" w:cs="宋体"/>
                <w:color w:val="000000" w:themeColor="text1"/>
              </w:rPr>
              <w:t>；音频输入</w:t>
            </w:r>
            <w:r>
              <w:rPr>
                <w:rFonts w:hint="eastAsia" w:eastAsia="等线" w:cs="宋体"/>
                <w:color w:val="000000" w:themeColor="text1"/>
              </w:rPr>
              <w:t xml:space="preserve"> Φ3.5mm</w:t>
            </w:r>
            <w:r>
              <w:rPr>
                <w:rFonts w:hint="eastAsia" w:ascii="仿宋_GB2312" w:hAnsi="宋体" w:cs="宋体"/>
                <w:color w:val="000000" w:themeColor="text1"/>
              </w:rPr>
              <w:t>立体声迷你插孔输入阻抗：约</w:t>
            </w:r>
            <w:r>
              <w:rPr>
                <w:rFonts w:hint="eastAsia" w:eastAsia="等线" w:cs="宋体"/>
                <w:color w:val="000000" w:themeColor="text1"/>
              </w:rPr>
              <w:t>2kΩ</w:t>
            </w:r>
            <w:r>
              <w:rPr>
                <w:rFonts w:hint="eastAsia" w:ascii="仿宋_GB2312" w:hAnsi="宋体" w:cs="宋体"/>
                <w:color w:val="000000" w:themeColor="text1"/>
              </w:rPr>
              <w:t>（高阻抗）；输入</w:t>
            </w:r>
            <w:r>
              <w:rPr>
                <w:rFonts w:hint="eastAsia" w:eastAsia="等线" w:cs="宋体"/>
                <w:color w:val="000000" w:themeColor="text1"/>
              </w:rPr>
              <w:t>/</w:t>
            </w:r>
            <w:r>
              <w:rPr>
                <w:rFonts w:hint="eastAsia" w:ascii="仿宋_GB2312" w:hAnsi="宋体" w:cs="宋体"/>
                <w:color w:val="000000" w:themeColor="text1"/>
              </w:rPr>
              <w:t>输出接口</w:t>
            </w:r>
            <w:r>
              <w:rPr>
                <w:rFonts w:hint="eastAsia" w:eastAsia="等线" w:cs="宋体"/>
                <w:color w:val="000000" w:themeColor="text1"/>
              </w:rPr>
              <w:t xml:space="preserve"> LAN</w:t>
            </w:r>
            <w:r>
              <w:rPr>
                <w:rFonts w:hint="eastAsia" w:ascii="仿宋_GB2312" w:hAnsi="宋体" w:cs="宋体"/>
                <w:color w:val="000000" w:themeColor="text1"/>
              </w:rPr>
              <w:t>（用于</w:t>
            </w:r>
            <w:r>
              <w:rPr>
                <w:rFonts w:hint="eastAsia" w:eastAsia="等线" w:cs="宋体"/>
                <w:color w:val="000000" w:themeColor="text1"/>
              </w:rPr>
              <w:t>IP</w:t>
            </w:r>
            <w:r>
              <w:rPr>
                <w:rFonts w:hint="eastAsia" w:ascii="仿宋_GB2312" w:hAnsi="宋体" w:cs="宋体"/>
                <w:color w:val="000000" w:themeColor="text1"/>
              </w:rPr>
              <w:t>控制）、</w:t>
            </w:r>
            <w:r>
              <w:rPr>
                <w:rFonts w:hint="eastAsia" w:eastAsia="等线" w:cs="宋体"/>
                <w:color w:val="000000" w:themeColor="text1"/>
              </w:rPr>
              <w:t>RS-232C</w:t>
            </w:r>
            <w:r>
              <w:rPr>
                <w:rFonts w:hint="eastAsia" w:ascii="仿宋_GB2312" w:hAnsi="宋体" w:cs="宋体"/>
                <w:color w:val="000000" w:themeColor="text1"/>
              </w:rPr>
              <w:t>（</w:t>
            </w:r>
            <w:r>
              <w:rPr>
                <w:rFonts w:hint="eastAsia" w:eastAsia="等线" w:cs="宋体"/>
                <w:color w:val="000000" w:themeColor="text1"/>
              </w:rPr>
              <w:t>IN OUT</w:t>
            </w:r>
            <w:r>
              <w:rPr>
                <w:rFonts w:hint="eastAsia" w:ascii="仿宋_GB2312" w:hAnsi="宋体" w:cs="宋体"/>
                <w:color w:val="000000" w:themeColor="text1"/>
              </w:rPr>
              <w:t>）、</w:t>
            </w:r>
            <w:r>
              <w:rPr>
                <w:rFonts w:hint="eastAsia" w:eastAsia="等线" w:cs="宋体"/>
                <w:color w:val="000000" w:themeColor="text1"/>
              </w:rPr>
              <w:t>RS-422</w:t>
            </w:r>
            <w:r>
              <w:rPr>
                <w:rFonts w:hint="eastAsia" w:ascii="仿宋_GB2312" w:hAnsi="宋体" w:cs="宋体"/>
                <w:color w:val="000000" w:themeColor="text1"/>
              </w:rPr>
              <w:t>、</w:t>
            </w:r>
            <w:r>
              <w:rPr>
                <w:rFonts w:hint="eastAsia" w:eastAsia="等线" w:cs="宋体"/>
                <w:color w:val="000000" w:themeColor="text1"/>
              </w:rPr>
              <w:t>USB</w:t>
            </w:r>
            <w:r>
              <w:rPr>
                <w:rFonts w:hint="eastAsia" w:ascii="仿宋_GB2312" w:hAnsi="宋体" w:cs="宋体"/>
                <w:color w:val="000000" w:themeColor="text1"/>
              </w:rPr>
              <w:t>、</w:t>
            </w:r>
            <w:r>
              <w:rPr>
                <w:rFonts w:hint="eastAsia" w:eastAsia="等线" w:cs="宋体"/>
                <w:color w:val="000000" w:themeColor="text1"/>
              </w:rPr>
              <w:t>micro SD</w:t>
            </w:r>
            <w:r>
              <w:rPr>
                <w:rFonts w:hint="eastAsia" w:ascii="仿宋_GB2312" w:hAnsi="宋体" w:cs="宋体"/>
                <w:color w:val="000000" w:themeColor="text1"/>
              </w:rPr>
              <w:t>存储卡槽；</w:t>
            </w:r>
            <w:r>
              <w:rPr>
                <w:rFonts w:hint="eastAsia" w:eastAsia="等线" w:cs="宋体"/>
                <w:color w:val="000000" w:themeColor="text1"/>
              </w:rPr>
              <w:t>SD</w:t>
            </w:r>
            <w:r>
              <w:rPr>
                <w:rFonts w:hint="eastAsia" w:ascii="仿宋_GB2312" w:hAnsi="宋体" w:cs="宋体"/>
                <w:color w:val="000000" w:themeColor="text1"/>
              </w:rPr>
              <w:t>卡类型</w:t>
            </w:r>
            <w:r>
              <w:rPr>
                <w:rFonts w:hint="eastAsia" w:eastAsia="等线" w:cs="宋体"/>
                <w:color w:val="000000" w:themeColor="text1"/>
              </w:rPr>
              <w:t xml:space="preserve"> micro SDHC</w:t>
            </w:r>
            <w:r>
              <w:rPr>
                <w:rFonts w:hint="eastAsia" w:ascii="仿宋_GB2312" w:hAnsi="宋体" w:cs="宋体"/>
                <w:color w:val="000000" w:themeColor="text1"/>
              </w:rPr>
              <w:t>（</w:t>
            </w:r>
            <w:r>
              <w:rPr>
                <w:rFonts w:hint="eastAsia" w:eastAsia="等线" w:cs="宋体"/>
                <w:color w:val="000000" w:themeColor="text1"/>
              </w:rPr>
              <w:t>4G/32G</w:t>
            </w:r>
            <w:r>
              <w:rPr>
                <w:rFonts w:hint="eastAsia" w:ascii="仿宋_GB2312" w:hAnsi="宋体" w:cs="宋体"/>
                <w:color w:val="000000" w:themeColor="text1"/>
              </w:rPr>
              <w:t>），</w:t>
            </w:r>
            <w:r>
              <w:rPr>
                <w:rFonts w:hint="eastAsia" w:eastAsia="等线" w:cs="宋体"/>
                <w:color w:val="000000" w:themeColor="text1"/>
              </w:rPr>
              <w:t>micro SDXC</w:t>
            </w:r>
            <w:r>
              <w:rPr>
                <w:rFonts w:hint="eastAsia" w:ascii="仿宋_GB2312" w:hAnsi="宋体" w:cs="宋体"/>
                <w:color w:val="000000" w:themeColor="text1"/>
              </w:rPr>
              <w:t>（</w:t>
            </w:r>
            <w:r>
              <w:rPr>
                <w:rFonts w:hint="eastAsia" w:eastAsia="等线" w:cs="宋体"/>
                <w:color w:val="000000" w:themeColor="text1"/>
              </w:rPr>
              <w:t>64G/128G</w:t>
            </w:r>
            <w:r>
              <w:rPr>
                <w:rFonts w:hint="eastAsia" w:ascii="仿宋_GB2312" w:hAnsi="宋体" w:cs="宋体"/>
                <w:color w:val="000000" w:themeColor="text1"/>
              </w:rPr>
              <w:t>），速度为</w:t>
            </w:r>
            <w:r>
              <w:rPr>
                <w:rFonts w:hint="eastAsia" w:eastAsia="等线" w:cs="宋体"/>
                <w:color w:val="000000" w:themeColor="text1"/>
              </w:rPr>
              <w:t>10</w:t>
            </w:r>
            <w:r>
              <w:rPr>
                <w:rFonts w:hint="eastAsia" w:ascii="仿宋_GB2312" w:hAnsi="宋体" w:cs="宋体"/>
                <w:color w:val="000000" w:themeColor="text1"/>
              </w:rPr>
              <w:t>级或更高；</w:t>
            </w:r>
            <w:r>
              <w:rPr>
                <w:rFonts w:hint="eastAsia" w:eastAsia="等线" w:cs="宋体"/>
                <w:color w:val="000000" w:themeColor="text1"/>
              </w:rPr>
              <w:t>USB</w:t>
            </w:r>
            <w:r>
              <w:rPr>
                <w:rFonts w:hint="eastAsia" w:ascii="仿宋_GB2312" w:hAnsi="宋体" w:cs="宋体"/>
                <w:color w:val="000000" w:themeColor="text1"/>
              </w:rPr>
              <w:t>视频输出</w:t>
            </w:r>
            <w:r>
              <w:rPr>
                <w:rFonts w:hint="eastAsia" w:eastAsia="等线" w:cs="宋体"/>
                <w:color w:val="000000" w:themeColor="text1"/>
              </w:rPr>
              <w:t xml:space="preserve"> USB</w:t>
            </w:r>
            <w:r>
              <w:rPr>
                <w:rFonts w:hint="eastAsia" w:ascii="仿宋_GB2312" w:hAnsi="宋体" w:cs="宋体"/>
                <w:color w:val="000000" w:themeColor="text1"/>
              </w:rPr>
              <w:t>视频类型</w:t>
            </w:r>
            <w:r>
              <w:rPr>
                <w:rFonts w:hint="eastAsia" w:eastAsia="等线" w:cs="宋体"/>
                <w:color w:val="000000" w:themeColor="text1"/>
              </w:rPr>
              <w:t xml:space="preserve"> ver1.0</w:t>
            </w:r>
            <w:r>
              <w:rPr>
                <w:rFonts w:hint="eastAsia" w:ascii="仿宋_GB2312" w:hAnsi="宋体" w:cs="宋体"/>
                <w:color w:val="000000" w:themeColor="text1"/>
              </w:rPr>
              <w:t>；视频压缩格式</w:t>
            </w:r>
            <w:r>
              <w:rPr>
                <w:rFonts w:hint="eastAsia" w:eastAsia="等线" w:cs="宋体"/>
                <w:color w:val="000000" w:themeColor="text1"/>
              </w:rPr>
              <w:t xml:space="preserve"> JPEG</w:t>
            </w:r>
            <w:r>
              <w:rPr>
                <w:rFonts w:hint="eastAsia" w:ascii="仿宋_GB2312" w:hAnsi="宋体" w:cs="宋体"/>
                <w:color w:val="000000" w:themeColor="text1"/>
              </w:rPr>
              <w:t>格式；</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分辨率</w:t>
            </w:r>
            <w:r>
              <w:rPr>
                <w:rFonts w:hint="eastAsia" w:eastAsia="等线" w:cs="宋体"/>
                <w:color w:val="000000" w:themeColor="text1"/>
              </w:rPr>
              <w:t xml:space="preserve"> 1920×1080</w:t>
            </w:r>
            <w:r>
              <w:rPr>
                <w:rFonts w:hint="eastAsia" w:ascii="仿宋_GB2312" w:hAnsi="宋体" w:cs="宋体"/>
                <w:color w:val="000000" w:themeColor="text1"/>
              </w:rPr>
              <w:t>、</w:t>
            </w:r>
            <w:r>
              <w:rPr>
                <w:rFonts w:hint="eastAsia" w:eastAsia="等线" w:cs="宋体"/>
                <w:color w:val="000000" w:themeColor="text1"/>
              </w:rPr>
              <w:t>1280×720</w:t>
            </w:r>
            <w:r>
              <w:rPr>
                <w:rFonts w:hint="eastAsia" w:ascii="仿宋_GB2312" w:hAnsi="宋体" w:cs="宋体"/>
                <w:color w:val="000000" w:themeColor="text1"/>
              </w:rPr>
              <w:t>、</w:t>
            </w:r>
            <w:r>
              <w:rPr>
                <w:rFonts w:hint="eastAsia" w:eastAsia="等线" w:cs="宋体"/>
                <w:color w:val="000000" w:themeColor="text1"/>
              </w:rPr>
              <w:t>640×360</w:t>
            </w:r>
            <w:r>
              <w:rPr>
                <w:rFonts w:hint="eastAsia" w:ascii="仿宋_GB2312" w:hAnsi="宋体" w:cs="宋体"/>
                <w:color w:val="000000" w:themeColor="text1"/>
              </w:rPr>
              <w:t>；云台旋转范围水平：</w:t>
            </w:r>
            <w:r>
              <w:rPr>
                <w:rFonts w:hint="eastAsia" w:eastAsia="等线" w:cs="宋体"/>
                <w:color w:val="000000" w:themeColor="text1"/>
              </w:rPr>
              <w:t>±175°</w:t>
            </w:r>
            <w:r>
              <w:rPr>
                <w:rFonts w:hint="eastAsia" w:ascii="仿宋_GB2312" w:hAnsi="宋体" w:cs="宋体"/>
                <w:color w:val="000000" w:themeColor="text1"/>
              </w:rPr>
              <w:t>；俯仰：</w:t>
            </w:r>
            <w:r>
              <w:rPr>
                <w:rFonts w:hint="eastAsia" w:eastAsia="等线" w:cs="宋体"/>
                <w:color w:val="000000" w:themeColor="text1"/>
              </w:rPr>
              <w:t>-30°</w:t>
            </w:r>
            <w:r>
              <w:rPr>
                <w:rFonts w:hint="eastAsia" w:ascii="仿宋_GB2312" w:hAnsi="宋体" w:cs="宋体"/>
                <w:color w:val="000000" w:themeColor="text1"/>
              </w:rPr>
              <w:t>～</w:t>
            </w:r>
            <w:r>
              <w:rPr>
                <w:rFonts w:hint="eastAsia" w:eastAsia="等线" w:cs="宋体"/>
                <w:color w:val="000000" w:themeColor="text1"/>
              </w:rPr>
              <w:t>+90°</w:t>
            </w:r>
            <w:r>
              <w:rPr>
                <w:rFonts w:hint="eastAsia" w:ascii="仿宋_GB2312" w:hAnsi="宋体" w:cs="宋体"/>
                <w:color w:val="000000" w:themeColor="text1"/>
              </w:rPr>
              <w:t>；云台旋转速度调用预置位时</w:t>
            </w:r>
            <w:r>
              <w:rPr>
                <w:rFonts w:hint="eastAsia" w:eastAsia="等线" w:cs="宋体"/>
                <w:color w:val="000000" w:themeColor="text1"/>
              </w:rPr>
              <w:t xml:space="preserve">: 300°/s </w:t>
            </w:r>
            <w:r>
              <w:rPr>
                <w:rFonts w:hint="eastAsia" w:ascii="仿宋_GB2312" w:hAnsi="宋体" w:cs="宋体"/>
                <w:color w:val="000000" w:themeColor="text1"/>
              </w:rPr>
              <w:t>最高速度</w:t>
            </w:r>
            <w:r>
              <w:rPr>
                <w:rFonts w:hint="eastAsia" w:eastAsia="等线" w:cs="宋体"/>
                <w:color w:val="000000" w:themeColor="text1"/>
              </w:rPr>
              <w:t>: 90°/s</w:t>
            </w:r>
            <w:r>
              <w:rPr>
                <w:rFonts w:hint="eastAsia" w:ascii="仿宋_GB2312" w:hAnsi="宋体" w:cs="宋体"/>
                <w:color w:val="000000" w:themeColor="text1"/>
              </w:rPr>
              <w:t>；安装方式桌面安装或吊装；</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10</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视联网视频指挥系统</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视频会议</w:t>
            </w:r>
            <w:r>
              <w:rPr>
                <w:rFonts w:hint="eastAsia" w:eastAsia="等线" w:cs="宋体"/>
                <w:color w:val="000000" w:themeColor="text1"/>
              </w:rPr>
              <w:t>5</w:t>
            </w:r>
            <w:r>
              <w:rPr>
                <w:rFonts w:hint="eastAsia" w:ascii="仿宋_GB2312" w:hAnsi="宋体" w:cs="宋体"/>
                <w:color w:val="000000" w:themeColor="text1"/>
              </w:rPr>
              <w:t>年租赁及运维服务，与政务系统视频会议无缝衔接</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11</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配套附件</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音响线、音频头、卡农头等等</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8426" w:type="dxa"/>
            <w:gridSpan w:val="6"/>
            <w:tcBorders>
              <w:top w:val="single" w:color="auto" w:sz="8" w:space="0"/>
              <w:left w:val="single" w:color="auto" w:sz="8" w:space="0"/>
              <w:bottom w:val="single" w:color="auto" w:sz="8" w:space="0"/>
              <w:right w:val="nil"/>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四、中控系统</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1176"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中控系统</w:t>
            </w: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会议中控监控软件</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采用标准的</w:t>
            </w:r>
            <w:r>
              <w:rPr>
                <w:rFonts w:hint="eastAsia" w:eastAsia="等线" w:cs="宋体"/>
                <w:color w:val="000000" w:themeColor="text1"/>
              </w:rPr>
              <w:t>TCP/IP</w:t>
            </w:r>
            <w:r>
              <w:rPr>
                <w:rFonts w:hint="eastAsia" w:ascii="仿宋_GB2312" w:hAnsi="宋体" w:cs="宋体"/>
                <w:color w:val="000000" w:themeColor="text1"/>
              </w:rPr>
              <w:t>以太网构成局域网</w:t>
            </w:r>
            <w:r>
              <w:rPr>
                <w:rFonts w:hint="eastAsia" w:eastAsia="等线" w:cs="宋体"/>
                <w:color w:val="000000" w:themeColor="text1"/>
              </w:rPr>
              <w:t>,</w:t>
            </w:r>
            <w:r>
              <w:rPr>
                <w:rFonts w:hint="eastAsia" w:ascii="仿宋_GB2312" w:hAnsi="宋体" w:cs="宋体"/>
                <w:color w:val="000000" w:themeColor="text1"/>
              </w:rPr>
              <w:t>通过以太网及相应的通讯接口实现中央站、控制器、及</w:t>
            </w:r>
            <w:r>
              <w:rPr>
                <w:rFonts w:hint="eastAsia" w:eastAsia="等线" w:cs="宋体"/>
                <w:color w:val="000000" w:themeColor="text1"/>
              </w:rPr>
              <w:t>I/O</w:t>
            </w:r>
            <w:r>
              <w:rPr>
                <w:rFonts w:hint="eastAsia" w:ascii="仿宋_GB2312" w:hAnsi="宋体" w:cs="宋体"/>
                <w:color w:val="000000" w:themeColor="text1"/>
              </w:rPr>
              <w:t>模块数据通信、资源共享和综合管理功能。图形监控软件</w:t>
            </w:r>
            <w:r>
              <w:rPr>
                <w:rFonts w:hint="eastAsia" w:eastAsia="等线" w:cs="宋体"/>
                <w:color w:val="000000" w:themeColor="text1"/>
              </w:rPr>
              <w:t>,</w:t>
            </w:r>
            <w:r>
              <w:rPr>
                <w:rFonts w:hint="eastAsia" w:ascii="仿宋_GB2312" w:hAnsi="宋体" w:cs="宋体"/>
                <w:color w:val="000000" w:themeColor="text1"/>
              </w:rPr>
              <w:t>支持</w:t>
            </w:r>
            <w:r>
              <w:rPr>
                <w:rFonts w:hint="eastAsia" w:eastAsia="等线" w:cs="宋体"/>
                <w:color w:val="000000" w:themeColor="text1"/>
              </w:rPr>
              <w:t>windows7</w:t>
            </w:r>
            <w:r>
              <w:rPr>
                <w:rFonts w:hint="eastAsia" w:ascii="仿宋_GB2312" w:hAnsi="宋体" w:cs="宋体"/>
                <w:color w:val="000000" w:themeColor="text1"/>
              </w:rPr>
              <w:t>等操作系统</w:t>
            </w:r>
            <w:r>
              <w:rPr>
                <w:rFonts w:hint="eastAsia" w:eastAsia="等线" w:cs="宋体"/>
                <w:color w:val="000000" w:themeColor="text1"/>
              </w:rPr>
              <w:t>,</w:t>
            </w:r>
            <w:r>
              <w:rPr>
                <w:rFonts w:hint="eastAsia" w:ascii="仿宋_GB2312" w:hAnsi="宋体" w:cs="宋体"/>
                <w:color w:val="000000" w:themeColor="text1"/>
              </w:rPr>
              <w:t>页面中文化显示</w:t>
            </w:r>
            <w:r>
              <w:rPr>
                <w:rFonts w:hint="eastAsia" w:eastAsia="等线" w:cs="宋体"/>
                <w:color w:val="000000" w:themeColor="text1"/>
              </w:rPr>
              <w:t>,</w:t>
            </w:r>
            <w:r>
              <w:rPr>
                <w:rFonts w:hint="eastAsia" w:ascii="仿宋_GB2312" w:hAnsi="宋体" w:cs="宋体"/>
                <w:color w:val="000000" w:themeColor="text1"/>
              </w:rPr>
              <w:t>日历时间表设置</w:t>
            </w:r>
            <w:r>
              <w:rPr>
                <w:rFonts w:hint="eastAsia" w:eastAsia="等线" w:cs="宋体"/>
                <w:color w:val="000000" w:themeColor="text1"/>
              </w:rPr>
              <w:t>,</w:t>
            </w:r>
            <w:r>
              <w:rPr>
                <w:rFonts w:hint="eastAsia" w:ascii="仿宋_GB2312" w:hAnsi="宋体" w:cs="宋体"/>
                <w:color w:val="000000" w:themeColor="text1"/>
              </w:rPr>
              <w:t>可</w:t>
            </w:r>
            <w:r>
              <w:rPr>
                <w:rFonts w:hint="eastAsia" w:eastAsia="等线" w:cs="宋体"/>
                <w:color w:val="000000" w:themeColor="text1"/>
              </w:rPr>
              <w:t>24</w:t>
            </w:r>
            <w:r>
              <w:rPr>
                <w:rFonts w:hint="eastAsia" w:ascii="仿宋_GB2312" w:hAnsi="宋体" w:cs="宋体"/>
                <w:color w:val="000000" w:themeColor="text1"/>
              </w:rPr>
              <w:t>位彩色</w:t>
            </w:r>
            <w:r>
              <w:rPr>
                <w:rFonts w:hint="eastAsia" w:eastAsia="等线" w:cs="宋体"/>
                <w:color w:val="000000" w:themeColor="text1"/>
              </w:rPr>
              <w:t>3D</w:t>
            </w:r>
            <w:r>
              <w:rPr>
                <w:rFonts w:hint="eastAsia" w:ascii="仿宋_GB2312" w:hAnsi="宋体" w:cs="宋体"/>
                <w:color w:val="000000" w:themeColor="text1"/>
              </w:rPr>
              <w:t>图像界面来操作</w:t>
            </w:r>
            <w:r>
              <w:rPr>
                <w:rFonts w:hint="eastAsia" w:eastAsia="等线" w:cs="宋体"/>
                <w:color w:val="000000" w:themeColor="text1"/>
              </w:rPr>
              <w:t>,</w:t>
            </w:r>
            <w:r>
              <w:rPr>
                <w:rFonts w:hint="eastAsia" w:ascii="仿宋_GB2312" w:hAnsi="宋体" w:cs="宋体"/>
                <w:color w:val="000000" w:themeColor="text1"/>
              </w:rPr>
              <w:t>显示</w:t>
            </w:r>
            <w:r>
              <w:rPr>
                <w:rFonts w:hint="eastAsia" w:eastAsia="等线" w:cs="宋体"/>
                <w:color w:val="000000" w:themeColor="text1"/>
              </w:rPr>
              <w:t>/</w:t>
            </w:r>
            <w:r>
              <w:rPr>
                <w:rFonts w:hint="eastAsia" w:ascii="仿宋_GB2312" w:hAnsi="宋体" w:cs="宋体"/>
                <w:color w:val="000000" w:themeColor="text1"/>
              </w:rPr>
              <w:t>储存设备过载</w:t>
            </w:r>
            <w:r>
              <w:rPr>
                <w:rFonts w:hint="eastAsia" w:eastAsia="等线" w:cs="宋体"/>
                <w:color w:val="000000" w:themeColor="text1"/>
              </w:rPr>
              <w:t>/</w:t>
            </w:r>
            <w:r>
              <w:rPr>
                <w:rFonts w:hint="eastAsia" w:ascii="仿宋_GB2312" w:hAnsi="宋体" w:cs="宋体"/>
                <w:color w:val="000000" w:themeColor="text1"/>
              </w:rPr>
              <w:t>故障等各种报警信息</w:t>
            </w:r>
            <w:r>
              <w:rPr>
                <w:rFonts w:hint="eastAsia" w:eastAsia="等线" w:cs="宋体"/>
                <w:color w:val="000000" w:themeColor="text1"/>
              </w:rPr>
              <w:t>,</w:t>
            </w:r>
            <w:r>
              <w:rPr>
                <w:rFonts w:hint="eastAsia" w:ascii="仿宋_GB2312" w:hAnsi="宋体" w:cs="宋体"/>
                <w:color w:val="000000" w:themeColor="text1"/>
              </w:rPr>
              <w:t>自动启动跳跃报警面板及联动动画系统图</w:t>
            </w:r>
            <w:r>
              <w:rPr>
                <w:rFonts w:hint="eastAsia" w:eastAsia="等线" w:cs="宋体"/>
                <w:color w:val="000000" w:themeColor="text1"/>
              </w:rPr>
              <w:t>,</w:t>
            </w:r>
            <w:r>
              <w:rPr>
                <w:rFonts w:hint="eastAsia" w:ascii="仿宋_GB2312" w:hAnsi="宋体" w:cs="宋体"/>
                <w:color w:val="000000" w:themeColor="text1"/>
              </w:rPr>
              <w:t>使用多级密码管理。</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第三方接口</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会议摄像头云台控制</w:t>
            </w:r>
            <w:r>
              <w:rPr>
                <w:rFonts w:hint="eastAsia" w:eastAsia="等线" w:cs="宋体"/>
                <w:color w:val="000000" w:themeColor="text1"/>
              </w:rPr>
              <w:t>3</w:t>
            </w:r>
            <w:r>
              <w:rPr>
                <w:rFonts w:hint="eastAsia" w:ascii="仿宋_GB2312" w:hAnsi="宋体" w:cs="宋体"/>
                <w:color w:val="000000" w:themeColor="text1"/>
              </w:rPr>
              <w:t>个</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3</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第三方接口</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会议话筒联动</w:t>
            </w:r>
            <w:r>
              <w:rPr>
                <w:rFonts w:hint="eastAsia" w:eastAsia="等线" w:cs="宋体"/>
                <w:color w:val="000000" w:themeColor="text1"/>
              </w:rPr>
              <w:t>1</w:t>
            </w:r>
            <w:r>
              <w:rPr>
                <w:rFonts w:hint="eastAsia" w:ascii="仿宋_GB2312" w:hAnsi="宋体" w:cs="宋体"/>
                <w:color w:val="000000" w:themeColor="text1"/>
              </w:rPr>
              <w:t>套</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4</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4</w:t>
            </w:r>
            <w:r>
              <w:rPr>
                <w:rFonts w:hint="eastAsia" w:ascii="仿宋_GB2312" w:cs="宋体"/>
                <w:color w:val="000000" w:themeColor="text1"/>
              </w:rPr>
              <w:t>路串口扩展模块</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4</w:t>
            </w:r>
            <w:r>
              <w:rPr>
                <w:rFonts w:hint="eastAsia" w:ascii="仿宋_GB2312" w:cs="宋体"/>
                <w:color w:val="000000" w:themeColor="text1"/>
              </w:rPr>
              <w:t>口</w:t>
            </w:r>
            <w:r>
              <w:rPr>
                <w:rFonts w:hint="eastAsia" w:eastAsia="等线" w:cs="宋体"/>
                <w:color w:val="000000" w:themeColor="text1"/>
              </w:rPr>
              <w:t>RS232</w:t>
            </w:r>
            <w:r>
              <w:rPr>
                <w:rFonts w:hint="eastAsia" w:ascii="仿宋_GB2312" w:cs="宋体"/>
                <w:color w:val="000000" w:themeColor="text1"/>
              </w:rPr>
              <w:t>通讯模块</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3</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5</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墙装触摸屏</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7</w:t>
            </w:r>
            <w:r>
              <w:rPr>
                <w:rFonts w:hint="eastAsia" w:ascii="仿宋_GB2312" w:cs="宋体"/>
                <w:color w:val="000000" w:themeColor="text1"/>
              </w:rPr>
              <w:t>英寸宽屏格式墙装触摸屏；</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6</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墙装智能按键面板</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四键面板，可接各种类型的灯具负载</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6</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7</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控制主机</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2</w:t>
            </w:r>
            <w:r>
              <w:rPr>
                <w:rFonts w:hint="eastAsia" w:ascii="仿宋_GB2312" w:cs="宋体"/>
                <w:color w:val="000000" w:themeColor="text1"/>
              </w:rPr>
              <w:t>个内置的</w:t>
            </w:r>
            <w:r>
              <w:rPr>
                <w:rFonts w:hint="eastAsia" w:eastAsia="等线" w:cs="宋体"/>
                <w:color w:val="000000" w:themeColor="text1"/>
              </w:rPr>
              <w:t>COM</w:t>
            </w:r>
            <w:r>
              <w:rPr>
                <w:rFonts w:hint="eastAsia" w:ascii="仿宋_GB2312" w:cs="宋体"/>
                <w:color w:val="000000" w:themeColor="text1"/>
              </w:rPr>
              <w:t>端口、</w:t>
            </w:r>
            <w:r>
              <w:rPr>
                <w:rFonts w:hint="eastAsia" w:eastAsia="等线" w:cs="宋体"/>
                <w:color w:val="000000" w:themeColor="text1"/>
              </w:rPr>
              <w:t>4</w:t>
            </w:r>
            <w:r>
              <w:rPr>
                <w:rFonts w:hint="eastAsia" w:ascii="仿宋_GB2312" w:cs="宋体"/>
                <w:color w:val="000000" w:themeColor="text1"/>
              </w:rPr>
              <w:t>个红外</w:t>
            </w:r>
            <w:r>
              <w:rPr>
                <w:rFonts w:hint="eastAsia" w:eastAsia="等线" w:cs="宋体"/>
                <w:color w:val="000000" w:themeColor="text1"/>
              </w:rPr>
              <w:t>/</w:t>
            </w:r>
            <w:r>
              <w:rPr>
                <w:rFonts w:hint="eastAsia" w:ascii="仿宋_GB2312" w:cs="宋体"/>
                <w:color w:val="000000" w:themeColor="text1"/>
              </w:rPr>
              <w:t>串行输出端口；</w:t>
            </w:r>
            <w:r>
              <w:rPr>
                <w:rFonts w:hint="eastAsia" w:eastAsia="等线" w:cs="宋体"/>
                <w:color w:val="000000" w:themeColor="text1"/>
              </w:rPr>
              <w:t>4</w:t>
            </w:r>
            <w:r>
              <w:rPr>
                <w:rFonts w:hint="eastAsia" w:ascii="仿宋_GB2312" w:cs="宋体"/>
                <w:color w:val="000000" w:themeColor="text1"/>
              </w:rPr>
              <w:t>个</w:t>
            </w:r>
            <w:r>
              <w:rPr>
                <w:rFonts w:hint="eastAsia" w:eastAsia="等线" w:cs="宋体"/>
                <w:color w:val="000000" w:themeColor="text1"/>
              </w:rPr>
              <w:t>I/O</w:t>
            </w:r>
            <w:r>
              <w:rPr>
                <w:rFonts w:hint="eastAsia" w:ascii="仿宋_GB2312" w:cs="宋体"/>
                <w:color w:val="000000" w:themeColor="text1"/>
              </w:rPr>
              <w:t>多用端口；</w:t>
            </w:r>
            <w:r>
              <w:rPr>
                <w:rFonts w:hint="eastAsia" w:eastAsia="等线" w:cs="宋体"/>
                <w:color w:val="000000" w:themeColor="text1"/>
              </w:rPr>
              <w:t>4</w:t>
            </w:r>
            <w:r>
              <w:rPr>
                <w:rFonts w:hint="eastAsia" w:ascii="仿宋_GB2312" w:cs="宋体"/>
                <w:color w:val="000000" w:themeColor="text1"/>
              </w:rPr>
              <w:t>个绝缘继电器；</w:t>
            </w:r>
            <w:r>
              <w:rPr>
                <w:rFonts w:hint="eastAsia" w:eastAsia="等线" w:cs="宋体"/>
                <w:color w:val="000000" w:themeColor="text1"/>
              </w:rPr>
              <w:t>4</w:t>
            </w:r>
            <w:r>
              <w:rPr>
                <w:rFonts w:hint="eastAsia" w:ascii="仿宋_GB2312" w:cs="宋体"/>
                <w:color w:val="000000" w:themeColor="text1"/>
              </w:rPr>
              <w:t>个复合视频输入；</w:t>
            </w:r>
            <w:r>
              <w:rPr>
                <w:rFonts w:hint="eastAsia" w:eastAsia="等线" w:cs="宋体"/>
                <w:color w:val="000000" w:themeColor="text1"/>
              </w:rPr>
              <w:t>2</w:t>
            </w:r>
            <w:r>
              <w:rPr>
                <w:rFonts w:hint="eastAsia" w:ascii="仿宋_GB2312" w:cs="宋体"/>
                <w:color w:val="000000" w:themeColor="text1"/>
              </w:rPr>
              <w:t>个复合视频输出；</w:t>
            </w:r>
            <w:r>
              <w:rPr>
                <w:rFonts w:hint="eastAsia" w:eastAsia="等线" w:cs="宋体"/>
                <w:color w:val="000000" w:themeColor="text1"/>
              </w:rPr>
              <w:t>2</w:t>
            </w:r>
            <w:r>
              <w:rPr>
                <w:rFonts w:hint="eastAsia" w:ascii="仿宋_GB2312" w:cs="宋体"/>
                <w:color w:val="000000" w:themeColor="text1"/>
              </w:rPr>
              <w:t>个平衡麦克风输入；</w:t>
            </w:r>
            <w:r>
              <w:rPr>
                <w:rFonts w:hint="eastAsia" w:eastAsia="等线" w:cs="宋体"/>
                <w:color w:val="000000" w:themeColor="text1"/>
              </w:rPr>
              <w:t>5</w:t>
            </w:r>
            <w:r>
              <w:rPr>
                <w:rFonts w:hint="eastAsia" w:ascii="仿宋_GB2312" w:cs="宋体"/>
                <w:color w:val="000000" w:themeColor="text1"/>
              </w:rPr>
              <w:t>个非平衡性立体声线路级输入；</w:t>
            </w:r>
            <w:r>
              <w:rPr>
                <w:rFonts w:hint="eastAsia" w:eastAsia="等线" w:cs="宋体"/>
                <w:color w:val="000000" w:themeColor="text1"/>
              </w:rPr>
              <w:t>1</w:t>
            </w:r>
            <w:r>
              <w:rPr>
                <w:rFonts w:hint="eastAsia" w:ascii="仿宋_GB2312" w:cs="宋体"/>
                <w:color w:val="000000" w:themeColor="text1"/>
              </w:rPr>
              <w:t>个平衡</w:t>
            </w:r>
            <w:r>
              <w:rPr>
                <w:rFonts w:hint="eastAsia" w:eastAsia="等线" w:cs="宋体"/>
                <w:color w:val="000000" w:themeColor="text1"/>
              </w:rPr>
              <w:t>/</w:t>
            </w:r>
            <w:r>
              <w:rPr>
                <w:rFonts w:hint="eastAsia" w:ascii="仿宋_GB2312" w:cs="宋体"/>
                <w:color w:val="000000" w:themeColor="text1"/>
              </w:rPr>
              <w:t>非平衡立体声线路级输出；</w:t>
            </w:r>
            <w:r>
              <w:rPr>
                <w:rFonts w:hint="eastAsia" w:eastAsia="等线" w:cs="宋体"/>
                <w:color w:val="000000" w:themeColor="text1"/>
              </w:rPr>
              <w:t>10/100</w:t>
            </w:r>
            <w:r>
              <w:rPr>
                <w:rFonts w:hint="eastAsia" w:ascii="仿宋_GB2312" w:cs="宋体"/>
                <w:color w:val="000000" w:themeColor="text1"/>
              </w:rPr>
              <w:t>自适应以太网端口等。</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8</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中控主机网卡</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中控主机适配</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9</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主控制器</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灯光控制主机，</w:t>
            </w:r>
            <w:r>
              <w:rPr>
                <w:rFonts w:hint="eastAsia" w:eastAsia="等线" w:cs="宋体"/>
                <w:color w:val="000000" w:themeColor="text1"/>
              </w:rPr>
              <w:t>CAN</w:t>
            </w:r>
            <w:r>
              <w:rPr>
                <w:rFonts w:hint="eastAsia" w:ascii="仿宋_GB2312" w:hAnsi="宋体" w:cs="宋体"/>
                <w:color w:val="000000" w:themeColor="text1"/>
              </w:rPr>
              <w:t>总线通讯，内置</w:t>
            </w:r>
            <w:r>
              <w:rPr>
                <w:rFonts w:hint="eastAsia" w:eastAsia="等线" w:cs="宋体"/>
                <w:color w:val="000000" w:themeColor="text1"/>
              </w:rPr>
              <w:t>2</w:t>
            </w:r>
            <w:r>
              <w:rPr>
                <w:rFonts w:hint="eastAsia" w:ascii="仿宋_GB2312" w:hAnsi="宋体" w:cs="宋体"/>
                <w:color w:val="000000" w:themeColor="text1"/>
              </w:rPr>
              <w:t>条</w:t>
            </w:r>
            <w:r>
              <w:rPr>
                <w:rFonts w:hint="eastAsia" w:eastAsia="等线" w:cs="宋体"/>
                <w:color w:val="000000" w:themeColor="text1"/>
              </w:rPr>
              <w:t>CAN</w:t>
            </w:r>
            <w:r>
              <w:rPr>
                <w:rFonts w:hint="eastAsia" w:ascii="仿宋_GB2312" w:hAnsi="宋体" w:cs="宋体"/>
                <w:color w:val="000000" w:themeColor="text1"/>
              </w:rPr>
              <w:t>，可带</w:t>
            </w:r>
            <w:r>
              <w:rPr>
                <w:rFonts w:hint="eastAsia" w:eastAsia="等线" w:cs="宋体"/>
                <w:color w:val="000000" w:themeColor="text1"/>
              </w:rPr>
              <w:t>20</w:t>
            </w:r>
            <w:r>
              <w:rPr>
                <w:rFonts w:hint="eastAsia" w:ascii="仿宋_GB2312" w:hAnsi="宋体" w:cs="宋体"/>
                <w:color w:val="000000" w:themeColor="text1"/>
              </w:rPr>
              <w:t>个模块系统；有</w:t>
            </w:r>
            <w:r>
              <w:rPr>
                <w:rFonts w:hint="eastAsia" w:eastAsia="等线" w:cs="宋体"/>
                <w:color w:val="000000" w:themeColor="text1"/>
              </w:rPr>
              <w:t>2</w:t>
            </w:r>
            <w:r>
              <w:rPr>
                <w:rFonts w:hint="eastAsia" w:ascii="仿宋_GB2312" w:hAnsi="宋体" w:cs="宋体"/>
                <w:color w:val="000000" w:themeColor="text1"/>
              </w:rPr>
              <w:t>个双向</w:t>
            </w:r>
            <w:r>
              <w:rPr>
                <w:rFonts w:hint="eastAsia" w:eastAsia="等线" w:cs="宋体"/>
                <w:color w:val="000000" w:themeColor="text1"/>
              </w:rPr>
              <w:t>RS-232</w:t>
            </w:r>
            <w:r>
              <w:rPr>
                <w:rFonts w:hint="eastAsia" w:ascii="仿宋_GB2312" w:hAnsi="宋体" w:cs="宋体"/>
                <w:color w:val="000000" w:themeColor="text1"/>
              </w:rPr>
              <w:t>串口，支持以太网信号传输。</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10</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4</w:t>
            </w:r>
            <w:r>
              <w:rPr>
                <w:rFonts w:hint="eastAsia" w:ascii="仿宋_GB2312" w:cs="宋体"/>
                <w:color w:val="000000" w:themeColor="text1"/>
              </w:rPr>
              <w:t>通道开关模块</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控制</w:t>
            </w:r>
            <w:r>
              <w:rPr>
                <w:rFonts w:hint="eastAsia" w:eastAsia="等线" w:cs="宋体"/>
                <w:color w:val="000000" w:themeColor="text1"/>
              </w:rPr>
              <w:t>4</w:t>
            </w:r>
            <w:r>
              <w:rPr>
                <w:rFonts w:hint="eastAsia" w:ascii="仿宋_GB2312" w:hAnsi="宋体" w:cs="宋体"/>
                <w:color w:val="000000" w:themeColor="text1"/>
              </w:rPr>
              <w:t>路灯光的开关。每路负载</w:t>
            </w:r>
            <w:r>
              <w:rPr>
                <w:rFonts w:hint="eastAsia" w:eastAsia="等线" w:cs="宋体"/>
                <w:color w:val="000000" w:themeColor="text1"/>
              </w:rPr>
              <w:t>10A</w:t>
            </w:r>
            <w:r>
              <w:rPr>
                <w:rFonts w:hint="eastAsia" w:ascii="仿宋_GB2312" w:hAnsi="宋体" w:cs="宋体"/>
                <w:color w:val="000000" w:themeColor="text1"/>
              </w:rPr>
              <w:t>，同时可控制窗帘，升降屏开关。</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12</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12</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24</w:t>
            </w:r>
            <w:r>
              <w:rPr>
                <w:rFonts w:hint="eastAsia" w:ascii="仿宋_GB2312" w:cs="宋体"/>
                <w:color w:val="000000" w:themeColor="text1"/>
              </w:rPr>
              <w:t>路开关量输入模块</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24</w:t>
            </w:r>
            <w:r>
              <w:rPr>
                <w:rFonts w:hint="eastAsia" w:ascii="仿宋_GB2312" w:cs="宋体"/>
                <w:color w:val="000000" w:themeColor="text1"/>
              </w:rPr>
              <w:t>路干触点信号输入模块；可接第三方面板及人体感应器。</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13</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大功率调光模块</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四路前相调光模块，用于智能照明系统。通过连接主控制器来实现对灯具的调光及开关控制，从而实现对光源的智能调光、场景设置和定时控制等功能。同时四路前相调光输出模块设有手动控制开关，以便必要时对灯具的亮度调节及开、关进行手动操作。</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14</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固态调压模块</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全兼容输入自动控制模式，也可用手动控制，输出电压从</w:t>
            </w:r>
            <w:r>
              <w:rPr>
                <w:rFonts w:hint="eastAsia" w:eastAsia="等线" w:cs="宋体"/>
                <w:color w:val="000000" w:themeColor="text1"/>
              </w:rPr>
              <w:t>0V</w:t>
            </w:r>
            <w:r>
              <w:rPr>
                <w:rFonts w:hint="eastAsia" w:ascii="仿宋_GB2312" w:hAnsi="宋体" w:cs="宋体"/>
                <w:color w:val="000000" w:themeColor="text1"/>
              </w:rPr>
              <w:t>到最大值线性可调</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15</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网络串口模块</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串口转以太网模块</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6</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个</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16</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232</w:t>
            </w:r>
            <w:r>
              <w:rPr>
                <w:rFonts w:hint="eastAsia" w:ascii="仿宋_GB2312" w:cs="宋体"/>
                <w:color w:val="000000" w:themeColor="text1"/>
              </w:rPr>
              <w:t>转</w:t>
            </w:r>
            <w:r>
              <w:rPr>
                <w:rFonts w:hint="eastAsia" w:eastAsia="等线" w:cs="宋体"/>
                <w:color w:val="000000" w:themeColor="text1"/>
              </w:rPr>
              <w:t>485</w:t>
            </w:r>
            <w:r>
              <w:rPr>
                <w:rFonts w:hint="eastAsia" w:ascii="仿宋_GB2312" w:cs="宋体"/>
                <w:color w:val="000000" w:themeColor="text1"/>
              </w:rPr>
              <w:t>模块</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232</w:t>
            </w:r>
            <w:r>
              <w:rPr>
                <w:rFonts w:hint="eastAsia" w:ascii="仿宋_GB2312" w:cs="宋体"/>
                <w:color w:val="000000" w:themeColor="text1"/>
              </w:rPr>
              <w:t>转</w:t>
            </w:r>
            <w:r>
              <w:rPr>
                <w:rFonts w:hint="eastAsia" w:eastAsia="等线" w:cs="宋体"/>
                <w:color w:val="000000" w:themeColor="text1"/>
              </w:rPr>
              <w:t>485</w:t>
            </w:r>
            <w:r>
              <w:rPr>
                <w:rFonts w:hint="eastAsia" w:ascii="仿宋_GB2312" w:cs="宋体"/>
                <w:color w:val="000000" w:themeColor="text1"/>
              </w:rPr>
              <w:t>模块</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8</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个</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17</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电源模块</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5V/10A</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6</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个</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18</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开关电源</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导轨式电源模块，</w:t>
            </w:r>
            <w:r>
              <w:rPr>
                <w:rFonts w:hint="eastAsia" w:eastAsia="等线" w:cs="宋体"/>
                <w:color w:val="000000" w:themeColor="text1"/>
              </w:rPr>
              <w:t>DC24V/45W</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19</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控制机箱</w:t>
            </w:r>
            <w:r>
              <w:rPr>
                <w:rFonts w:hint="eastAsia" w:eastAsia="等线" w:cs="宋体"/>
                <w:color w:val="000000" w:themeColor="text1"/>
              </w:rPr>
              <w:t>(</w:t>
            </w:r>
            <w:r>
              <w:rPr>
                <w:rFonts w:hint="eastAsia" w:ascii="仿宋_GB2312" w:hAnsi="宋体" w:cs="宋体"/>
                <w:color w:val="000000" w:themeColor="text1"/>
              </w:rPr>
              <w:t>含内部接线辅材等</w:t>
            </w:r>
            <w:r>
              <w:rPr>
                <w:rFonts w:hint="eastAsia" w:eastAsia="等线" w:cs="宋体"/>
                <w:color w:val="000000" w:themeColor="text1"/>
              </w:rPr>
              <w:t>)</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大小为</w:t>
            </w:r>
            <w:r>
              <w:rPr>
                <w:rFonts w:hint="eastAsia" w:eastAsia="等线" w:cs="宋体"/>
                <w:color w:val="000000" w:themeColor="text1"/>
              </w:rPr>
              <w:t>600*800*200,</w:t>
            </w:r>
            <w:r>
              <w:rPr>
                <w:rFonts w:hint="eastAsia" w:ascii="仿宋_GB2312" w:hAnsi="宋体" w:cs="宋体"/>
                <w:color w:val="000000" w:themeColor="text1"/>
              </w:rPr>
              <w:t>内含变压器</w:t>
            </w:r>
            <w:r>
              <w:rPr>
                <w:rFonts w:hint="eastAsia" w:eastAsia="等线" w:cs="宋体"/>
                <w:color w:val="000000" w:themeColor="text1"/>
              </w:rPr>
              <w:t>,</w:t>
            </w:r>
            <w:r>
              <w:rPr>
                <w:rFonts w:hint="eastAsia" w:ascii="仿宋_GB2312" w:hAnsi="宋体" w:cs="宋体"/>
                <w:color w:val="000000" w:themeColor="text1"/>
              </w:rPr>
              <w:t>端子排</w:t>
            </w:r>
            <w:r>
              <w:rPr>
                <w:rFonts w:hint="eastAsia" w:eastAsia="等线" w:cs="宋体"/>
                <w:color w:val="000000" w:themeColor="text1"/>
              </w:rPr>
              <w:t>,</w:t>
            </w:r>
            <w:r>
              <w:rPr>
                <w:rFonts w:hint="eastAsia" w:ascii="仿宋_GB2312" w:hAnsi="宋体" w:cs="宋体"/>
                <w:color w:val="000000" w:themeColor="text1"/>
              </w:rPr>
              <w:t>内部接线</w:t>
            </w:r>
            <w:r>
              <w:rPr>
                <w:rFonts w:hint="eastAsia" w:eastAsia="等线" w:cs="宋体"/>
                <w:color w:val="000000" w:themeColor="text1"/>
              </w:rPr>
              <w:t>,</w:t>
            </w:r>
            <w:r>
              <w:rPr>
                <w:rFonts w:hint="eastAsia" w:ascii="仿宋_GB2312" w:hAnsi="宋体" w:cs="宋体"/>
                <w:color w:val="000000" w:themeColor="text1"/>
              </w:rPr>
              <w:t>成套箱</w:t>
            </w:r>
            <w:r>
              <w:rPr>
                <w:rFonts w:hint="eastAsia" w:eastAsia="等线" w:cs="宋体"/>
                <w:color w:val="000000" w:themeColor="text1"/>
              </w:rPr>
              <w:t>.</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20</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平板电脑</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A8X</w:t>
            </w:r>
            <w:r>
              <w:rPr>
                <w:rFonts w:hint="eastAsia" w:ascii="仿宋_GB2312" w:cs="宋体"/>
                <w:color w:val="000000" w:themeColor="text1"/>
              </w:rPr>
              <w:t>芯片和</w:t>
            </w:r>
            <w:r>
              <w:rPr>
                <w:rFonts w:hint="eastAsia" w:eastAsia="等线" w:cs="宋体"/>
                <w:color w:val="000000" w:themeColor="text1"/>
              </w:rPr>
              <w:t>M8</w:t>
            </w:r>
            <w:r>
              <w:rPr>
                <w:rFonts w:hint="eastAsia" w:ascii="仿宋_GB2312" w:cs="宋体"/>
                <w:color w:val="000000" w:themeColor="text1"/>
              </w:rPr>
              <w:t>运动协处理器；屏幕不小于</w:t>
            </w:r>
            <w:r>
              <w:rPr>
                <w:rFonts w:hint="eastAsia" w:eastAsia="等线" w:cs="宋体"/>
                <w:color w:val="000000" w:themeColor="text1"/>
              </w:rPr>
              <w:t>9</w:t>
            </w:r>
            <w:r>
              <w:rPr>
                <w:rFonts w:hint="eastAsia" w:ascii="仿宋_GB2312" w:cs="宋体"/>
                <w:color w:val="000000" w:themeColor="text1"/>
              </w:rPr>
              <w:t>英寸，分辨率不小于</w:t>
            </w:r>
            <w:r>
              <w:rPr>
                <w:rFonts w:hint="eastAsia" w:eastAsia="等线" w:cs="宋体"/>
                <w:color w:val="000000" w:themeColor="text1"/>
              </w:rPr>
              <w:t>2048×1536</w:t>
            </w:r>
            <w:r>
              <w:rPr>
                <w:rFonts w:hint="eastAsia" w:ascii="仿宋_GB2312" w:cs="宋体"/>
                <w:color w:val="000000" w:themeColor="text1"/>
              </w:rPr>
              <w:t>；</w:t>
            </w:r>
            <w:r>
              <w:rPr>
                <w:rFonts w:hint="eastAsia" w:eastAsia="等线" w:cs="宋体"/>
                <w:color w:val="000000" w:themeColor="text1"/>
              </w:rPr>
              <w:t>RAM</w:t>
            </w:r>
            <w:r>
              <w:rPr>
                <w:rFonts w:hint="eastAsia" w:ascii="仿宋_GB2312" w:cs="宋体"/>
                <w:color w:val="000000" w:themeColor="text1"/>
              </w:rPr>
              <w:t>不小于</w:t>
            </w:r>
            <w:r>
              <w:rPr>
                <w:rFonts w:hint="eastAsia" w:eastAsia="等线" w:cs="宋体"/>
                <w:color w:val="000000" w:themeColor="text1"/>
              </w:rPr>
              <w:t>2G</w:t>
            </w:r>
            <w:r>
              <w:rPr>
                <w:rFonts w:hint="eastAsia" w:ascii="仿宋_GB2312" w:cs="宋体"/>
                <w:color w:val="000000" w:themeColor="text1"/>
              </w:rPr>
              <w:t>；</w:t>
            </w:r>
            <w:r>
              <w:rPr>
                <w:rFonts w:hint="eastAsia" w:eastAsia="等线" w:cs="宋体"/>
                <w:color w:val="000000" w:themeColor="text1"/>
              </w:rPr>
              <w:t>ROM</w:t>
            </w:r>
            <w:r>
              <w:rPr>
                <w:rFonts w:hint="eastAsia" w:ascii="仿宋_GB2312" w:cs="宋体"/>
                <w:color w:val="000000" w:themeColor="text1"/>
              </w:rPr>
              <w:t>不小于</w:t>
            </w:r>
            <w:r>
              <w:rPr>
                <w:rFonts w:hint="eastAsia" w:eastAsia="等线" w:cs="宋体"/>
                <w:color w:val="000000" w:themeColor="text1"/>
              </w:rPr>
              <w:t>32G</w:t>
            </w:r>
            <w:r>
              <w:rPr>
                <w:rFonts w:hint="eastAsia" w:ascii="仿宋_GB2312" w:cs="宋体"/>
                <w:color w:val="000000" w:themeColor="text1"/>
              </w:rPr>
              <w:t>；支持</w:t>
            </w:r>
            <w:r>
              <w:rPr>
                <w:rFonts w:hint="eastAsia" w:eastAsia="等线" w:cs="宋体"/>
                <w:color w:val="000000" w:themeColor="text1"/>
              </w:rPr>
              <w:t>WLAN</w:t>
            </w:r>
            <w:r>
              <w:rPr>
                <w:rFonts w:hint="eastAsia" w:ascii="仿宋_GB2312" w:cs="宋体"/>
                <w:color w:val="000000" w:themeColor="text1"/>
              </w:rPr>
              <w:t>；</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21</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APP</w:t>
            </w:r>
            <w:r>
              <w:rPr>
                <w:rFonts w:hint="eastAsia" w:ascii="仿宋_GB2312" w:cs="宋体"/>
                <w:color w:val="000000" w:themeColor="text1"/>
              </w:rPr>
              <w:t>授权</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中控软件授权</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22</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POE</w:t>
            </w:r>
            <w:r>
              <w:rPr>
                <w:rFonts w:hint="eastAsia" w:ascii="仿宋_GB2312" w:cs="宋体"/>
                <w:color w:val="000000" w:themeColor="text1"/>
              </w:rPr>
              <w:t>交换机</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24</w:t>
            </w:r>
            <w:r>
              <w:rPr>
                <w:rFonts w:hint="eastAsia" w:ascii="仿宋_GB2312" w:cs="宋体"/>
                <w:color w:val="000000" w:themeColor="text1"/>
              </w:rPr>
              <w:t>口千兆</w:t>
            </w:r>
            <w:r>
              <w:rPr>
                <w:rFonts w:hint="eastAsia" w:eastAsia="等线" w:cs="宋体"/>
                <w:color w:val="000000" w:themeColor="text1"/>
              </w:rPr>
              <w:t>POE</w:t>
            </w:r>
            <w:r>
              <w:rPr>
                <w:rFonts w:hint="eastAsia" w:ascii="仿宋_GB2312" w:cs="宋体"/>
                <w:color w:val="000000" w:themeColor="text1"/>
              </w:rPr>
              <w:t>交换机，支持多台交换机级连</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23</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无线</w:t>
            </w:r>
            <w:r>
              <w:rPr>
                <w:rFonts w:hint="eastAsia" w:eastAsia="等线" w:cs="宋体"/>
                <w:color w:val="000000" w:themeColor="text1"/>
              </w:rPr>
              <w:t>AP</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300M</w:t>
            </w:r>
            <w:r>
              <w:rPr>
                <w:rFonts w:hint="eastAsia" w:ascii="仿宋_GB2312" w:cs="宋体"/>
                <w:color w:val="000000" w:themeColor="text1"/>
              </w:rPr>
              <w:t>单频胖瘦一体无线接入点</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8426" w:type="dxa"/>
            <w:gridSpan w:val="6"/>
            <w:tcBorders>
              <w:top w:val="single" w:color="auto" w:sz="8" w:space="0"/>
              <w:left w:val="single" w:color="auto" w:sz="8" w:space="0"/>
              <w:bottom w:val="single" w:color="auto" w:sz="8" w:space="0"/>
              <w:right w:val="nil"/>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五、计算机网络系统</w:t>
            </w:r>
          </w:p>
        </w:tc>
      </w:tr>
      <w:tr>
        <w:tblPrEx>
          <w:tblLayout w:type="fixed"/>
        </w:tblPrEx>
        <w:tc>
          <w:tcPr>
            <w:tcW w:w="469"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1176"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计算机网络系统</w:t>
            </w:r>
          </w:p>
        </w:tc>
        <w:tc>
          <w:tcPr>
            <w:tcW w:w="1180"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汇聚交换机</w:t>
            </w: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双主控及双电源；</w:t>
            </w:r>
          </w:p>
        </w:tc>
        <w:tc>
          <w:tcPr>
            <w:tcW w:w="775"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w:t>
            </w:r>
          </w:p>
        </w:tc>
        <w:tc>
          <w:tcPr>
            <w:tcW w:w="456" w:type="dxa"/>
            <w:vMerge w:val="restart"/>
            <w:tcBorders>
              <w:top w:val="nil"/>
              <w:left w:val="single" w:color="auto" w:sz="8" w:space="0"/>
              <w:bottom w:val="single" w:color="000000"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交换容量</w:t>
            </w:r>
            <w:r>
              <w:rPr>
                <w:rFonts w:hint="eastAsia" w:eastAsia="等线" w:cs="宋体"/>
                <w:color w:val="000000" w:themeColor="text1"/>
              </w:rPr>
              <w:t>≥20Tbps</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包转发率</w:t>
            </w:r>
            <w:r>
              <w:rPr>
                <w:rFonts w:hint="eastAsia" w:eastAsia="等线" w:cs="宋体"/>
                <w:color w:val="000000" w:themeColor="text1"/>
              </w:rPr>
              <w:t>≥2880Mpps</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业务槽位数</w:t>
            </w:r>
            <w:r>
              <w:rPr>
                <w:rFonts w:hint="eastAsia" w:eastAsia="等线" w:cs="宋体"/>
                <w:color w:val="000000" w:themeColor="text1"/>
              </w:rPr>
              <w:t>≥6</w:t>
            </w:r>
            <w:r>
              <w:rPr>
                <w:rFonts w:hint="eastAsia" w:ascii="仿宋_GB2312" w:hAnsi="宋体" w:cs="宋体"/>
                <w:color w:val="000000" w:themeColor="text1"/>
              </w:rPr>
              <w:t>；</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可支持接口类型：</w:t>
            </w:r>
            <w:r>
              <w:rPr>
                <w:rFonts w:hint="eastAsia" w:eastAsia="等线" w:cs="宋体"/>
                <w:color w:val="000000" w:themeColor="text1"/>
              </w:rPr>
              <w:t>GE</w:t>
            </w:r>
            <w:r>
              <w:rPr>
                <w:rFonts w:hint="eastAsia" w:ascii="仿宋_GB2312" w:hAnsi="宋体" w:cs="宋体"/>
                <w:color w:val="000000" w:themeColor="text1"/>
              </w:rPr>
              <w:t>（光</w:t>
            </w:r>
            <w:r>
              <w:rPr>
                <w:rFonts w:hint="eastAsia" w:eastAsia="等线" w:cs="宋体"/>
                <w:color w:val="000000" w:themeColor="text1"/>
              </w:rPr>
              <w:t>/</w:t>
            </w:r>
            <w:r>
              <w:rPr>
                <w:rFonts w:hint="eastAsia" w:ascii="仿宋_GB2312" w:hAnsi="宋体" w:cs="宋体"/>
                <w:color w:val="000000" w:themeColor="text1"/>
              </w:rPr>
              <w:t>电）、</w:t>
            </w:r>
            <w:r>
              <w:rPr>
                <w:rFonts w:hint="eastAsia" w:eastAsia="等线" w:cs="宋体"/>
                <w:color w:val="000000" w:themeColor="text1"/>
              </w:rPr>
              <w:t>10GE</w:t>
            </w:r>
            <w:r>
              <w:rPr>
                <w:rFonts w:hint="eastAsia" w:ascii="仿宋_GB2312" w:hAnsi="宋体" w:cs="宋体"/>
                <w:color w:val="000000" w:themeColor="text1"/>
              </w:rPr>
              <w:t>（光）；</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端口配置：</w:t>
            </w:r>
            <w:r>
              <w:rPr>
                <w:rFonts w:hint="eastAsia" w:eastAsia="等线" w:cs="宋体"/>
                <w:color w:val="000000" w:themeColor="text1"/>
              </w:rPr>
              <w:t>10GE</w:t>
            </w:r>
            <w:r>
              <w:rPr>
                <w:rFonts w:hint="eastAsia" w:ascii="仿宋_GB2312" w:hAnsi="宋体" w:cs="宋体"/>
                <w:color w:val="000000" w:themeColor="text1"/>
              </w:rPr>
              <w:t>光口</w:t>
            </w:r>
            <w:r>
              <w:rPr>
                <w:rFonts w:hint="eastAsia" w:eastAsia="等线" w:cs="宋体"/>
                <w:color w:val="000000" w:themeColor="text1"/>
              </w:rPr>
              <w:t>16</w:t>
            </w:r>
            <w:r>
              <w:rPr>
                <w:rFonts w:hint="eastAsia" w:ascii="仿宋_GB2312" w:hAnsi="宋体" w:cs="宋体"/>
                <w:color w:val="000000" w:themeColor="text1"/>
              </w:rPr>
              <w:t>个（含光模块），</w:t>
            </w:r>
            <w:r>
              <w:rPr>
                <w:rFonts w:hint="eastAsia" w:eastAsia="等线" w:cs="宋体"/>
                <w:color w:val="000000" w:themeColor="text1"/>
              </w:rPr>
              <w:t>GE</w:t>
            </w:r>
            <w:r>
              <w:rPr>
                <w:rFonts w:hint="eastAsia" w:ascii="仿宋_GB2312" w:hAnsi="宋体" w:cs="宋体"/>
                <w:color w:val="000000" w:themeColor="text1"/>
              </w:rPr>
              <w:t>光口</w:t>
            </w:r>
            <w:r>
              <w:rPr>
                <w:rFonts w:hint="eastAsia" w:eastAsia="等线" w:cs="宋体"/>
                <w:color w:val="000000" w:themeColor="text1"/>
              </w:rPr>
              <w:t>24</w:t>
            </w:r>
            <w:r>
              <w:rPr>
                <w:rFonts w:hint="eastAsia" w:ascii="仿宋_GB2312" w:hAnsi="宋体" w:cs="宋体"/>
                <w:color w:val="000000" w:themeColor="text1"/>
              </w:rPr>
              <w:t>个（含光模块），</w:t>
            </w:r>
            <w:r>
              <w:rPr>
                <w:rFonts w:hint="eastAsia" w:eastAsia="等线" w:cs="宋体"/>
                <w:color w:val="000000" w:themeColor="text1"/>
              </w:rPr>
              <w:t>GE</w:t>
            </w:r>
            <w:r>
              <w:rPr>
                <w:rFonts w:hint="eastAsia" w:ascii="仿宋_GB2312" w:hAnsi="宋体" w:cs="宋体"/>
                <w:color w:val="000000" w:themeColor="text1"/>
              </w:rPr>
              <w:t>电口</w:t>
            </w:r>
            <w:r>
              <w:rPr>
                <w:rFonts w:hint="eastAsia" w:eastAsia="等线" w:cs="宋体"/>
                <w:color w:val="000000" w:themeColor="text1"/>
              </w:rPr>
              <w:t>48</w:t>
            </w:r>
            <w:r>
              <w:rPr>
                <w:rFonts w:hint="eastAsia" w:ascii="仿宋_GB2312" w:hAnsi="宋体" w:cs="宋体"/>
                <w:color w:val="000000" w:themeColor="text1"/>
              </w:rPr>
              <w:t>个</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路由特性：交换机要求支持静态路由、</w:t>
            </w:r>
            <w:r>
              <w:rPr>
                <w:rFonts w:hint="eastAsia" w:eastAsia="等线" w:cs="宋体"/>
                <w:color w:val="000000" w:themeColor="text1"/>
              </w:rPr>
              <w:t>RIP</w:t>
            </w:r>
            <w:r>
              <w:rPr>
                <w:rFonts w:hint="eastAsia" w:ascii="仿宋_GB2312" w:hAnsi="宋体" w:cs="宋体"/>
                <w:color w:val="000000" w:themeColor="text1"/>
              </w:rPr>
              <w:t>、</w:t>
            </w:r>
            <w:r>
              <w:rPr>
                <w:rFonts w:hint="eastAsia" w:eastAsia="等线" w:cs="宋体"/>
                <w:color w:val="000000" w:themeColor="text1"/>
              </w:rPr>
              <w:t>OSPF</w:t>
            </w:r>
            <w:r>
              <w:rPr>
                <w:rFonts w:hint="eastAsia" w:ascii="仿宋_GB2312" w:hAnsi="宋体" w:cs="宋体"/>
                <w:color w:val="000000" w:themeColor="text1"/>
              </w:rPr>
              <w:t>、</w:t>
            </w:r>
            <w:r>
              <w:rPr>
                <w:rFonts w:hint="eastAsia" w:eastAsia="等线" w:cs="宋体"/>
                <w:color w:val="000000" w:themeColor="text1"/>
              </w:rPr>
              <w:t>IS-IS</w:t>
            </w:r>
            <w:r>
              <w:rPr>
                <w:rFonts w:hint="eastAsia" w:ascii="仿宋_GB2312" w:hAnsi="宋体" w:cs="宋体"/>
                <w:color w:val="000000" w:themeColor="text1"/>
              </w:rPr>
              <w:t>、</w:t>
            </w:r>
            <w:r>
              <w:rPr>
                <w:rFonts w:hint="eastAsia" w:eastAsia="等线" w:cs="宋体"/>
                <w:color w:val="000000" w:themeColor="text1"/>
              </w:rPr>
              <w:t>BGP4</w:t>
            </w:r>
            <w:r>
              <w:rPr>
                <w:rFonts w:hint="eastAsia" w:ascii="仿宋_GB2312" w:hAnsi="宋体" w:cs="宋体"/>
                <w:color w:val="000000" w:themeColor="text1"/>
              </w:rPr>
              <w:t>等路由协议；</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支持</w:t>
            </w:r>
            <w:r>
              <w:rPr>
                <w:rFonts w:hint="eastAsia" w:eastAsia="等线" w:cs="宋体"/>
                <w:color w:val="000000" w:themeColor="text1"/>
              </w:rPr>
              <w:t>IPv4/IPv6</w:t>
            </w:r>
            <w:r>
              <w:rPr>
                <w:rFonts w:hint="eastAsia" w:ascii="仿宋_GB2312" w:hAnsi="宋体" w:cs="宋体"/>
                <w:color w:val="000000" w:themeColor="text1"/>
              </w:rPr>
              <w:t>；支持组播；支持</w:t>
            </w:r>
            <w:r>
              <w:rPr>
                <w:rFonts w:hint="eastAsia" w:eastAsia="等线" w:cs="宋体"/>
                <w:color w:val="000000" w:themeColor="text1"/>
              </w:rPr>
              <w:t>OPENFLOW 1.3</w:t>
            </w:r>
            <w:r>
              <w:rPr>
                <w:rFonts w:hint="eastAsia" w:ascii="仿宋_GB2312" w:hAnsi="宋体" w:cs="宋体"/>
                <w:color w:val="000000" w:themeColor="text1"/>
              </w:rPr>
              <w:t>标准；支持</w:t>
            </w:r>
            <w:r>
              <w:rPr>
                <w:rFonts w:hint="eastAsia" w:eastAsia="等线" w:cs="宋体"/>
                <w:color w:val="000000" w:themeColor="text1"/>
              </w:rPr>
              <w:t>VXLAN</w:t>
            </w:r>
            <w:r>
              <w:rPr>
                <w:rFonts w:hint="eastAsia" w:ascii="仿宋_GB2312" w:hAnsi="宋体" w:cs="宋体"/>
                <w:color w:val="000000" w:themeColor="text1"/>
              </w:rPr>
              <w:t>；支持</w:t>
            </w:r>
            <w:r>
              <w:rPr>
                <w:rFonts w:hint="eastAsia" w:eastAsia="等线" w:cs="宋体"/>
                <w:color w:val="000000" w:themeColor="text1"/>
              </w:rPr>
              <w:t>L3 MPLS VPN</w:t>
            </w:r>
            <w:r>
              <w:rPr>
                <w:rFonts w:hint="eastAsia" w:ascii="仿宋_GB2312" w:hAnsi="宋体" w:cs="宋体"/>
                <w:color w:val="000000" w:themeColor="text1"/>
              </w:rPr>
              <w:t>；支持</w:t>
            </w:r>
            <w:r>
              <w:rPr>
                <w:rFonts w:hint="eastAsia" w:eastAsia="等线" w:cs="宋体"/>
                <w:color w:val="000000" w:themeColor="text1"/>
              </w:rPr>
              <w:t>L2 VPN: VLL (Martini, Kompella)</w:t>
            </w:r>
            <w:r>
              <w:rPr>
                <w:rFonts w:hint="eastAsia" w:ascii="仿宋_GB2312" w:hAnsi="宋体" w:cs="宋体"/>
                <w:color w:val="000000" w:themeColor="text1"/>
              </w:rPr>
              <w:t>；支持</w:t>
            </w:r>
            <w:r>
              <w:rPr>
                <w:rFonts w:hint="eastAsia" w:eastAsia="等线" w:cs="宋体"/>
                <w:color w:val="000000" w:themeColor="text1"/>
              </w:rPr>
              <w:t>FTP</w:t>
            </w:r>
            <w:r>
              <w:rPr>
                <w:rFonts w:hint="eastAsia" w:ascii="仿宋_GB2312" w:hAnsi="宋体" w:cs="宋体"/>
                <w:color w:val="000000" w:themeColor="text1"/>
              </w:rPr>
              <w:t>、</w:t>
            </w:r>
            <w:r>
              <w:rPr>
                <w:rFonts w:hint="eastAsia" w:eastAsia="等线" w:cs="宋体"/>
                <w:color w:val="000000" w:themeColor="text1"/>
              </w:rPr>
              <w:t>TFTP</w:t>
            </w:r>
            <w:r>
              <w:rPr>
                <w:rFonts w:hint="eastAsia" w:ascii="仿宋_GB2312" w:hAnsi="宋体" w:cs="宋体"/>
                <w:color w:val="000000" w:themeColor="text1"/>
              </w:rPr>
              <w:t>、</w:t>
            </w:r>
            <w:r>
              <w:rPr>
                <w:rFonts w:hint="eastAsia" w:eastAsia="等线" w:cs="宋体"/>
                <w:color w:val="000000" w:themeColor="text1"/>
              </w:rPr>
              <w:t>Xmodem</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支持</w:t>
            </w:r>
            <w:r>
              <w:rPr>
                <w:rFonts w:hint="eastAsia" w:eastAsia="等线" w:cs="宋体"/>
                <w:color w:val="000000" w:themeColor="text1"/>
              </w:rPr>
              <w:t>SNMP v1/v2/v3</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接入交换机</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24</w:t>
            </w:r>
            <w:r>
              <w:rPr>
                <w:rFonts w:hint="eastAsia" w:ascii="仿宋_GB2312" w:cs="宋体"/>
                <w:color w:val="000000" w:themeColor="text1"/>
              </w:rPr>
              <w:t>口千兆二层网管交换机，整机交换容量</w:t>
            </w:r>
            <w:r>
              <w:rPr>
                <w:rFonts w:hint="eastAsia" w:eastAsia="等线" w:cs="宋体"/>
                <w:color w:val="000000" w:themeColor="text1"/>
              </w:rPr>
              <w:t>≥240Gbps</w:t>
            </w:r>
            <w:r>
              <w:rPr>
                <w:rFonts w:hint="eastAsia" w:ascii="仿宋_GB2312" w:cs="宋体"/>
                <w:color w:val="000000" w:themeColor="text1"/>
              </w:rPr>
              <w:t>，支持</w:t>
            </w:r>
            <w:r>
              <w:rPr>
                <w:rFonts w:hint="eastAsia" w:eastAsia="等线" w:cs="宋体"/>
                <w:color w:val="000000" w:themeColor="text1"/>
              </w:rPr>
              <w:t>24</w:t>
            </w:r>
            <w:r>
              <w:rPr>
                <w:rFonts w:hint="eastAsia" w:ascii="仿宋_GB2312" w:cs="宋体"/>
                <w:color w:val="000000" w:themeColor="text1"/>
              </w:rPr>
              <w:t>个</w:t>
            </w:r>
            <w:r>
              <w:rPr>
                <w:rFonts w:hint="eastAsia" w:eastAsia="等线" w:cs="宋体"/>
                <w:color w:val="000000" w:themeColor="text1"/>
              </w:rPr>
              <w:t>10/100/1000BASE-T</w:t>
            </w:r>
            <w:r>
              <w:rPr>
                <w:rFonts w:hint="eastAsia" w:ascii="仿宋_GB2312" w:cs="宋体"/>
                <w:color w:val="000000" w:themeColor="text1"/>
              </w:rPr>
              <w:t>端口</w:t>
            </w:r>
            <w:r>
              <w:rPr>
                <w:rFonts w:hint="eastAsia" w:eastAsia="等线" w:cs="宋体"/>
                <w:color w:val="000000" w:themeColor="text1"/>
              </w:rPr>
              <w:t>,</w:t>
            </w:r>
            <w:r>
              <w:rPr>
                <w:rFonts w:hint="eastAsia" w:ascii="仿宋_GB2312" w:cs="宋体"/>
                <w:color w:val="000000" w:themeColor="text1"/>
              </w:rPr>
              <w:t>支持</w:t>
            </w:r>
            <w:r>
              <w:rPr>
                <w:rFonts w:hint="eastAsia" w:eastAsia="等线" w:cs="宋体"/>
                <w:color w:val="000000" w:themeColor="text1"/>
              </w:rPr>
              <w:t>4</w:t>
            </w:r>
            <w:r>
              <w:rPr>
                <w:rFonts w:hint="eastAsia" w:ascii="仿宋_GB2312" w:cs="宋体"/>
                <w:color w:val="000000" w:themeColor="text1"/>
              </w:rPr>
              <w:t>个</w:t>
            </w:r>
            <w:r>
              <w:rPr>
                <w:rFonts w:hint="eastAsia" w:eastAsia="等线" w:cs="宋体"/>
                <w:color w:val="000000" w:themeColor="text1"/>
              </w:rPr>
              <w:t>1000BASE-X SFP</w:t>
            </w:r>
            <w:r>
              <w:rPr>
                <w:rFonts w:hint="eastAsia" w:ascii="仿宋_GB2312" w:cs="宋体"/>
                <w:color w:val="000000" w:themeColor="text1"/>
              </w:rPr>
              <w:t>端口，单电源，含</w:t>
            </w:r>
            <w:r>
              <w:rPr>
                <w:rFonts w:hint="eastAsia" w:eastAsia="等线" w:cs="宋体"/>
                <w:color w:val="000000" w:themeColor="text1"/>
              </w:rPr>
              <w:t>2</w:t>
            </w:r>
            <w:r>
              <w:rPr>
                <w:rFonts w:hint="eastAsia" w:ascii="仿宋_GB2312" w:cs="宋体"/>
                <w:color w:val="000000" w:themeColor="text1"/>
              </w:rPr>
              <w:t>个光模块</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4</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3</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服务器机柜</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服务器机柜，</w:t>
            </w:r>
            <w:r>
              <w:rPr>
                <w:rFonts w:hint="eastAsia" w:eastAsia="等线" w:cs="宋体"/>
                <w:color w:val="000000" w:themeColor="text1"/>
              </w:rPr>
              <w:t>600mm*600mm*2000mm</w:t>
            </w:r>
            <w:r>
              <w:rPr>
                <w:rFonts w:hint="eastAsia" w:ascii="仿宋_GB2312" w:hAnsi="宋体" w:cs="宋体"/>
                <w:color w:val="000000" w:themeColor="text1"/>
              </w:rPr>
              <w:t>，含</w:t>
            </w:r>
            <w:r>
              <w:rPr>
                <w:rFonts w:hint="eastAsia" w:eastAsia="等线" w:cs="宋体"/>
                <w:color w:val="000000" w:themeColor="text1"/>
              </w:rPr>
              <w:t>2</w:t>
            </w:r>
            <w:r>
              <w:rPr>
                <w:rFonts w:hint="eastAsia" w:ascii="仿宋_GB2312" w:hAnsi="宋体" w:cs="宋体"/>
                <w:color w:val="000000" w:themeColor="text1"/>
              </w:rPr>
              <w:t>套</w:t>
            </w:r>
            <w:r>
              <w:rPr>
                <w:rFonts w:hint="eastAsia" w:eastAsia="等线" w:cs="宋体"/>
                <w:color w:val="000000" w:themeColor="text1"/>
              </w:rPr>
              <w:t>8</w:t>
            </w:r>
            <w:r>
              <w:rPr>
                <w:rFonts w:hint="eastAsia" w:ascii="仿宋_GB2312" w:hAnsi="宋体" w:cs="宋体"/>
                <w:color w:val="000000" w:themeColor="text1"/>
              </w:rPr>
              <w:t>位</w:t>
            </w:r>
            <w:r>
              <w:rPr>
                <w:rFonts w:hint="eastAsia" w:eastAsia="等线" w:cs="宋体"/>
                <w:color w:val="000000" w:themeColor="text1"/>
              </w:rPr>
              <w:t>PDU</w:t>
            </w:r>
            <w:r>
              <w:rPr>
                <w:rFonts w:hint="eastAsia" w:ascii="仿宋_GB2312" w:hAnsi="宋体" w:cs="宋体"/>
                <w:color w:val="000000" w:themeColor="text1"/>
              </w:rPr>
              <w:t>插座</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4</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4</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专网链路租赁</w:t>
            </w:r>
            <w:r>
              <w:rPr>
                <w:rFonts w:hint="eastAsia" w:eastAsia="等线" w:cs="宋体"/>
                <w:color w:val="000000" w:themeColor="text1"/>
              </w:rPr>
              <w:t>1</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指挥中心到</w:t>
            </w:r>
            <w:r>
              <w:rPr>
                <w:rFonts w:hint="eastAsia" w:eastAsia="等线" w:cs="宋体"/>
                <w:color w:val="000000" w:themeColor="text1"/>
              </w:rPr>
              <w:t>1702</w:t>
            </w:r>
            <w:r>
              <w:rPr>
                <w:rFonts w:hint="eastAsia" w:ascii="仿宋_GB2312" w:hAnsi="宋体" w:cs="宋体"/>
                <w:color w:val="000000" w:themeColor="text1"/>
              </w:rPr>
              <w:t>会议室专网链路租赁，千兆，</w:t>
            </w:r>
            <w:r>
              <w:rPr>
                <w:rFonts w:hint="eastAsia" w:eastAsia="等线" w:cs="宋体"/>
                <w:color w:val="000000" w:themeColor="text1"/>
              </w:rPr>
              <w:t>5</w:t>
            </w:r>
            <w:r>
              <w:rPr>
                <w:rFonts w:hint="eastAsia" w:ascii="仿宋_GB2312" w:hAnsi="宋体" w:cs="宋体"/>
                <w:color w:val="000000" w:themeColor="text1"/>
              </w:rPr>
              <w:t>年</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条</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5</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专网链路租赁</w:t>
            </w:r>
            <w:r>
              <w:rPr>
                <w:rFonts w:hint="eastAsia" w:eastAsia="等线" w:cs="宋体"/>
                <w:color w:val="000000" w:themeColor="text1"/>
              </w:rPr>
              <w:t>2</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指挥中心到公安视频专网链路租赁，万兆，</w:t>
            </w:r>
            <w:r>
              <w:rPr>
                <w:rFonts w:hint="eastAsia" w:eastAsia="等线" w:cs="宋体"/>
                <w:color w:val="000000" w:themeColor="text1"/>
              </w:rPr>
              <w:t>5</w:t>
            </w:r>
            <w:r>
              <w:rPr>
                <w:rFonts w:hint="eastAsia" w:ascii="仿宋_GB2312" w:hAnsi="宋体" w:cs="宋体"/>
                <w:color w:val="000000" w:themeColor="text1"/>
              </w:rPr>
              <w:t>年</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条</w:t>
            </w:r>
          </w:p>
        </w:tc>
      </w:tr>
      <w:tr>
        <w:tblPrEx>
          <w:tblLayout w:type="fixed"/>
          <w:tblCellMar>
            <w:top w:w="0" w:type="dxa"/>
            <w:left w:w="108" w:type="dxa"/>
            <w:bottom w:w="0" w:type="dxa"/>
            <w:right w:w="108" w:type="dxa"/>
          </w:tblCellMar>
        </w:tblPrEx>
        <w:tc>
          <w:tcPr>
            <w:tcW w:w="8426" w:type="dxa"/>
            <w:gridSpan w:val="6"/>
            <w:tcBorders>
              <w:top w:val="single" w:color="auto" w:sz="8" w:space="0"/>
              <w:left w:val="single" w:color="auto" w:sz="8" w:space="0"/>
              <w:bottom w:val="single" w:color="auto" w:sz="8" w:space="0"/>
              <w:right w:val="nil"/>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六、安防系统</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1176"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安防系统</w:t>
            </w: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高清半球</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200</w:t>
            </w:r>
            <w:r>
              <w:rPr>
                <w:rFonts w:hint="eastAsia" w:ascii="仿宋_GB2312" w:cs="宋体"/>
                <w:color w:val="000000" w:themeColor="text1"/>
              </w:rPr>
              <w:t>万星光级</w:t>
            </w:r>
            <w:r>
              <w:rPr>
                <w:rFonts w:hint="eastAsia" w:eastAsia="等线" w:cs="宋体"/>
                <w:color w:val="000000" w:themeColor="text1"/>
              </w:rPr>
              <w:t>1/2.7”CMOS ICR</w:t>
            </w:r>
            <w:r>
              <w:rPr>
                <w:rFonts w:hint="eastAsia" w:ascii="仿宋_GB2312" w:cs="宋体"/>
                <w:color w:val="000000" w:themeColor="text1"/>
              </w:rPr>
              <w:t>日夜型半球型网络摄像机</w:t>
            </w:r>
            <w:r>
              <w:rPr>
                <w:rFonts w:hint="eastAsia" w:eastAsia="等线" w:cs="宋体"/>
                <w:color w:val="000000" w:themeColor="text1"/>
              </w:rPr>
              <w:t>;</w:t>
            </w:r>
            <w:r>
              <w:rPr>
                <w:rFonts w:hint="eastAsia" w:ascii="仿宋_GB2312" w:cs="宋体"/>
                <w:color w:val="000000" w:themeColor="text1"/>
              </w:rPr>
              <w:t>最小照度</w:t>
            </w:r>
            <w:r>
              <w:rPr>
                <w:rFonts w:hint="eastAsia" w:eastAsia="等线" w:cs="宋体"/>
                <w:color w:val="000000" w:themeColor="text1"/>
              </w:rPr>
              <w:t xml:space="preserve"> 0.002 Lux @(F1.2,AGC ON), 0 Lux with IR;</w:t>
            </w:r>
            <w:r>
              <w:rPr>
                <w:rFonts w:hint="eastAsia" w:ascii="仿宋_GB2312" w:cs="宋体"/>
                <w:color w:val="000000" w:themeColor="text1"/>
              </w:rPr>
              <w:t>快门</w:t>
            </w:r>
            <w:r>
              <w:rPr>
                <w:rFonts w:hint="eastAsia" w:eastAsia="等线" w:cs="宋体"/>
                <w:color w:val="000000" w:themeColor="text1"/>
              </w:rPr>
              <w:t xml:space="preserve"> 1/3</w:t>
            </w:r>
            <w:r>
              <w:rPr>
                <w:rFonts w:hint="eastAsia" w:ascii="仿宋_GB2312" w:cs="宋体"/>
                <w:color w:val="000000" w:themeColor="text1"/>
              </w:rPr>
              <w:t>秒至</w:t>
            </w:r>
            <w:r>
              <w:rPr>
                <w:rFonts w:hint="eastAsia" w:eastAsia="等线" w:cs="宋体"/>
                <w:color w:val="000000" w:themeColor="text1"/>
              </w:rPr>
              <w:t>1/100,000</w:t>
            </w:r>
            <w:r>
              <w:rPr>
                <w:rFonts w:hint="eastAsia" w:ascii="仿宋_GB2312" w:cs="宋体"/>
                <w:color w:val="000000" w:themeColor="text1"/>
              </w:rPr>
              <w:t>秒</w:t>
            </w:r>
            <w:r>
              <w:rPr>
                <w:rFonts w:hint="eastAsia" w:eastAsia="等线" w:cs="宋体"/>
                <w:color w:val="000000" w:themeColor="text1"/>
              </w:rPr>
              <w:t>;</w:t>
            </w:r>
            <w:r>
              <w:rPr>
                <w:rFonts w:hint="eastAsia" w:ascii="仿宋_GB2312" w:cs="宋体"/>
                <w:color w:val="000000" w:themeColor="text1"/>
              </w:rPr>
              <w:t>镜头</w:t>
            </w:r>
            <w:r>
              <w:rPr>
                <w:rFonts w:hint="eastAsia" w:eastAsia="等线" w:cs="宋体"/>
                <w:color w:val="000000" w:themeColor="text1"/>
              </w:rPr>
              <w:t xml:space="preserve"> 2.8mm, </w:t>
            </w:r>
            <w:r>
              <w:rPr>
                <w:rFonts w:hint="eastAsia" w:ascii="仿宋_GB2312" w:cs="宋体"/>
                <w:color w:val="000000" w:themeColor="text1"/>
              </w:rPr>
              <w:t>水平视场角</w:t>
            </w:r>
            <w:r>
              <w:rPr>
                <w:rFonts w:hint="eastAsia" w:eastAsia="等线" w:cs="宋体"/>
                <w:color w:val="000000" w:themeColor="text1"/>
              </w:rPr>
              <w:t>: 113.5°(4mm</w:t>
            </w:r>
            <w:r>
              <w:rPr>
                <w:rFonts w:hint="eastAsia" w:ascii="仿宋_GB2312" w:cs="宋体"/>
                <w:color w:val="000000" w:themeColor="text1"/>
              </w:rPr>
              <w:t>、</w:t>
            </w:r>
            <w:r>
              <w:rPr>
                <w:rFonts w:hint="eastAsia" w:eastAsia="等线" w:cs="宋体"/>
                <w:color w:val="000000" w:themeColor="text1"/>
              </w:rPr>
              <w:t>6mm</w:t>
            </w:r>
            <w:r>
              <w:rPr>
                <w:rFonts w:hint="eastAsia" w:ascii="仿宋_GB2312" w:cs="宋体"/>
                <w:color w:val="000000" w:themeColor="text1"/>
              </w:rPr>
              <w:t>、</w:t>
            </w:r>
            <w:r>
              <w:rPr>
                <w:rFonts w:hint="eastAsia" w:eastAsia="等线" w:cs="宋体"/>
                <w:color w:val="000000" w:themeColor="text1"/>
              </w:rPr>
              <w:t>8mm</w:t>
            </w:r>
            <w:r>
              <w:rPr>
                <w:rFonts w:hint="eastAsia" w:ascii="仿宋_GB2312" w:cs="宋体"/>
                <w:color w:val="000000" w:themeColor="text1"/>
              </w:rPr>
              <w:t>可选</w:t>
            </w:r>
            <w:r>
              <w:rPr>
                <w:rFonts w:hint="eastAsia" w:eastAsia="等线" w:cs="宋体"/>
                <w:color w:val="000000" w:themeColor="text1"/>
              </w:rPr>
              <w:t>);</w:t>
            </w:r>
            <w:r>
              <w:rPr>
                <w:rFonts w:hint="eastAsia" w:ascii="仿宋_GB2312" w:cs="宋体"/>
                <w:color w:val="000000" w:themeColor="text1"/>
              </w:rPr>
              <w:t>调整角度水平</w:t>
            </w:r>
            <w:r>
              <w:rPr>
                <w:rFonts w:hint="eastAsia" w:eastAsia="等线" w:cs="宋体"/>
                <w:color w:val="000000" w:themeColor="text1"/>
              </w:rPr>
              <w:t>:0°~360°;</w:t>
            </w:r>
            <w:r>
              <w:rPr>
                <w:rFonts w:hint="eastAsia" w:ascii="仿宋_GB2312" w:cs="宋体"/>
                <w:color w:val="000000" w:themeColor="text1"/>
              </w:rPr>
              <w:t>垂直</w:t>
            </w:r>
            <w:r>
              <w:rPr>
                <w:rFonts w:hint="eastAsia" w:eastAsia="等线" w:cs="宋体"/>
                <w:color w:val="000000" w:themeColor="text1"/>
              </w:rPr>
              <w:t>:0°~ 75°;</w:t>
            </w:r>
            <w:r>
              <w:rPr>
                <w:rFonts w:hint="eastAsia" w:ascii="仿宋_GB2312" w:cs="宋体"/>
                <w:color w:val="000000" w:themeColor="text1"/>
              </w:rPr>
              <w:t>旋转</w:t>
            </w:r>
            <w:r>
              <w:rPr>
                <w:rFonts w:hint="eastAsia" w:eastAsia="等线" w:cs="宋体"/>
                <w:color w:val="000000" w:themeColor="text1"/>
              </w:rPr>
              <w:t>:0°~360°;</w:t>
            </w:r>
            <w:r>
              <w:rPr>
                <w:rFonts w:hint="eastAsia" w:ascii="仿宋_GB2312" w:cs="宋体"/>
                <w:color w:val="000000" w:themeColor="text1"/>
              </w:rPr>
              <w:t>数字降噪</w:t>
            </w:r>
            <w:r>
              <w:rPr>
                <w:rFonts w:hint="eastAsia" w:eastAsia="等线" w:cs="宋体"/>
                <w:color w:val="000000" w:themeColor="text1"/>
              </w:rPr>
              <w:t xml:space="preserve"> 3D</w:t>
            </w:r>
            <w:r>
              <w:rPr>
                <w:rFonts w:hint="eastAsia" w:ascii="仿宋_GB2312" w:cs="宋体"/>
                <w:color w:val="000000" w:themeColor="text1"/>
              </w:rPr>
              <w:t>数字降噪</w:t>
            </w:r>
            <w:r>
              <w:rPr>
                <w:rFonts w:hint="eastAsia" w:eastAsia="等线" w:cs="宋体"/>
                <w:color w:val="000000" w:themeColor="text1"/>
              </w:rPr>
              <w:t>;</w:t>
            </w:r>
            <w:r>
              <w:rPr>
                <w:rFonts w:hint="eastAsia" w:ascii="仿宋_GB2312" w:cs="宋体"/>
                <w:color w:val="000000" w:themeColor="text1"/>
              </w:rPr>
              <w:t>宽动态范围</w:t>
            </w:r>
            <w:r>
              <w:rPr>
                <w:rFonts w:hint="eastAsia" w:eastAsia="等线" w:cs="宋体"/>
                <w:color w:val="000000" w:themeColor="text1"/>
              </w:rPr>
              <w:t xml:space="preserve"> 120dB;</w:t>
            </w:r>
            <w:r>
              <w:rPr>
                <w:rFonts w:hint="eastAsia" w:ascii="仿宋_GB2312" w:cs="宋体"/>
                <w:color w:val="000000" w:themeColor="text1"/>
              </w:rPr>
              <w:t>视频压缩标准</w:t>
            </w:r>
            <w:r>
              <w:rPr>
                <w:rFonts w:hint="eastAsia" w:eastAsia="等线" w:cs="宋体"/>
                <w:color w:val="000000" w:themeColor="text1"/>
              </w:rPr>
              <w:t xml:space="preserve"> H.265 / H.264 / MJPEG;H.265</w:t>
            </w:r>
            <w:r>
              <w:rPr>
                <w:rFonts w:hint="eastAsia" w:ascii="仿宋_GB2312" w:cs="宋体"/>
                <w:color w:val="000000" w:themeColor="text1"/>
              </w:rPr>
              <w:t>编码类型</w:t>
            </w:r>
            <w:r>
              <w:rPr>
                <w:rFonts w:hint="eastAsia" w:eastAsia="等线" w:cs="宋体"/>
                <w:color w:val="000000" w:themeColor="text1"/>
              </w:rPr>
              <w:t xml:space="preserve"> Main Profile;</w:t>
            </w:r>
            <w:r>
              <w:rPr>
                <w:rFonts w:hint="eastAsia" w:ascii="仿宋_GB2312" w:cs="宋体"/>
                <w:color w:val="000000" w:themeColor="text1"/>
              </w:rPr>
              <w:t>帧率</w:t>
            </w:r>
            <w:r>
              <w:rPr>
                <w:rFonts w:hint="eastAsia" w:eastAsia="等线" w:cs="宋体"/>
                <w:color w:val="000000" w:themeColor="text1"/>
              </w:rPr>
              <w:t xml:space="preserve"> 50Hz: 25fps (1920 × 1080,1280 × 960,1280 × 720);</w:t>
            </w:r>
            <w:r>
              <w:rPr>
                <w:rFonts w:hint="eastAsia" w:ascii="仿宋_GB2312" w:cs="宋体"/>
                <w:color w:val="000000" w:themeColor="text1"/>
              </w:rPr>
              <w:t>感兴趣区域</w:t>
            </w:r>
            <w:r>
              <w:rPr>
                <w:rFonts w:hint="eastAsia" w:eastAsia="等线" w:cs="宋体"/>
                <w:color w:val="000000" w:themeColor="text1"/>
              </w:rPr>
              <w:t xml:space="preserve"> ROI</w:t>
            </w:r>
            <w:r>
              <w:rPr>
                <w:rFonts w:hint="eastAsia" w:ascii="仿宋_GB2312" w:cs="宋体"/>
                <w:color w:val="000000" w:themeColor="text1"/>
              </w:rPr>
              <w:t>支持三码流分别设置</w:t>
            </w:r>
            <w:r>
              <w:rPr>
                <w:rFonts w:hint="eastAsia" w:eastAsia="等线" w:cs="宋体"/>
                <w:color w:val="000000" w:themeColor="text1"/>
              </w:rPr>
              <w:t>1</w:t>
            </w:r>
            <w:r>
              <w:rPr>
                <w:rFonts w:hint="eastAsia" w:ascii="仿宋_GB2312" w:cs="宋体"/>
                <w:color w:val="000000" w:themeColor="text1"/>
              </w:rPr>
              <w:t>个固定区域</w:t>
            </w:r>
            <w:r>
              <w:rPr>
                <w:rFonts w:hint="eastAsia" w:eastAsia="等线" w:cs="宋体"/>
                <w:color w:val="000000" w:themeColor="text1"/>
              </w:rPr>
              <w:t>;</w:t>
            </w:r>
            <w:r>
              <w:rPr>
                <w:rFonts w:hint="eastAsia" w:ascii="仿宋_GB2312" w:cs="宋体"/>
                <w:color w:val="000000" w:themeColor="text1"/>
              </w:rPr>
              <w:t>存储功能</w:t>
            </w:r>
            <w:r>
              <w:rPr>
                <w:rFonts w:hint="eastAsia" w:eastAsia="等线" w:cs="宋体"/>
                <w:color w:val="000000" w:themeColor="text1"/>
              </w:rPr>
              <w:t xml:space="preserve"> NAS(NFS,SMB/CIFS</w:t>
            </w:r>
            <w:r>
              <w:rPr>
                <w:rFonts w:hint="eastAsia" w:ascii="仿宋_GB2312" w:cs="宋体"/>
                <w:color w:val="000000" w:themeColor="text1"/>
              </w:rPr>
              <w:t>均支持</w:t>
            </w:r>
            <w:r>
              <w:rPr>
                <w:rFonts w:hint="eastAsia" w:eastAsia="等线" w:cs="宋体"/>
                <w:color w:val="000000" w:themeColor="text1"/>
              </w:rPr>
              <w:t>);</w:t>
            </w:r>
            <w:r>
              <w:rPr>
                <w:rFonts w:hint="eastAsia" w:ascii="仿宋_GB2312" w:cs="宋体"/>
                <w:color w:val="000000" w:themeColor="text1"/>
              </w:rPr>
              <w:t>智能报警越界侦测</w:t>
            </w:r>
            <w:r>
              <w:rPr>
                <w:rFonts w:hint="eastAsia" w:eastAsia="等线" w:cs="宋体"/>
                <w:color w:val="000000" w:themeColor="text1"/>
              </w:rPr>
              <w:t>,</w:t>
            </w:r>
            <w:r>
              <w:rPr>
                <w:rFonts w:hint="eastAsia" w:ascii="仿宋_GB2312" w:cs="宋体"/>
                <w:color w:val="000000" w:themeColor="text1"/>
              </w:rPr>
              <w:t>区域入侵侦测</w:t>
            </w:r>
            <w:r>
              <w:rPr>
                <w:rFonts w:hint="eastAsia" w:eastAsia="等线" w:cs="宋体"/>
                <w:color w:val="000000" w:themeColor="text1"/>
              </w:rPr>
              <w:t>,</w:t>
            </w:r>
            <w:r>
              <w:rPr>
                <w:rFonts w:hint="eastAsia" w:ascii="仿宋_GB2312" w:cs="宋体"/>
                <w:color w:val="000000" w:themeColor="text1"/>
              </w:rPr>
              <w:t>场景变更侦测</w:t>
            </w:r>
            <w:r>
              <w:rPr>
                <w:rFonts w:hint="eastAsia" w:eastAsia="等线" w:cs="宋体"/>
                <w:color w:val="000000" w:themeColor="text1"/>
              </w:rPr>
              <w:t>,</w:t>
            </w:r>
            <w:r>
              <w:rPr>
                <w:rFonts w:hint="eastAsia" w:ascii="仿宋_GB2312" w:cs="宋体"/>
                <w:color w:val="000000" w:themeColor="text1"/>
              </w:rPr>
              <w:t>人脸侦测</w:t>
            </w:r>
            <w:r>
              <w:rPr>
                <w:rFonts w:hint="eastAsia" w:eastAsia="等线" w:cs="宋体"/>
                <w:color w:val="000000" w:themeColor="text1"/>
              </w:rPr>
              <w:t>,</w:t>
            </w:r>
            <w:r>
              <w:rPr>
                <w:rFonts w:hint="eastAsia" w:ascii="仿宋_GB2312" w:cs="宋体"/>
                <w:color w:val="000000" w:themeColor="text1"/>
              </w:rPr>
              <w:t>虚焦侦测</w:t>
            </w:r>
            <w:r>
              <w:rPr>
                <w:rFonts w:hint="eastAsia" w:eastAsia="等线" w:cs="宋体"/>
                <w:color w:val="000000" w:themeColor="text1"/>
              </w:rPr>
              <w:t>,</w:t>
            </w:r>
            <w:r>
              <w:rPr>
                <w:rFonts w:hint="eastAsia" w:ascii="仿宋_GB2312" w:cs="宋体"/>
                <w:color w:val="000000" w:themeColor="text1"/>
              </w:rPr>
              <w:t>物品遗留侦测</w:t>
            </w:r>
            <w:r>
              <w:rPr>
                <w:rFonts w:hint="eastAsia" w:eastAsia="等线" w:cs="宋体"/>
                <w:color w:val="000000" w:themeColor="text1"/>
              </w:rPr>
              <w:t>,</w:t>
            </w:r>
            <w:r>
              <w:rPr>
                <w:rFonts w:hint="eastAsia" w:ascii="仿宋_GB2312" w:cs="宋体"/>
                <w:color w:val="000000" w:themeColor="text1"/>
              </w:rPr>
              <w:t>物品拾取侦测</w:t>
            </w:r>
            <w:r>
              <w:rPr>
                <w:rFonts w:hint="eastAsia" w:eastAsia="等线" w:cs="宋体"/>
                <w:color w:val="000000" w:themeColor="text1"/>
              </w:rPr>
              <w:t>,</w:t>
            </w:r>
            <w:r>
              <w:rPr>
                <w:rFonts w:hint="eastAsia" w:ascii="仿宋_GB2312" w:cs="宋体"/>
                <w:color w:val="000000" w:themeColor="text1"/>
              </w:rPr>
              <w:t>非法停车侦测</w:t>
            </w:r>
            <w:r>
              <w:rPr>
                <w:rFonts w:hint="eastAsia" w:eastAsia="等线" w:cs="宋体"/>
                <w:color w:val="000000" w:themeColor="text1"/>
              </w:rPr>
              <w:t>,</w:t>
            </w:r>
            <w:r>
              <w:rPr>
                <w:rFonts w:hint="eastAsia" w:ascii="仿宋_GB2312" w:cs="宋体"/>
                <w:color w:val="000000" w:themeColor="text1"/>
              </w:rPr>
              <w:t>人员聚集侦测</w:t>
            </w:r>
            <w:r>
              <w:rPr>
                <w:rFonts w:hint="eastAsia" w:eastAsia="等线" w:cs="宋体"/>
                <w:color w:val="000000" w:themeColor="text1"/>
              </w:rPr>
              <w:t>,</w:t>
            </w:r>
            <w:r>
              <w:rPr>
                <w:rFonts w:hint="eastAsia" w:ascii="仿宋_GB2312" w:cs="宋体"/>
                <w:color w:val="000000" w:themeColor="text1"/>
              </w:rPr>
              <w:t>徘徊侦测</w:t>
            </w:r>
            <w:r>
              <w:rPr>
                <w:rFonts w:hint="eastAsia" w:eastAsia="等线" w:cs="宋体"/>
                <w:color w:val="000000" w:themeColor="text1"/>
              </w:rPr>
              <w:t>,</w:t>
            </w:r>
            <w:r>
              <w:rPr>
                <w:rFonts w:hint="eastAsia" w:ascii="仿宋_GB2312" w:cs="宋体"/>
                <w:color w:val="000000" w:themeColor="text1"/>
              </w:rPr>
              <w:t>快速移动侦测</w:t>
            </w:r>
            <w:r>
              <w:rPr>
                <w:rFonts w:hint="eastAsia" w:eastAsia="等线" w:cs="宋体"/>
                <w:color w:val="000000" w:themeColor="text1"/>
              </w:rPr>
              <w:t>,</w:t>
            </w:r>
            <w:r>
              <w:rPr>
                <w:rFonts w:hint="eastAsia" w:ascii="仿宋_GB2312" w:cs="宋体"/>
                <w:color w:val="000000" w:themeColor="text1"/>
              </w:rPr>
              <w:t>进入区域侦测</w:t>
            </w:r>
            <w:r>
              <w:rPr>
                <w:rFonts w:hint="eastAsia" w:eastAsia="等线" w:cs="宋体"/>
                <w:color w:val="000000" w:themeColor="text1"/>
              </w:rPr>
              <w:t>,</w:t>
            </w:r>
            <w:r>
              <w:rPr>
                <w:rFonts w:hint="eastAsia" w:ascii="仿宋_GB2312" w:cs="宋体"/>
                <w:color w:val="000000" w:themeColor="text1"/>
              </w:rPr>
              <w:t>离开区域侦测</w:t>
            </w:r>
            <w:r>
              <w:rPr>
                <w:rFonts w:hint="eastAsia" w:eastAsia="等线" w:cs="宋体"/>
                <w:color w:val="000000" w:themeColor="text1"/>
              </w:rPr>
              <w:t>;</w:t>
            </w:r>
            <w:r>
              <w:rPr>
                <w:rFonts w:hint="eastAsia" w:ascii="仿宋_GB2312" w:cs="宋体"/>
                <w:color w:val="000000" w:themeColor="text1"/>
              </w:rPr>
              <w:t>工作温度和湿度</w:t>
            </w:r>
            <w:r>
              <w:rPr>
                <w:rFonts w:hint="eastAsia" w:eastAsia="等线" w:cs="宋体"/>
                <w:color w:val="000000" w:themeColor="text1"/>
              </w:rPr>
              <w:t xml:space="preserve"> -30</w:t>
            </w:r>
            <w:r>
              <w:rPr>
                <w:rFonts w:hint="eastAsia" w:ascii="仿宋_GB2312" w:cs="宋体"/>
                <w:color w:val="000000" w:themeColor="text1"/>
              </w:rPr>
              <w:t>℃</w:t>
            </w:r>
            <w:r>
              <w:rPr>
                <w:rFonts w:hint="eastAsia" w:eastAsia="等线" w:cs="宋体"/>
                <w:color w:val="000000" w:themeColor="text1"/>
              </w:rPr>
              <w:t>~60</w:t>
            </w:r>
            <w:r>
              <w:rPr>
                <w:rFonts w:hint="eastAsia" w:ascii="仿宋_GB2312" w:cs="宋体"/>
                <w:color w:val="000000" w:themeColor="text1"/>
              </w:rPr>
              <w:t>℃</w:t>
            </w:r>
            <w:r>
              <w:rPr>
                <w:rFonts w:hint="eastAsia" w:eastAsia="等线" w:cs="宋体"/>
                <w:color w:val="000000" w:themeColor="text1"/>
              </w:rPr>
              <w:t>,</w:t>
            </w:r>
            <w:r>
              <w:rPr>
                <w:rFonts w:hint="eastAsia" w:ascii="仿宋_GB2312" w:cs="宋体"/>
                <w:color w:val="000000" w:themeColor="text1"/>
              </w:rPr>
              <w:t>湿度小于</w:t>
            </w:r>
            <w:r>
              <w:rPr>
                <w:rFonts w:hint="eastAsia" w:eastAsia="等线" w:cs="宋体"/>
                <w:color w:val="000000" w:themeColor="text1"/>
              </w:rPr>
              <w:t>95%(</w:t>
            </w:r>
            <w:r>
              <w:rPr>
                <w:rFonts w:hint="eastAsia" w:ascii="仿宋_GB2312" w:cs="宋体"/>
                <w:color w:val="000000" w:themeColor="text1"/>
              </w:rPr>
              <w:t>无凝结</w:t>
            </w:r>
            <w:r>
              <w:rPr>
                <w:rFonts w:hint="eastAsia" w:eastAsia="等线" w:cs="宋体"/>
                <w:color w:val="000000" w:themeColor="text1"/>
              </w:rPr>
              <w:t>);</w:t>
            </w:r>
            <w:r>
              <w:rPr>
                <w:rFonts w:hint="eastAsia" w:ascii="仿宋_GB2312" w:cs="宋体"/>
                <w:color w:val="000000" w:themeColor="text1"/>
              </w:rPr>
              <w:t>电源供应</w:t>
            </w:r>
            <w:r>
              <w:rPr>
                <w:rFonts w:hint="eastAsia" w:eastAsia="等线" w:cs="宋体"/>
                <w:color w:val="000000" w:themeColor="text1"/>
              </w:rPr>
              <w:t xml:space="preserve"> DC12V±25%;</w:t>
            </w:r>
            <w:r>
              <w:rPr>
                <w:rFonts w:hint="eastAsia" w:ascii="仿宋_GB2312" w:cs="宋体"/>
                <w:color w:val="000000" w:themeColor="text1"/>
              </w:rPr>
              <w:t>电源接口类型圆头电源接口</w:t>
            </w:r>
            <w:r>
              <w:rPr>
                <w:rFonts w:hint="eastAsia" w:eastAsia="等线" w:cs="宋体"/>
                <w:color w:val="000000" w:themeColor="text1"/>
              </w:rPr>
              <w:t>;</w:t>
            </w:r>
            <w:r>
              <w:rPr>
                <w:rFonts w:hint="eastAsia" w:ascii="仿宋_GB2312" w:cs="宋体"/>
                <w:color w:val="000000" w:themeColor="text1"/>
              </w:rPr>
              <w:t>功耗</w:t>
            </w:r>
            <w:r>
              <w:rPr>
                <w:rFonts w:hint="eastAsia" w:eastAsia="等线" w:cs="宋体"/>
                <w:color w:val="000000" w:themeColor="text1"/>
              </w:rPr>
              <w:t xml:space="preserve"> 4.5W MAX (ICR</w:t>
            </w:r>
            <w:r>
              <w:rPr>
                <w:rFonts w:hint="eastAsia" w:ascii="仿宋_GB2312" w:cs="宋体"/>
                <w:color w:val="000000" w:themeColor="text1"/>
              </w:rPr>
              <w:t>切换瞬间</w:t>
            </w:r>
            <w:r>
              <w:rPr>
                <w:rFonts w:hint="eastAsia" w:eastAsia="等线" w:cs="宋体"/>
                <w:color w:val="000000" w:themeColor="text1"/>
              </w:rPr>
              <w:t>7.5W);</w:t>
            </w:r>
            <w:r>
              <w:rPr>
                <w:rFonts w:hint="eastAsia" w:ascii="仿宋_GB2312" w:cs="宋体"/>
                <w:color w:val="000000" w:themeColor="text1"/>
              </w:rPr>
              <w:t>红外照射距离</w:t>
            </w:r>
            <w:r>
              <w:rPr>
                <w:rFonts w:hint="eastAsia" w:eastAsia="等线" w:cs="宋体"/>
                <w:color w:val="000000" w:themeColor="text1"/>
              </w:rPr>
              <w:t xml:space="preserve"> 20-30</w:t>
            </w:r>
            <w:r>
              <w:rPr>
                <w:rFonts w:hint="eastAsia" w:ascii="仿宋_GB2312" w:cs="宋体"/>
                <w:color w:val="000000" w:themeColor="text1"/>
              </w:rPr>
              <w:t>米</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4</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个</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8</w:t>
            </w:r>
            <w:r>
              <w:rPr>
                <w:rFonts w:hint="eastAsia" w:ascii="仿宋_GB2312" w:cs="宋体"/>
                <w:color w:val="000000" w:themeColor="text1"/>
              </w:rPr>
              <w:t>路存储</w:t>
            </w:r>
            <w:r>
              <w:rPr>
                <w:rFonts w:hint="eastAsia" w:eastAsia="等线" w:cs="宋体"/>
                <w:color w:val="000000" w:themeColor="text1"/>
              </w:rPr>
              <w:t>NVR</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1.5U</w:t>
            </w:r>
            <w:r>
              <w:rPr>
                <w:rFonts w:hint="eastAsia" w:ascii="仿宋_GB2312" w:cs="宋体"/>
                <w:color w:val="000000" w:themeColor="text1"/>
              </w:rPr>
              <w:t>标准机架式</w:t>
            </w:r>
            <w:r>
              <w:rPr>
                <w:rFonts w:hint="eastAsia" w:eastAsia="等线" w:cs="宋体"/>
                <w:color w:val="000000" w:themeColor="text1"/>
              </w:rPr>
              <w:t>IP</w:t>
            </w:r>
            <w:r>
              <w:rPr>
                <w:rFonts w:hint="eastAsia" w:ascii="仿宋_GB2312" w:cs="宋体"/>
                <w:color w:val="000000" w:themeColor="text1"/>
              </w:rPr>
              <w:t>存储</w:t>
            </w:r>
            <w:r>
              <w:rPr>
                <w:rFonts w:hint="eastAsia" w:eastAsia="等线" w:cs="宋体"/>
                <w:color w:val="000000" w:themeColor="text1"/>
              </w:rPr>
              <w:t>/</w:t>
            </w:r>
            <w:r>
              <w:rPr>
                <w:rFonts w:hint="eastAsia" w:ascii="仿宋_GB2312" w:cs="宋体"/>
                <w:color w:val="000000" w:themeColor="text1"/>
              </w:rPr>
              <w:t>嵌入式处理器</w:t>
            </w:r>
            <w:r>
              <w:rPr>
                <w:rFonts w:hint="eastAsia" w:eastAsia="等线" w:cs="宋体"/>
                <w:color w:val="000000" w:themeColor="text1"/>
              </w:rPr>
              <w:t>/</w:t>
            </w:r>
            <w:r>
              <w:rPr>
                <w:rFonts w:hint="eastAsia" w:ascii="仿宋_GB2312" w:cs="宋体"/>
                <w:color w:val="000000" w:themeColor="text1"/>
              </w:rPr>
              <w:t>嵌入式软硬件设计</w:t>
            </w:r>
            <w:r>
              <w:rPr>
                <w:rFonts w:hint="eastAsia" w:eastAsia="等线" w:cs="宋体"/>
                <w:color w:val="000000" w:themeColor="text1"/>
              </w:rPr>
              <w:t>/8</w:t>
            </w:r>
            <w:r>
              <w:rPr>
                <w:rFonts w:hint="eastAsia" w:ascii="仿宋_GB2312" w:cs="宋体"/>
                <w:color w:val="000000" w:themeColor="text1"/>
              </w:rPr>
              <w:t>路</w:t>
            </w:r>
            <w:r>
              <w:rPr>
                <w:rFonts w:hint="eastAsia" w:eastAsia="等线" w:cs="宋体"/>
                <w:color w:val="000000" w:themeColor="text1"/>
              </w:rPr>
              <w:t>/80M</w:t>
            </w:r>
            <w:r>
              <w:rPr>
                <w:rFonts w:hint="eastAsia" w:ascii="仿宋_GB2312" w:cs="宋体"/>
                <w:color w:val="000000" w:themeColor="text1"/>
              </w:rPr>
              <w:t>接入</w:t>
            </w:r>
            <w:r>
              <w:rPr>
                <w:rFonts w:hint="eastAsia" w:eastAsia="等线" w:cs="宋体"/>
                <w:color w:val="000000" w:themeColor="text1"/>
              </w:rPr>
              <w:t>/160M</w:t>
            </w:r>
            <w:r>
              <w:rPr>
                <w:rFonts w:hint="eastAsia" w:ascii="仿宋_GB2312" w:cs="宋体"/>
                <w:color w:val="000000" w:themeColor="text1"/>
              </w:rPr>
              <w:t>转发</w:t>
            </w:r>
            <w:r>
              <w:rPr>
                <w:rFonts w:hint="eastAsia" w:eastAsia="等线" w:cs="宋体"/>
                <w:color w:val="000000" w:themeColor="text1"/>
              </w:rPr>
              <w:t>/4</w:t>
            </w:r>
            <w:r>
              <w:rPr>
                <w:rFonts w:hint="eastAsia" w:ascii="仿宋_GB2312" w:cs="宋体"/>
                <w:color w:val="000000" w:themeColor="text1"/>
              </w:rPr>
              <w:t>盘位</w:t>
            </w:r>
            <w:r>
              <w:rPr>
                <w:rFonts w:hint="eastAsia" w:eastAsia="等线" w:cs="宋体"/>
                <w:color w:val="000000" w:themeColor="text1"/>
              </w:rPr>
              <w:t>/</w:t>
            </w:r>
            <w:r>
              <w:rPr>
                <w:rFonts w:hint="eastAsia" w:ascii="仿宋_GB2312" w:cs="宋体"/>
                <w:color w:val="000000" w:themeColor="text1"/>
              </w:rPr>
              <w:t>关键视频添加标签和加锁保护</w:t>
            </w:r>
            <w:r>
              <w:rPr>
                <w:rFonts w:hint="eastAsia" w:eastAsia="等线" w:cs="宋体"/>
                <w:color w:val="000000" w:themeColor="text1"/>
              </w:rPr>
              <w:t>/</w:t>
            </w:r>
            <w:r>
              <w:rPr>
                <w:rFonts w:hint="eastAsia" w:ascii="仿宋_GB2312" w:cs="宋体"/>
                <w:color w:val="000000" w:themeColor="text1"/>
              </w:rPr>
              <w:t>断网续传</w:t>
            </w:r>
            <w:r>
              <w:rPr>
                <w:rFonts w:hint="eastAsia" w:eastAsia="等线" w:cs="宋体"/>
                <w:color w:val="000000" w:themeColor="text1"/>
              </w:rPr>
              <w:t>/SMART 2.0/2</w:t>
            </w:r>
            <w:r>
              <w:rPr>
                <w:rFonts w:hint="eastAsia" w:ascii="仿宋_GB2312" w:cs="宋体"/>
                <w:color w:val="000000" w:themeColor="text1"/>
              </w:rPr>
              <w:t>个千兆以太网口</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3</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4T</w:t>
            </w:r>
            <w:r>
              <w:rPr>
                <w:rFonts w:hint="eastAsia" w:ascii="仿宋_GB2312" w:cs="宋体"/>
                <w:color w:val="000000" w:themeColor="text1"/>
              </w:rPr>
              <w:t>监控硬盘</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3.5</w:t>
            </w:r>
            <w:r>
              <w:rPr>
                <w:rFonts w:hint="eastAsia" w:ascii="仿宋_GB2312" w:cs="宋体"/>
                <w:color w:val="000000" w:themeColor="text1"/>
              </w:rPr>
              <w:t>英寸</w:t>
            </w:r>
            <w:r>
              <w:rPr>
                <w:rFonts w:hint="eastAsia" w:eastAsia="等线" w:cs="宋体"/>
                <w:color w:val="000000" w:themeColor="text1"/>
              </w:rPr>
              <w:t xml:space="preserve"> 4TB IntelliPower 64M SATA3</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块</w:t>
            </w:r>
          </w:p>
        </w:tc>
      </w:tr>
      <w:tr>
        <w:tblPrEx>
          <w:tblLayout w:type="fixed"/>
          <w:tblCellMar>
            <w:top w:w="0" w:type="dxa"/>
            <w:left w:w="108" w:type="dxa"/>
            <w:bottom w:w="0" w:type="dxa"/>
            <w:right w:w="108" w:type="dxa"/>
          </w:tblCellMar>
        </w:tblPrEx>
        <w:tc>
          <w:tcPr>
            <w:tcW w:w="8426" w:type="dxa"/>
            <w:gridSpan w:val="6"/>
            <w:tcBorders>
              <w:top w:val="single" w:color="auto" w:sz="8" w:space="0"/>
              <w:left w:val="single" w:color="auto" w:sz="8" w:space="0"/>
              <w:bottom w:val="single" w:color="auto" w:sz="8" w:space="0"/>
              <w:right w:val="nil"/>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七、综合布线系统</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1176"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综合布线系统</w:t>
            </w:r>
          </w:p>
        </w:tc>
        <w:tc>
          <w:tcPr>
            <w:tcW w:w="1180" w:type="dxa"/>
            <w:tcBorders>
              <w:top w:val="nil"/>
              <w:left w:val="nil"/>
              <w:bottom w:val="single" w:color="auto" w:sz="8" w:space="0"/>
              <w:right w:val="single" w:color="auto" w:sz="8"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六类信息模块</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六类非屏蔽信息模块</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20</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个</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电话模块</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电话模块</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20</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个</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3</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信息面板</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双口信息面板</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20</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个</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4</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六类非屏蔽网线</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六类</w:t>
            </w:r>
            <w:r>
              <w:rPr>
                <w:rFonts w:hint="eastAsia" w:eastAsia="等线" w:cs="宋体"/>
                <w:color w:val="000000" w:themeColor="text1"/>
              </w:rPr>
              <w:t>4</w:t>
            </w:r>
            <w:r>
              <w:rPr>
                <w:rFonts w:hint="eastAsia" w:ascii="仿宋_GB2312" w:hAnsi="宋体" w:cs="宋体"/>
                <w:color w:val="000000" w:themeColor="text1"/>
              </w:rPr>
              <w:t>对非屏蔽双绞线，低烟无卤，</w:t>
            </w:r>
            <w:r>
              <w:rPr>
                <w:rFonts w:hint="eastAsia" w:eastAsia="等线" w:cs="宋体"/>
                <w:color w:val="000000" w:themeColor="text1"/>
              </w:rPr>
              <w:t>305</w:t>
            </w:r>
            <w:r>
              <w:rPr>
                <w:rFonts w:hint="eastAsia" w:ascii="仿宋_GB2312" w:hAnsi="宋体" w:cs="宋体"/>
                <w:color w:val="000000" w:themeColor="text1"/>
              </w:rPr>
              <w:t>米</w:t>
            </w:r>
            <w:r>
              <w:rPr>
                <w:rFonts w:hint="eastAsia" w:eastAsia="等线" w:cs="宋体"/>
                <w:color w:val="000000" w:themeColor="text1"/>
              </w:rPr>
              <w:t>/</w:t>
            </w:r>
            <w:r>
              <w:rPr>
                <w:rFonts w:hint="eastAsia" w:ascii="仿宋_GB2312" w:hAnsi="宋体" w:cs="宋体"/>
                <w:color w:val="000000" w:themeColor="text1"/>
              </w:rPr>
              <w:t>箱</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12</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箱</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5</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六类</w:t>
            </w:r>
            <w:r>
              <w:rPr>
                <w:rFonts w:hint="eastAsia" w:eastAsia="等线" w:cs="宋体"/>
                <w:color w:val="000000" w:themeColor="text1"/>
              </w:rPr>
              <w:t>24</w:t>
            </w:r>
            <w:r>
              <w:rPr>
                <w:rFonts w:hint="eastAsia" w:ascii="仿宋_GB2312" w:hAnsi="宋体" w:cs="宋体"/>
                <w:color w:val="000000" w:themeColor="text1"/>
              </w:rPr>
              <w:t>口非屏蔽配线架</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六类</w:t>
            </w:r>
            <w:r>
              <w:rPr>
                <w:rFonts w:hint="eastAsia" w:eastAsia="等线" w:cs="宋体"/>
                <w:color w:val="000000" w:themeColor="text1"/>
              </w:rPr>
              <w:t>24</w:t>
            </w:r>
            <w:r>
              <w:rPr>
                <w:rFonts w:hint="eastAsia" w:ascii="仿宋_GB2312" w:hAnsi="宋体" w:cs="宋体"/>
                <w:color w:val="000000" w:themeColor="text1"/>
              </w:rPr>
              <w:t>口非屏蔽配线架</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4</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6</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KBG</w:t>
            </w:r>
            <w:r>
              <w:rPr>
                <w:rFonts w:hint="eastAsia" w:ascii="仿宋_GB2312" w:cs="宋体"/>
                <w:color w:val="000000" w:themeColor="text1"/>
              </w:rPr>
              <w:t>管</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直径</w:t>
            </w:r>
            <w:r>
              <w:rPr>
                <w:rFonts w:hint="eastAsia" w:eastAsia="等线" w:cs="宋体"/>
                <w:color w:val="000000" w:themeColor="text1"/>
              </w:rPr>
              <w:t>25/30</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800</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米</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7</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墙地面开槽</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墙地面开槽埋管及恢复</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200</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米</w:t>
            </w:r>
          </w:p>
        </w:tc>
      </w:tr>
      <w:tr>
        <w:tblPrEx>
          <w:tblLayout w:type="fixed"/>
          <w:tblCellMar>
            <w:top w:w="0" w:type="dxa"/>
            <w:left w:w="108" w:type="dxa"/>
            <w:bottom w:w="0" w:type="dxa"/>
            <w:right w:w="108" w:type="dxa"/>
          </w:tblCellMar>
        </w:tblPrEx>
        <w:tc>
          <w:tcPr>
            <w:tcW w:w="8426" w:type="dxa"/>
            <w:gridSpan w:val="6"/>
            <w:tcBorders>
              <w:top w:val="single" w:color="auto" w:sz="8" w:space="0"/>
              <w:left w:val="single" w:color="auto" w:sz="8" w:space="0"/>
              <w:bottom w:val="single" w:color="auto" w:sz="8" w:space="0"/>
              <w:right w:val="nil"/>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八、</w:t>
            </w:r>
            <w:r>
              <w:rPr>
                <w:rFonts w:hint="eastAsia" w:eastAsia="等线" w:cs="宋体"/>
                <w:color w:val="000000" w:themeColor="text1"/>
              </w:rPr>
              <w:t>1702</w:t>
            </w:r>
            <w:r>
              <w:rPr>
                <w:rFonts w:hint="eastAsia" w:ascii="仿宋_GB2312" w:hAnsi="宋体" w:cs="宋体"/>
                <w:color w:val="000000" w:themeColor="text1"/>
              </w:rPr>
              <w:t>会议室改造</w:t>
            </w:r>
          </w:p>
        </w:tc>
      </w:tr>
      <w:tr>
        <w:tblPrEx>
          <w:tblLayout w:type="fixed"/>
          <w:tblCellMar>
            <w:top w:w="0" w:type="dxa"/>
            <w:left w:w="108" w:type="dxa"/>
            <w:bottom w:w="0" w:type="dxa"/>
            <w:right w:w="108" w:type="dxa"/>
          </w:tblCellMar>
        </w:tblPrEx>
        <w:tc>
          <w:tcPr>
            <w:tcW w:w="469"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1176"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1702</w:t>
            </w:r>
            <w:r>
              <w:rPr>
                <w:rFonts w:hint="eastAsia" w:ascii="仿宋_GB2312" w:cs="宋体"/>
                <w:color w:val="000000" w:themeColor="text1"/>
              </w:rPr>
              <w:t>会议室改造</w:t>
            </w:r>
          </w:p>
        </w:tc>
        <w:tc>
          <w:tcPr>
            <w:tcW w:w="118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输入板</w:t>
            </w: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视频输入口：</w:t>
            </w:r>
            <w:r>
              <w:rPr>
                <w:rFonts w:hint="eastAsia" w:eastAsia="等线" w:cs="宋体"/>
                <w:color w:val="000000" w:themeColor="text1"/>
              </w:rPr>
              <w:t>8</w:t>
            </w:r>
            <w:r>
              <w:rPr>
                <w:rFonts w:hint="eastAsia" w:ascii="仿宋_GB2312" w:hAnsi="宋体" w:cs="宋体"/>
                <w:color w:val="000000" w:themeColor="text1"/>
              </w:rPr>
              <w:t>路视频输入，</w:t>
            </w:r>
            <w:r>
              <w:rPr>
                <w:rFonts w:hint="eastAsia" w:eastAsia="等线" w:cs="宋体"/>
                <w:color w:val="000000" w:themeColor="text1"/>
              </w:rPr>
              <w:t>4</w:t>
            </w:r>
            <w:r>
              <w:rPr>
                <w:rFonts w:hint="eastAsia" w:ascii="仿宋_GB2312" w:hAnsi="宋体" w:cs="宋体"/>
                <w:color w:val="000000" w:themeColor="text1"/>
              </w:rPr>
              <w:t>个</w:t>
            </w:r>
            <w:r>
              <w:rPr>
                <w:rFonts w:hint="eastAsia" w:eastAsia="等线" w:cs="宋体"/>
                <w:color w:val="000000" w:themeColor="text1"/>
              </w:rPr>
              <w:t>VGA</w:t>
            </w:r>
            <w:r>
              <w:rPr>
                <w:rFonts w:hint="eastAsia" w:ascii="仿宋_GB2312" w:hAnsi="宋体" w:cs="宋体"/>
                <w:color w:val="000000" w:themeColor="text1"/>
              </w:rPr>
              <w:t>和</w:t>
            </w:r>
            <w:r>
              <w:rPr>
                <w:rFonts w:hint="eastAsia" w:eastAsia="等线" w:cs="宋体"/>
                <w:color w:val="000000" w:themeColor="text1"/>
              </w:rPr>
              <w:t>4</w:t>
            </w:r>
            <w:r>
              <w:rPr>
                <w:rFonts w:hint="eastAsia" w:ascii="仿宋_GB2312" w:hAnsi="宋体" w:cs="宋体"/>
                <w:color w:val="000000" w:themeColor="text1"/>
              </w:rPr>
              <w:t>个</w:t>
            </w:r>
            <w:r>
              <w:rPr>
                <w:rFonts w:hint="eastAsia" w:eastAsia="等线" w:cs="宋体"/>
                <w:color w:val="000000" w:themeColor="text1"/>
              </w:rPr>
              <w:t>DVI</w:t>
            </w:r>
            <w:r>
              <w:rPr>
                <w:rFonts w:hint="eastAsia" w:ascii="仿宋_GB2312" w:hAnsi="宋体" w:cs="宋体"/>
                <w:color w:val="000000" w:themeColor="text1"/>
              </w:rPr>
              <w:t>；</w:t>
            </w:r>
          </w:p>
        </w:tc>
        <w:tc>
          <w:tcPr>
            <w:tcW w:w="775"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vMerge w:val="restart"/>
            <w:tcBorders>
              <w:top w:val="nil"/>
              <w:left w:val="single" w:color="auto" w:sz="8" w:space="0"/>
              <w:bottom w:val="single" w:color="000000"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块</w:t>
            </w: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（原有拼接控制器扩容）</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输入分辨率：</w:t>
            </w:r>
            <w:r>
              <w:rPr>
                <w:rFonts w:hint="eastAsia" w:eastAsia="等线" w:cs="宋体"/>
                <w:color w:val="000000" w:themeColor="text1"/>
              </w:rPr>
              <w:t>1024×768@60Hz</w:t>
            </w:r>
            <w:r>
              <w:rPr>
                <w:rFonts w:hint="eastAsia" w:ascii="仿宋_GB2312" w:hAnsi="宋体" w:cs="宋体"/>
                <w:color w:val="000000" w:themeColor="text1"/>
              </w:rPr>
              <w:t>、</w:t>
            </w:r>
            <w:r>
              <w:rPr>
                <w:rFonts w:hint="eastAsia" w:eastAsia="等线" w:cs="宋体"/>
                <w:color w:val="000000" w:themeColor="text1"/>
              </w:rPr>
              <w:t>1280×1024@60Hz</w:t>
            </w:r>
            <w:r>
              <w:rPr>
                <w:rFonts w:hint="eastAsia" w:ascii="仿宋_GB2312" w:hAnsi="宋体" w:cs="宋体"/>
                <w:color w:val="000000" w:themeColor="text1"/>
              </w:rPr>
              <w:t>、</w:t>
            </w:r>
            <w:r>
              <w:rPr>
                <w:rFonts w:hint="eastAsia" w:eastAsia="等线" w:cs="宋体"/>
                <w:color w:val="000000" w:themeColor="text1"/>
              </w:rPr>
              <w:t>1280×800@60Hz</w:t>
            </w:r>
            <w:r>
              <w:rPr>
                <w:rFonts w:hint="eastAsia" w:ascii="仿宋_GB2312" w:hAnsi="宋体" w:cs="宋体"/>
                <w:color w:val="000000" w:themeColor="text1"/>
              </w:rPr>
              <w:t>、</w:t>
            </w:r>
            <w:r>
              <w:rPr>
                <w:rFonts w:hint="eastAsia" w:eastAsia="等线" w:cs="宋体"/>
                <w:color w:val="000000" w:themeColor="text1"/>
              </w:rPr>
              <w:t>1366×768@60Hz</w:t>
            </w:r>
            <w:r>
              <w:rPr>
                <w:rFonts w:hint="eastAsia" w:ascii="仿宋_GB2312" w:hAnsi="宋体" w:cs="宋体"/>
                <w:color w:val="000000" w:themeColor="text1"/>
              </w:rPr>
              <w:t>、</w:t>
            </w:r>
            <w:r>
              <w:rPr>
                <w:rFonts w:hint="eastAsia" w:eastAsia="等线" w:cs="宋体"/>
                <w:color w:val="000000" w:themeColor="text1"/>
              </w:rPr>
              <w:t>1440×900@60Hz</w:t>
            </w:r>
            <w:r>
              <w:rPr>
                <w:rFonts w:hint="eastAsia" w:ascii="仿宋_GB2312" w:hAnsi="宋体" w:cs="宋体"/>
                <w:color w:val="000000" w:themeColor="text1"/>
              </w:rPr>
              <w:t>、</w:t>
            </w:r>
            <w:r>
              <w:rPr>
                <w:rFonts w:hint="eastAsia" w:eastAsia="等线" w:cs="宋体"/>
                <w:color w:val="000000" w:themeColor="text1"/>
              </w:rPr>
              <w:t>1680×1050@60Hz</w:t>
            </w:r>
            <w:r>
              <w:rPr>
                <w:rFonts w:hint="eastAsia" w:ascii="仿宋_GB2312" w:hAnsi="宋体" w:cs="宋体"/>
                <w:color w:val="000000" w:themeColor="text1"/>
              </w:rPr>
              <w:t>、</w:t>
            </w:r>
            <w:r>
              <w:rPr>
                <w:rFonts w:hint="eastAsia" w:eastAsia="等线" w:cs="宋体"/>
                <w:color w:val="000000" w:themeColor="text1"/>
              </w:rPr>
              <w:t>1280×960@60Hz</w:t>
            </w:r>
            <w:r>
              <w:rPr>
                <w:rFonts w:hint="eastAsia" w:ascii="仿宋_GB2312" w:hAnsi="宋体" w:cs="宋体"/>
                <w:color w:val="000000" w:themeColor="text1"/>
              </w:rPr>
              <w:t>、</w:t>
            </w:r>
            <w:r>
              <w:rPr>
                <w:rFonts w:hint="eastAsia" w:eastAsia="等线" w:cs="宋体"/>
                <w:color w:val="000000" w:themeColor="text1"/>
              </w:rPr>
              <w:t>1600×1200@60Hz</w:t>
            </w:r>
            <w:r>
              <w:rPr>
                <w:rFonts w:hint="eastAsia" w:ascii="仿宋_GB2312" w:hAnsi="宋体" w:cs="宋体"/>
                <w:color w:val="000000" w:themeColor="text1"/>
              </w:rPr>
              <w:t>、</w:t>
            </w:r>
            <w:r>
              <w:rPr>
                <w:rFonts w:hint="eastAsia" w:eastAsia="等线" w:cs="宋体"/>
                <w:color w:val="000000" w:themeColor="text1"/>
              </w:rPr>
              <w:t>1280×720P@50Hz</w:t>
            </w:r>
            <w:r>
              <w:rPr>
                <w:rFonts w:hint="eastAsia" w:ascii="仿宋_GB2312" w:hAnsi="宋体" w:cs="宋体"/>
                <w:color w:val="000000" w:themeColor="text1"/>
              </w:rPr>
              <w:t>、</w:t>
            </w:r>
            <w:r>
              <w:rPr>
                <w:rFonts w:hint="eastAsia" w:eastAsia="等线" w:cs="宋体"/>
                <w:color w:val="000000" w:themeColor="text1"/>
              </w:rPr>
              <w:t>1280×720P@60Hz</w:t>
            </w:r>
            <w:r>
              <w:rPr>
                <w:rFonts w:hint="eastAsia" w:ascii="仿宋_GB2312" w:hAnsi="宋体" w:cs="宋体"/>
                <w:color w:val="000000" w:themeColor="text1"/>
              </w:rPr>
              <w:t>、</w:t>
            </w:r>
            <w:r>
              <w:rPr>
                <w:rFonts w:hint="eastAsia" w:eastAsia="等线" w:cs="宋体"/>
                <w:color w:val="000000" w:themeColor="text1"/>
              </w:rPr>
              <w:t>1920×1080I@50Hz</w:t>
            </w:r>
            <w:r>
              <w:rPr>
                <w:rFonts w:hint="eastAsia" w:ascii="仿宋_GB2312" w:hAnsi="宋体" w:cs="宋体"/>
                <w:color w:val="000000" w:themeColor="text1"/>
              </w:rPr>
              <w:t>、</w:t>
            </w:r>
            <w:r>
              <w:rPr>
                <w:rFonts w:hint="eastAsia" w:eastAsia="等线" w:cs="宋体"/>
                <w:color w:val="000000" w:themeColor="text1"/>
              </w:rPr>
              <w:t>1920×1080I@60Hz</w:t>
            </w:r>
            <w:r>
              <w:rPr>
                <w:rFonts w:hint="eastAsia" w:ascii="仿宋_GB2312" w:hAnsi="宋体" w:cs="宋体"/>
                <w:color w:val="000000" w:themeColor="text1"/>
              </w:rPr>
              <w:t>、</w:t>
            </w:r>
            <w:r>
              <w:rPr>
                <w:rFonts w:hint="eastAsia" w:eastAsia="等线" w:cs="宋体"/>
                <w:color w:val="000000" w:themeColor="text1"/>
              </w:rPr>
              <w:t>1920×1080P@50Hz</w:t>
            </w:r>
            <w:r>
              <w:rPr>
                <w:rFonts w:hint="eastAsia" w:ascii="仿宋_GB2312" w:hAnsi="宋体" w:cs="宋体"/>
                <w:color w:val="000000" w:themeColor="text1"/>
              </w:rPr>
              <w:t>、</w:t>
            </w:r>
            <w:r>
              <w:rPr>
                <w:rFonts w:hint="eastAsia" w:eastAsia="等线" w:cs="宋体"/>
                <w:color w:val="000000" w:themeColor="text1"/>
              </w:rPr>
              <w:t>1920×1080P@60Hz</w:t>
            </w:r>
            <w:r>
              <w:rPr>
                <w:rFonts w:hint="eastAsia" w:ascii="仿宋_GB2312" w:hAnsi="宋体" w:cs="宋体"/>
                <w:color w:val="000000" w:themeColor="text1"/>
              </w:rPr>
              <w:t>；</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80"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高清解码服务器</w:t>
            </w: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高清视音频解码器，采用</w:t>
            </w:r>
            <w:r>
              <w:rPr>
                <w:rFonts w:hint="eastAsia" w:eastAsia="等线" w:cs="宋体"/>
                <w:color w:val="000000" w:themeColor="text1"/>
              </w:rPr>
              <w:t>Linux</w:t>
            </w:r>
            <w:r>
              <w:rPr>
                <w:rFonts w:hint="eastAsia" w:ascii="仿宋_GB2312" w:hAnsi="宋体" w:cs="宋体"/>
                <w:color w:val="000000" w:themeColor="text1"/>
              </w:rPr>
              <w:t>操作系统，运行稳定可靠</w:t>
            </w:r>
          </w:p>
        </w:tc>
        <w:tc>
          <w:tcPr>
            <w:tcW w:w="775"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vMerge w:val="restart"/>
            <w:tcBorders>
              <w:top w:val="nil"/>
              <w:left w:val="single" w:color="auto" w:sz="8" w:space="0"/>
              <w:bottom w:val="single" w:color="000000"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输出接口：支持</w:t>
            </w:r>
            <w:r>
              <w:rPr>
                <w:rFonts w:hint="eastAsia" w:eastAsia="等线" w:cs="宋体"/>
                <w:color w:val="000000" w:themeColor="text1"/>
              </w:rPr>
              <w:t>8</w:t>
            </w:r>
            <w:r>
              <w:rPr>
                <w:rFonts w:hint="eastAsia" w:ascii="仿宋_GB2312" w:hAnsi="宋体" w:cs="宋体"/>
                <w:color w:val="000000" w:themeColor="text1"/>
              </w:rPr>
              <w:t>路</w:t>
            </w:r>
            <w:r>
              <w:rPr>
                <w:rFonts w:hint="eastAsia" w:eastAsia="等线" w:cs="宋体"/>
                <w:color w:val="000000" w:themeColor="text1"/>
              </w:rPr>
              <w:t>HDMI</w:t>
            </w:r>
            <w:r>
              <w:rPr>
                <w:rFonts w:hint="eastAsia" w:ascii="仿宋_GB2312" w:hAnsi="宋体" w:cs="宋体"/>
                <w:color w:val="000000" w:themeColor="text1"/>
              </w:rPr>
              <w:t>和</w:t>
            </w:r>
            <w:r>
              <w:rPr>
                <w:rFonts w:hint="eastAsia" w:eastAsia="等线" w:cs="宋体"/>
                <w:color w:val="000000" w:themeColor="text1"/>
              </w:rPr>
              <w:t>4</w:t>
            </w:r>
            <w:r>
              <w:rPr>
                <w:rFonts w:hint="eastAsia" w:ascii="仿宋_GB2312" w:hAnsi="宋体" w:cs="宋体"/>
                <w:color w:val="000000" w:themeColor="text1"/>
              </w:rPr>
              <w:t>路</w:t>
            </w:r>
            <w:r>
              <w:rPr>
                <w:rFonts w:hint="eastAsia" w:eastAsia="等线" w:cs="宋体"/>
                <w:color w:val="000000" w:themeColor="text1"/>
              </w:rPr>
              <w:t>BNC</w:t>
            </w:r>
            <w:r>
              <w:rPr>
                <w:rFonts w:hint="eastAsia" w:ascii="仿宋_GB2312" w:hAnsi="宋体" w:cs="宋体"/>
                <w:color w:val="000000" w:themeColor="text1"/>
              </w:rPr>
              <w:t>输出，</w:t>
            </w:r>
            <w:r>
              <w:rPr>
                <w:rFonts w:hint="eastAsia" w:eastAsia="等线" w:cs="宋体"/>
                <w:color w:val="000000" w:themeColor="text1"/>
              </w:rPr>
              <w:t>HDMI</w:t>
            </w:r>
            <w:r>
              <w:rPr>
                <w:rFonts w:hint="eastAsia" w:ascii="仿宋_GB2312" w:hAnsi="宋体" w:cs="宋体"/>
                <w:color w:val="000000" w:themeColor="text1"/>
              </w:rPr>
              <w:t>（可以转</w:t>
            </w:r>
            <w:r>
              <w:rPr>
                <w:rFonts w:hint="eastAsia" w:eastAsia="等线" w:cs="宋体"/>
                <w:color w:val="000000" w:themeColor="text1"/>
              </w:rPr>
              <w:t>DVI-D</w:t>
            </w:r>
            <w:r>
              <w:rPr>
                <w:rFonts w:hint="eastAsia" w:ascii="仿宋_GB2312" w:hAnsi="宋体" w:cs="宋体"/>
                <w:color w:val="000000" w:themeColor="text1"/>
              </w:rPr>
              <w:t>）（奇数口）输出分辨率最高支持</w:t>
            </w:r>
            <w:r>
              <w:rPr>
                <w:rFonts w:hint="eastAsia" w:eastAsia="等线" w:cs="宋体"/>
                <w:color w:val="000000" w:themeColor="text1"/>
              </w:rPr>
              <w:t>4K</w:t>
            </w:r>
            <w:r>
              <w:rPr>
                <w:rFonts w:hint="eastAsia" w:ascii="仿宋_GB2312" w:hAnsi="宋体" w:cs="宋体"/>
                <w:color w:val="000000" w:themeColor="text1"/>
              </w:rPr>
              <w:t>（</w:t>
            </w:r>
            <w:r>
              <w:rPr>
                <w:rFonts w:hint="eastAsia" w:eastAsia="等线" w:cs="宋体"/>
                <w:color w:val="000000" w:themeColor="text1"/>
              </w:rPr>
              <w:t>3840*2160@30HZ</w:t>
            </w:r>
            <w:r>
              <w:rPr>
                <w:rFonts w:hint="eastAsia" w:ascii="仿宋_GB2312" w:hAnsi="宋体" w:cs="宋体"/>
                <w:color w:val="000000" w:themeColor="text1"/>
              </w:rPr>
              <w:t>）</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编码格式：支持</w:t>
            </w:r>
            <w:r>
              <w:rPr>
                <w:rFonts w:hint="eastAsia" w:eastAsia="等线" w:cs="宋体"/>
                <w:color w:val="000000" w:themeColor="text1"/>
              </w:rPr>
              <w:t>H.265</w:t>
            </w:r>
            <w:r>
              <w:rPr>
                <w:rFonts w:hint="eastAsia" w:ascii="仿宋_GB2312" w:hAnsi="宋体" w:cs="宋体"/>
                <w:color w:val="000000" w:themeColor="text1"/>
              </w:rPr>
              <w:t>、</w:t>
            </w:r>
            <w:r>
              <w:rPr>
                <w:rFonts w:hint="eastAsia" w:eastAsia="等线" w:cs="宋体"/>
                <w:color w:val="000000" w:themeColor="text1"/>
              </w:rPr>
              <w:t>H.264</w:t>
            </w:r>
            <w:r>
              <w:rPr>
                <w:rFonts w:hint="eastAsia" w:ascii="仿宋_GB2312" w:hAnsi="宋体" w:cs="宋体"/>
                <w:color w:val="000000" w:themeColor="text1"/>
              </w:rPr>
              <w:t>、</w:t>
            </w:r>
            <w:r>
              <w:rPr>
                <w:rFonts w:hint="eastAsia" w:eastAsia="等线" w:cs="宋体"/>
                <w:color w:val="000000" w:themeColor="text1"/>
              </w:rPr>
              <w:t>MPEG4</w:t>
            </w:r>
            <w:r>
              <w:rPr>
                <w:rFonts w:hint="eastAsia" w:ascii="仿宋_GB2312" w:hAnsi="宋体" w:cs="宋体"/>
                <w:color w:val="000000" w:themeColor="text1"/>
              </w:rPr>
              <w:t>、</w:t>
            </w:r>
            <w:r>
              <w:rPr>
                <w:rFonts w:hint="eastAsia" w:eastAsia="等线" w:cs="宋体"/>
                <w:color w:val="000000" w:themeColor="text1"/>
              </w:rPr>
              <w:t>MJPEG</w:t>
            </w:r>
            <w:r>
              <w:rPr>
                <w:rFonts w:hint="eastAsia" w:ascii="仿宋_GB2312" w:hAnsi="宋体" w:cs="宋体"/>
                <w:color w:val="000000" w:themeColor="text1"/>
              </w:rPr>
              <w:t>等主流的编码格式；</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封装格式：支持</w:t>
            </w:r>
            <w:r>
              <w:rPr>
                <w:rFonts w:hint="eastAsia" w:eastAsia="等线" w:cs="宋体"/>
                <w:color w:val="000000" w:themeColor="text1"/>
              </w:rPr>
              <w:t>PS</w:t>
            </w:r>
            <w:r>
              <w:rPr>
                <w:rFonts w:hint="eastAsia" w:ascii="仿宋_GB2312" w:hAnsi="宋体" w:cs="宋体"/>
                <w:color w:val="000000" w:themeColor="text1"/>
              </w:rPr>
              <w:t>、</w:t>
            </w:r>
            <w:r>
              <w:rPr>
                <w:rFonts w:hint="eastAsia" w:eastAsia="等线" w:cs="宋体"/>
                <w:color w:val="000000" w:themeColor="text1"/>
              </w:rPr>
              <w:t>RTP</w:t>
            </w:r>
            <w:r>
              <w:rPr>
                <w:rFonts w:hint="eastAsia" w:ascii="仿宋_GB2312" w:hAnsi="宋体" w:cs="宋体"/>
                <w:color w:val="000000" w:themeColor="text1"/>
              </w:rPr>
              <w:t>、</w:t>
            </w:r>
            <w:r>
              <w:rPr>
                <w:rFonts w:hint="eastAsia" w:eastAsia="等线" w:cs="宋体"/>
                <w:color w:val="000000" w:themeColor="text1"/>
              </w:rPr>
              <w:t>TS</w:t>
            </w:r>
            <w:r>
              <w:rPr>
                <w:rFonts w:hint="eastAsia" w:ascii="仿宋_GB2312" w:hAnsi="宋体" w:cs="宋体"/>
                <w:color w:val="000000" w:themeColor="text1"/>
              </w:rPr>
              <w:t>、</w:t>
            </w:r>
            <w:r>
              <w:rPr>
                <w:rFonts w:hint="eastAsia" w:eastAsia="等线" w:cs="宋体"/>
                <w:color w:val="000000" w:themeColor="text1"/>
              </w:rPr>
              <w:t>ES</w:t>
            </w:r>
            <w:r>
              <w:rPr>
                <w:rFonts w:hint="eastAsia" w:ascii="仿宋_GB2312" w:hAnsi="宋体" w:cs="宋体"/>
                <w:color w:val="000000" w:themeColor="text1"/>
              </w:rPr>
              <w:t>等主流的封装格式；</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音频解码：支持</w:t>
            </w:r>
            <w:r>
              <w:rPr>
                <w:rFonts w:hint="eastAsia" w:eastAsia="等线" w:cs="宋体"/>
                <w:color w:val="000000" w:themeColor="text1"/>
              </w:rPr>
              <w:t>G.722</w:t>
            </w:r>
            <w:r>
              <w:rPr>
                <w:rFonts w:hint="eastAsia" w:ascii="仿宋_GB2312" w:hAnsi="宋体" w:cs="宋体"/>
                <w:color w:val="000000" w:themeColor="text1"/>
              </w:rPr>
              <w:t>、</w:t>
            </w:r>
            <w:r>
              <w:rPr>
                <w:rFonts w:hint="eastAsia" w:eastAsia="等线" w:cs="宋体"/>
                <w:color w:val="000000" w:themeColor="text1"/>
              </w:rPr>
              <w:t>G.711A</w:t>
            </w:r>
            <w:r>
              <w:rPr>
                <w:rFonts w:hint="eastAsia" w:ascii="仿宋_GB2312" w:hAnsi="宋体" w:cs="宋体"/>
                <w:color w:val="000000" w:themeColor="text1"/>
              </w:rPr>
              <w:t>、</w:t>
            </w:r>
            <w:r>
              <w:rPr>
                <w:rFonts w:hint="eastAsia" w:eastAsia="等线" w:cs="宋体"/>
                <w:color w:val="000000" w:themeColor="text1"/>
              </w:rPr>
              <w:t>G.726</w:t>
            </w:r>
            <w:r>
              <w:rPr>
                <w:rFonts w:hint="eastAsia" w:ascii="仿宋_GB2312" w:hAnsi="宋体" w:cs="宋体"/>
                <w:color w:val="000000" w:themeColor="text1"/>
              </w:rPr>
              <w:t>、</w:t>
            </w:r>
            <w:r>
              <w:rPr>
                <w:rFonts w:hint="eastAsia" w:eastAsia="等线" w:cs="宋体"/>
                <w:color w:val="000000" w:themeColor="text1"/>
              </w:rPr>
              <w:t>G.711U</w:t>
            </w:r>
            <w:r>
              <w:rPr>
                <w:rFonts w:hint="eastAsia" w:ascii="仿宋_GB2312" w:hAnsi="宋体" w:cs="宋体"/>
                <w:color w:val="000000" w:themeColor="text1"/>
              </w:rPr>
              <w:t>、</w:t>
            </w:r>
            <w:r>
              <w:rPr>
                <w:rFonts w:hint="eastAsia" w:eastAsia="等线" w:cs="宋体"/>
                <w:color w:val="000000" w:themeColor="text1"/>
              </w:rPr>
              <w:t>MPEG2-L2</w:t>
            </w:r>
            <w:r>
              <w:rPr>
                <w:rFonts w:hint="eastAsia" w:ascii="仿宋_GB2312" w:hAnsi="宋体" w:cs="宋体"/>
                <w:color w:val="000000" w:themeColor="text1"/>
              </w:rPr>
              <w:t>、</w:t>
            </w:r>
            <w:r>
              <w:rPr>
                <w:rFonts w:hint="eastAsia" w:eastAsia="等线" w:cs="宋体"/>
                <w:color w:val="000000" w:themeColor="text1"/>
              </w:rPr>
              <w:t>AAC</w:t>
            </w:r>
            <w:r>
              <w:rPr>
                <w:rFonts w:hint="eastAsia" w:ascii="仿宋_GB2312" w:hAnsi="宋体" w:cs="宋体"/>
                <w:color w:val="000000" w:themeColor="text1"/>
              </w:rPr>
              <w:t>音频格式的解码；</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解码能力：支持</w:t>
            </w:r>
            <w:r>
              <w:rPr>
                <w:rFonts w:hint="eastAsia" w:eastAsia="等线" w:cs="宋体"/>
                <w:color w:val="000000" w:themeColor="text1"/>
              </w:rPr>
              <w:t>8</w:t>
            </w:r>
            <w:r>
              <w:rPr>
                <w:rFonts w:hint="eastAsia" w:ascii="仿宋_GB2312" w:hAnsi="宋体" w:cs="宋体"/>
                <w:color w:val="000000" w:themeColor="text1"/>
              </w:rPr>
              <w:t>路</w:t>
            </w:r>
            <w:r>
              <w:rPr>
                <w:rFonts w:hint="eastAsia" w:eastAsia="等线" w:cs="宋体"/>
                <w:color w:val="000000" w:themeColor="text1"/>
              </w:rPr>
              <w:t>1200W</w:t>
            </w:r>
            <w:r>
              <w:rPr>
                <w:rFonts w:hint="eastAsia" w:ascii="仿宋_GB2312" w:hAnsi="宋体" w:cs="宋体"/>
                <w:color w:val="000000" w:themeColor="text1"/>
              </w:rPr>
              <w:t>，或</w:t>
            </w:r>
            <w:r>
              <w:rPr>
                <w:rFonts w:hint="eastAsia" w:eastAsia="等线" w:cs="宋体"/>
                <w:color w:val="000000" w:themeColor="text1"/>
              </w:rPr>
              <w:t>16</w:t>
            </w:r>
            <w:r>
              <w:rPr>
                <w:rFonts w:hint="eastAsia" w:ascii="仿宋_GB2312" w:hAnsi="宋体" w:cs="宋体"/>
                <w:color w:val="000000" w:themeColor="text1"/>
              </w:rPr>
              <w:t>路</w:t>
            </w:r>
            <w:r>
              <w:rPr>
                <w:rFonts w:hint="eastAsia" w:eastAsia="等线" w:cs="宋体"/>
                <w:color w:val="000000" w:themeColor="text1"/>
              </w:rPr>
              <w:t>800W</w:t>
            </w:r>
            <w:r>
              <w:rPr>
                <w:rFonts w:hint="eastAsia" w:ascii="仿宋_GB2312" w:hAnsi="宋体" w:cs="宋体"/>
                <w:color w:val="000000" w:themeColor="text1"/>
              </w:rPr>
              <w:t>，或</w:t>
            </w:r>
            <w:r>
              <w:rPr>
                <w:rFonts w:hint="eastAsia" w:eastAsia="等线" w:cs="宋体"/>
                <w:color w:val="000000" w:themeColor="text1"/>
              </w:rPr>
              <w:t>24</w:t>
            </w:r>
            <w:r>
              <w:rPr>
                <w:rFonts w:hint="eastAsia" w:ascii="仿宋_GB2312" w:hAnsi="宋体" w:cs="宋体"/>
                <w:color w:val="000000" w:themeColor="text1"/>
              </w:rPr>
              <w:t>路</w:t>
            </w:r>
            <w:r>
              <w:rPr>
                <w:rFonts w:hint="eastAsia" w:eastAsia="等线" w:cs="宋体"/>
                <w:color w:val="000000" w:themeColor="text1"/>
              </w:rPr>
              <w:t>500W</w:t>
            </w:r>
            <w:r>
              <w:rPr>
                <w:rFonts w:hint="eastAsia" w:ascii="仿宋_GB2312" w:hAnsi="宋体" w:cs="宋体"/>
                <w:color w:val="000000" w:themeColor="text1"/>
              </w:rPr>
              <w:t>，或</w:t>
            </w:r>
            <w:r>
              <w:rPr>
                <w:rFonts w:hint="eastAsia" w:eastAsia="等线" w:cs="宋体"/>
                <w:color w:val="000000" w:themeColor="text1"/>
              </w:rPr>
              <w:t>40</w:t>
            </w:r>
            <w:r>
              <w:rPr>
                <w:rFonts w:hint="eastAsia" w:ascii="仿宋_GB2312" w:hAnsi="宋体" w:cs="宋体"/>
                <w:color w:val="000000" w:themeColor="text1"/>
              </w:rPr>
              <w:t>路</w:t>
            </w:r>
            <w:r>
              <w:rPr>
                <w:rFonts w:hint="eastAsia" w:eastAsia="等线" w:cs="宋体"/>
                <w:color w:val="000000" w:themeColor="text1"/>
              </w:rPr>
              <w:t>300W</w:t>
            </w:r>
            <w:r>
              <w:rPr>
                <w:rFonts w:hint="eastAsia" w:ascii="仿宋_GB2312" w:hAnsi="宋体" w:cs="宋体"/>
                <w:color w:val="000000" w:themeColor="text1"/>
              </w:rPr>
              <w:t>，或</w:t>
            </w:r>
            <w:r>
              <w:rPr>
                <w:rFonts w:hint="eastAsia" w:eastAsia="等线" w:cs="宋体"/>
                <w:color w:val="000000" w:themeColor="text1"/>
              </w:rPr>
              <w:t>64</w:t>
            </w:r>
            <w:r>
              <w:rPr>
                <w:rFonts w:hint="eastAsia" w:ascii="仿宋_GB2312" w:hAnsi="宋体" w:cs="宋体"/>
                <w:color w:val="000000" w:themeColor="text1"/>
              </w:rPr>
              <w:t>路</w:t>
            </w:r>
            <w:r>
              <w:rPr>
                <w:rFonts w:hint="eastAsia" w:eastAsia="等线" w:cs="宋体"/>
                <w:color w:val="000000" w:themeColor="text1"/>
              </w:rPr>
              <w:t>1080P</w:t>
            </w:r>
            <w:r>
              <w:rPr>
                <w:rFonts w:hint="eastAsia" w:ascii="仿宋_GB2312" w:hAnsi="宋体" w:cs="宋体"/>
                <w:color w:val="000000" w:themeColor="text1"/>
              </w:rPr>
              <w:t>及以下分辨率同时实时解码；</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画面分割：支持</w:t>
            </w:r>
            <w:r>
              <w:rPr>
                <w:rFonts w:hint="eastAsia" w:eastAsia="等线" w:cs="宋体"/>
                <w:color w:val="000000" w:themeColor="text1"/>
              </w:rPr>
              <w:t>1/4/6/8/9/12/16/25/36</w:t>
            </w:r>
            <w:r>
              <w:rPr>
                <w:rFonts w:hint="eastAsia" w:ascii="仿宋_GB2312" w:hAnsi="宋体" w:cs="宋体"/>
                <w:color w:val="000000" w:themeColor="text1"/>
              </w:rPr>
              <w:t>画面分割</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网络接口：</w:t>
            </w:r>
            <w:r>
              <w:rPr>
                <w:rFonts w:hint="eastAsia" w:eastAsia="等线" w:cs="宋体"/>
                <w:color w:val="000000" w:themeColor="text1"/>
              </w:rPr>
              <w:t>2</w:t>
            </w:r>
            <w:r>
              <w:rPr>
                <w:rFonts w:hint="eastAsia" w:ascii="仿宋_GB2312" w:hAnsi="宋体" w:cs="宋体"/>
                <w:color w:val="000000" w:themeColor="text1"/>
              </w:rPr>
              <w:t>个</w:t>
            </w:r>
            <w:r>
              <w:rPr>
                <w:rFonts w:hint="eastAsia" w:eastAsia="等线" w:cs="宋体"/>
                <w:color w:val="000000" w:themeColor="text1"/>
              </w:rPr>
              <w:t>RJ45 10M/100M/1000Mbps</w:t>
            </w:r>
            <w:r>
              <w:rPr>
                <w:rFonts w:hint="eastAsia" w:ascii="仿宋_GB2312" w:hAnsi="宋体" w:cs="宋体"/>
                <w:color w:val="000000" w:themeColor="text1"/>
              </w:rPr>
              <w:t>自适应管理网口</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2</w:t>
            </w:r>
            <w:r>
              <w:rPr>
                <w:rFonts w:hint="eastAsia" w:ascii="仿宋_GB2312" w:cs="宋体"/>
                <w:color w:val="000000" w:themeColor="text1"/>
              </w:rPr>
              <w:t>个</w:t>
            </w:r>
            <w:r>
              <w:rPr>
                <w:rFonts w:hint="eastAsia" w:eastAsia="等线" w:cs="宋体"/>
                <w:color w:val="000000" w:themeColor="text1"/>
              </w:rPr>
              <w:t>RJ45 10M/100M/1000Mbps</w:t>
            </w:r>
            <w:r>
              <w:rPr>
                <w:rFonts w:hint="eastAsia" w:ascii="仿宋_GB2312" w:cs="宋体"/>
                <w:color w:val="000000" w:themeColor="text1"/>
              </w:rPr>
              <w:t>自适应以太网接口</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16</w:t>
            </w:r>
            <w:r>
              <w:rPr>
                <w:rFonts w:hint="eastAsia" w:ascii="仿宋_GB2312" w:cs="宋体"/>
                <w:color w:val="000000" w:themeColor="text1"/>
              </w:rPr>
              <w:t>个</w:t>
            </w:r>
            <w:r>
              <w:rPr>
                <w:rFonts w:hint="eastAsia" w:eastAsia="等线" w:cs="宋体"/>
                <w:color w:val="000000" w:themeColor="text1"/>
              </w:rPr>
              <w:t>RJ45 10M/100M</w:t>
            </w:r>
            <w:r>
              <w:rPr>
                <w:rFonts w:hint="eastAsia" w:ascii="仿宋_GB2312" w:cs="宋体"/>
                <w:color w:val="000000" w:themeColor="text1"/>
              </w:rPr>
              <w:t>自适应以太网接口</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音频接口：支持</w:t>
            </w:r>
            <w:r>
              <w:rPr>
                <w:rFonts w:hint="eastAsia" w:eastAsia="等线" w:cs="宋体"/>
                <w:color w:val="000000" w:themeColor="text1"/>
              </w:rPr>
              <w:t>8</w:t>
            </w:r>
            <w:r>
              <w:rPr>
                <w:rFonts w:hint="eastAsia" w:ascii="仿宋_GB2312" w:hAnsi="宋体" w:cs="宋体"/>
                <w:color w:val="000000" w:themeColor="text1"/>
              </w:rPr>
              <w:t>路音频输出，</w:t>
            </w:r>
            <w:r>
              <w:rPr>
                <w:rFonts w:hint="eastAsia" w:eastAsia="等线" w:cs="宋体"/>
                <w:color w:val="000000" w:themeColor="text1"/>
              </w:rPr>
              <w:t>1</w:t>
            </w:r>
            <w:r>
              <w:rPr>
                <w:rFonts w:hint="eastAsia" w:ascii="仿宋_GB2312" w:hAnsi="宋体" w:cs="宋体"/>
                <w:color w:val="000000" w:themeColor="text1"/>
              </w:rPr>
              <w:t>路对讲输入，</w:t>
            </w:r>
            <w:r>
              <w:rPr>
                <w:rFonts w:hint="eastAsia" w:eastAsia="等线" w:cs="宋体"/>
                <w:color w:val="000000" w:themeColor="text1"/>
              </w:rPr>
              <w:t>1</w:t>
            </w:r>
            <w:r>
              <w:rPr>
                <w:rFonts w:hint="eastAsia" w:ascii="仿宋_GB2312" w:hAnsi="宋体" w:cs="宋体"/>
                <w:color w:val="000000" w:themeColor="text1"/>
              </w:rPr>
              <w:t>路对讲输出</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串行接口：一个标准</w:t>
            </w:r>
            <w:r>
              <w:rPr>
                <w:rFonts w:hint="eastAsia" w:eastAsia="等线" w:cs="宋体"/>
                <w:color w:val="000000" w:themeColor="text1"/>
              </w:rPr>
              <w:t>232</w:t>
            </w:r>
            <w:r>
              <w:rPr>
                <w:rFonts w:hint="eastAsia" w:ascii="仿宋_GB2312" w:hAnsi="宋体" w:cs="宋体"/>
                <w:color w:val="000000" w:themeColor="text1"/>
              </w:rPr>
              <w:t>接口（</w:t>
            </w:r>
            <w:r>
              <w:rPr>
                <w:rFonts w:hint="eastAsia" w:eastAsia="等线" w:cs="宋体"/>
                <w:color w:val="000000" w:themeColor="text1"/>
              </w:rPr>
              <w:t>RJ45</w:t>
            </w:r>
            <w:r>
              <w:rPr>
                <w:rFonts w:hint="eastAsia" w:ascii="仿宋_GB2312" w:hAnsi="宋体" w:cs="宋体"/>
                <w:color w:val="000000" w:themeColor="text1"/>
              </w:rPr>
              <w:t>）、一个标准</w:t>
            </w:r>
            <w:r>
              <w:rPr>
                <w:rFonts w:hint="eastAsia" w:eastAsia="等线" w:cs="宋体"/>
                <w:color w:val="000000" w:themeColor="text1"/>
              </w:rPr>
              <w:t>485</w:t>
            </w:r>
            <w:r>
              <w:rPr>
                <w:rFonts w:hint="eastAsia" w:ascii="仿宋_GB2312" w:hAnsi="宋体" w:cs="宋体"/>
                <w:color w:val="000000" w:themeColor="text1"/>
              </w:rPr>
              <w:t>接口</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报警接口：</w:t>
            </w:r>
            <w:r>
              <w:rPr>
                <w:rFonts w:hint="eastAsia" w:eastAsia="等线" w:cs="宋体"/>
                <w:color w:val="000000" w:themeColor="text1"/>
              </w:rPr>
              <w:t>8</w:t>
            </w:r>
            <w:r>
              <w:rPr>
                <w:rFonts w:hint="eastAsia" w:ascii="仿宋_GB2312" w:hAnsi="宋体" w:cs="宋体"/>
                <w:color w:val="000000" w:themeColor="text1"/>
              </w:rPr>
              <w:t>路报警输入，</w:t>
            </w:r>
            <w:r>
              <w:rPr>
                <w:rFonts w:hint="eastAsia" w:eastAsia="等线" w:cs="宋体"/>
                <w:color w:val="000000" w:themeColor="text1"/>
              </w:rPr>
              <w:t>8</w:t>
            </w:r>
            <w:r>
              <w:rPr>
                <w:rFonts w:hint="eastAsia" w:ascii="仿宋_GB2312" w:hAnsi="宋体" w:cs="宋体"/>
                <w:color w:val="000000" w:themeColor="text1"/>
              </w:rPr>
              <w:t>路报警输出</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3</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接入交换机</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24</w:t>
            </w:r>
            <w:r>
              <w:rPr>
                <w:rFonts w:hint="eastAsia" w:ascii="仿宋_GB2312" w:cs="宋体"/>
                <w:color w:val="000000" w:themeColor="text1"/>
              </w:rPr>
              <w:t>口千兆二层网管交换机，整机交换容量</w:t>
            </w:r>
            <w:r>
              <w:rPr>
                <w:rFonts w:hint="eastAsia" w:eastAsia="等线" w:cs="宋体"/>
                <w:color w:val="000000" w:themeColor="text1"/>
              </w:rPr>
              <w:t>≥240Gbps</w:t>
            </w:r>
            <w:r>
              <w:rPr>
                <w:rFonts w:hint="eastAsia" w:ascii="仿宋_GB2312" w:cs="宋体"/>
                <w:color w:val="000000" w:themeColor="text1"/>
              </w:rPr>
              <w:t>，支持</w:t>
            </w:r>
            <w:r>
              <w:rPr>
                <w:rFonts w:hint="eastAsia" w:eastAsia="等线" w:cs="宋体"/>
                <w:color w:val="000000" w:themeColor="text1"/>
              </w:rPr>
              <w:t>24</w:t>
            </w:r>
            <w:r>
              <w:rPr>
                <w:rFonts w:hint="eastAsia" w:ascii="仿宋_GB2312" w:cs="宋体"/>
                <w:color w:val="000000" w:themeColor="text1"/>
              </w:rPr>
              <w:t>个</w:t>
            </w:r>
            <w:r>
              <w:rPr>
                <w:rFonts w:hint="eastAsia" w:eastAsia="等线" w:cs="宋体"/>
                <w:color w:val="000000" w:themeColor="text1"/>
              </w:rPr>
              <w:t>10/100/1000BASE-T</w:t>
            </w:r>
            <w:r>
              <w:rPr>
                <w:rFonts w:hint="eastAsia" w:ascii="仿宋_GB2312" w:cs="宋体"/>
                <w:color w:val="000000" w:themeColor="text1"/>
              </w:rPr>
              <w:t>端口</w:t>
            </w:r>
            <w:r>
              <w:rPr>
                <w:rFonts w:hint="eastAsia" w:eastAsia="等线" w:cs="宋体"/>
                <w:color w:val="000000" w:themeColor="text1"/>
              </w:rPr>
              <w:t>,</w:t>
            </w:r>
            <w:r>
              <w:rPr>
                <w:rFonts w:hint="eastAsia" w:ascii="仿宋_GB2312" w:cs="宋体"/>
                <w:color w:val="000000" w:themeColor="text1"/>
              </w:rPr>
              <w:t>支持</w:t>
            </w:r>
            <w:r>
              <w:rPr>
                <w:rFonts w:hint="eastAsia" w:eastAsia="等线" w:cs="宋体"/>
                <w:color w:val="000000" w:themeColor="text1"/>
              </w:rPr>
              <w:t>4</w:t>
            </w:r>
            <w:r>
              <w:rPr>
                <w:rFonts w:hint="eastAsia" w:ascii="仿宋_GB2312" w:cs="宋体"/>
                <w:color w:val="000000" w:themeColor="text1"/>
              </w:rPr>
              <w:t>个</w:t>
            </w:r>
            <w:r>
              <w:rPr>
                <w:rFonts w:hint="eastAsia" w:eastAsia="等线" w:cs="宋体"/>
                <w:color w:val="000000" w:themeColor="text1"/>
              </w:rPr>
              <w:t>1000BASE-X SFP</w:t>
            </w:r>
            <w:r>
              <w:rPr>
                <w:rFonts w:hint="eastAsia" w:ascii="仿宋_GB2312" w:cs="宋体"/>
                <w:color w:val="000000" w:themeColor="text1"/>
              </w:rPr>
              <w:t>端口，单电源，含</w:t>
            </w:r>
            <w:r>
              <w:rPr>
                <w:rFonts w:hint="eastAsia" w:eastAsia="等线" w:cs="宋体"/>
                <w:color w:val="000000" w:themeColor="text1"/>
              </w:rPr>
              <w:t>2</w:t>
            </w:r>
            <w:r>
              <w:rPr>
                <w:rFonts w:hint="eastAsia" w:ascii="仿宋_GB2312" w:cs="宋体"/>
                <w:color w:val="000000" w:themeColor="text1"/>
              </w:rPr>
              <w:t>个光模块</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4</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工作主机</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i7/8G</w:t>
            </w:r>
            <w:r>
              <w:rPr>
                <w:rFonts w:hint="eastAsia" w:ascii="仿宋_GB2312" w:cs="宋体"/>
                <w:color w:val="000000" w:themeColor="text1"/>
              </w:rPr>
              <w:t>内存</w:t>
            </w:r>
            <w:r>
              <w:rPr>
                <w:rFonts w:hint="eastAsia" w:eastAsia="等线" w:cs="宋体"/>
                <w:color w:val="000000" w:themeColor="text1"/>
              </w:rPr>
              <w:t>/256G SSD/500G</w:t>
            </w:r>
            <w:r>
              <w:rPr>
                <w:rFonts w:hint="eastAsia" w:ascii="仿宋_GB2312" w:cs="宋体"/>
                <w:color w:val="000000" w:themeColor="text1"/>
              </w:rPr>
              <w:t>硬盘</w:t>
            </w:r>
            <w:r>
              <w:rPr>
                <w:rFonts w:hint="eastAsia" w:eastAsia="等线" w:cs="宋体"/>
                <w:color w:val="000000" w:themeColor="text1"/>
              </w:rPr>
              <w:t>/WIN7 64</w:t>
            </w:r>
            <w:r>
              <w:rPr>
                <w:rFonts w:hint="eastAsia" w:ascii="仿宋_GB2312" w:cs="宋体"/>
                <w:color w:val="000000" w:themeColor="text1"/>
              </w:rPr>
              <w:t>专业版</w:t>
            </w:r>
            <w:r>
              <w:rPr>
                <w:rFonts w:hint="eastAsia" w:eastAsia="等线" w:cs="宋体"/>
                <w:color w:val="000000" w:themeColor="text1"/>
              </w:rPr>
              <w:t>/</w:t>
            </w:r>
            <w:r>
              <w:rPr>
                <w:rFonts w:hint="eastAsia" w:ascii="仿宋_GB2312" w:cs="宋体"/>
                <w:color w:val="000000" w:themeColor="text1"/>
              </w:rPr>
              <w:t>支持一机三屏</w:t>
            </w:r>
            <w:r>
              <w:rPr>
                <w:rFonts w:hint="eastAsia" w:eastAsia="等线" w:cs="宋体"/>
                <w:color w:val="000000" w:themeColor="text1"/>
              </w:rPr>
              <w:t>/</w:t>
            </w:r>
            <w:r>
              <w:rPr>
                <w:rFonts w:hint="eastAsia" w:ascii="仿宋_GB2312" w:cs="宋体"/>
                <w:color w:val="000000" w:themeColor="text1"/>
              </w:rPr>
              <w:t>键盘鼠标</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5</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高清显示器</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21.5</w:t>
            </w:r>
            <w:r>
              <w:rPr>
                <w:rFonts w:hint="eastAsia" w:ascii="仿宋_GB2312" w:cs="宋体"/>
                <w:color w:val="000000" w:themeColor="text1"/>
              </w:rPr>
              <w:t>英寸，宽屏，屏幕比例</w:t>
            </w:r>
            <w:r>
              <w:rPr>
                <w:rFonts w:hint="eastAsia" w:eastAsia="等线" w:cs="宋体"/>
                <w:color w:val="000000" w:themeColor="text1"/>
              </w:rPr>
              <w:t>16</w:t>
            </w:r>
            <w:r>
              <w:rPr>
                <w:rFonts w:hint="eastAsia" w:ascii="仿宋_GB2312" w:cs="宋体"/>
                <w:color w:val="000000" w:themeColor="text1"/>
              </w:rPr>
              <w:t>：</w:t>
            </w:r>
            <w:r>
              <w:rPr>
                <w:rFonts w:hint="eastAsia" w:eastAsia="等线" w:cs="宋体"/>
                <w:color w:val="000000" w:themeColor="text1"/>
              </w:rPr>
              <w:t>9</w:t>
            </w:r>
            <w:r>
              <w:rPr>
                <w:rFonts w:hint="eastAsia" w:ascii="仿宋_GB2312" w:cs="宋体"/>
                <w:color w:val="000000" w:themeColor="text1"/>
              </w:rPr>
              <w:t>，最佳分辨率</w:t>
            </w:r>
            <w:r>
              <w:rPr>
                <w:rFonts w:hint="eastAsia" w:eastAsia="等线" w:cs="宋体"/>
                <w:color w:val="000000" w:themeColor="text1"/>
              </w:rPr>
              <w:t>1920x1080</w:t>
            </w:r>
            <w:r>
              <w:rPr>
                <w:rFonts w:hint="eastAsia" w:ascii="仿宋_GB2312" w:cs="宋体"/>
                <w:color w:val="000000" w:themeColor="text1"/>
              </w:rPr>
              <w:t>，接口：</w:t>
            </w:r>
            <w:r>
              <w:rPr>
                <w:rFonts w:hint="eastAsia" w:eastAsia="等线" w:cs="宋体"/>
                <w:color w:val="000000" w:themeColor="text1"/>
              </w:rPr>
              <w:t>VGA 1</w:t>
            </w:r>
            <w:r>
              <w:rPr>
                <w:rFonts w:hint="eastAsia" w:ascii="仿宋_GB2312" w:cs="宋体"/>
                <w:color w:val="000000" w:themeColor="text1"/>
              </w:rPr>
              <w:t>个，</w:t>
            </w:r>
            <w:r>
              <w:rPr>
                <w:rFonts w:hint="eastAsia" w:eastAsia="等线" w:cs="宋体"/>
                <w:color w:val="000000" w:themeColor="text1"/>
              </w:rPr>
              <w:t>DVI 1</w:t>
            </w:r>
            <w:r>
              <w:rPr>
                <w:rFonts w:hint="eastAsia" w:ascii="仿宋_GB2312" w:cs="宋体"/>
                <w:color w:val="000000" w:themeColor="text1"/>
              </w:rPr>
              <w:t>个；</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6</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辅材</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高清线等各类辅助链接部件</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批</w:t>
            </w:r>
          </w:p>
        </w:tc>
      </w:tr>
      <w:tr>
        <w:tblPrEx>
          <w:tblLayout w:type="fixed"/>
          <w:tblCellMar>
            <w:top w:w="0" w:type="dxa"/>
            <w:left w:w="108" w:type="dxa"/>
            <w:bottom w:w="0" w:type="dxa"/>
            <w:right w:w="108" w:type="dxa"/>
          </w:tblCellMar>
        </w:tblPrEx>
        <w:tc>
          <w:tcPr>
            <w:tcW w:w="8426" w:type="dxa"/>
            <w:gridSpan w:val="6"/>
            <w:tcBorders>
              <w:top w:val="single" w:color="auto" w:sz="8" w:space="0"/>
              <w:left w:val="single" w:color="auto" w:sz="8" w:space="0"/>
              <w:bottom w:val="single" w:color="auto" w:sz="8" w:space="0"/>
              <w:right w:val="nil"/>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九、项目运维</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1176"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项目运维</w:t>
            </w: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项目运维</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3</w:t>
            </w:r>
            <w:r>
              <w:rPr>
                <w:rFonts w:hint="eastAsia" w:ascii="仿宋_GB2312" w:cs="宋体"/>
                <w:color w:val="000000" w:themeColor="text1"/>
              </w:rPr>
              <w:t>人现场驻点，负责综合指挥中心、市政府</w:t>
            </w:r>
            <w:r>
              <w:rPr>
                <w:rFonts w:hint="eastAsia" w:eastAsia="等线" w:cs="宋体"/>
                <w:color w:val="000000" w:themeColor="text1"/>
              </w:rPr>
              <w:t>1702</w:t>
            </w:r>
            <w:r>
              <w:rPr>
                <w:rFonts w:hint="eastAsia" w:ascii="仿宋_GB2312" w:cs="宋体"/>
                <w:color w:val="000000" w:themeColor="text1"/>
              </w:rPr>
              <w:t>指挥中心及综治实战应用系统的日常维护工作</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5</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年</w:t>
            </w:r>
          </w:p>
        </w:tc>
      </w:tr>
      <w:tr>
        <w:tblPrEx>
          <w:tblLayout w:type="fixed"/>
          <w:tblCellMar>
            <w:top w:w="0" w:type="dxa"/>
            <w:left w:w="108" w:type="dxa"/>
            <w:bottom w:w="0" w:type="dxa"/>
            <w:right w:w="108" w:type="dxa"/>
          </w:tblCellMar>
        </w:tblPrEx>
        <w:tc>
          <w:tcPr>
            <w:tcW w:w="8426" w:type="dxa"/>
            <w:gridSpan w:val="6"/>
            <w:tcBorders>
              <w:top w:val="single" w:color="auto" w:sz="8" w:space="0"/>
              <w:left w:val="single" w:color="auto" w:sz="8" w:space="0"/>
              <w:bottom w:val="single" w:color="auto" w:sz="8" w:space="0"/>
              <w:right w:val="nil"/>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指挥大厅小计</w:t>
            </w:r>
          </w:p>
        </w:tc>
      </w:tr>
      <w:tr>
        <w:tblPrEx>
          <w:tblLayout w:type="fixed"/>
          <w:tblCellMar>
            <w:top w:w="0" w:type="dxa"/>
            <w:left w:w="108" w:type="dxa"/>
            <w:bottom w:w="0" w:type="dxa"/>
            <w:right w:w="108" w:type="dxa"/>
          </w:tblCellMar>
        </w:tblPrEx>
        <w:tc>
          <w:tcPr>
            <w:tcW w:w="8426" w:type="dxa"/>
            <w:gridSpan w:val="6"/>
            <w:tcBorders>
              <w:top w:val="single" w:color="auto" w:sz="8" w:space="0"/>
              <w:left w:val="single" w:color="auto" w:sz="8" w:space="0"/>
              <w:bottom w:val="single" w:color="auto" w:sz="8" w:space="0"/>
              <w:right w:val="nil"/>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综治实战应用</w:t>
            </w:r>
          </w:p>
        </w:tc>
      </w:tr>
      <w:tr>
        <w:tblPrEx>
          <w:tblLayout w:type="fixed"/>
          <w:tblCellMar>
            <w:top w:w="0" w:type="dxa"/>
            <w:left w:w="108" w:type="dxa"/>
            <w:bottom w:w="0" w:type="dxa"/>
            <w:right w:w="108" w:type="dxa"/>
          </w:tblCellMar>
        </w:tblPrEx>
        <w:tc>
          <w:tcPr>
            <w:tcW w:w="8426" w:type="dxa"/>
            <w:gridSpan w:val="6"/>
            <w:tcBorders>
              <w:top w:val="single" w:color="auto" w:sz="8" w:space="0"/>
              <w:left w:val="single" w:color="auto" w:sz="8" w:space="0"/>
              <w:bottom w:val="single" w:color="auto" w:sz="8" w:space="0"/>
              <w:right w:val="nil"/>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一、综治实战应用系统</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1176"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应用基础管理平台</w:t>
            </w: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视频应用及管理服务</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平台要求支持</w:t>
            </w:r>
            <w:r>
              <w:rPr>
                <w:rFonts w:hint="eastAsia" w:eastAsia="等线" w:cs="宋体"/>
                <w:color w:val="000000" w:themeColor="text1"/>
              </w:rPr>
              <w:t>GB/T 28181-2016</w:t>
            </w:r>
            <w:r>
              <w:rPr>
                <w:rFonts w:hint="eastAsia" w:ascii="仿宋_GB2312" w:hAnsi="宋体" w:cs="宋体"/>
                <w:color w:val="000000" w:themeColor="text1"/>
              </w:rPr>
              <w:t>等联网标准协议，支持不少于</w:t>
            </w:r>
            <w:r>
              <w:rPr>
                <w:rFonts w:hint="eastAsia" w:eastAsia="等线" w:cs="宋体"/>
                <w:color w:val="000000" w:themeColor="text1"/>
              </w:rPr>
              <w:t>20</w:t>
            </w:r>
            <w:r>
              <w:rPr>
                <w:rFonts w:hint="eastAsia" w:ascii="仿宋_GB2312" w:hAnsi="宋体" w:cs="宋体"/>
                <w:color w:val="000000" w:themeColor="text1"/>
              </w:rPr>
              <w:t>万个监控点的管理和展示。平台支持视频监控、设备管理、报表与日志、系统管理、运维监管功能。</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2</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中心管理服务器</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eastAsia="等线" w:cs="宋体"/>
                <w:color w:val="000000" w:themeColor="text1"/>
              </w:rPr>
              <w:t>Intel Xeon (≥12核</w:t>
            </w:r>
            <w:r>
              <w:rPr>
                <w:rFonts w:hint="eastAsia" w:eastAsia="等线" w:cs="宋体"/>
                <w:color w:val="000000" w:themeColor="text1"/>
              </w:rPr>
              <w:t>，</w:t>
            </w:r>
            <w:r>
              <w:rPr>
                <w:rFonts w:eastAsia="等线" w:cs="宋体"/>
                <w:color w:val="000000" w:themeColor="text1"/>
              </w:rPr>
              <w:t>≥2.4GHz)×1</w:t>
            </w:r>
            <w:r>
              <w:rPr>
                <w:rFonts w:hint="eastAsia" w:eastAsia="等线" w:cs="宋体"/>
                <w:color w:val="000000" w:themeColor="text1"/>
              </w:rPr>
              <w:t>/16GB DDR4×4/600GB SAS×2/SAS_HBA/DVD/1GbE×4/</w:t>
            </w:r>
            <w:r>
              <w:rPr>
                <w:rFonts w:hint="eastAsia" w:ascii="仿宋_GB2312" w:cs="宋体"/>
                <w:color w:val="000000" w:themeColor="text1"/>
              </w:rPr>
              <w:t>冗电</w:t>
            </w:r>
            <w:r>
              <w:rPr>
                <w:rFonts w:hint="eastAsia" w:eastAsia="等线" w:cs="宋体"/>
                <w:color w:val="000000" w:themeColor="text1"/>
              </w:rPr>
              <w:t>/</w:t>
            </w:r>
            <w:r>
              <w:rPr>
                <w:rFonts w:hint="eastAsia" w:ascii="仿宋_GB2312" w:cs="宋体"/>
                <w:color w:val="000000" w:themeColor="text1"/>
              </w:rPr>
              <w:t>导轨</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vMerge w:val="restart"/>
            <w:tcBorders>
              <w:top w:val="nil"/>
              <w:left w:val="single" w:color="auto" w:sz="8" w:space="0"/>
              <w:bottom w:val="single" w:color="000000"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3</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流媒体服务器</w:t>
            </w: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eastAsia="等线" w:cs="宋体"/>
                <w:color w:val="000000" w:themeColor="text1"/>
              </w:rPr>
              <w:t>Intel Xeon (≥12核</w:t>
            </w:r>
            <w:r>
              <w:rPr>
                <w:rFonts w:hint="eastAsia" w:eastAsia="等线" w:cs="宋体"/>
                <w:color w:val="000000" w:themeColor="text1"/>
              </w:rPr>
              <w:t>，</w:t>
            </w:r>
            <w:r>
              <w:rPr>
                <w:rFonts w:eastAsia="等线" w:cs="宋体"/>
                <w:color w:val="000000" w:themeColor="text1"/>
              </w:rPr>
              <w:t>≥2.4GHz)×1</w:t>
            </w:r>
            <w:r>
              <w:rPr>
                <w:rFonts w:hint="eastAsia" w:eastAsia="等线" w:cs="宋体"/>
                <w:color w:val="000000" w:themeColor="text1"/>
              </w:rPr>
              <w:t>/16GB DDR4×4/600GB SAS×2/SAS_HBA/DVD/1GbE×4/</w:t>
            </w:r>
            <w:r>
              <w:rPr>
                <w:rFonts w:hint="eastAsia" w:ascii="仿宋_GB2312" w:cs="宋体"/>
                <w:color w:val="000000" w:themeColor="text1"/>
              </w:rPr>
              <w:t>冗电</w:t>
            </w:r>
            <w:r>
              <w:rPr>
                <w:rFonts w:hint="eastAsia" w:eastAsia="等线" w:cs="宋体"/>
                <w:color w:val="000000" w:themeColor="text1"/>
              </w:rPr>
              <w:t>/</w:t>
            </w:r>
            <w:r>
              <w:rPr>
                <w:rFonts w:hint="eastAsia" w:ascii="仿宋_GB2312" w:cs="宋体"/>
                <w:color w:val="000000" w:themeColor="text1"/>
              </w:rPr>
              <w:t>导轨</w:t>
            </w:r>
          </w:p>
        </w:tc>
        <w:tc>
          <w:tcPr>
            <w:tcW w:w="775"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4</w:t>
            </w:r>
          </w:p>
        </w:tc>
        <w:tc>
          <w:tcPr>
            <w:tcW w:w="456" w:type="dxa"/>
            <w:vMerge w:val="restart"/>
            <w:tcBorders>
              <w:top w:val="nil"/>
              <w:left w:val="single" w:color="auto" w:sz="8" w:space="0"/>
              <w:bottom w:val="single" w:color="000000"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单台要求支持</w:t>
            </w:r>
            <w:r>
              <w:rPr>
                <w:rFonts w:hint="eastAsia" w:eastAsia="等线" w:cs="宋体"/>
                <w:color w:val="000000" w:themeColor="text1"/>
              </w:rPr>
              <w:t>150</w:t>
            </w:r>
            <w:r>
              <w:rPr>
                <w:rFonts w:hint="eastAsia" w:ascii="仿宋_GB2312" w:hAnsi="宋体" w:cs="宋体"/>
                <w:color w:val="000000" w:themeColor="text1"/>
              </w:rPr>
              <w:t>路以上</w:t>
            </w:r>
            <w:r>
              <w:rPr>
                <w:rFonts w:hint="eastAsia" w:eastAsia="等线" w:cs="宋体"/>
                <w:color w:val="000000" w:themeColor="text1"/>
              </w:rPr>
              <w:t>4M</w:t>
            </w:r>
            <w:r>
              <w:rPr>
                <w:rFonts w:hint="eastAsia" w:ascii="仿宋_GB2312" w:hAnsi="宋体" w:cs="宋体"/>
                <w:color w:val="000000" w:themeColor="text1"/>
              </w:rPr>
              <w:t>码流转发</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4</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平台联网网关</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平台级联网关要求支持</w:t>
            </w:r>
            <w:r>
              <w:rPr>
                <w:rFonts w:hint="eastAsia" w:eastAsia="等线" w:cs="宋体"/>
                <w:color w:val="000000" w:themeColor="text1"/>
              </w:rPr>
              <w:t>GB/T 28181-2016</w:t>
            </w:r>
            <w:r>
              <w:rPr>
                <w:rFonts w:hint="eastAsia" w:ascii="仿宋_GB2312" w:hAnsi="宋体" w:cs="宋体"/>
                <w:color w:val="000000" w:themeColor="text1"/>
              </w:rPr>
              <w:t>等联网标准协议，实现对接</w:t>
            </w:r>
            <w:r>
              <w:rPr>
                <w:rFonts w:hint="eastAsia" w:eastAsia="等线" w:cs="宋体"/>
                <w:color w:val="000000" w:themeColor="text1"/>
              </w:rPr>
              <w:t>1</w:t>
            </w:r>
            <w:r>
              <w:rPr>
                <w:rFonts w:hint="eastAsia" w:ascii="仿宋_GB2312" w:hAnsi="宋体" w:cs="宋体"/>
                <w:color w:val="000000" w:themeColor="text1"/>
              </w:rPr>
              <w:t>个上级平台和接入</w:t>
            </w:r>
            <w:r>
              <w:rPr>
                <w:rFonts w:hint="eastAsia" w:eastAsia="等线" w:cs="宋体"/>
                <w:color w:val="000000" w:themeColor="text1"/>
              </w:rPr>
              <w:t>16</w:t>
            </w:r>
            <w:r>
              <w:rPr>
                <w:rFonts w:hint="eastAsia" w:ascii="仿宋_GB2312" w:hAnsi="宋体" w:cs="宋体"/>
                <w:color w:val="000000" w:themeColor="text1"/>
              </w:rPr>
              <w:t>个下级平台的能力；</w:t>
            </w:r>
            <w:r>
              <w:rPr>
                <w:rFonts w:hint="eastAsia" w:eastAsia="等线" w:cs="宋体"/>
                <w:color w:val="000000" w:themeColor="text1"/>
              </w:rPr>
              <w:t>20000</w:t>
            </w:r>
            <w:r>
              <w:rPr>
                <w:rFonts w:hint="eastAsia" w:ascii="仿宋_GB2312" w:hAnsi="宋体" w:cs="宋体"/>
                <w:color w:val="000000" w:themeColor="text1"/>
              </w:rPr>
              <w:t>个并发通道，可同时接入多个异构平台，实现转码、转发功能；支持主流监控平台接入，支持对非标数字平台实现标准改造。支持不少于</w:t>
            </w:r>
            <w:r>
              <w:rPr>
                <w:rFonts w:hint="eastAsia" w:eastAsia="等线" w:cs="宋体"/>
                <w:color w:val="000000" w:themeColor="text1"/>
              </w:rPr>
              <w:t>10</w:t>
            </w:r>
            <w:r>
              <w:rPr>
                <w:rFonts w:hint="eastAsia" w:ascii="仿宋_GB2312" w:hAnsi="宋体" w:cs="宋体"/>
                <w:color w:val="000000" w:themeColor="text1"/>
              </w:rPr>
              <w:t>万个监控点的管理和展示，支持平台联网管理基本功能，资源共享与同步、实时预览、录像检索</w:t>
            </w:r>
            <w:r>
              <w:rPr>
                <w:rFonts w:hint="eastAsia" w:eastAsia="等线" w:cs="宋体"/>
                <w:color w:val="000000" w:themeColor="text1"/>
              </w:rPr>
              <w:t>/</w:t>
            </w:r>
            <w:r>
              <w:rPr>
                <w:rFonts w:hint="eastAsia" w:ascii="仿宋_GB2312" w:hAnsi="宋体" w:cs="宋体"/>
                <w:color w:val="000000" w:themeColor="text1"/>
              </w:rPr>
              <w:t>回放</w:t>
            </w:r>
            <w:r>
              <w:rPr>
                <w:rFonts w:hint="eastAsia" w:eastAsia="等线" w:cs="宋体"/>
                <w:color w:val="000000" w:themeColor="text1"/>
              </w:rPr>
              <w:t>/</w:t>
            </w:r>
            <w:r>
              <w:rPr>
                <w:rFonts w:hint="eastAsia" w:ascii="仿宋_GB2312" w:hAnsi="宋体" w:cs="宋体"/>
                <w:color w:val="000000" w:themeColor="text1"/>
              </w:rPr>
              <w:t>下载、设备控制、报警处理等。</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5</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监控集成地图</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根据用户的点位权限，展示用户辖区的监控摄像机位置；可通过地图、列表等方式选择监控摄像机，查看单个或多个点位的实时和历史视频。（地理信息平台基于省测绘提供的全省统一的天地图在线服务）</w:t>
            </w:r>
          </w:p>
        </w:tc>
        <w:tc>
          <w:tcPr>
            <w:tcW w:w="775" w:type="dxa"/>
            <w:tcBorders>
              <w:top w:val="nil"/>
              <w:left w:val="nil"/>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6</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视频授权</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可设定用户无查看实时视频或历史视频权限，当处理任务需要查阅或权限范围外点位等视频资源支持时，用户可通过申请审批流程，实现视频监控授权调阅。</w:t>
            </w:r>
          </w:p>
        </w:tc>
        <w:tc>
          <w:tcPr>
            <w:tcW w:w="775" w:type="dxa"/>
            <w:tcBorders>
              <w:top w:val="nil"/>
              <w:left w:val="nil"/>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7</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人像智能分析（接口集成）</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基于综治重点人员信息库数据，应用输入照片信息，通过接口调用公安人脸布控能力，将照片人员实时与人脸卡口进行对比分析，返回此人员轨迹信息在综合侧进行预警展示。</w:t>
            </w:r>
          </w:p>
        </w:tc>
        <w:tc>
          <w:tcPr>
            <w:tcW w:w="775" w:type="dxa"/>
            <w:tcBorders>
              <w:top w:val="nil"/>
              <w:left w:val="nil"/>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8</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车辆智能分析（接口集成）</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支持对特殊人群涉及的车辆进行关联管理，如特殊人员作为车主、所属家庭车辆、常用车辆等。车辆轨迹可将作为人员轨迹的重要补充，从而掌握更多的人员轨迹。通过调用公安车辆布控能力，实现视频卡口与布控车辆比对，反馈车辆轨迹相关信息进行预警展示。当对人员进行布控时，系统也可对关联车辆进行同步布控。</w:t>
            </w:r>
          </w:p>
        </w:tc>
        <w:tc>
          <w:tcPr>
            <w:tcW w:w="775" w:type="dxa"/>
            <w:tcBorders>
              <w:top w:val="nil"/>
              <w:left w:val="nil"/>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9</w:t>
            </w:r>
          </w:p>
        </w:tc>
        <w:tc>
          <w:tcPr>
            <w:tcW w:w="1176"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综治数据大脑</w:t>
            </w: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综治专题规范建设</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专题数据标准规范其主要目的是用来指导、规范数据共享交换过程中所涉及到的数据标准问题、数据采集交换问题、数据质量问题、数据共享使用问题等。包括专题数据交换规范、元数据规范、专题数据编码规范、专题数据接口规范等。</w:t>
            </w:r>
          </w:p>
        </w:tc>
        <w:tc>
          <w:tcPr>
            <w:tcW w:w="775" w:type="dxa"/>
            <w:tcBorders>
              <w:top w:val="nil"/>
              <w:left w:val="nil"/>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10</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综治专题数据接入</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专题数据资源池是整个数据交换与服务中心建设的基础内容、核心内容之一，包括专题数据源、专题汇集库、专题问题库、专题云订阅等内容。</w:t>
            </w:r>
          </w:p>
        </w:tc>
        <w:tc>
          <w:tcPr>
            <w:tcW w:w="775" w:type="dxa"/>
            <w:tcBorders>
              <w:top w:val="nil"/>
              <w:left w:val="nil"/>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11</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提供专题数据资源目录的管理以及专题数据资源的发现定位服务，为应用层实现政法信息互联互通信息资源共享服务，包括专题目录体系管理、专题目录结构管理、专题目录编目、专题目录注册、专题目录发布、专题目录查询、专题目录维护等功能开发。</w:t>
            </w:r>
          </w:p>
        </w:tc>
        <w:tc>
          <w:tcPr>
            <w:tcW w:w="775" w:type="dxa"/>
            <w:tcBorders>
              <w:top w:val="nil"/>
              <w:left w:val="nil"/>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12</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针对各专题数据的实体定义和流程管控管理进行专题数据管理，包括专题元数据获取、专题元数据管理、专题字典编码管理等功能开发。</w:t>
            </w:r>
          </w:p>
        </w:tc>
        <w:tc>
          <w:tcPr>
            <w:tcW w:w="775" w:type="dxa"/>
            <w:tcBorders>
              <w:top w:val="nil"/>
              <w:left w:val="nil"/>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13</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综治专题数据清洗</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包括专题数据前置交换、专题交换传输、专题数据抽取、专题交换管理等功能开发。</w:t>
            </w:r>
          </w:p>
        </w:tc>
        <w:tc>
          <w:tcPr>
            <w:tcW w:w="775" w:type="dxa"/>
            <w:tcBorders>
              <w:top w:val="nil"/>
              <w:left w:val="nil"/>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14</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针对专题数据进行专题字典项和行政区划的清洗，以及专题数据映射关系的转变，主要包括专题数据清洗、专题数据转换等功能开发。</w:t>
            </w:r>
          </w:p>
        </w:tc>
        <w:tc>
          <w:tcPr>
            <w:tcW w:w="775" w:type="dxa"/>
            <w:tcBorders>
              <w:top w:val="nil"/>
              <w:left w:val="nil"/>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15</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对不同专题数据源数据清洗转换后，以专题数据权威、专题数据鲜活等整合标准，碰撞各方业务字段，经过对应、关联、抽取、整合等处理，包括规则管理、权威定义、专题数据整合等功能开发。</w:t>
            </w:r>
          </w:p>
        </w:tc>
        <w:tc>
          <w:tcPr>
            <w:tcW w:w="775" w:type="dxa"/>
            <w:tcBorders>
              <w:top w:val="nil"/>
              <w:left w:val="nil"/>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16</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综治专题数据共享</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提供专题数据共享服务，包括专题数据封装、专题订阅服务、数据装载模块等功能开发。</w:t>
            </w:r>
          </w:p>
        </w:tc>
        <w:tc>
          <w:tcPr>
            <w:tcW w:w="775" w:type="dxa"/>
            <w:tcBorders>
              <w:top w:val="nil"/>
              <w:left w:val="nil"/>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17</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综治专题应用</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提供专题数据从获取到专题源数据库、专题汇聚数据库以及专题中心数据库的状态以及专题数据交换分布情况，包括专题源数据管控、交换管控、专题汇聚库管控、专题中心库统计、专题问题数据反馈、专题数据质量管控等功能开发。</w:t>
            </w:r>
          </w:p>
        </w:tc>
        <w:tc>
          <w:tcPr>
            <w:tcW w:w="775" w:type="dxa"/>
            <w:tcBorders>
              <w:top w:val="nil"/>
              <w:left w:val="nil"/>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18</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针对专题数据进行流程编排，并对专题数据表、专题数据字段，进行可视化方式展示等功能开发。</w:t>
            </w:r>
          </w:p>
        </w:tc>
        <w:tc>
          <w:tcPr>
            <w:tcW w:w="775" w:type="dxa"/>
            <w:tcBorders>
              <w:top w:val="nil"/>
              <w:left w:val="nil"/>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19</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安全审计</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包括安全审核、传输加密、存储加密、日志审计、安全等级等功能开发。</w:t>
            </w:r>
          </w:p>
        </w:tc>
        <w:tc>
          <w:tcPr>
            <w:tcW w:w="775" w:type="dxa"/>
            <w:tcBorders>
              <w:top w:val="nil"/>
              <w:left w:val="nil"/>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9</w:t>
            </w:r>
          </w:p>
        </w:tc>
        <w:tc>
          <w:tcPr>
            <w:tcW w:w="1176"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全域感知预测预警</w:t>
            </w: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全域感知主题管理</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全域感知系统基于政府数字化转型背景，通过一系列数字化指标反映全市综合服务及治理情况。全域感知主题主要包括：重点人员、非**类事件统计、重点场所信息、车辆统计、网格员信息集成展示。以及公安警力分布集成展示（仅提供给市政府值班室查看）、</w:t>
            </w:r>
            <w:r>
              <w:rPr>
                <w:rFonts w:hint="eastAsia" w:eastAsia="等线" w:cs="宋体"/>
                <w:color w:val="000000" w:themeColor="text1"/>
              </w:rPr>
              <w:t>AR</w:t>
            </w:r>
            <w:r>
              <w:rPr>
                <w:rFonts w:hint="eastAsia" w:ascii="仿宋_GB2312" w:hAnsi="宋体" w:cs="宋体"/>
                <w:color w:val="000000" w:themeColor="text1"/>
              </w:rPr>
              <w:t>全景集成展示。</w:t>
            </w:r>
          </w:p>
        </w:tc>
        <w:tc>
          <w:tcPr>
            <w:tcW w:w="775" w:type="dxa"/>
            <w:tcBorders>
              <w:top w:val="nil"/>
              <w:left w:val="nil"/>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10</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全域感知模型管理</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根据全域感知业务能力要求，结合各个业务部门数据，构建符合全域感知能力的智能分析模型，对各类数据进行综合性的分析，所建立的模型应该按照时间和地区纬度按主题的方式进行组织。数据模型包括人员主题模型、事件主题模型、车辆主题模型、场所主题模型、感知设备（</w:t>
            </w:r>
            <w:r>
              <w:rPr>
                <w:rFonts w:hint="eastAsia" w:eastAsia="等线" w:cs="宋体"/>
                <w:color w:val="000000" w:themeColor="text1"/>
              </w:rPr>
              <w:t>RFID</w:t>
            </w:r>
            <w:r>
              <w:rPr>
                <w:rFonts w:hint="eastAsia" w:ascii="仿宋_GB2312" w:hAnsi="宋体" w:cs="宋体"/>
                <w:color w:val="000000" w:themeColor="text1"/>
              </w:rPr>
              <w:t>、</w:t>
            </w:r>
            <w:r>
              <w:rPr>
                <w:rFonts w:hint="eastAsia" w:eastAsia="等线" w:cs="宋体"/>
                <w:color w:val="000000" w:themeColor="text1"/>
              </w:rPr>
              <w:t>MAC</w:t>
            </w:r>
            <w:r>
              <w:rPr>
                <w:rFonts w:hint="eastAsia" w:ascii="仿宋_GB2312" w:hAnsi="宋体" w:cs="宋体"/>
                <w:color w:val="000000" w:themeColor="text1"/>
              </w:rPr>
              <w:t>等）模型等。</w:t>
            </w:r>
          </w:p>
        </w:tc>
        <w:tc>
          <w:tcPr>
            <w:tcW w:w="775" w:type="dxa"/>
            <w:tcBorders>
              <w:top w:val="nil"/>
              <w:left w:val="nil"/>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16</w:t>
            </w:r>
          </w:p>
        </w:tc>
        <w:tc>
          <w:tcPr>
            <w:tcW w:w="1176"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全域雪亮网格应用</w:t>
            </w: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用户终端管理</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对各级综治中心的通讯终端进行管理，包括综治中心、网格员</w:t>
            </w:r>
            <w:r>
              <w:rPr>
                <w:rFonts w:hint="eastAsia" w:eastAsia="等线" w:cs="宋体"/>
                <w:color w:val="000000" w:themeColor="text1"/>
              </w:rPr>
              <w:t>APP</w:t>
            </w:r>
            <w:r>
              <w:rPr>
                <w:rFonts w:hint="eastAsia" w:ascii="仿宋_GB2312" w:hAnsi="宋体" w:cs="宋体"/>
                <w:color w:val="000000" w:themeColor="text1"/>
              </w:rPr>
              <w:t>等终端等；管理各类用户的可呼叫终端，以及用户对常用通讯终端的管理。</w:t>
            </w:r>
          </w:p>
        </w:tc>
        <w:tc>
          <w:tcPr>
            <w:tcW w:w="775" w:type="dxa"/>
            <w:tcBorders>
              <w:top w:val="nil"/>
              <w:left w:val="nil"/>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17</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视频通话</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在预警事件处于监控盲区等情况下，中心可选择网格员进行视频通话，网格员可在移动端</w:t>
            </w:r>
            <w:r>
              <w:rPr>
                <w:rFonts w:hint="eastAsia" w:eastAsia="等线" w:cs="宋体"/>
                <w:color w:val="000000" w:themeColor="text1"/>
              </w:rPr>
              <w:t>APP</w:t>
            </w:r>
            <w:r>
              <w:rPr>
                <w:rFonts w:hint="eastAsia" w:ascii="仿宋_GB2312" w:hAnsi="宋体" w:cs="宋体"/>
                <w:color w:val="000000" w:themeColor="text1"/>
              </w:rPr>
              <w:t>查看并接通中心的视频呼叫申请。网格员也可主动向中心发起视频通话请求，经中心坐席同意后，实现中心与网格员的实时视频通话，将网格员手机的视频接入中心，实现远程可视指挥（支持多人视频通话）。</w:t>
            </w:r>
          </w:p>
        </w:tc>
        <w:tc>
          <w:tcPr>
            <w:tcW w:w="775" w:type="dxa"/>
            <w:tcBorders>
              <w:top w:val="nil"/>
              <w:left w:val="nil"/>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18</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可视指挥统计分析</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统计项包括：不同部门、不同人员及各场景的应用通讯频次、通讯效果及满意度评价情况等，一方面网格管理，另一方面辅助领导决策。</w:t>
            </w:r>
          </w:p>
        </w:tc>
        <w:tc>
          <w:tcPr>
            <w:tcW w:w="775" w:type="dxa"/>
            <w:tcBorders>
              <w:top w:val="nil"/>
              <w:left w:val="nil"/>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19</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精细网格管理</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在金华市原有网格管理基础上实现更加精细化的网格管理，包括网格工作（管理服务、巡查走访等）管理、网格考核动态管理（差异化考核指标设定等）。</w:t>
            </w:r>
          </w:p>
        </w:tc>
        <w:tc>
          <w:tcPr>
            <w:tcW w:w="775" w:type="dxa"/>
            <w:tcBorders>
              <w:top w:val="nil"/>
              <w:left w:val="nil"/>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20</w:t>
            </w:r>
          </w:p>
        </w:tc>
        <w:tc>
          <w:tcPr>
            <w:tcW w:w="1176"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应急指挥系统</w:t>
            </w: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平台框架</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BS</w:t>
            </w:r>
            <w:r>
              <w:rPr>
                <w:rFonts w:hint="eastAsia" w:ascii="仿宋_GB2312" w:cs="宋体"/>
                <w:color w:val="000000" w:themeColor="text1"/>
              </w:rPr>
              <w:t>模式，同时支持单屏、双屏模式，可以支持单屏登录，也支持双屏登录。支队和大队能分域分权多用户同时使用。同时加载基于</w:t>
            </w:r>
            <w:r>
              <w:rPr>
                <w:rFonts w:hint="eastAsia" w:ascii="宋体" w:hAnsi="宋体" w:cs="宋体"/>
                <w:color w:val="000000" w:themeColor="text1"/>
              </w:rPr>
              <w:t>IE</w:t>
            </w:r>
            <w:r>
              <w:rPr>
                <w:rFonts w:hint="eastAsia" w:ascii="仿宋_GB2312" w:cs="宋体"/>
                <w:color w:val="000000" w:themeColor="text1"/>
              </w:rPr>
              <w:t>、</w:t>
            </w:r>
            <w:r>
              <w:rPr>
                <w:rFonts w:hint="eastAsia" w:ascii="宋体" w:hAnsi="宋体" w:cs="宋体"/>
                <w:color w:val="000000" w:themeColor="text1"/>
              </w:rPr>
              <w:t>Chrome</w:t>
            </w:r>
            <w:r>
              <w:rPr>
                <w:rFonts w:hint="eastAsia" w:ascii="仿宋_GB2312" w:cs="宋体"/>
                <w:color w:val="000000" w:themeColor="text1"/>
              </w:rPr>
              <w:t>浏览器开发的页面，支持</w:t>
            </w:r>
            <w:r>
              <w:rPr>
                <w:rFonts w:hint="eastAsia" w:ascii="宋体" w:hAnsi="宋体" w:cs="宋体"/>
                <w:color w:val="000000" w:themeColor="text1"/>
              </w:rPr>
              <w:t>H5</w:t>
            </w:r>
            <w:r>
              <w:rPr>
                <w:rFonts w:hint="eastAsia" w:ascii="仿宋_GB2312" w:cs="宋体"/>
                <w:color w:val="000000" w:themeColor="text1"/>
              </w:rPr>
              <w:t>页面也同时支持传统</w:t>
            </w:r>
            <w:r>
              <w:rPr>
                <w:rFonts w:hint="eastAsia" w:ascii="宋体" w:hAnsi="宋体" w:cs="宋体"/>
                <w:color w:val="000000" w:themeColor="text1"/>
              </w:rPr>
              <w:t>HTML</w:t>
            </w:r>
            <w:r>
              <w:rPr>
                <w:rFonts w:hint="eastAsia" w:ascii="仿宋_GB2312" w:cs="宋体"/>
                <w:color w:val="000000" w:themeColor="text1"/>
              </w:rPr>
              <w:t>页面。</w:t>
            </w:r>
          </w:p>
        </w:tc>
        <w:tc>
          <w:tcPr>
            <w:tcW w:w="775" w:type="dxa"/>
            <w:tcBorders>
              <w:top w:val="nil"/>
              <w:left w:val="nil"/>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21</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辅助决策</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提供针对警情、火灾主题、灭火救援等数据统计分析展示、消防监督情况等数据统计分析展示、重点单位的统计分析、战备实力统计分析、警情热力图研判，警情综合查询与发布、历史数据研判等功能。</w:t>
            </w:r>
          </w:p>
        </w:tc>
        <w:tc>
          <w:tcPr>
            <w:tcW w:w="775" w:type="dxa"/>
            <w:tcBorders>
              <w:top w:val="nil"/>
              <w:left w:val="nil"/>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22</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互联网应急指挥</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基础地图数据，叠加矢量图、影像图、天地图、室内三维图等基础图层服务；进行切换管理和展示。</w:t>
            </w:r>
          </w:p>
        </w:tc>
        <w:tc>
          <w:tcPr>
            <w:tcW w:w="775" w:type="dxa"/>
            <w:tcBorders>
              <w:top w:val="nil"/>
              <w:left w:val="nil"/>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23</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rPr>
            </w:pPr>
            <w:r>
              <w:rPr>
                <w:rFonts w:hint="eastAsia" w:ascii="仿宋_GB2312" w:hAnsi="宋体" w:cs="宋体"/>
                <w:color w:val="000000" w:themeColor="text1"/>
              </w:rPr>
              <w:t>移动指挥作战系统</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与省消防救援总队移动指挥平台无缝对接或者兼容，现场指挥员可通过作战终端实时了解最新灾情信息，并基于作战终端完成与现场作战人员、指挥中心人员、上级领导的实时沟通，实现信息上下互通，指令上传下达。具体功能包括：火场实况、移动终端和车辆绑定、绑定车辆移动终端车辆状态更新、自动参战、手动参战、二次定位、警情地导航、集结区设定和导航、警情展示、警情信息、对象信息、力量调度、联动信息等以及上级平台具有其他功能，并配</w:t>
            </w:r>
            <w:r>
              <w:rPr>
                <w:rFonts w:hint="eastAsia" w:eastAsia="等线" w:cs="宋体"/>
                <w:color w:val="000000" w:themeColor="text1"/>
              </w:rPr>
              <w:t>9</w:t>
            </w:r>
            <w:r>
              <w:rPr>
                <w:rFonts w:hint="eastAsia" w:ascii="仿宋_GB2312" w:hAnsi="宋体" w:cs="宋体"/>
                <w:color w:val="000000" w:themeColor="text1"/>
              </w:rPr>
              <w:t>套移动指挥终端，参数要求：国产终端和处理器，屏幕尺寸</w:t>
            </w:r>
            <w:r>
              <w:rPr>
                <w:rFonts w:hint="eastAsia" w:eastAsia="等线" w:cs="宋体"/>
                <w:color w:val="000000" w:themeColor="text1"/>
              </w:rPr>
              <w:t>6.47</w:t>
            </w:r>
            <w:r>
              <w:rPr>
                <w:rFonts w:hint="eastAsia" w:ascii="仿宋_GB2312" w:hAnsi="宋体" w:cs="宋体"/>
                <w:color w:val="000000" w:themeColor="text1"/>
              </w:rPr>
              <w:t>英寸及以上，屏幕色彩</w:t>
            </w:r>
            <w:r>
              <w:rPr>
                <w:rFonts w:hint="eastAsia" w:eastAsia="等线" w:cs="宋体"/>
                <w:color w:val="000000" w:themeColor="text1"/>
              </w:rPr>
              <w:t>: 1670</w:t>
            </w:r>
            <w:r>
              <w:rPr>
                <w:rFonts w:hint="eastAsia" w:ascii="仿宋_GB2312" w:hAnsi="宋体" w:cs="宋体"/>
                <w:color w:val="000000" w:themeColor="text1"/>
              </w:rPr>
              <w:t>万色及以上，运行内存（</w:t>
            </w:r>
            <w:r>
              <w:rPr>
                <w:rFonts w:hint="eastAsia" w:eastAsia="等线" w:cs="宋体"/>
                <w:color w:val="000000" w:themeColor="text1"/>
              </w:rPr>
              <w:t>RAM</w:t>
            </w:r>
            <w:r>
              <w:rPr>
                <w:rFonts w:hint="eastAsia" w:ascii="仿宋_GB2312" w:hAnsi="宋体" w:cs="宋体"/>
                <w:color w:val="000000" w:themeColor="text1"/>
              </w:rPr>
              <w:t>）</w:t>
            </w:r>
            <w:r>
              <w:rPr>
                <w:rFonts w:hint="eastAsia" w:eastAsia="等线" w:cs="宋体"/>
                <w:color w:val="000000" w:themeColor="text1"/>
              </w:rPr>
              <w:t>: 8G</w:t>
            </w:r>
            <w:r>
              <w:rPr>
                <w:rFonts w:hint="eastAsia" w:ascii="仿宋_GB2312" w:hAnsi="宋体" w:cs="宋体"/>
                <w:color w:val="000000" w:themeColor="text1"/>
              </w:rPr>
              <w:t>及以上；机身内存（</w:t>
            </w:r>
            <w:r>
              <w:rPr>
                <w:rFonts w:hint="eastAsia" w:eastAsia="等线" w:cs="宋体"/>
                <w:color w:val="000000" w:themeColor="text1"/>
              </w:rPr>
              <w:t>ROM</w:t>
            </w:r>
            <w:r>
              <w:rPr>
                <w:rFonts w:hint="eastAsia" w:ascii="仿宋_GB2312" w:hAnsi="宋体" w:cs="宋体"/>
                <w:color w:val="000000" w:themeColor="text1"/>
              </w:rPr>
              <w:t>）</w:t>
            </w:r>
            <w:r>
              <w:rPr>
                <w:rFonts w:hint="eastAsia" w:eastAsia="等线" w:cs="宋体"/>
                <w:color w:val="000000" w:themeColor="text1"/>
              </w:rPr>
              <w:t>: 128GB</w:t>
            </w:r>
            <w:r>
              <w:rPr>
                <w:rFonts w:hint="eastAsia" w:ascii="仿宋_GB2312" w:hAnsi="宋体" w:cs="宋体"/>
                <w:color w:val="000000" w:themeColor="text1"/>
              </w:rPr>
              <w:t>及以上，电池容量</w:t>
            </w:r>
            <w:r>
              <w:rPr>
                <w:rFonts w:hint="eastAsia" w:eastAsia="等线" w:cs="宋体"/>
                <w:color w:val="000000" w:themeColor="text1"/>
              </w:rPr>
              <w:t>: 4200mAh</w:t>
            </w:r>
            <w:r>
              <w:rPr>
                <w:rFonts w:hint="eastAsia" w:ascii="仿宋_GB2312" w:hAnsi="宋体" w:cs="宋体"/>
                <w:color w:val="000000" w:themeColor="text1"/>
              </w:rPr>
              <w:t>及以上</w:t>
            </w:r>
            <w:r>
              <w:rPr>
                <w:rFonts w:hint="eastAsia" w:eastAsia="等线" w:cs="宋体"/>
                <w:color w:val="000000" w:themeColor="text1"/>
                <w:szCs w:val="21"/>
              </w:rPr>
              <w:t> </w:t>
            </w:r>
            <w:r>
              <w:rPr>
                <w:rFonts w:hint="eastAsia" w:ascii="仿宋_GB2312" w:hAnsi="宋体" w:cs="宋体"/>
                <w:color w:val="000000" w:themeColor="text1"/>
              </w:rPr>
              <w:t>等</w:t>
            </w:r>
          </w:p>
        </w:tc>
        <w:tc>
          <w:tcPr>
            <w:tcW w:w="775" w:type="dxa"/>
            <w:tcBorders>
              <w:top w:val="nil"/>
              <w:left w:val="nil"/>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24</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数据对接</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纵向与部消防救援局、省消防救援总队现有各类消防数据、政务数据、社会资源数据、地图数据、消防智能管控平台和三维数字化预案平台等实现对接调用，横向实现金华市本级政法委四个平台、城市水源数据系统对接、原安监局危化品监管系统对接、运管局危化品车辆运输数据对接、气象信息系统对接、住建局房屋建筑图纸数据对接、市政管网资源等相关应急联动单位等数据接入，以及消防支队现有</w:t>
            </w:r>
            <w:r>
              <w:rPr>
                <w:rFonts w:hint="eastAsia" w:eastAsia="等线" w:cs="宋体"/>
                <w:color w:val="000000" w:themeColor="text1"/>
              </w:rPr>
              <w:t>119</w:t>
            </w:r>
            <w:r>
              <w:rPr>
                <w:rFonts w:hint="eastAsia" w:ascii="仿宋_GB2312" w:hAnsi="宋体" w:cs="宋体"/>
                <w:color w:val="000000" w:themeColor="text1"/>
              </w:rPr>
              <w:t>接处警系统升级改造和数据对接。</w:t>
            </w:r>
          </w:p>
        </w:tc>
        <w:tc>
          <w:tcPr>
            <w:tcW w:w="775" w:type="dxa"/>
            <w:tcBorders>
              <w:top w:val="nil"/>
              <w:left w:val="nil"/>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25</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一张图</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支持地图基础功能、一张图基础数据、一张图基础数据更新（每年不少于</w:t>
            </w:r>
            <w:r>
              <w:rPr>
                <w:rFonts w:hint="eastAsia" w:eastAsia="等线" w:cs="宋体"/>
                <w:color w:val="000000" w:themeColor="text1"/>
              </w:rPr>
              <w:t>2</w:t>
            </w:r>
            <w:r>
              <w:rPr>
                <w:rFonts w:hint="eastAsia" w:ascii="仿宋_GB2312" w:hAnsi="宋体" w:cs="宋体"/>
                <w:color w:val="000000" w:themeColor="text1"/>
              </w:rPr>
              <w:t>次）、矢量图、影像图加载和切换、支持</w:t>
            </w:r>
            <w:r>
              <w:rPr>
                <w:rFonts w:hint="eastAsia" w:eastAsia="等线" w:cs="宋体"/>
                <w:color w:val="000000" w:themeColor="text1"/>
              </w:rPr>
              <w:t>1:500</w:t>
            </w:r>
            <w:r>
              <w:rPr>
                <w:rFonts w:hint="eastAsia" w:ascii="仿宋_GB2312" w:hAnsi="宋体" w:cs="宋体"/>
                <w:color w:val="000000" w:themeColor="text1"/>
              </w:rPr>
              <w:t>比例尺地图、消防图层管理、辖区切换、智能关联引擎、智能搜索引擎、警情和视频智能关联模型、警情二次定位服务、对象位置标注和更新。通过名称、拼音首字母进行图层过滤。属地资源查询服务。移动目标实时跟踪展示及轨迹回放。警情参数设置。省内资源查询服务。</w:t>
            </w:r>
            <w:r>
              <w:rPr>
                <w:rFonts w:hint="eastAsia" w:ascii="宋体" w:hAnsi="宋体" w:cs="宋体"/>
                <w:color w:val="000000" w:themeColor="text1"/>
              </w:rPr>
              <w:t>POI</w:t>
            </w:r>
            <w:r>
              <w:rPr>
                <w:rFonts w:hint="eastAsia" w:ascii="仿宋_GB2312" w:hAnsi="宋体" w:cs="宋体"/>
                <w:color w:val="000000" w:themeColor="text1"/>
              </w:rPr>
              <w:t>数据接入，图上标绘等功能。</w:t>
            </w:r>
          </w:p>
        </w:tc>
        <w:tc>
          <w:tcPr>
            <w:tcW w:w="775" w:type="dxa"/>
            <w:tcBorders>
              <w:top w:val="nil"/>
              <w:left w:val="nil"/>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vMerge w:val="restart"/>
            <w:tcBorders>
              <w:top w:val="nil"/>
              <w:left w:val="single" w:color="auto" w:sz="8" w:space="0"/>
              <w:bottom w:val="single" w:color="000000"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26</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战备值守</w:t>
            </w: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预警信息：接入重大灾害预警信息中心、气象局、地震局数据，防汛等预警信息及安保信息等，实时显示消防智能管控平台各类设备运行情况以及确认的报警信息。消防监督执法数据应用。</w:t>
            </w:r>
          </w:p>
        </w:tc>
        <w:tc>
          <w:tcPr>
            <w:tcW w:w="775" w:type="dxa"/>
            <w:vMerge w:val="restart"/>
            <w:tcBorders>
              <w:top w:val="nil"/>
              <w:left w:val="single" w:color="auto" w:sz="8" w:space="0"/>
              <w:bottom w:val="single" w:color="000000"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vMerge w:val="restart"/>
            <w:tcBorders>
              <w:top w:val="nil"/>
              <w:left w:val="single" w:color="auto" w:sz="8" w:space="0"/>
              <w:bottom w:val="single" w:color="000000"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警情地图：综合展示全年、当月、昨日、当日等不同时段的属地警情统计数据，下属各地警情分布情况和数量变化趋势。</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今日警情：展示今日警情概览、分类、列表、详情等信息，对即时警情和重点警情可突出展示和设定灾情判断规则等。</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值班动态：展示重点关注、要事提醒、值班快报。</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值班信息：展示支大队值班信息、执勤力量等。</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信息录入：战备值守信息录入页面提供了会议通知、待办事项、领导批示、工作动态、值班文件等工作事项的录入、编辑、删除和查询等管理功能。</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涉消舆情：自动收集涉消舆情。</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27</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应急指挥</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地图标绘与图上指挥、任务部署、警情二次智能定位、警情基础信息、警情对象信息、警情通报、救援力量信息、社会联动信息、资源查询和展示、指令下达与上报、视频监控调度、警情档案和回溯、专职队调度、隐患信息推送、人员基本信息维护、警情信息支撑等功能。</w:t>
            </w:r>
          </w:p>
        </w:tc>
        <w:tc>
          <w:tcPr>
            <w:tcW w:w="775" w:type="dxa"/>
            <w:tcBorders>
              <w:top w:val="nil"/>
              <w:left w:val="nil"/>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28</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重大安保</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安保力量部署和地图展示、信息维护、安保预案制作、安保对象三维展示、安保实战演练查阅、安保要事查阅、重点提示查阅、安保方案监控等功能</w:t>
            </w:r>
          </w:p>
        </w:tc>
        <w:tc>
          <w:tcPr>
            <w:tcW w:w="775" w:type="dxa"/>
            <w:tcBorders>
              <w:top w:val="nil"/>
              <w:left w:val="nil"/>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29</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三维数据采集与建模</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金华中心城区一环线约</w:t>
            </w:r>
            <w:r>
              <w:rPr>
                <w:rFonts w:hint="eastAsia" w:eastAsia="等线" w:cs="宋体"/>
                <w:color w:val="000000" w:themeColor="text1"/>
              </w:rPr>
              <w:t>30</w:t>
            </w:r>
            <w:r>
              <w:rPr>
                <w:rFonts w:hint="eastAsia" w:ascii="仿宋_GB2312" w:hAnsi="宋体" w:cs="宋体"/>
                <w:color w:val="000000" w:themeColor="text1"/>
              </w:rPr>
              <w:t>平方公里倾斜数据，清晰度</w:t>
            </w:r>
            <w:r>
              <w:rPr>
                <w:rFonts w:hint="eastAsia" w:eastAsia="等线" w:cs="宋体"/>
                <w:color w:val="000000" w:themeColor="text1"/>
              </w:rPr>
              <w:t>3~5</w:t>
            </w:r>
            <w:r>
              <w:rPr>
                <w:rFonts w:hint="eastAsia" w:ascii="仿宋_GB2312" w:hAnsi="宋体" w:cs="宋体"/>
                <w:color w:val="000000" w:themeColor="text1"/>
              </w:rPr>
              <w:t>厘米</w:t>
            </w:r>
          </w:p>
        </w:tc>
        <w:tc>
          <w:tcPr>
            <w:tcW w:w="775" w:type="dxa"/>
            <w:tcBorders>
              <w:top w:val="nil"/>
              <w:left w:val="nil"/>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vMerge w:val="restart"/>
            <w:tcBorders>
              <w:top w:val="nil"/>
              <w:left w:val="single" w:color="auto" w:sz="8" w:space="0"/>
              <w:bottom w:val="single" w:color="000000"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30</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color w:val="000000" w:themeColor="text1"/>
                <w:szCs w:val="21"/>
              </w:rPr>
              <w:t>重点单位三维建模及超高分显示系统</w:t>
            </w:r>
          </w:p>
        </w:tc>
        <w:tc>
          <w:tcPr>
            <w:tcW w:w="4370" w:type="dxa"/>
            <w:tcBorders>
              <w:top w:val="nil"/>
              <w:left w:val="nil"/>
              <w:bottom w:val="nil"/>
              <w:right w:val="single" w:color="auto" w:sz="8" w:space="0"/>
            </w:tcBorders>
            <w:shd w:val="clear" w:color="auto" w:fill="auto"/>
            <w:vAlign w:val="center"/>
          </w:tcPr>
          <w:p>
            <w:pPr>
              <w:rPr>
                <w:color w:val="000000" w:themeColor="text1"/>
                <w:szCs w:val="21"/>
              </w:rPr>
            </w:pPr>
            <w:r>
              <w:rPr>
                <w:rFonts w:hint="eastAsia"/>
                <w:color w:val="000000" w:themeColor="text1"/>
                <w:szCs w:val="21"/>
              </w:rPr>
              <w:t>对金华市市级消防重点单位进行三维建模。</w:t>
            </w:r>
            <w:r>
              <w:rPr>
                <w:rFonts w:hint="eastAsia" w:eastAsia="等线" w:cs="宋体"/>
                <w:color w:val="000000" w:themeColor="text1"/>
              </w:rPr>
              <w:t>　</w:t>
            </w:r>
          </w:p>
        </w:tc>
        <w:tc>
          <w:tcPr>
            <w:tcW w:w="775" w:type="dxa"/>
            <w:vMerge w:val="restart"/>
            <w:tcBorders>
              <w:top w:val="nil"/>
              <w:left w:val="single" w:color="auto" w:sz="8" w:space="0"/>
              <w:bottom w:val="single" w:color="000000"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vMerge w:val="restart"/>
            <w:tcBorders>
              <w:top w:val="nil"/>
              <w:left w:val="single" w:color="auto" w:sz="8" w:space="0"/>
              <w:bottom w:val="single" w:color="000000"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超高分硬件要求：</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 xml:space="preserve">Intel Xeon W-2104 3.20GHz 6C 140W CPU*1 / </w:t>
            </w:r>
            <w:r>
              <w:rPr>
                <w:rFonts w:hint="eastAsia" w:ascii="仿宋_GB2312" w:cs="宋体"/>
                <w:color w:val="000000" w:themeColor="text1"/>
              </w:rPr>
              <w:t>散热片</w:t>
            </w:r>
            <w:r>
              <w:rPr>
                <w:rFonts w:hint="eastAsia" w:eastAsia="等线" w:cs="宋体"/>
                <w:color w:val="000000" w:themeColor="text1"/>
              </w:rPr>
              <w:t>*1 / DDR4 2666 16G*1 / 1TB 3.5</w:t>
            </w:r>
            <w:r>
              <w:rPr>
                <w:rFonts w:hint="eastAsia" w:ascii="微软雅黑" w:hAnsi="微软雅黑" w:eastAsia="微软雅黑" w:cs="微软雅黑"/>
                <w:color w:val="000000" w:themeColor="text1"/>
              </w:rPr>
              <w:t>吋</w:t>
            </w:r>
            <w:r>
              <w:rPr>
                <w:rFonts w:hint="eastAsia" w:eastAsia="等线" w:cs="宋体"/>
                <w:color w:val="000000" w:themeColor="text1"/>
              </w:rPr>
              <w:t>7.2K 6Gb SATA</w:t>
            </w:r>
            <w:r>
              <w:rPr>
                <w:rFonts w:hint="eastAsia" w:ascii="仿宋_GB2312" w:cs="宋体"/>
                <w:color w:val="000000" w:themeColor="text1"/>
              </w:rPr>
              <w:t>硬盘</w:t>
            </w:r>
            <w:r>
              <w:rPr>
                <w:rFonts w:hint="eastAsia" w:eastAsia="等线" w:cs="宋体"/>
                <w:color w:val="000000" w:themeColor="text1"/>
              </w:rPr>
              <w:t xml:space="preserve">*1 / </w:t>
            </w:r>
            <w:r>
              <w:rPr>
                <w:rFonts w:hint="eastAsia" w:ascii="仿宋_GB2312" w:cs="宋体"/>
                <w:color w:val="000000" w:themeColor="text1"/>
              </w:rPr>
              <w:t>板载双千兆网卡</w:t>
            </w:r>
            <w:r>
              <w:rPr>
                <w:rFonts w:hint="eastAsia" w:eastAsia="等线" w:cs="宋体"/>
                <w:color w:val="000000" w:themeColor="text1"/>
              </w:rPr>
              <w:t>*1 / 1250W</w:t>
            </w:r>
            <w:r>
              <w:rPr>
                <w:rFonts w:hint="eastAsia" w:ascii="仿宋_GB2312" w:cs="宋体"/>
                <w:color w:val="000000" w:themeColor="text1"/>
              </w:rPr>
              <w:t>塔式单电源</w:t>
            </w:r>
            <w:r>
              <w:rPr>
                <w:rFonts w:hint="eastAsia" w:eastAsia="等线" w:cs="宋体"/>
                <w:color w:val="000000" w:themeColor="text1"/>
              </w:rPr>
              <w:t xml:space="preserve"> / NV Quadro P2000 5GB E3x16 75W </w:t>
            </w:r>
            <w:r>
              <w:rPr>
                <w:rFonts w:hint="eastAsia" w:ascii="仿宋_GB2312" w:cs="宋体"/>
                <w:color w:val="000000" w:themeColor="text1"/>
              </w:rPr>
              <w:t>单宽显卡</w:t>
            </w:r>
            <w:r>
              <w:rPr>
                <w:rFonts w:hint="eastAsia" w:eastAsia="等线" w:cs="宋体"/>
                <w:color w:val="000000" w:themeColor="text1"/>
              </w:rPr>
              <w:t xml:space="preserve">*2 / </w:t>
            </w:r>
            <w:r>
              <w:rPr>
                <w:rFonts w:hint="eastAsia" w:ascii="仿宋_GB2312" w:cs="宋体"/>
                <w:color w:val="000000" w:themeColor="text1"/>
              </w:rPr>
              <w:t>滑轨</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超高分软件要求：</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根据应急指挥系统的一、二级子系统开发匹配</w:t>
            </w:r>
            <w:r>
              <w:rPr>
                <w:rFonts w:hint="eastAsia" w:eastAsia="等线" w:cs="宋体"/>
                <w:color w:val="000000" w:themeColor="text1"/>
              </w:rPr>
              <w:t>led</w:t>
            </w:r>
            <w:r>
              <w:rPr>
                <w:rFonts w:hint="eastAsia" w:ascii="仿宋_GB2312" w:hAnsi="宋体" w:cs="宋体"/>
                <w:color w:val="000000" w:themeColor="text1"/>
              </w:rPr>
              <w:t>大屏幕显示的超高分屏。具有的超高分辨率图像处理、同步、智能缓存等功能。同时可支持业主定制化软件超高分上墙。</w:t>
            </w:r>
            <w:r>
              <w:rPr>
                <w:rFonts w:hint="eastAsia" w:eastAsia="等线" w:cs="宋体"/>
                <w:color w:val="000000" w:themeColor="text1"/>
                <w:szCs w:val="21"/>
              </w:rPr>
              <w:t> </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31</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正射影像</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金华中心城区二环线约</w:t>
            </w:r>
            <w:r>
              <w:rPr>
                <w:rFonts w:hint="eastAsia" w:eastAsia="等线" w:cs="宋体"/>
                <w:color w:val="000000" w:themeColor="text1"/>
              </w:rPr>
              <w:t>200</w:t>
            </w:r>
            <w:r>
              <w:rPr>
                <w:rFonts w:hint="eastAsia" w:ascii="仿宋_GB2312" w:hAnsi="宋体" w:cs="宋体"/>
                <w:color w:val="000000" w:themeColor="text1"/>
              </w:rPr>
              <w:t>平方公里范围的正射影像，清晰度</w:t>
            </w:r>
            <w:r>
              <w:rPr>
                <w:rFonts w:hint="eastAsia" w:eastAsia="等线" w:cs="宋体"/>
                <w:color w:val="000000" w:themeColor="text1"/>
              </w:rPr>
              <w:t>3~5</w:t>
            </w:r>
            <w:r>
              <w:rPr>
                <w:rFonts w:hint="eastAsia" w:ascii="仿宋_GB2312" w:hAnsi="宋体" w:cs="宋体"/>
                <w:color w:val="000000" w:themeColor="text1"/>
              </w:rPr>
              <w:t>厘米</w:t>
            </w:r>
          </w:p>
        </w:tc>
        <w:tc>
          <w:tcPr>
            <w:tcW w:w="775" w:type="dxa"/>
            <w:tcBorders>
              <w:top w:val="nil"/>
              <w:left w:val="nil"/>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32</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视频监控对接</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根据警情位置通过雪亮工程视频综合管理平台自动关联调阅相关地面视频资源和就近高空</w:t>
            </w:r>
            <w:r>
              <w:rPr>
                <w:rFonts w:hint="eastAsia" w:ascii="微软雅黑" w:hAnsi="微软雅黑" w:eastAsia="微软雅黑" w:cs="微软雅黑"/>
                <w:color w:val="000000" w:themeColor="text1"/>
              </w:rPr>
              <w:t>瞭</w:t>
            </w:r>
            <w:r>
              <w:rPr>
                <w:rFonts w:hint="eastAsia" w:ascii="仿宋_GB2312" w:hAnsi="仿宋_GB2312" w:cs="仿宋_GB2312"/>
                <w:color w:val="000000" w:themeColor="text1"/>
              </w:rPr>
              <w:t>望视频，开放的权限实现视角、焦距的操作。自动调阅营区监控。</w:t>
            </w:r>
          </w:p>
        </w:tc>
        <w:tc>
          <w:tcPr>
            <w:tcW w:w="775" w:type="dxa"/>
            <w:tcBorders>
              <w:top w:val="nil"/>
              <w:left w:val="nil"/>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vMerge w:val="restart"/>
            <w:tcBorders>
              <w:top w:val="nil"/>
              <w:left w:val="single" w:color="auto" w:sz="8" w:space="0"/>
              <w:bottom w:val="single" w:color="000000"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33</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运维巡检一体化平台</w:t>
            </w: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系统应支持以图形化的方式展现监控点在线率、视频质量诊断正常率、录像正常率、设备在线率；支持离线、图像异常、录像异常点位明细查看功能；应支持最新告警、代办事项的展现。</w:t>
            </w:r>
          </w:p>
        </w:tc>
        <w:tc>
          <w:tcPr>
            <w:tcW w:w="775" w:type="dxa"/>
            <w:vMerge w:val="restart"/>
            <w:tcBorders>
              <w:top w:val="nil"/>
              <w:left w:val="single" w:color="auto" w:sz="8" w:space="0"/>
              <w:bottom w:val="single" w:color="000000"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vMerge w:val="restart"/>
            <w:tcBorders>
              <w:top w:val="nil"/>
              <w:left w:val="single" w:color="auto" w:sz="8" w:space="0"/>
              <w:bottom w:val="single" w:color="000000"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2U</w:t>
            </w:r>
            <w:r>
              <w:rPr>
                <w:rFonts w:hint="eastAsia" w:ascii="仿宋_GB2312" w:cs="宋体"/>
                <w:color w:val="000000" w:themeColor="text1"/>
              </w:rPr>
              <w:t>标准机箱</w:t>
            </w:r>
            <w:r>
              <w:rPr>
                <w:rFonts w:hint="eastAsia" w:eastAsia="等线" w:cs="宋体"/>
                <w:color w:val="000000" w:themeColor="text1"/>
              </w:rPr>
              <w:t>/16GB</w:t>
            </w:r>
            <w:r>
              <w:rPr>
                <w:rFonts w:hint="eastAsia" w:ascii="仿宋_GB2312" w:cs="宋体"/>
                <w:color w:val="000000" w:themeColor="text1"/>
              </w:rPr>
              <w:t>内存</w:t>
            </w:r>
            <w:r>
              <w:rPr>
                <w:rFonts w:hint="eastAsia" w:eastAsia="等线" w:cs="宋体"/>
                <w:color w:val="000000" w:themeColor="text1"/>
              </w:rPr>
              <w:t>/500GB</w:t>
            </w:r>
            <w:r>
              <w:rPr>
                <w:rFonts w:hint="eastAsia" w:ascii="仿宋_GB2312" w:cs="宋体"/>
                <w:color w:val="000000" w:themeColor="text1"/>
              </w:rPr>
              <w:t>硬盘</w:t>
            </w:r>
            <w:r>
              <w:rPr>
                <w:rFonts w:hint="eastAsia" w:eastAsia="等线" w:cs="宋体"/>
                <w:color w:val="000000" w:themeColor="text1"/>
              </w:rPr>
              <w:t>/</w:t>
            </w:r>
            <w:r>
              <w:rPr>
                <w:rFonts w:hint="eastAsia" w:ascii="仿宋_GB2312" w:cs="宋体"/>
                <w:color w:val="000000" w:themeColor="text1"/>
              </w:rPr>
              <w:t>系统管理</w:t>
            </w:r>
            <w:r>
              <w:rPr>
                <w:rFonts w:hint="eastAsia" w:eastAsia="等线" w:cs="宋体"/>
                <w:color w:val="000000" w:themeColor="text1"/>
              </w:rPr>
              <w:t>/</w:t>
            </w:r>
            <w:r>
              <w:rPr>
                <w:rFonts w:hint="eastAsia" w:ascii="仿宋_GB2312" w:cs="宋体"/>
                <w:color w:val="000000" w:themeColor="text1"/>
              </w:rPr>
              <w:t>巡检配置</w:t>
            </w:r>
            <w:r>
              <w:rPr>
                <w:rFonts w:hint="eastAsia" w:eastAsia="等线" w:cs="宋体"/>
                <w:color w:val="000000" w:themeColor="text1"/>
              </w:rPr>
              <w:t>/</w:t>
            </w:r>
            <w:r>
              <w:rPr>
                <w:rFonts w:hint="eastAsia" w:ascii="仿宋_GB2312" w:cs="宋体"/>
                <w:color w:val="000000" w:themeColor="text1"/>
              </w:rPr>
              <w:t>运维监控</w:t>
            </w:r>
            <w:r>
              <w:rPr>
                <w:rFonts w:hint="eastAsia" w:eastAsia="等线" w:cs="宋体"/>
                <w:color w:val="000000" w:themeColor="text1"/>
              </w:rPr>
              <w:t>/</w:t>
            </w:r>
            <w:r>
              <w:rPr>
                <w:rFonts w:hint="eastAsia" w:ascii="仿宋_GB2312" w:cs="宋体"/>
                <w:color w:val="000000" w:themeColor="text1"/>
              </w:rPr>
              <w:t>工单管理</w:t>
            </w:r>
            <w:r>
              <w:rPr>
                <w:rFonts w:hint="eastAsia" w:eastAsia="等线" w:cs="宋体"/>
                <w:color w:val="000000" w:themeColor="text1"/>
              </w:rPr>
              <w:t>/</w:t>
            </w:r>
            <w:r>
              <w:rPr>
                <w:rFonts w:hint="eastAsia" w:ascii="仿宋_GB2312" w:cs="宋体"/>
                <w:color w:val="000000" w:themeColor="text1"/>
              </w:rPr>
              <w:t>统计报表</w:t>
            </w:r>
            <w:r>
              <w:rPr>
                <w:rFonts w:hint="eastAsia" w:eastAsia="等线" w:cs="宋体"/>
                <w:color w:val="000000" w:themeColor="text1"/>
              </w:rPr>
              <w:t>/</w:t>
            </w:r>
            <w:r>
              <w:rPr>
                <w:rFonts w:hint="eastAsia" w:ascii="仿宋_GB2312" w:cs="宋体"/>
                <w:color w:val="000000" w:themeColor="text1"/>
              </w:rPr>
              <w:t>运维考核</w:t>
            </w:r>
            <w:r>
              <w:rPr>
                <w:rFonts w:hint="eastAsia" w:eastAsia="等线" w:cs="宋体"/>
                <w:color w:val="000000" w:themeColor="text1"/>
              </w:rPr>
              <w:t>/</w:t>
            </w:r>
            <w:r>
              <w:rPr>
                <w:rFonts w:hint="eastAsia" w:ascii="仿宋_GB2312" w:cs="宋体"/>
                <w:color w:val="000000" w:themeColor="text1"/>
              </w:rPr>
              <w:t>资产管理</w:t>
            </w:r>
            <w:r>
              <w:rPr>
                <w:rFonts w:hint="eastAsia" w:eastAsia="等线" w:cs="宋体"/>
                <w:color w:val="000000" w:themeColor="text1"/>
              </w:rPr>
              <w:t>/</w:t>
            </w:r>
            <w:r>
              <w:rPr>
                <w:rFonts w:hint="eastAsia" w:ascii="仿宋_GB2312" w:cs="宋体"/>
                <w:color w:val="000000" w:themeColor="text1"/>
              </w:rPr>
              <w:t>告警中心</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34</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平台对接</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与省办公平台请假部分对接</w:t>
            </w:r>
          </w:p>
        </w:tc>
        <w:tc>
          <w:tcPr>
            <w:tcW w:w="775" w:type="dxa"/>
            <w:tcBorders>
              <w:top w:val="nil"/>
              <w:left w:val="nil"/>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vMerge w:val="restart"/>
            <w:tcBorders>
              <w:top w:val="nil"/>
              <w:left w:val="single" w:color="auto" w:sz="8" w:space="0"/>
              <w:bottom w:val="single" w:color="000000"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35</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restart"/>
            <w:tcBorders>
              <w:top w:val="nil"/>
              <w:left w:val="single" w:color="auto" w:sz="8" w:space="0"/>
              <w:bottom w:val="single" w:color="000000" w:sz="8" w:space="0"/>
              <w:right w:val="single" w:color="auto" w:sz="8"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平台管理软件</w:t>
            </w: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平台服务模块包含统一集成平台</w:t>
            </w:r>
            <w:r>
              <w:rPr>
                <w:rFonts w:hint="eastAsia" w:eastAsia="等线" w:cs="宋体"/>
                <w:color w:val="000000" w:themeColor="text1"/>
              </w:rPr>
              <w:t>IMP</w:t>
            </w:r>
            <w:r>
              <w:rPr>
                <w:rFonts w:hint="eastAsia" w:ascii="仿宋_GB2312" w:hAnsi="宋体" w:cs="宋体"/>
                <w:color w:val="000000" w:themeColor="text1"/>
              </w:rPr>
              <w:t>、缓存模块、消息服务模块、数据库服务模块、视频组件、视图库管理模块等。</w:t>
            </w:r>
          </w:p>
        </w:tc>
        <w:tc>
          <w:tcPr>
            <w:tcW w:w="775" w:type="dxa"/>
            <w:vMerge w:val="restart"/>
            <w:tcBorders>
              <w:top w:val="nil"/>
              <w:left w:val="single" w:color="auto" w:sz="8" w:space="0"/>
              <w:bottom w:val="single" w:color="000000"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vMerge w:val="restart"/>
            <w:tcBorders>
              <w:top w:val="nil"/>
              <w:left w:val="single" w:color="auto" w:sz="8" w:space="0"/>
              <w:bottom w:val="single" w:color="000000"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平台功能分为视频监控功能、人脸分析功能、报警应用功能、统计分析功能、日志管理功能、值班管理功能、全文检索功能、权限管理功能、系统配置功能、平台级联功能等。</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36</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应用服务器</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eastAsia="等线" w:cs="宋体"/>
                <w:color w:val="000000" w:themeColor="text1"/>
              </w:rPr>
              <w:t>CPU:</w:t>
            </w:r>
            <w:r>
              <w:rPr>
                <w:rFonts w:hint="eastAsia" w:eastAsia="等线" w:cs="宋体"/>
                <w:color w:val="000000" w:themeColor="text1"/>
              </w:rPr>
              <w:t>2*</w:t>
            </w:r>
            <w:r>
              <w:rPr>
                <w:rFonts w:eastAsia="等线" w:cs="宋体"/>
                <w:color w:val="000000" w:themeColor="text1"/>
              </w:rPr>
              <w:t xml:space="preserve"> Intel Xeon (≥12核</w:t>
            </w:r>
            <w:r>
              <w:rPr>
                <w:rFonts w:hint="eastAsia" w:eastAsia="等线" w:cs="宋体"/>
                <w:color w:val="000000" w:themeColor="text1"/>
              </w:rPr>
              <w:t>，</w:t>
            </w:r>
            <w:r>
              <w:rPr>
                <w:rFonts w:eastAsia="等线" w:cs="宋体"/>
                <w:color w:val="000000" w:themeColor="text1"/>
              </w:rPr>
              <w:t>≥2.4GHz)</w:t>
            </w:r>
            <w:r>
              <w:rPr>
                <w:rFonts w:hint="eastAsia" w:eastAsia="等线" w:cs="宋体"/>
                <w:color w:val="000000" w:themeColor="text1"/>
              </w:rPr>
              <w:t xml:space="preserve"> /128GB/4*900GB 10K SAS/RAID50</w:t>
            </w:r>
            <w:r>
              <w:rPr>
                <w:rFonts w:hint="eastAsia" w:ascii="仿宋_GB2312" w:cs="宋体"/>
                <w:color w:val="000000" w:themeColor="text1"/>
              </w:rPr>
              <w:t>带缓存保护</w:t>
            </w:r>
            <w:r>
              <w:rPr>
                <w:rFonts w:hint="eastAsia" w:eastAsia="等线" w:cs="宋体"/>
                <w:color w:val="000000" w:themeColor="text1"/>
              </w:rPr>
              <w:t>/4*GE/1+1</w:t>
            </w:r>
            <w:r>
              <w:rPr>
                <w:rFonts w:hint="eastAsia" w:ascii="仿宋_GB2312" w:cs="宋体"/>
                <w:color w:val="000000" w:themeColor="text1"/>
              </w:rPr>
              <w:t>冗余风扇电源</w:t>
            </w:r>
            <w:r>
              <w:rPr>
                <w:rFonts w:hint="eastAsia" w:eastAsia="等线" w:cs="宋体"/>
                <w:color w:val="000000" w:themeColor="text1"/>
              </w:rPr>
              <w:t>/</w:t>
            </w:r>
            <w:r>
              <w:rPr>
                <w:rFonts w:hint="eastAsia" w:ascii="仿宋_GB2312" w:cs="宋体"/>
                <w:color w:val="000000" w:themeColor="text1"/>
              </w:rPr>
              <w:t>机架套件</w:t>
            </w:r>
          </w:p>
        </w:tc>
        <w:tc>
          <w:tcPr>
            <w:tcW w:w="775" w:type="dxa"/>
            <w:tcBorders>
              <w:top w:val="nil"/>
              <w:left w:val="nil"/>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3</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37</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数据库服务器</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eastAsia="等线" w:cs="宋体"/>
                <w:color w:val="000000" w:themeColor="text1"/>
              </w:rPr>
              <w:t>CPU:</w:t>
            </w:r>
            <w:r>
              <w:rPr>
                <w:rFonts w:hint="eastAsia" w:eastAsia="等线" w:cs="宋体"/>
                <w:color w:val="000000" w:themeColor="text1"/>
              </w:rPr>
              <w:t>2*</w:t>
            </w:r>
            <w:r>
              <w:rPr>
                <w:rFonts w:eastAsia="等线" w:cs="宋体"/>
                <w:color w:val="000000" w:themeColor="text1"/>
              </w:rPr>
              <w:t xml:space="preserve"> Intel Xeon (≥12核</w:t>
            </w:r>
            <w:r>
              <w:rPr>
                <w:rFonts w:hint="eastAsia" w:eastAsia="等线" w:cs="宋体"/>
                <w:color w:val="000000" w:themeColor="text1"/>
              </w:rPr>
              <w:t>，</w:t>
            </w:r>
            <w:r>
              <w:rPr>
                <w:rFonts w:eastAsia="等线" w:cs="宋体"/>
                <w:color w:val="000000" w:themeColor="text1"/>
              </w:rPr>
              <w:t>≥2.4GHz, ≥30MB)</w:t>
            </w:r>
            <w:r>
              <w:rPr>
                <w:rFonts w:hint="eastAsia" w:eastAsia="等线" w:cs="宋体"/>
                <w:color w:val="000000" w:themeColor="text1"/>
              </w:rPr>
              <w:t>/128GB/4*900GB 10K SAS/RAID50</w:t>
            </w:r>
            <w:r>
              <w:rPr>
                <w:rFonts w:hint="eastAsia" w:ascii="仿宋_GB2312" w:cs="宋体"/>
                <w:color w:val="000000" w:themeColor="text1"/>
              </w:rPr>
              <w:t>带缓存保护</w:t>
            </w:r>
            <w:r>
              <w:rPr>
                <w:rFonts w:hint="eastAsia" w:eastAsia="等线" w:cs="宋体"/>
                <w:color w:val="000000" w:themeColor="text1"/>
              </w:rPr>
              <w:t>/4*GE/1+1</w:t>
            </w:r>
            <w:r>
              <w:rPr>
                <w:rFonts w:hint="eastAsia" w:ascii="仿宋_GB2312" w:cs="宋体"/>
                <w:color w:val="000000" w:themeColor="text1"/>
              </w:rPr>
              <w:t>冗余风扇电源</w:t>
            </w:r>
            <w:r>
              <w:rPr>
                <w:rFonts w:hint="eastAsia" w:eastAsia="等线" w:cs="宋体"/>
                <w:color w:val="000000" w:themeColor="text1"/>
              </w:rPr>
              <w:t>/</w:t>
            </w:r>
            <w:r>
              <w:rPr>
                <w:rFonts w:hint="eastAsia" w:ascii="仿宋_GB2312" w:cs="宋体"/>
                <w:color w:val="000000" w:themeColor="text1"/>
              </w:rPr>
              <w:t>机架套件</w:t>
            </w:r>
          </w:p>
        </w:tc>
        <w:tc>
          <w:tcPr>
            <w:tcW w:w="775" w:type="dxa"/>
            <w:tcBorders>
              <w:top w:val="nil"/>
              <w:left w:val="nil"/>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2</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38</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交换机</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交换容量</w:t>
            </w:r>
            <w:r>
              <w:rPr>
                <w:rFonts w:hint="eastAsia" w:eastAsia="等线" w:cs="宋体"/>
                <w:color w:val="000000" w:themeColor="text1"/>
              </w:rPr>
              <w:t>336Gbps</w:t>
            </w:r>
            <w:r>
              <w:rPr>
                <w:rFonts w:hint="eastAsia" w:ascii="仿宋_GB2312" w:hAnsi="宋体" w:cs="宋体"/>
                <w:color w:val="000000" w:themeColor="text1"/>
              </w:rPr>
              <w:t>，包转发率：</w:t>
            </w:r>
            <w:r>
              <w:rPr>
                <w:rFonts w:hint="eastAsia" w:eastAsia="等线" w:cs="宋体"/>
                <w:color w:val="000000" w:themeColor="text1"/>
              </w:rPr>
              <w:t>132Mpps</w:t>
            </w:r>
            <w:r>
              <w:rPr>
                <w:rFonts w:hint="eastAsia" w:ascii="仿宋_GB2312" w:hAnsi="宋体" w:cs="宋体"/>
                <w:color w:val="000000" w:themeColor="text1"/>
              </w:rPr>
              <w:t>，</w:t>
            </w:r>
            <w:r>
              <w:rPr>
                <w:rFonts w:hint="eastAsia" w:eastAsia="等线" w:cs="宋体"/>
                <w:color w:val="000000" w:themeColor="text1"/>
              </w:rPr>
              <w:t>48</w:t>
            </w:r>
            <w:r>
              <w:rPr>
                <w:rFonts w:hint="eastAsia" w:ascii="仿宋_GB2312" w:hAnsi="宋体" w:cs="宋体"/>
                <w:color w:val="000000" w:themeColor="text1"/>
              </w:rPr>
              <w:t>个</w:t>
            </w:r>
            <w:r>
              <w:rPr>
                <w:rFonts w:hint="eastAsia" w:eastAsia="等线" w:cs="宋体"/>
                <w:color w:val="000000" w:themeColor="text1"/>
              </w:rPr>
              <w:t>10/100/1000Base-T</w:t>
            </w:r>
            <w:r>
              <w:rPr>
                <w:rFonts w:hint="eastAsia" w:ascii="仿宋_GB2312" w:hAnsi="宋体" w:cs="宋体"/>
                <w:color w:val="000000" w:themeColor="text1"/>
              </w:rPr>
              <w:t>，</w:t>
            </w:r>
            <w:r>
              <w:rPr>
                <w:rFonts w:hint="eastAsia" w:eastAsia="等线" w:cs="宋体"/>
                <w:color w:val="000000" w:themeColor="text1"/>
              </w:rPr>
              <w:t>4</w:t>
            </w:r>
            <w:r>
              <w:rPr>
                <w:rFonts w:hint="eastAsia" w:ascii="仿宋_GB2312" w:hAnsi="宋体" w:cs="宋体"/>
                <w:color w:val="000000" w:themeColor="text1"/>
              </w:rPr>
              <w:t>个千兆</w:t>
            </w:r>
            <w:r>
              <w:rPr>
                <w:rFonts w:hint="eastAsia" w:eastAsia="等线" w:cs="宋体"/>
                <w:color w:val="000000" w:themeColor="text1"/>
              </w:rPr>
              <w:t>SFP</w:t>
            </w:r>
            <w:r>
              <w:rPr>
                <w:rFonts w:hint="eastAsia" w:ascii="仿宋_GB2312" w:hAnsi="宋体" w:cs="宋体"/>
                <w:color w:val="000000" w:themeColor="text1"/>
              </w:rPr>
              <w:t>，支持</w:t>
            </w:r>
            <w:r>
              <w:rPr>
                <w:rFonts w:hint="eastAsia" w:eastAsia="等线" w:cs="宋体"/>
                <w:color w:val="000000" w:themeColor="text1"/>
              </w:rPr>
              <w:t>RPS</w:t>
            </w:r>
            <w:r>
              <w:rPr>
                <w:rFonts w:hint="eastAsia" w:ascii="仿宋_GB2312" w:hAnsi="宋体" w:cs="宋体"/>
                <w:color w:val="000000" w:themeColor="text1"/>
              </w:rPr>
              <w:t>冗余电源</w:t>
            </w:r>
          </w:p>
        </w:tc>
        <w:tc>
          <w:tcPr>
            <w:tcW w:w="775" w:type="dxa"/>
            <w:tcBorders>
              <w:top w:val="nil"/>
              <w:left w:val="nil"/>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39</w:t>
            </w:r>
          </w:p>
        </w:tc>
        <w:tc>
          <w:tcPr>
            <w:tcW w:w="1176"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业务应用集成对接</w:t>
            </w: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区县雪亮应用集成对接</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针对区县已经搭建完成的，采用集成对接方式实现一体化管理。可通过市里统一开发</w:t>
            </w:r>
            <w:r>
              <w:rPr>
                <w:rFonts w:hint="eastAsia" w:eastAsia="等线" w:cs="宋体"/>
                <w:color w:val="000000" w:themeColor="text1"/>
              </w:rPr>
              <w:t>SDK</w:t>
            </w:r>
            <w:r>
              <w:rPr>
                <w:rFonts w:hint="eastAsia" w:ascii="仿宋_GB2312" w:hAnsi="宋体" w:cs="宋体"/>
                <w:color w:val="000000" w:themeColor="text1"/>
              </w:rPr>
              <w:t>包提供区县集成使用，部门标准应用，可提供标准接口供地方区县使用。</w:t>
            </w:r>
          </w:p>
        </w:tc>
        <w:tc>
          <w:tcPr>
            <w:tcW w:w="775" w:type="dxa"/>
            <w:tcBorders>
              <w:top w:val="nil"/>
              <w:left w:val="nil"/>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40</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金华市四平台集成对接</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实现和金华市基层治理四平台有效衔接，通过雪亮智能发现的问题能够流转至四平台进行有效处置解决，同时在四平台中能够集成雪亮智能应用。</w:t>
            </w:r>
          </w:p>
        </w:tc>
        <w:tc>
          <w:tcPr>
            <w:tcW w:w="775" w:type="dxa"/>
            <w:tcBorders>
              <w:top w:val="nil"/>
              <w:left w:val="nil"/>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41</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金华市</w:t>
            </w:r>
            <w:r>
              <w:rPr>
                <w:rFonts w:hint="eastAsia" w:eastAsia="等线" w:cs="宋体"/>
                <w:color w:val="000000" w:themeColor="text1"/>
              </w:rPr>
              <w:t>8890</w:t>
            </w:r>
            <w:r>
              <w:rPr>
                <w:rFonts w:hint="eastAsia" w:ascii="仿宋_GB2312" w:hAnsi="宋体" w:cs="宋体"/>
                <w:color w:val="000000" w:themeColor="text1"/>
              </w:rPr>
              <w:t>集成对接</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实现与金华市</w:t>
            </w:r>
            <w:r>
              <w:rPr>
                <w:rFonts w:hint="eastAsia" w:eastAsia="等线" w:cs="宋体"/>
                <w:color w:val="000000" w:themeColor="text1"/>
              </w:rPr>
              <w:t>8890</w:t>
            </w:r>
            <w:r>
              <w:rPr>
                <w:rFonts w:hint="eastAsia" w:ascii="仿宋_GB2312" w:hAnsi="宋体" w:cs="宋体"/>
                <w:color w:val="000000" w:themeColor="text1"/>
              </w:rPr>
              <w:t>平台集成对接，</w:t>
            </w:r>
            <w:r>
              <w:rPr>
                <w:rFonts w:hint="eastAsia" w:eastAsia="等线" w:cs="宋体"/>
                <w:color w:val="000000" w:themeColor="text1"/>
              </w:rPr>
              <w:t>8890</w:t>
            </w:r>
            <w:r>
              <w:rPr>
                <w:rFonts w:hint="eastAsia" w:ascii="仿宋_GB2312" w:hAnsi="宋体" w:cs="宋体"/>
                <w:color w:val="000000" w:themeColor="text1"/>
              </w:rPr>
              <w:t>平台事件数据归集至雪亮综治大脑，同时实现</w:t>
            </w:r>
            <w:r>
              <w:rPr>
                <w:rFonts w:hint="eastAsia" w:eastAsia="等线" w:cs="宋体"/>
                <w:color w:val="000000" w:themeColor="text1"/>
              </w:rPr>
              <w:t>8890</w:t>
            </w:r>
            <w:r>
              <w:rPr>
                <w:rFonts w:hint="eastAsia" w:ascii="仿宋_GB2312" w:hAnsi="宋体" w:cs="宋体"/>
                <w:color w:val="000000" w:themeColor="text1"/>
              </w:rPr>
              <w:t>线上业务与雪亮的平台双向交互。</w:t>
            </w:r>
          </w:p>
        </w:tc>
        <w:tc>
          <w:tcPr>
            <w:tcW w:w="775" w:type="dxa"/>
            <w:tcBorders>
              <w:top w:val="nil"/>
              <w:left w:val="nil"/>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42</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金华法院对接</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实现与金华法院对接，获取案件审判、执行信息等数据，服务于综治应用系统。</w:t>
            </w:r>
          </w:p>
        </w:tc>
        <w:tc>
          <w:tcPr>
            <w:tcW w:w="775" w:type="dxa"/>
            <w:tcBorders>
              <w:top w:val="nil"/>
              <w:left w:val="nil"/>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43</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金华检察院对接</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实现与金华检察院对接，获取批捕起诉信息等数据，服务于综治应用系统。</w:t>
            </w:r>
          </w:p>
        </w:tc>
        <w:tc>
          <w:tcPr>
            <w:tcW w:w="775" w:type="dxa"/>
            <w:tcBorders>
              <w:top w:val="nil"/>
              <w:left w:val="nil"/>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44</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金华数管中心对接</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实现与金华数管中心对接，获取户籍人口、流动人口、**人员等数据，服务于综治应用系统。</w:t>
            </w:r>
          </w:p>
        </w:tc>
        <w:tc>
          <w:tcPr>
            <w:tcW w:w="775" w:type="dxa"/>
            <w:tcBorders>
              <w:top w:val="nil"/>
              <w:left w:val="nil"/>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45</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省综治办对接</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实现与金华数管中心对接，获取重点上访人员、出租房、社会组织等数据，服务于综治应用系统。</w:t>
            </w:r>
          </w:p>
        </w:tc>
        <w:tc>
          <w:tcPr>
            <w:tcW w:w="775" w:type="dxa"/>
            <w:tcBorders>
              <w:top w:val="nil"/>
              <w:left w:val="nil"/>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8426" w:type="dxa"/>
            <w:gridSpan w:val="6"/>
            <w:tcBorders>
              <w:top w:val="single" w:color="auto" w:sz="8" w:space="0"/>
              <w:left w:val="single" w:color="auto" w:sz="8" w:space="0"/>
              <w:bottom w:val="single" w:color="auto" w:sz="8" w:space="0"/>
              <w:right w:val="nil"/>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二、综治实战应用（应用系统服务器租赁</w:t>
            </w:r>
            <w:r>
              <w:rPr>
                <w:rFonts w:hint="eastAsia" w:eastAsia="等线" w:cs="宋体"/>
                <w:color w:val="000000" w:themeColor="text1"/>
              </w:rPr>
              <w:t xml:space="preserve"> 5</w:t>
            </w:r>
            <w:r>
              <w:rPr>
                <w:rFonts w:hint="eastAsia" w:ascii="仿宋_GB2312" w:hAnsi="宋体" w:cs="宋体"/>
                <w:color w:val="000000" w:themeColor="text1"/>
              </w:rPr>
              <w:t>年）</w:t>
            </w:r>
          </w:p>
        </w:tc>
      </w:tr>
      <w:tr>
        <w:tblPrEx>
          <w:tblLayout w:type="fixed"/>
          <w:tblCellMar>
            <w:top w:w="0" w:type="dxa"/>
            <w:left w:w="108" w:type="dxa"/>
            <w:bottom w:w="0" w:type="dxa"/>
            <w:right w:w="108" w:type="dxa"/>
          </w:tblCellMar>
        </w:tblPrEx>
        <w:tc>
          <w:tcPr>
            <w:tcW w:w="469" w:type="dxa"/>
            <w:vMerge w:val="restart"/>
            <w:tcBorders>
              <w:top w:val="nil"/>
              <w:left w:val="single" w:color="auto" w:sz="8" w:space="0"/>
              <w:bottom w:val="single" w:color="000000"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1176"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负载均衡</w:t>
            </w:r>
          </w:p>
        </w:tc>
        <w:tc>
          <w:tcPr>
            <w:tcW w:w="1180"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软负载策略，基于</w:t>
            </w:r>
            <w:r>
              <w:rPr>
                <w:rFonts w:hint="eastAsia" w:eastAsia="等线" w:cs="宋体"/>
                <w:color w:val="000000" w:themeColor="text1"/>
              </w:rPr>
              <w:t>nginx</w:t>
            </w:r>
            <w:r>
              <w:rPr>
                <w:rFonts w:hint="eastAsia" w:ascii="仿宋_GB2312" w:hAnsi="宋体" w:cs="宋体"/>
                <w:color w:val="000000" w:themeColor="text1"/>
              </w:rPr>
              <w:t>的软件负载，使用随机策略，每个节点承载</w:t>
            </w:r>
            <w:r>
              <w:rPr>
                <w:rFonts w:hint="eastAsia" w:eastAsia="等线" w:cs="宋体"/>
                <w:color w:val="000000" w:themeColor="text1"/>
              </w:rPr>
              <w:t>2000</w:t>
            </w:r>
            <w:r>
              <w:rPr>
                <w:rFonts w:hint="eastAsia" w:ascii="仿宋_GB2312" w:hAnsi="宋体" w:cs="宋体"/>
                <w:color w:val="000000" w:themeColor="text1"/>
              </w:rPr>
              <w:t>以上的并发请求</w:t>
            </w: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虚拟机租用：</w:t>
            </w:r>
            <w:r>
              <w:rPr>
                <w:rFonts w:hint="eastAsia" w:eastAsia="等线" w:cs="宋体"/>
                <w:color w:val="000000" w:themeColor="text1"/>
              </w:rPr>
              <w:t>CPU:8</w:t>
            </w:r>
            <w:r>
              <w:rPr>
                <w:rFonts w:hint="eastAsia" w:ascii="仿宋_GB2312" w:hAnsi="宋体" w:cs="宋体"/>
                <w:color w:val="000000" w:themeColor="text1"/>
              </w:rPr>
              <w:t>核内存</w:t>
            </w:r>
            <w:r>
              <w:rPr>
                <w:rFonts w:hint="eastAsia" w:eastAsia="等线" w:cs="宋体"/>
                <w:color w:val="000000" w:themeColor="text1"/>
              </w:rPr>
              <w:t xml:space="preserve">:16GB </w:t>
            </w:r>
            <w:r>
              <w:rPr>
                <w:rFonts w:hint="eastAsia" w:ascii="仿宋_GB2312" w:hAnsi="宋体" w:cs="宋体"/>
                <w:color w:val="000000" w:themeColor="text1"/>
              </w:rPr>
              <w:t>存储：</w:t>
            </w:r>
            <w:r>
              <w:rPr>
                <w:rFonts w:hint="eastAsia" w:eastAsia="等线" w:cs="宋体"/>
                <w:color w:val="000000" w:themeColor="text1"/>
              </w:rPr>
              <w:t>200G</w:t>
            </w:r>
          </w:p>
        </w:tc>
        <w:tc>
          <w:tcPr>
            <w:tcW w:w="775"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vMerge w:val="restart"/>
            <w:tcBorders>
              <w:top w:val="nil"/>
              <w:left w:val="single" w:color="auto" w:sz="8" w:space="0"/>
              <w:bottom w:val="single" w:color="000000"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centos 7.2 X86_64</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restart"/>
            <w:tcBorders>
              <w:top w:val="nil"/>
              <w:left w:val="single" w:color="auto" w:sz="8" w:space="0"/>
              <w:bottom w:val="single" w:color="000000"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2</w:t>
            </w:r>
          </w:p>
        </w:tc>
        <w:tc>
          <w:tcPr>
            <w:tcW w:w="1176"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数据库</w:t>
            </w:r>
          </w:p>
        </w:tc>
        <w:tc>
          <w:tcPr>
            <w:tcW w:w="1180"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安装</w:t>
            </w:r>
            <w:r>
              <w:rPr>
                <w:rFonts w:hint="eastAsia" w:eastAsia="等线" w:cs="宋体"/>
                <w:color w:val="000000" w:themeColor="text1"/>
              </w:rPr>
              <w:t>Oracle</w:t>
            </w:r>
            <w:r>
              <w:rPr>
                <w:rFonts w:hint="eastAsia" w:ascii="仿宋_GB2312" w:hAnsi="宋体" w:cs="宋体"/>
                <w:color w:val="000000" w:themeColor="text1"/>
              </w:rPr>
              <w:t>数据库，</w:t>
            </w:r>
            <w:r>
              <w:rPr>
                <w:rFonts w:hint="eastAsia" w:eastAsia="等线" w:cs="宋体"/>
                <w:color w:val="000000" w:themeColor="text1"/>
              </w:rPr>
              <w:t>11g</w:t>
            </w:r>
            <w:r>
              <w:rPr>
                <w:rFonts w:hint="eastAsia" w:ascii="仿宋_GB2312" w:hAnsi="宋体" w:cs="宋体"/>
                <w:color w:val="000000" w:themeColor="text1"/>
              </w:rPr>
              <w:t>版本，用于存储应用的业务数据，要求不低于</w:t>
            </w:r>
            <w:r>
              <w:rPr>
                <w:rFonts w:hint="eastAsia" w:eastAsia="等线" w:cs="宋体"/>
                <w:color w:val="000000" w:themeColor="text1"/>
              </w:rPr>
              <w:t>8000IOPS</w:t>
            </w: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虚拟机租用：</w:t>
            </w:r>
            <w:r>
              <w:rPr>
                <w:rFonts w:hint="eastAsia" w:eastAsia="等线" w:cs="宋体"/>
                <w:color w:val="000000" w:themeColor="text1"/>
              </w:rPr>
              <w:t>CPU:16</w:t>
            </w:r>
            <w:r>
              <w:rPr>
                <w:rFonts w:hint="eastAsia" w:ascii="仿宋_GB2312" w:hAnsi="宋体" w:cs="宋体"/>
                <w:color w:val="000000" w:themeColor="text1"/>
              </w:rPr>
              <w:t>核内存</w:t>
            </w:r>
            <w:r>
              <w:rPr>
                <w:rFonts w:hint="eastAsia" w:eastAsia="等线" w:cs="宋体"/>
                <w:color w:val="000000" w:themeColor="text1"/>
              </w:rPr>
              <w:t xml:space="preserve">:32GB </w:t>
            </w:r>
            <w:r>
              <w:rPr>
                <w:rFonts w:hint="eastAsia" w:ascii="仿宋_GB2312" w:hAnsi="宋体" w:cs="宋体"/>
                <w:color w:val="000000" w:themeColor="text1"/>
              </w:rPr>
              <w:t>存储：</w:t>
            </w:r>
            <w:r>
              <w:rPr>
                <w:rFonts w:hint="eastAsia" w:eastAsia="等线" w:cs="宋体"/>
                <w:color w:val="000000" w:themeColor="text1"/>
              </w:rPr>
              <w:t>1000G</w:t>
            </w:r>
          </w:p>
        </w:tc>
        <w:tc>
          <w:tcPr>
            <w:tcW w:w="775"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w:t>
            </w:r>
          </w:p>
        </w:tc>
        <w:tc>
          <w:tcPr>
            <w:tcW w:w="456" w:type="dxa"/>
            <w:vMerge w:val="restart"/>
            <w:tcBorders>
              <w:top w:val="nil"/>
              <w:left w:val="single" w:color="auto" w:sz="8" w:space="0"/>
              <w:bottom w:val="single" w:color="000000"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centos 7.2  X86_64</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PrEx>
        <w:tc>
          <w:tcPr>
            <w:tcW w:w="469" w:type="dxa"/>
            <w:vMerge w:val="restart"/>
            <w:tcBorders>
              <w:top w:val="nil"/>
              <w:left w:val="single" w:color="auto" w:sz="8" w:space="0"/>
              <w:bottom w:val="single" w:color="000000"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3</w:t>
            </w:r>
          </w:p>
        </w:tc>
        <w:tc>
          <w:tcPr>
            <w:tcW w:w="1176" w:type="dxa"/>
            <w:vMerge w:val="restart"/>
            <w:tcBorders>
              <w:top w:val="nil"/>
              <w:left w:val="single" w:color="auto" w:sz="8" w:space="0"/>
              <w:bottom w:val="single" w:color="000000" w:sz="8" w:space="0"/>
              <w:right w:val="single" w:color="auto" w:sz="8"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搜索引擎</w:t>
            </w:r>
          </w:p>
        </w:tc>
        <w:tc>
          <w:tcPr>
            <w:tcW w:w="1180"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搜索引擎服务器集群</w:t>
            </w: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虚拟机租用：</w:t>
            </w:r>
            <w:r>
              <w:rPr>
                <w:rFonts w:hint="eastAsia" w:eastAsia="等线" w:cs="宋体"/>
                <w:color w:val="000000" w:themeColor="text1"/>
              </w:rPr>
              <w:t>CPU:8</w:t>
            </w:r>
            <w:r>
              <w:rPr>
                <w:rFonts w:hint="eastAsia" w:ascii="仿宋_GB2312" w:hAnsi="宋体" w:cs="宋体"/>
                <w:color w:val="000000" w:themeColor="text1"/>
              </w:rPr>
              <w:t>核内存</w:t>
            </w:r>
            <w:r>
              <w:rPr>
                <w:rFonts w:hint="eastAsia" w:eastAsia="等线" w:cs="宋体"/>
                <w:color w:val="000000" w:themeColor="text1"/>
              </w:rPr>
              <w:t xml:space="preserve">:16GB </w:t>
            </w:r>
            <w:r>
              <w:rPr>
                <w:rFonts w:hint="eastAsia" w:ascii="仿宋_GB2312" w:hAnsi="宋体" w:cs="宋体"/>
                <w:color w:val="000000" w:themeColor="text1"/>
              </w:rPr>
              <w:t>存储：</w:t>
            </w:r>
            <w:r>
              <w:rPr>
                <w:rFonts w:hint="eastAsia" w:eastAsia="等线" w:cs="宋体"/>
                <w:color w:val="000000" w:themeColor="text1"/>
              </w:rPr>
              <w:t>2000G</w:t>
            </w:r>
          </w:p>
        </w:tc>
        <w:tc>
          <w:tcPr>
            <w:tcW w:w="775"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vMerge w:val="restart"/>
            <w:tcBorders>
              <w:top w:val="nil"/>
              <w:left w:val="single" w:color="auto" w:sz="8" w:space="0"/>
              <w:bottom w:val="single" w:color="000000"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centos 7.2  X86_64</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restart"/>
            <w:tcBorders>
              <w:top w:val="nil"/>
              <w:left w:val="single" w:color="auto" w:sz="8" w:space="0"/>
              <w:bottom w:val="single" w:color="000000"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4</w:t>
            </w:r>
          </w:p>
        </w:tc>
        <w:tc>
          <w:tcPr>
            <w:tcW w:w="1176"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服务器部分</w:t>
            </w:r>
          </w:p>
        </w:tc>
        <w:tc>
          <w:tcPr>
            <w:tcW w:w="1180"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应用服务器</w:t>
            </w: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虚拟机租用：</w:t>
            </w:r>
            <w:r>
              <w:rPr>
                <w:rFonts w:hint="eastAsia" w:eastAsia="等线" w:cs="宋体"/>
                <w:color w:val="000000" w:themeColor="text1"/>
              </w:rPr>
              <w:t>CPU:16</w:t>
            </w:r>
            <w:r>
              <w:rPr>
                <w:rFonts w:hint="eastAsia" w:ascii="仿宋_GB2312" w:hAnsi="宋体" w:cs="宋体"/>
                <w:color w:val="000000" w:themeColor="text1"/>
              </w:rPr>
              <w:t>核内存</w:t>
            </w:r>
            <w:r>
              <w:rPr>
                <w:rFonts w:hint="eastAsia" w:eastAsia="等线" w:cs="宋体"/>
                <w:color w:val="000000" w:themeColor="text1"/>
              </w:rPr>
              <w:t xml:space="preserve">:32GB </w:t>
            </w:r>
            <w:r>
              <w:rPr>
                <w:rFonts w:hint="eastAsia" w:ascii="仿宋_GB2312" w:hAnsi="宋体" w:cs="宋体"/>
                <w:color w:val="000000" w:themeColor="text1"/>
              </w:rPr>
              <w:t>存储：</w:t>
            </w:r>
            <w:r>
              <w:rPr>
                <w:rFonts w:hint="eastAsia" w:eastAsia="等线" w:cs="宋体"/>
                <w:color w:val="000000" w:themeColor="text1"/>
              </w:rPr>
              <w:t>500G</w:t>
            </w:r>
          </w:p>
        </w:tc>
        <w:tc>
          <w:tcPr>
            <w:tcW w:w="775"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8</w:t>
            </w:r>
          </w:p>
        </w:tc>
        <w:tc>
          <w:tcPr>
            <w:tcW w:w="456" w:type="dxa"/>
            <w:vMerge w:val="restart"/>
            <w:tcBorders>
              <w:top w:val="nil"/>
              <w:left w:val="single" w:color="auto" w:sz="8" w:space="0"/>
              <w:bottom w:val="single" w:color="000000"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centos 7.2  X86_64</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restart"/>
            <w:tcBorders>
              <w:top w:val="nil"/>
              <w:left w:val="single" w:color="auto" w:sz="8" w:space="0"/>
              <w:bottom w:val="single" w:color="000000"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5</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存储服务器</w:t>
            </w: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虚拟机租用：</w:t>
            </w:r>
            <w:r>
              <w:rPr>
                <w:rFonts w:hint="eastAsia" w:eastAsia="等线" w:cs="宋体"/>
                <w:color w:val="000000" w:themeColor="text1"/>
              </w:rPr>
              <w:t>CPU:8</w:t>
            </w:r>
            <w:r>
              <w:rPr>
                <w:rFonts w:hint="eastAsia" w:ascii="仿宋_GB2312" w:hAnsi="宋体" w:cs="宋体"/>
                <w:color w:val="000000" w:themeColor="text1"/>
              </w:rPr>
              <w:t>核内存</w:t>
            </w:r>
            <w:r>
              <w:rPr>
                <w:rFonts w:hint="eastAsia" w:eastAsia="等线" w:cs="宋体"/>
                <w:color w:val="000000" w:themeColor="text1"/>
              </w:rPr>
              <w:t xml:space="preserve">:16GB </w:t>
            </w:r>
            <w:r>
              <w:rPr>
                <w:rFonts w:hint="eastAsia" w:ascii="仿宋_GB2312" w:hAnsi="宋体" w:cs="宋体"/>
                <w:color w:val="000000" w:themeColor="text1"/>
              </w:rPr>
              <w:t>存储：</w:t>
            </w:r>
            <w:r>
              <w:rPr>
                <w:rFonts w:hint="eastAsia" w:eastAsia="等线" w:cs="宋体"/>
                <w:color w:val="000000" w:themeColor="text1"/>
              </w:rPr>
              <w:t>2000G</w:t>
            </w:r>
          </w:p>
        </w:tc>
        <w:tc>
          <w:tcPr>
            <w:tcW w:w="775"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3</w:t>
            </w:r>
          </w:p>
        </w:tc>
        <w:tc>
          <w:tcPr>
            <w:tcW w:w="456" w:type="dxa"/>
            <w:vMerge w:val="restart"/>
            <w:tcBorders>
              <w:top w:val="nil"/>
              <w:left w:val="single" w:color="auto" w:sz="8" w:space="0"/>
              <w:bottom w:val="single" w:color="000000"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centos 7.2 X86_64</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8426" w:type="dxa"/>
            <w:gridSpan w:val="6"/>
            <w:tcBorders>
              <w:top w:val="single" w:color="auto" w:sz="8" w:space="0"/>
              <w:left w:val="single" w:color="auto" w:sz="8" w:space="0"/>
              <w:bottom w:val="single" w:color="auto" w:sz="8" w:space="0"/>
              <w:right w:val="nil"/>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三、综治实战应用（安全服务租赁</w:t>
            </w:r>
            <w:r>
              <w:rPr>
                <w:rFonts w:hint="eastAsia" w:eastAsia="等线" w:cs="宋体"/>
                <w:color w:val="000000" w:themeColor="text1"/>
              </w:rPr>
              <w:t xml:space="preserve"> 5</w:t>
            </w:r>
            <w:r>
              <w:rPr>
                <w:rFonts w:hint="eastAsia" w:ascii="仿宋_GB2312" w:hAnsi="宋体" w:cs="宋体"/>
                <w:color w:val="000000" w:themeColor="text1"/>
              </w:rPr>
              <w:t>年）</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1176" w:type="dxa"/>
            <w:vMerge w:val="restart"/>
            <w:tcBorders>
              <w:top w:val="nil"/>
              <w:left w:val="single" w:color="auto" w:sz="8" w:space="0"/>
              <w:bottom w:val="single" w:color="000000" w:sz="8" w:space="0"/>
              <w:right w:val="single" w:color="auto" w:sz="8"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安全服务</w:t>
            </w: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堡垒机服务（独占堡垒）</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单核，</w:t>
            </w:r>
            <w:r>
              <w:rPr>
                <w:rFonts w:hint="eastAsia" w:eastAsia="等线" w:cs="宋体"/>
                <w:color w:val="000000" w:themeColor="text1"/>
              </w:rPr>
              <w:t>2G</w:t>
            </w:r>
            <w:r>
              <w:rPr>
                <w:rFonts w:hint="eastAsia" w:ascii="仿宋_GB2312" w:hAnsi="宋体" w:cs="宋体"/>
                <w:color w:val="000000" w:themeColor="text1"/>
              </w:rPr>
              <w:t>内存，</w:t>
            </w:r>
            <w:r>
              <w:rPr>
                <w:rFonts w:hint="eastAsia" w:eastAsia="等线" w:cs="宋体"/>
                <w:color w:val="000000" w:themeColor="text1"/>
              </w:rPr>
              <w:t>250G</w:t>
            </w:r>
            <w:r>
              <w:rPr>
                <w:rFonts w:hint="eastAsia" w:ascii="仿宋_GB2312" w:hAnsi="宋体" w:cs="宋体"/>
                <w:color w:val="000000" w:themeColor="text1"/>
              </w:rPr>
              <w:t>硬盘，</w:t>
            </w:r>
            <w:r>
              <w:rPr>
                <w:rFonts w:hint="eastAsia" w:eastAsia="等线" w:cs="宋体"/>
                <w:color w:val="000000" w:themeColor="text1"/>
              </w:rPr>
              <w:t>50</w:t>
            </w:r>
            <w:r>
              <w:rPr>
                <w:rFonts w:hint="eastAsia" w:ascii="仿宋_GB2312" w:hAnsi="宋体" w:cs="宋体"/>
                <w:color w:val="000000" w:themeColor="text1"/>
              </w:rPr>
              <w:t>资产服务费用</w:t>
            </w:r>
          </w:p>
        </w:tc>
        <w:tc>
          <w:tcPr>
            <w:tcW w:w="775" w:type="dxa"/>
            <w:tcBorders>
              <w:top w:val="nil"/>
              <w:left w:val="nil"/>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2</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云</w:t>
            </w:r>
            <w:r>
              <w:rPr>
                <w:rFonts w:hint="eastAsia" w:eastAsia="等线" w:cs="宋体"/>
                <w:color w:val="000000" w:themeColor="text1"/>
              </w:rPr>
              <w:t>WAF</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保护域名授权上限</w:t>
            </w:r>
            <w:r>
              <w:rPr>
                <w:rFonts w:hint="eastAsia" w:eastAsia="等线" w:cs="宋体"/>
                <w:color w:val="000000" w:themeColor="text1"/>
              </w:rPr>
              <w:t>8</w:t>
            </w:r>
            <w:r>
              <w:rPr>
                <w:rFonts w:hint="eastAsia" w:ascii="仿宋_GB2312" w:hAnsi="宋体" w:cs="宋体"/>
                <w:color w:val="000000" w:themeColor="text1"/>
              </w:rPr>
              <w:t>个，新建</w:t>
            </w:r>
            <w:r>
              <w:rPr>
                <w:rFonts w:hint="eastAsia" w:eastAsia="等线" w:cs="宋体"/>
                <w:color w:val="000000" w:themeColor="text1"/>
              </w:rPr>
              <w:t>5000</w:t>
            </w:r>
            <w:r>
              <w:rPr>
                <w:rFonts w:hint="eastAsia" w:ascii="仿宋_GB2312" w:hAnsi="宋体" w:cs="宋体"/>
                <w:color w:val="000000" w:themeColor="text1"/>
              </w:rPr>
              <w:t>，并发</w:t>
            </w:r>
            <w:r>
              <w:rPr>
                <w:rFonts w:hint="eastAsia" w:eastAsia="等线" w:cs="宋体"/>
                <w:color w:val="000000" w:themeColor="text1"/>
              </w:rPr>
              <w:t>50000</w:t>
            </w:r>
            <w:r>
              <w:rPr>
                <w:rFonts w:hint="eastAsia" w:ascii="仿宋_GB2312" w:hAnsi="宋体" w:cs="宋体"/>
                <w:color w:val="000000" w:themeColor="text1"/>
              </w:rPr>
              <w:t>，防护流量</w:t>
            </w:r>
            <w:r>
              <w:rPr>
                <w:rFonts w:hint="eastAsia" w:eastAsia="等线" w:cs="宋体"/>
                <w:color w:val="000000" w:themeColor="text1"/>
              </w:rPr>
              <w:t>50Mbps</w:t>
            </w:r>
          </w:p>
        </w:tc>
        <w:tc>
          <w:tcPr>
            <w:tcW w:w="775" w:type="dxa"/>
            <w:tcBorders>
              <w:top w:val="nil"/>
              <w:left w:val="nil"/>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3</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云日志审计</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最多支持</w:t>
            </w:r>
            <w:r>
              <w:rPr>
                <w:rFonts w:hint="eastAsia" w:eastAsia="等线" w:cs="宋体"/>
                <w:color w:val="000000" w:themeColor="text1"/>
              </w:rPr>
              <w:t>100</w:t>
            </w:r>
            <w:r>
              <w:rPr>
                <w:rFonts w:hint="eastAsia" w:ascii="仿宋_GB2312" w:hAnsi="宋体" w:cs="宋体"/>
                <w:color w:val="000000" w:themeColor="text1"/>
              </w:rPr>
              <w:t>个日志源</w:t>
            </w:r>
          </w:p>
        </w:tc>
        <w:tc>
          <w:tcPr>
            <w:tcW w:w="775" w:type="dxa"/>
            <w:tcBorders>
              <w:top w:val="nil"/>
              <w:left w:val="nil"/>
              <w:bottom w:val="single" w:color="auto"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vMerge w:val="restart"/>
            <w:tcBorders>
              <w:top w:val="nil"/>
              <w:left w:val="single" w:color="auto" w:sz="8" w:space="0"/>
              <w:bottom w:val="single" w:color="000000"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4</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restart"/>
            <w:tcBorders>
              <w:top w:val="nil"/>
              <w:left w:val="single" w:color="auto" w:sz="8" w:space="0"/>
              <w:bottom w:val="single" w:color="000000" w:sz="8" w:space="0"/>
              <w:right w:val="single" w:color="auto" w:sz="8"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云数据库审计</w:t>
            </w: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最多可提供</w:t>
            </w:r>
            <w:r>
              <w:rPr>
                <w:rFonts w:hint="eastAsia" w:eastAsia="等线" w:cs="宋体"/>
                <w:color w:val="000000" w:themeColor="text1"/>
              </w:rPr>
              <w:t>2</w:t>
            </w:r>
            <w:r>
              <w:rPr>
                <w:rFonts w:hint="eastAsia" w:ascii="仿宋_GB2312" w:hAnsi="宋体" w:cs="宋体"/>
                <w:color w:val="000000" w:themeColor="text1"/>
              </w:rPr>
              <w:t>个数据库实例审计，纯数据库流量上限：</w:t>
            </w:r>
            <w:r>
              <w:rPr>
                <w:rFonts w:hint="eastAsia" w:eastAsia="等线" w:cs="宋体"/>
                <w:color w:val="000000" w:themeColor="text1"/>
              </w:rPr>
              <w:t>100Mbs</w:t>
            </w:r>
          </w:p>
        </w:tc>
        <w:tc>
          <w:tcPr>
            <w:tcW w:w="775" w:type="dxa"/>
            <w:vMerge w:val="restart"/>
            <w:tcBorders>
              <w:top w:val="nil"/>
              <w:left w:val="single" w:color="auto" w:sz="8" w:space="0"/>
              <w:bottom w:val="single" w:color="000000" w:sz="8" w:space="0"/>
              <w:right w:val="single" w:color="auto" w:sz="8" w:space="0"/>
            </w:tcBorders>
            <w:shd w:val="clear" w:color="auto" w:fill="auto"/>
            <w:noWrap/>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vMerge w:val="restart"/>
            <w:tcBorders>
              <w:top w:val="nil"/>
              <w:left w:val="single" w:color="auto" w:sz="8" w:space="0"/>
              <w:bottom w:val="single" w:color="000000" w:sz="8" w:space="0"/>
              <w:right w:val="single" w:color="auto" w:sz="4"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峰值事务处理能力</w:t>
            </w:r>
            <w:r>
              <w:rPr>
                <w:rFonts w:hint="eastAsia" w:eastAsia="等线" w:cs="宋体"/>
                <w:color w:val="000000" w:themeColor="text1"/>
              </w:rPr>
              <w:t>:10000(</w:t>
            </w:r>
            <w:r>
              <w:rPr>
                <w:rFonts w:hint="eastAsia" w:ascii="仿宋_GB2312" w:hAnsi="宋体" w:cs="宋体"/>
                <w:color w:val="000000" w:themeColor="text1"/>
              </w:rPr>
              <w:t>条</w:t>
            </w:r>
            <w:r>
              <w:rPr>
                <w:rFonts w:hint="eastAsia" w:eastAsia="等线" w:cs="宋体"/>
                <w:color w:val="000000" w:themeColor="text1"/>
              </w:rPr>
              <w:t>/</w:t>
            </w:r>
            <w:r>
              <w:rPr>
                <w:rFonts w:hint="eastAsia" w:ascii="仿宋_GB2312" w:hAnsi="宋体" w:cs="宋体"/>
                <w:color w:val="000000" w:themeColor="text1"/>
              </w:rPr>
              <w:t>秒</w:t>
            </w:r>
            <w:r>
              <w:rPr>
                <w:rFonts w:hint="eastAsia" w:eastAsia="等线" w:cs="宋体"/>
                <w:color w:val="000000" w:themeColor="text1"/>
              </w:rPr>
              <w:t>)</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日志数量存储</w:t>
            </w:r>
            <w:r>
              <w:rPr>
                <w:rFonts w:hint="eastAsia" w:eastAsia="等线" w:cs="宋体"/>
                <w:color w:val="000000" w:themeColor="text1"/>
              </w:rPr>
              <w:t>:4</w:t>
            </w:r>
            <w:r>
              <w:rPr>
                <w:rFonts w:hint="eastAsia" w:ascii="仿宋_GB2312" w:hAnsi="宋体" w:cs="宋体"/>
                <w:color w:val="000000" w:themeColor="text1"/>
              </w:rPr>
              <w:t>亿条含软件基本模块</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8426" w:type="dxa"/>
            <w:gridSpan w:val="6"/>
            <w:tcBorders>
              <w:top w:val="single" w:color="auto" w:sz="8" w:space="0"/>
              <w:left w:val="single" w:color="auto" w:sz="8" w:space="0"/>
              <w:bottom w:val="single" w:color="auto" w:sz="8" w:space="0"/>
              <w:right w:val="nil"/>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综治实战应用小计</w:t>
            </w:r>
          </w:p>
        </w:tc>
      </w:tr>
      <w:tr>
        <w:tblPrEx>
          <w:tblLayout w:type="fixed"/>
          <w:tblCellMar>
            <w:top w:w="0" w:type="dxa"/>
            <w:left w:w="108" w:type="dxa"/>
            <w:bottom w:w="0" w:type="dxa"/>
            <w:right w:w="108" w:type="dxa"/>
          </w:tblCellMar>
        </w:tblPrEx>
        <w:tc>
          <w:tcPr>
            <w:tcW w:w="8426" w:type="dxa"/>
            <w:gridSpan w:val="6"/>
            <w:tcBorders>
              <w:top w:val="single" w:color="auto" w:sz="8" w:space="0"/>
              <w:left w:val="single" w:color="auto" w:sz="8" w:space="0"/>
              <w:bottom w:val="single" w:color="auto" w:sz="8" w:space="0"/>
              <w:right w:val="nil"/>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综合指挥中心（应急指挥室）</w:t>
            </w:r>
          </w:p>
        </w:tc>
      </w:tr>
      <w:tr>
        <w:tblPrEx>
          <w:tblLayout w:type="fixed"/>
          <w:tblCellMar>
            <w:top w:w="0" w:type="dxa"/>
            <w:left w:w="108" w:type="dxa"/>
            <w:bottom w:w="0" w:type="dxa"/>
            <w:right w:w="108" w:type="dxa"/>
          </w:tblCellMar>
        </w:tblPrEx>
        <w:tc>
          <w:tcPr>
            <w:tcW w:w="8426" w:type="dxa"/>
            <w:gridSpan w:val="6"/>
            <w:tcBorders>
              <w:top w:val="single" w:color="auto" w:sz="8" w:space="0"/>
              <w:left w:val="single" w:color="auto" w:sz="8" w:space="0"/>
              <w:bottom w:val="single" w:color="auto" w:sz="8" w:space="0"/>
              <w:right w:val="nil"/>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一、装饰装修系统</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6726" w:type="dxa"/>
            <w:gridSpan w:val="3"/>
            <w:tcBorders>
              <w:top w:val="single" w:color="auto" w:sz="8" w:space="0"/>
              <w:left w:val="nil"/>
              <w:bottom w:val="single" w:color="auto" w:sz="8" w:space="0"/>
              <w:right w:val="single" w:color="000000"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装饰装修系统</w:t>
            </w:r>
            <w:r>
              <w:rPr>
                <w:rFonts w:hint="eastAsia" w:eastAsia="等线" w:cs="宋体"/>
                <w:color w:val="000000" w:themeColor="text1"/>
              </w:rPr>
              <w:t>(</w:t>
            </w:r>
            <w:r>
              <w:rPr>
                <w:rFonts w:hint="eastAsia" w:ascii="仿宋_GB2312" w:hAnsi="宋体" w:cs="宋体"/>
                <w:color w:val="000000" w:themeColor="text1"/>
              </w:rPr>
              <w:t>详见附表</w:t>
            </w:r>
            <w:r>
              <w:rPr>
                <w:rFonts w:hint="eastAsia" w:eastAsia="等线" w:cs="宋体"/>
                <w:color w:val="000000" w:themeColor="text1"/>
              </w:rPr>
              <w:t>2)</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8426" w:type="dxa"/>
            <w:gridSpan w:val="6"/>
            <w:tcBorders>
              <w:top w:val="single" w:color="auto" w:sz="8" w:space="0"/>
              <w:left w:val="single" w:color="auto" w:sz="8" w:space="0"/>
              <w:bottom w:val="single" w:color="auto" w:sz="8" w:space="0"/>
              <w:right w:val="nil"/>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二、综合显示系统</w:t>
            </w:r>
          </w:p>
        </w:tc>
      </w:tr>
      <w:tr>
        <w:tblPrEx>
          <w:tblLayout w:type="fixed"/>
          <w:tblCellMar>
            <w:top w:w="0" w:type="dxa"/>
            <w:left w:w="108" w:type="dxa"/>
            <w:bottom w:w="0" w:type="dxa"/>
            <w:right w:w="108" w:type="dxa"/>
          </w:tblCellMar>
        </w:tblPrEx>
        <w:tc>
          <w:tcPr>
            <w:tcW w:w="469"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1176"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应急指挥室</w:t>
            </w:r>
            <w:r>
              <w:rPr>
                <w:rFonts w:hint="eastAsia" w:eastAsia="等线" w:cs="宋体"/>
                <w:color w:val="000000" w:themeColor="text1"/>
              </w:rPr>
              <w:t>LED</w:t>
            </w:r>
            <w:r>
              <w:rPr>
                <w:rFonts w:hint="eastAsia" w:ascii="仿宋_GB2312" w:hAnsi="宋体" w:cs="宋体"/>
                <w:color w:val="000000" w:themeColor="text1"/>
              </w:rPr>
              <w:t>大屏</w:t>
            </w:r>
          </w:p>
        </w:tc>
        <w:tc>
          <w:tcPr>
            <w:tcW w:w="1180"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LED</w:t>
            </w:r>
            <w:r>
              <w:rPr>
                <w:rFonts w:hint="eastAsia" w:ascii="仿宋_GB2312" w:cs="宋体"/>
                <w:color w:val="000000" w:themeColor="text1"/>
              </w:rPr>
              <w:t>小间距拼接屏</w:t>
            </w: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1.</w:t>
            </w:r>
            <w:r>
              <w:rPr>
                <w:rFonts w:hint="eastAsia" w:ascii="仿宋_GB2312" w:cs="宋体"/>
                <w:color w:val="000000" w:themeColor="text1"/>
              </w:rPr>
              <w:t>像素间距为不大于</w:t>
            </w:r>
            <w:r>
              <w:rPr>
                <w:rFonts w:hint="eastAsia" w:eastAsia="等线" w:cs="宋体"/>
                <w:color w:val="000000" w:themeColor="text1"/>
              </w:rPr>
              <w:t>1.25mm</w:t>
            </w:r>
            <w:r>
              <w:rPr>
                <w:rFonts w:hint="eastAsia" w:ascii="仿宋_GB2312" w:cs="宋体"/>
                <w:color w:val="000000" w:themeColor="text1"/>
              </w:rPr>
              <w:t>；灯芯金线封装表贴三合一</w:t>
            </w:r>
            <w:r>
              <w:rPr>
                <w:rFonts w:hint="eastAsia" w:eastAsia="等线" w:cs="宋体"/>
                <w:color w:val="000000" w:themeColor="text1"/>
              </w:rPr>
              <w:t>LED</w:t>
            </w:r>
            <w:r>
              <w:rPr>
                <w:rFonts w:hint="eastAsia" w:ascii="仿宋_GB2312" w:cs="宋体"/>
                <w:color w:val="000000" w:themeColor="text1"/>
              </w:rPr>
              <w:t>黑灯；</w:t>
            </w:r>
          </w:p>
        </w:tc>
        <w:tc>
          <w:tcPr>
            <w:tcW w:w="775"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24.3</w:t>
            </w:r>
          </w:p>
        </w:tc>
        <w:tc>
          <w:tcPr>
            <w:tcW w:w="456" w:type="dxa"/>
            <w:vMerge w:val="restart"/>
            <w:tcBorders>
              <w:top w:val="nil"/>
              <w:left w:val="single" w:color="auto" w:sz="8" w:space="0"/>
              <w:bottom w:val="single" w:color="000000" w:sz="8" w:space="0"/>
              <w:right w:val="single" w:color="auto" w:sz="4"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m²</w:t>
            </w: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2.</w:t>
            </w:r>
            <w:r>
              <w:rPr>
                <w:rFonts w:hint="eastAsia" w:ascii="仿宋_GB2312" w:cs="宋体"/>
                <w:color w:val="000000" w:themeColor="text1"/>
              </w:rPr>
              <w:t>单个</w:t>
            </w:r>
            <w:r>
              <w:rPr>
                <w:rFonts w:hint="eastAsia" w:eastAsia="等线" w:cs="宋体"/>
                <w:color w:val="000000" w:themeColor="text1"/>
              </w:rPr>
              <w:t>LED</w:t>
            </w:r>
            <w:r>
              <w:rPr>
                <w:rFonts w:hint="eastAsia" w:ascii="仿宋_GB2312" w:cs="宋体"/>
                <w:color w:val="000000" w:themeColor="text1"/>
              </w:rPr>
              <w:t>面板设计按照共阴原理设计；</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eastAsia="等线"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3.</w:t>
            </w:r>
            <w:r>
              <w:rPr>
                <w:rFonts w:hint="eastAsia" w:ascii="仿宋_GB2312" w:cs="宋体"/>
                <w:color w:val="000000" w:themeColor="text1"/>
              </w:rPr>
              <w:t>屏幕尺寸面积：</w:t>
            </w:r>
            <w:r>
              <w:rPr>
                <w:rFonts w:hint="eastAsia" w:eastAsia="等线" w:cs="宋体"/>
                <w:color w:val="000000" w:themeColor="text1"/>
              </w:rPr>
              <w:t>7.2mx3.375m=24.3m²</w:t>
            </w:r>
            <w:r>
              <w:rPr>
                <w:rFonts w:hint="eastAsia" w:ascii="仿宋_GB2312" w:cs="宋体"/>
                <w:color w:val="000000" w:themeColor="text1"/>
              </w:rPr>
              <w:t>，分辨率：</w:t>
            </w:r>
            <w:r>
              <w:rPr>
                <w:rFonts w:hint="eastAsia" w:eastAsia="等线" w:cs="宋体"/>
                <w:color w:val="000000" w:themeColor="text1"/>
              </w:rPr>
              <w:t>5760x2700</w:t>
            </w:r>
            <w:r>
              <w:rPr>
                <w:rFonts w:hint="eastAsia" w:ascii="仿宋_GB2312" w:cs="宋体"/>
                <w:color w:val="000000" w:themeColor="text1"/>
              </w:rPr>
              <w:t>，单个箱体尺寸比例为标准</w:t>
            </w:r>
            <w:r>
              <w:rPr>
                <w:rFonts w:hint="eastAsia" w:eastAsia="等线" w:cs="宋体"/>
                <w:color w:val="000000" w:themeColor="text1"/>
              </w:rPr>
              <w:t>16:9</w:t>
            </w:r>
            <w:r>
              <w:rPr>
                <w:rFonts w:hint="eastAsia" w:ascii="仿宋_GB2312" w:cs="宋体"/>
                <w:color w:val="000000" w:themeColor="text1"/>
              </w:rPr>
              <w:t>；</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eastAsia="等线"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4.</w:t>
            </w:r>
            <w:r>
              <w:rPr>
                <w:rFonts w:hint="eastAsia" w:ascii="仿宋_GB2312" w:cs="宋体"/>
                <w:color w:val="000000" w:themeColor="text1"/>
              </w:rPr>
              <w:t>屏幕具备双电源、双信号备份技术，提高系统的稳定性。屏幕亮度：</w:t>
            </w:r>
            <w:r>
              <w:rPr>
                <w:rFonts w:hint="eastAsia" w:eastAsia="等线" w:cs="宋体"/>
                <w:color w:val="000000" w:themeColor="text1"/>
              </w:rPr>
              <w:t>100-600cd/</w:t>
            </w:r>
            <w:r>
              <w:rPr>
                <w:rFonts w:hint="eastAsia" w:ascii="仿宋_GB2312" w:cs="宋体"/>
                <w:color w:val="000000" w:themeColor="text1"/>
              </w:rPr>
              <w:t>平方米可调；</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eastAsia="等线"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5.</w:t>
            </w:r>
            <w:r>
              <w:rPr>
                <w:rFonts w:hint="eastAsia" w:ascii="仿宋_GB2312" w:cs="宋体"/>
                <w:color w:val="000000" w:themeColor="text1"/>
              </w:rPr>
              <w:t>对比度</w:t>
            </w:r>
            <w:r>
              <w:rPr>
                <w:rFonts w:hint="eastAsia" w:eastAsia="等线" w:cs="宋体"/>
                <w:color w:val="000000" w:themeColor="text1"/>
              </w:rPr>
              <w:t>3000:1</w:t>
            </w:r>
            <w:r>
              <w:rPr>
                <w:rFonts w:hint="eastAsia" w:ascii="仿宋_GB2312" w:cs="宋体"/>
                <w:color w:val="000000" w:themeColor="text1"/>
              </w:rPr>
              <w:t>；</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eastAsia="等线"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 xml:space="preserve">6. </w:t>
            </w:r>
            <w:r>
              <w:rPr>
                <w:rFonts w:hint="eastAsia" w:ascii="仿宋_GB2312" w:cs="宋体"/>
                <w:color w:val="000000" w:themeColor="text1"/>
              </w:rPr>
              <w:t>屏幕峰值功率为</w:t>
            </w:r>
            <w:r>
              <w:rPr>
                <w:rFonts w:hint="eastAsia" w:eastAsia="等线" w:cs="宋体"/>
                <w:color w:val="000000" w:themeColor="text1"/>
              </w:rPr>
              <w:t>400w</w:t>
            </w:r>
            <w:r>
              <w:rPr>
                <w:rFonts w:hint="eastAsia" w:ascii="仿宋_GB2312" w:cs="宋体"/>
                <w:color w:val="000000" w:themeColor="text1"/>
              </w:rPr>
              <w:t>／</w:t>
            </w:r>
            <w:r>
              <w:rPr>
                <w:rFonts w:hint="eastAsia" w:ascii="Batang" w:hAnsi="Batang" w:eastAsia="Batang" w:cs="Batang"/>
                <w:color w:val="000000" w:themeColor="text1"/>
              </w:rPr>
              <w:t>㎡</w:t>
            </w:r>
            <w:r>
              <w:rPr>
                <w:rFonts w:hint="eastAsia" w:ascii="仿宋_GB2312" w:hAnsi="仿宋_GB2312" w:cs="仿宋_GB2312"/>
                <w:color w:val="000000" w:themeColor="text1"/>
              </w:rPr>
              <w:t>，平均功率为</w:t>
            </w:r>
            <w:r>
              <w:rPr>
                <w:rFonts w:hint="eastAsia" w:eastAsia="等线" w:cs="宋体"/>
                <w:color w:val="000000" w:themeColor="text1"/>
              </w:rPr>
              <w:t>130w</w:t>
            </w:r>
            <w:r>
              <w:rPr>
                <w:rFonts w:hint="eastAsia" w:ascii="仿宋_GB2312" w:cs="宋体"/>
                <w:color w:val="000000" w:themeColor="text1"/>
              </w:rPr>
              <w:t>／</w:t>
            </w:r>
            <w:r>
              <w:rPr>
                <w:rFonts w:hint="eastAsia" w:ascii="Batang" w:hAnsi="Batang" w:eastAsia="Batang" w:cs="Batang"/>
                <w:color w:val="000000" w:themeColor="text1"/>
              </w:rPr>
              <w:t>㎡</w:t>
            </w:r>
            <w:r>
              <w:rPr>
                <w:rFonts w:hint="eastAsia" w:ascii="仿宋_GB2312" w:hAnsi="仿宋_GB2312" w:cs="仿宋_GB2312"/>
                <w:color w:val="000000" w:themeColor="text1"/>
              </w:rPr>
              <w:t>；</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eastAsia="等线"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7.</w:t>
            </w:r>
            <w:r>
              <w:rPr>
                <w:rFonts w:hint="eastAsia" w:ascii="仿宋_GB2312" w:cs="宋体"/>
                <w:color w:val="000000" w:themeColor="text1"/>
              </w:rPr>
              <w:t>产品具备</w:t>
            </w:r>
            <w:r>
              <w:rPr>
                <w:rFonts w:hint="eastAsia" w:eastAsia="等线" w:cs="宋体"/>
                <w:color w:val="000000" w:themeColor="text1"/>
              </w:rPr>
              <w:t xml:space="preserve"> PFC</w:t>
            </w:r>
            <w:r>
              <w:rPr>
                <w:rFonts w:hint="eastAsia" w:ascii="仿宋_GB2312" w:cs="宋体"/>
                <w:color w:val="000000" w:themeColor="text1"/>
              </w:rPr>
              <w:t>电源，采用智能电源设计，显示屏支持待机，进一步降低功耗；</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eastAsia="等线"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8.</w:t>
            </w:r>
            <w:r>
              <w:rPr>
                <w:rFonts w:hint="eastAsia" w:ascii="仿宋_GB2312" w:cs="宋体"/>
                <w:color w:val="000000" w:themeColor="text1"/>
              </w:rPr>
              <w:t>盲点率</w:t>
            </w:r>
            <w:r>
              <w:rPr>
                <w:rFonts w:hint="eastAsia" w:eastAsia="等线" w:cs="宋体"/>
                <w:color w:val="000000" w:themeColor="text1"/>
              </w:rPr>
              <w:t>≤0.0001</w:t>
            </w:r>
            <w:r>
              <w:rPr>
                <w:rFonts w:hint="eastAsia" w:ascii="仿宋_GB2312" w:cs="宋体"/>
                <w:color w:val="000000" w:themeColor="text1"/>
              </w:rPr>
              <w:t>；无常亮点；整屏幕平整度</w:t>
            </w:r>
            <w:r>
              <w:rPr>
                <w:rFonts w:hint="eastAsia" w:eastAsia="等线" w:cs="宋体"/>
                <w:color w:val="000000" w:themeColor="text1"/>
              </w:rPr>
              <w:t>≤0.2mm</w:t>
            </w:r>
            <w:r>
              <w:rPr>
                <w:rFonts w:hint="eastAsia" w:ascii="仿宋_GB2312" w:cs="宋体"/>
                <w:color w:val="000000" w:themeColor="text1"/>
              </w:rPr>
              <w:t>；</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eastAsia="等线"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9.</w:t>
            </w:r>
            <w:r>
              <w:rPr>
                <w:rFonts w:hint="eastAsia" w:ascii="仿宋_GB2312" w:cs="宋体"/>
                <w:color w:val="000000" w:themeColor="text1"/>
              </w:rPr>
              <w:t>换帧频率：</w:t>
            </w:r>
            <w:r>
              <w:rPr>
                <w:rFonts w:hint="eastAsia" w:eastAsia="等线" w:cs="宋体"/>
                <w:color w:val="000000" w:themeColor="text1"/>
              </w:rPr>
              <w:t>50&amp;60Hz</w:t>
            </w:r>
            <w:r>
              <w:rPr>
                <w:rFonts w:hint="eastAsia" w:ascii="仿宋_GB2312" w:cs="宋体"/>
                <w:color w:val="000000" w:themeColor="text1"/>
              </w:rPr>
              <w:t>；刷新频率</w:t>
            </w:r>
            <w:r>
              <w:rPr>
                <w:rFonts w:hint="eastAsia" w:eastAsia="等线" w:cs="宋体"/>
                <w:color w:val="000000" w:themeColor="text1"/>
              </w:rPr>
              <w:t>≥3000Hz</w:t>
            </w:r>
            <w:r>
              <w:rPr>
                <w:rFonts w:hint="eastAsia" w:ascii="仿宋_GB2312" w:cs="宋体"/>
                <w:color w:val="000000" w:themeColor="text1"/>
              </w:rPr>
              <w:t>；</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eastAsia="等线"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10.</w:t>
            </w:r>
            <w:r>
              <w:rPr>
                <w:rFonts w:hint="eastAsia" w:ascii="仿宋_GB2312" w:cs="宋体"/>
                <w:color w:val="000000" w:themeColor="text1"/>
              </w:rPr>
              <w:t>水平视角</w:t>
            </w:r>
            <w:r>
              <w:rPr>
                <w:rFonts w:hint="eastAsia" w:eastAsia="等线" w:cs="宋体"/>
                <w:color w:val="000000" w:themeColor="text1"/>
              </w:rPr>
              <w:t>160°</w:t>
            </w:r>
            <w:r>
              <w:rPr>
                <w:rFonts w:hint="eastAsia" w:ascii="仿宋_GB2312" w:cs="宋体"/>
                <w:color w:val="000000" w:themeColor="text1"/>
              </w:rPr>
              <w:t>、垂直视角</w:t>
            </w:r>
            <w:r>
              <w:rPr>
                <w:rFonts w:hint="eastAsia" w:eastAsia="等线" w:cs="宋体"/>
                <w:color w:val="000000" w:themeColor="text1"/>
              </w:rPr>
              <w:t>140°</w:t>
            </w:r>
            <w:r>
              <w:rPr>
                <w:rFonts w:hint="eastAsia" w:ascii="仿宋_GB2312" w:cs="宋体"/>
                <w:color w:val="000000" w:themeColor="text1"/>
              </w:rPr>
              <w:t>；</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eastAsia="等线"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11.</w:t>
            </w:r>
            <w:r>
              <w:rPr>
                <w:rFonts w:hint="eastAsia" w:ascii="仿宋_GB2312" w:cs="宋体"/>
                <w:color w:val="000000" w:themeColor="text1"/>
              </w:rPr>
              <w:t>色温可调范围：</w:t>
            </w:r>
            <w:r>
              <w:rPr>
                <w:rFonts w:hint="eastAsia" w:eastAsia="等线" w:cs="宋体"/>
                <w:color w:val="000000" w:themeColor="text1"/>
              </w:rPr>
              <w:t>3000~10000K</w:t>
            </w:r>
            <w:r>
              <w:rPr>
                <w:rFonts w:hint="eastAsia" w:ascii="仿宋_GB2312" w:cs="宋体"/>
                <w:color w:val="000000" w:themeColor="text1"/>
              </w:rPr>
              <w:t>可调节，并可自定义色温值；</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eastAsia="等线"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12.</w:t>
            </w:r>
            <w:r>
              <w:rPr>
                <w:rFonts w:hint="eastAsia" w:ascii="仿宋_GB2312" w:cs="宋体"/>
                <w:color w:val="000000" w:themeColor="text1"/>
              </w:rPr>
              <w:t>箱体采用镁铝材质设计；</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eastAsia="等线"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13.</w:t>
            </w:r>
            <w:r>
              <w:rPr>
                <w:rFonts w:hint="eastAsia" w:ascii="仿宋_GB2312" w:cs="宋体"/>
                <w:color w:val="000000" w:themeColor="text1"/>
              </w:rPr>
              <w:t>灯板与驱动板合二为一，内置图像处理板；</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eastAsia="等线"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14.</w:t>
            </w:r>
            <w:r>
              <w:rPr>
                <w:rFonts w:hint="eastAsia" w:ascii="仿宋_GB2312" w:cs="宋体"/>
                <w:color w:val="000000" w:themeColor="text1"/>
              </w:rPr>
              <w:t>箱体自带</w:t>
            </w:r>
            <w:r>
              <w:rPr>
                <w:rFonts w:hint="eastAsia" w:eastAsia="等线" w:cs="宋体"/>
                <w:color w:val="000000" w:themeColor="text1"/>
              </w:rPr>
              <w:t>HDMI</w:t>
            </w:r>
            <w:r>
              <w:rPr>
                <w:rFonts w:hint="eastAsia" w:ascii="仿宋_GB2312" w:cs="宋体"/>
                <w:color w:val="000000" w:themeColor="text1"/>
              </w:rPr>
              <w:t>和</w:t>
            </w:r>
            <w:r>
              <w:rPr>
                <w:rFonts w:hint="eastAsia" w:eastAsia="等线" w:cs="宋体"/>
                <w:color w:val="000000" w:themeColor="text1"/>
              </w:rPr>
              <w:t>DVI</w:t>
            </w:r>
            <w:r>
              <w:rPr>
                <w:rFonts w:hint="eastAsia" w:ascii="仿宋_GB2312" w:cs="宋体"/>
                <w:color w:val="000000" w:themeColor="text1"/>
              </w:rPr>
              <w:t>接口，集成控制，无外部控制器／卡；</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eastAsia="等线"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15.</w:t>
            </w:r>
            <w:r>
              <w:rPr>
                <w:rFonts w:hint="eastAsia" w:ascii="仿宋_GB2312" w:cs="宋体"/>
                <w:color w:val="000000" w:themeColor="text1"/>
              </w:rPr>
              <w:t>具备亮度调节功能，亮度可随环境亮度的变化自动调节；</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eastAsia="等线"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16.</w:t>
            </w:r>
            <w:r>
              <w:rPr>
                <w:rFonts w:hint="eastAsia" w:ascii="仿宋_GB2312" w:cs="宋体"/>
                <w:color w:val="000000" w:themeColor="text1"/>
              </w:rPr>
              <w:t>具备单点亮度校正、单点颜色校正功能；</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eastAsia="等线"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17.</w:t>
            </w:r>
            <w:r>
              <w:rPr>
                <w:rFonts w:hint="eastAsia" w:ascii="仿宋_GB2312" w:cs="宋体"/>
                <w:color w:val="000000" w:themeColor="text1"/>
              </w:rPr>
              <w:t>箱体噪音测试距离</w:t>
            </w:r>
            <w:r>
              <w:rPr>
                <w:rFonts w:hint="eastAsia" w:eastAsia="等线" w:cs="宋体"/>
                <w:color w:val="000000" w:themeColor="text1"/>
              </w:rPr>
              <w:t>1m</w:t>
            </w:r>
            <w:r>
              <w:rPr>
                <w:rFonts w:hint="eastAsia" w:ascii="仿宋_GB2312" w:cs="宋体"/>
                <w:color w:val="000000" w:themeColor="text1"/>
              </w:rPr>
              <w:t>时，工作噪声声压级＜</w:t>
            </w:r>
            <w:r>
              <w:rPr>
                <w:rFonts w:hint="eastAsia" w:eastAsia="等线" w:cs="宋体"/>
                <w:color w:val="000000" w:themeColor="text1"/>
              </w:rPr>
              <w:t>20</w:t>
            </w:r>
            <w:r>
              <w:rPr>
                <w:rFonts w:hint="eastAsia" w:ascii="仿宋_GB2312" w:cs="宋体"/>
                <w:color w:val="000000" w:themeColor="text1"/>
              </w:rPr>
              <w:t>；</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eastAsia="等线" w:cs="宋体"/>
                <w:color w:val="000000" w:themeColor="text1"/>
              </w:rPr>
            </w:pP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DVI</w:t>
            </w:r>
            <w:r>
              <w:rPr>
                <w:rFonts w:hint="eastAsia" w:ascii="仿宋_GB2312" w:cs="宋体"/>
                <w:color w:val="000000" w:themeColor="text1"/>
              </w:rPr>
              <w:t>分配器</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1.</w:t>
            </w:r>
            <w:r>
              <w:rPr>
                <w:rFonts w:hint="eastAsia" w:ascii="仿宋_GB2312" w:cs="宋体"/>
                <w:color w:val="000000" w:themeColor="text1"/>
              </w:rPr>
              <w:t>将</w:t>
            </w:r>
            <w:r>
              <w:rPr>
                <w:rFonts w:hint="eastAsia" w:eastAsia="等线" w:cs="宋体"/>
                <w:color w:val="000000" w:themeColor="text1"/>
              </w:rPr>
              <w:t>1</w:t>
            </w:r>
            <w:r>
              <w:rPr>
                <w:rFonts w:hint="eastAsia" w:ascii="仿宋_GB2312" w:cs="宋体"/>
                <w:color w:val="000000" w:themeColor="text1"/>
              </w:rPr>
              <w:t>路</w:t>
            </w:r>
            <w:r>
              <w:rPr>
                <w:rFonts w:hint="eastAsia" w:eastAsia="等线" w:cs="宋体"/>
                <w:color w:val="000000" w:themeColor="text1"/>
              </w:rPr>
              <w:t>DVI</w:t>
            </w:r>
            <w:r>
              <w:rPr>
                <w:rFonts w:hint="eastAsia" w:ascii="仿宋_GB2312" w:cs="宋体"/>
                <w:color w:val="000000" w:themeColor="text1"/>
              </w:rPr>
              <w:t>信号输入，分配成</w:t>
            </w:r>
            <w:r>
              <w:rPr>
                <w:rFonts w:hint="eastAsia" w:eastAsia="等线" w:cs="宋体"/>
                <w:color w:val="000000" w:themeColor="text1"/>
              </w:rPr>
              <w:t>2</w:t>
            </w:r>
            <w:r>
              <w:rPr>
                <w:rFonts w:hint="eastAsia" w:ascii="仿宋_GB2312" w:cs="宋体"/>
                <w:color w:val="000000" w:themeColor="text1"/>
              </w:rPr>
              <w:t>、</w:t>
            </w:r>
            <w:r>
              <w:rPr>
                <w:rFonts w:hint="eastAsia" w:eastAsia="等线" w:cs="宋体"/>
                <w:color w:val="000000" w:themeColor="text1"/>
              </w:rPr>
              <w:t>4</w:t>
            </w:r>
            <w:r>
              <w:rPr>
                <w:rFonts w:hint="eastAsia" w:ascii="仿宋_GB2312" w:cs="宋体"/>
                <w:color w:val="000000" w:themeColor="text1"/>
              </w:rPr>
              <w:t>、</w:t>
            </w:r>
            <w:r>
              <w:rPr>
                <w:rFonts w:hint="eastAsia" w:eastAsia="等线" w:cs="宋体"/>
                <w:color w:val="000000" w:themeColor="text1"/>
              </w:rPr>
              <w:t>8</w:t>
            </w:r>
            <w:r>
              <w:rPr>
                <w:rFonts w:hint="eastAsia" w:ascii="仿宋_GB2312" w:cs="宋体"/>
                <w:color w:val="000000" w:themeColor="text1"/>
              </w:rPr>
              <w:t>路</w:t>
            </w:r>
            <w:r>
              <w:rPr>
                <w:rFonts w:hint="eastAsia" w:eastAsia="等线" w:cs="宋体"/>
                <w:color w:val="000000" w:themeColor="text1"/>
              </w:rPr>
              <w:t>DVI</w:t>
            </w:r>
            <w:r>
              <w:rPr>
                <w:rFonts w:hint="eastAsia" w:ascii="仿宋_GB2312" w:cs="宋体"/>
                <w:color w:val="000000" w:themeColor="text1"/>
              </w:rPr>
              <w:t>信号输出；</w:t>
            </w:r>
            <w:r>
              <w:rPr>
                <w:rFonts w:hint="eastAsia" w:eastAsia="等线" w:cs="宋体"/>
                <w:color w:val="000000" w:themeColor="text1"/>
              </w:rPr>
              <w:t xml:space="preserve">2. </w:t>
            </w:r>
            <w:r>
              <w:rPr>
                <w:rFonts w:hint="eastAsia" w:ascii="仿宋_GB2312" w:cs="宋体"/>
                <w:color w:val="000000" w:themeColor="text1"/>
              </w:rPr>
              <w:t>支持</w:t>
            </w:r>
            <w:r>
              <w:rPr>
                <w:rFonts w:hint="eastAsia" w:eastAsia="等线" w:cs="宋体"/>
                <w:color w:val="000000" w:themeColor="text1"/>
              </w:rPr>
              <w:t>4K*2K@30Hz</w:t>
            </w:r>
            <w:r>
              <w:rPr>
                <w:rFonts w:hint="eastAsia" w:ascii="仿宋_GB2312" w:cs="宋体"/>
                <w:color w:val="000000" w:themeColor="text1"/>
              </w:rPr>
              <w:t>；</w:t>
            </w:r>
            <w:r>
              <w:rPr>
                <w:rFonts w:hint="eastAsia" w:eastAsia="等线" w:cs="宋体"/>
                <w:color w:val="000000" w:themeColor="text1"/>
              </w:rPr>
              <w:t>3D</w:t>
            </w:r>
            <w:r>
              <w:rPr>
                <w:rFonts w:hint="eastAsia" w:ascii="仿宋_GB2312" w:cs="宋体"/>
                <w:color w:val="000000" w:themeColor="text1"/>
              </w:rPr>
              <w:t>；</w:t>
            </w:r>
            <w:r>
              <w:rPr>
                <w:rFonts w:hint="eastAsia" w:eastAsia="等线" w:cs="宋体"/>
                <w:color w:val="000000" w:themeColor="text1"/>
              </w:rPr>
              <w:t>1080P@60Hz</w:t>
            </w:r>
            <w:r>
              <w:rPr>
                <w:rFonts w:hint="eastAsia" w:ascii="仿宋_GB2312" w:cs="宋体"/>
                <w:color w:val="000000" w:themeColor="text1"/>
              </w:rPr>
              <w:t>；</w:t>
            </w:r>
            <w:r>
              <w:rPr>
                <w:rFonts w:hint="eastAsia" w:eastAsia="等线" w:cs="宋体"/>
                <w:color w:val="000000" w:themeColor="text1"/>
              </w:rPr>
              <w:t>1080i@60Hz</w:t>
            </w:r>
            <w:r>
              <w:rPr>
                <w:rFonts w:hint="eastAsia" w:ascii="仿宋_GB2312" w:cs="宋体"/>
                <w:color w:val="000000" w:themeColor="text1"/>
              </w:rPr>
              <w:t>；</w:t>
            </w:r>
            <w:r>
              <w:rPr>
                <w:rFonts w:hint="eastAsia" w:eastAsia="等线" w:cs="宋体"/>
                <w:color w:val="000000" w:themeColor="text1"/>
              </w:rPr>
              <w:t>720P@60Hz</w:t>
            </w:r>
            <w:r>
              <w:rPr>
                <w:rFonts w:hint="eastAsia" w:ascii="仿宋_GB2312" w:cs="宋体"/>
                <w:color w:val="000000" w:themeColor="text1"/>
              </w:rPr>
              <w:t>等</w:t>
            </w:r>
            <w:r>
              <w:rPr>
                <w:rFonts w:hint="eastAsia" w:eastAsia="等线" w:cs="宋体"/>
                <w:color w:val="000000" w:themeColor="text1"/>
              </w:rPr>
              <w:t>HDTV</w:t>
            </w:r>
            <w:r>
              <w:rPr>
                <w:rFonts w:hint="eastAsia" w:ascii="仿宋_GB2312" w:cs="宋体"/>
                <w:color w:val="000000" w:themeColor="text1"/>
              </w:rPr>
              <w:t>格式分辨率的高清信号，支持</w:t>
            </w:r>
            <w:r>
              <w:rPr>
                <w:rFonts w:hint="eastAsia" w:eastAsia="等线" w:cs="宋体"/>
                <w:color w:val="000000" w:themeColor="text1"/>
              </w:rPr>
              <w:t>1920*1200</w:t>
            </w:r>
            <w:r>
              <w:rPr>
                <w:rFonts w:hint="eastAsia" w:ascii="仿宋_GB2312" w:cs="宋体"/>
                <w:color w:val="000000" w:themeColor="text1"/>
              </w:rPr>
              <w:t>等</w:t>
            </w:r>
            <w:r>
              <w:rPr>
                <w:rFonts w:hint="eastAsia" w:eastAsia="等线" w:cs="宋体"/>
                <w:color w:val="000000" w:themeColor="text1"/>
              </w:rPr>
              <w:t xml:space="preserve">VESA </w:t>
            </w:r>
            <w:r>
              <w:rPr>
                <w:rFonts w:hint="eastAsia" w:ascii="仿宋_GB2312" w:cs="宋体"/>
                <w:color w:val="000000" w:themeColor="text1"/>
              </w:rPr>
              <w:t>格式分辨率的高清信号，最大带宽高达</w:t>
            </w:r>
            <w:r>
              <w:rPr>
                <w:rFonts w:hint="eastAsia" w:eastAsia="等线" w:cs="宋体"/>
                <w:color w:val="000000" w:themeColor="text1"/>
              </w:rPr>
              <w:t>10.2Gbps</w:t>
            </w:r>
            <w:r>
              <w:rPr>
                <w:rFonts w:hint="eastAsia" w:ascii="仿宋_GB2312" w:cs="宋体"/>
                <w:color w:val="000000" w:themeColor="text1"/>
              </w:rPr>
              <w:t>；</w:t>
            </w:r>
            <w:r>
              <w:rPr>
                <w:rFonts w:hint="eastAsia" w:eastAsia="等线" w:cs="宋体"/>
                <w:color w:val="000000" w:themeColor="text1"/>
              </w:rPr>
              <w:t>3.</w:t>
            </w:r>
            <w:r>
              <w:rPr>
                <w:rFonts w:hint="eastAsia" w:ascii="仿宋_GB2312" w:cs="宋体"/>
                <w:color w:val="000000" w:themeColor="text1"/>
              </w:rPr>
              <w:t>支持</w:t>
            </w:r>
            <w:r>
              <w:rPr>
                <w:rFonts w:hint="eastAsia" w:eastAsia="等线" w:cs="宋体"/>
                <w:color w:val="000000" w:themeColor="text1"/>
              </w:rPr>
              <w:t>HDCP</w:t>
            </w:r>
            <w:r>
              <w:rPr>
                <w:rFonts w:hint="eastAsia" w:ascii="仿宋_GB2312" w:cs="宋体"/>
                <w:color w:val="000000" w:themeColor="text1"/>
              </w:rPr>
              <w:t>，仅需要一个</w:t>
            </w:r>
            <w:r>
              <w:rPr>
                <w:rFonts w:hint="eastAsia" w:eastAsia="等线" w:cs="宋体"/>
                <w:color w:val="000000" w:themeColor="text1"/>
              </w:rPr>
              <w:t>DVI-HDMI</w:t>
            </w:r>
            <w:r>
              <w:rPr>
                <w:rFonts w:hint="eastAsia" w:ascii="仿宋_GB2312" w:cs="宋体"/>
                <w:color w:val="000000" w:themeColor="text1"/>
              </w:rPr>
              <w:t>的转接头即可实现</w:t>
            </w:r>
            <w:r>
              <w:rPr>
                <w:rFonts w:hint="eastAsia" w:eastAsia="等线" w:cs="宋体"/>
                <w:color w:val="000000" w:themeColor="text1"/>
              </w:rPr>
              <w:t>HDMI</w:t>
            </w:r>
            <w:r>
              <w:rPr>
                <w:rFonts w:hint="eastAsia" w:ascii="仿宋_GB2312" w:cs="宋体"/>
                <w:color w:val="000000" w:themeColor="text1"/>
              </w:rPr>
              <w:t>的分配功能；</w:t>
            </w:r>
            <w:r>
              <w:rPr>
                <w:rFonts w:hint="eastAsia" w:eastAsia="等线" w:cs="宋体"/>
                <w:color w:val="000000" w:themeColor="text1"/>
              </w:rPr>
              <w:t>4.</w:t>
            </w:r>
            <w:r>
              <w:rPr>
                <w:rFonts w:hint="eastAsia" w:ascii="仿宋_GB2312" w:cs="宋体"/>
                <w:color w:val="000000" w:themeColor="text1"/>
              </w:rPr>
              <w:t>支持</w:t>
            </w:r>
            <w:r>
              <w:rPr>
                <w:rFonts w:hint="eastAsia" w:eastAsia="等线" w:cs="宋体"/>
                <w:color w:val="000000" w:themeColor="text1"/>
              </w:rPr>
              <w:t xml:space="preserve">EDID </w:t>
            </w:r>
            <w:r>
              <w:rPr>
                <w:rFonts w:hint="eastAsia" w:ascii="仿宋_GB2312" w:cs="宋体"/>
                <w:color w:val="000000" w:themeColor="text1"/>
              </w:rPr>
              <w:t>现场学习功能，可以将任意显示设备的</w:t>
            </w:r>
            <w:r>
              <w:rPr>
                <w:rFonts w:hint="eastAsia" w:eastAsia="等线" w:cs="宋体"/>
                <w:color w:val="000000" w:themeColor="text1"/>
              </w:rPr>
              <w:t>EDID</w:t>
            </w:r>
            <w:r>
              <w:rPr>
                <w:rFonts w:hint="eastAsia" w:ascii="仿宋_GB2312" w:cs="宋体"/>
                <w:color w:val="000000" w:themeColor="text1"/>
              </w:rPr>
              <w:t>数据现场拷贝进分配器中，从而达到最佳的显示效果；</w:t>
            </w:r>
            <w:r>
              <w:rPr>
                <w:rFonts w:hint="eastAsia" w:eastAsia="等线" w:cs="宋体"/>
                <w:color w:val="000000" w:themeColor="text1"/>
              </w:rPr>
              <w:t>5.</w:t>
            </w:r>
            <w:r>
              <w:rPr>
                <w:rFonts w:hint="eastAsia" w:ascii="仿宋_GB2312" w:cs="宋体"/>
                <w:color w:val="000000" w:themeColor="text1"/>
              </w:rPr>
              <w:t>支持</w:t>
            </w:r>
            <w:r>
              <w:rPr>
                <w:rFonts w:hint="eastAsia" w:eastAsia="等线" w:cs="宋体"/>
                <w:color w:val="000000" w:themeColor="text1"/>
              </w:rPr>
              <w:t>DVI1.0</w:t>
            </w:r>
            <w:r>
              <w:rPr>
                <w:rFonts w:hint="eastAsia" w:ascii="仿宋_GB2312" w:cs="宋体"/>
                <w:color w:val="000000" w:themeColor="text1"/>
              </w:rPr>
              <w:t>协议，支持</w:t>
            </w:r>
            <w:r>
              <w:rPr>
                <w:rFonts w:hint="eastAsia" w:eastAsia="等线" w:cs="宋体"/>
                <w:color w:val="000000" w:themeColor="text1"/>
              </w:rPr>
              <w:t>V-EDID</w:t>
            </w:r>
            <w:r>
              <w:rPr>
                <w:rFonts w:hint="eastAsia" w:ascii="仿宋_GB2312" w:cs="宋体"/>
                <w:color w:val="000000" w:themeColor="text1"/>
              </w:rPr>
              <w:t>协议；</w:t>
            </w:r>
            <w:r>
              <w:rPr>
                <w:rFonts w:hint="eastAsia" w:eastAsia="等线" w:cs="宋体"/>
                <w:color w:val="000000" w:themeColor="text1"/>
              </w:rPr>
              <w:t>6.</w:t>
            </w:r>
            <w:r>
              <w:rPr>
                <w:rFonts w:hint="eastAsia" w:ascii="仿宋_GB2312" w:cs="宋体"/>
                <w:color w:val="000000" w:themeColor="text1"/>
              </w:rPr>
              <w:t>支持多种色彩空间</w:t>
            </w:r>
            <w:r>
              <w:rPr>
                <w:rFonts w:hint="eastAsia" w:eastAsia="等线" w:cs="宋体"/>
                <w:color w:val="000000" w:themeColor="text1"/>
              </w:rPr>
              <w:t>RGB444</w:t>
            </w:r>
            <w:r>
              <w:rPr>
                <w:rFonts w:hint="eastAsia" w:ascii="仿宋_GB2312" w:cs="宋体"/>
                <w:color w:val="000000" w:themeColor="text1"/>
              </w:rPr>
              <w:t>，</w:t>
            </w:r>
            <w:r>
              <w:rPr>
                <w:rFonts w:hint="eastAsia" w:eastAsia="等线" w:cs="宋体"/>
                <w:color w:val="000000" w:themeColor="text1"/>
              </w:rPr>
              <w:t>YUV444</w:t>
            </w:r>
            <w:r>
              <w:rPr>
                <w:rFonts w:hint="eastAsia" w:ascii="仿宋_GB2312" w:cs="宋体"/>
                <w:color w:val="000000" w:themeColor="text1"/>
              </w:rPr>
              <w:t>，</w:t>
            </w:r>
            <w:r>
              <w:rPr>
                <w:rFonts w:hint="eastAsia" w:eastAsia="等线" w:cs="宋体"/>
                <w:color w:val="000000" w:themeColor="text1"/>
              </w:rPr>
              <w:t>YUV422</w:t>
            </w:r>
            <w:r>
              <w:rPr>
                <w:rFonts w:hint="eastAsia" w:ascii="仿宋_GB2312" w:cs="宋体"/>
                <w:color w:val="000000" w:themeColor="text1"/>
              </w:rPr>
              <w:t>，支持</w:t>
            </w:r>
            <w:r>
              <w:rPr>
                <w:rFonts w:hint="eastAsia" w:eastAsia="等线" w:cs="宋体"/>
                <w:color w:val="000000" w:themeColor="text1"/>
              </w:rPr>
              <w:t>x.v.Color</w:t>
            </w:r>
            <w:r>
              <w:rPr>
                <w:rFonts w:hint="eastAsia" w:ascii="仿宋_GB2312" w:cs="宋体"/>
                <w:color w:val="000000" w:themeColor="text1"/>
              </w:rPr>
              <w:t>扩展色域；</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9</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个</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3</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DVI</w:t>
            </w:r>
            <w:r>
              <w:rPr>
                <w:rFonts w:hint="eastAsia" w:ascii="仿宋_GB2312" w:cs="宋体"/>
                <w:color w:val="000000" w:themeColor="text1"/>
              </w:rPr>
              <w:t>光纤延长器</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1</w:t>
            </w:r>
            <w:r>
              <w:rPr>
                <w:rFonts w:hint="eastAsia" w:ascii="仿宋_GB2312" w:cs="宋体"/>
                <w:color w:val="000000" w:themeColor="text1"/>
              </w:rPr>
              <w:t>、四</w:t>
            </w:r>
            <w:r>
              <w:rPr>
                <w:rFonts w:hint="eastAsia" w:eastAsia="等线" w:cs="宋体"/>
                <w:color w:val="000000" w:themeColor="text1"/>
              </w:rPr>
              <w:t>LC</w:t>
            </w:r>
            <w:r>
              <w:rPr>
                <w:rFonts w:hint="eastAsia" w:ascii="仿宋_GB2312" w:cs="宋体"/>
                <w:color w:val="000000" w:themeColor="text1"/>
              </w:rPr>
              <w:t>光纤接口，多模光纤使用；</w:t>
            </w:r>
            <w:r>
              <w:rPr>
                <w:rFonts w:hint="eastAsia" w:eastAsia="等线" w:cs="宋体"/>
                <w:color w:val="000000" w:themeColor="text1"/>
              </w:rPr>
              <w:t>2</w:t>
            </w:r>
            <w:r>
              <w:rPr>
                <w:rFonts w:hint="eastAsia" w:ascii="仿宋_GB2312" w:cs="宋体"/>
                <w:color w:val="000000" w:themeColor="text1"/>
              </w:rPr>
              <w:t>、长距离和高分辨率图像传输；</w:t>
            </w:r>
            <w:r>
              <w:rPr>
                <w:rFonts w:hint="eastAsia" w:eastAsia="等线" w:cs="宋体"/>
                <w:color w:val="000000" w:themeColor="text1"/>
              </w:rPr>
              <w:t>3</w:t>
            </w:r>
            <w:r>
              <w:rPr>
                <w:rFonts w:hint="eastAsia" w:ascii="仿宋_GB2312" w:cs="宋体"/>
                <w:color w:val="000000" w:themeColor="text1"/>
              </w:rPr>
              <w:t>、支持视频分辨率最高达</w:t>
            </w:r>
            <w:r>
              <w:rPr>
                <w:rFonts w:hint="eastAsia" w:eastAsia="等线" w:cs="宋体"/>
                <w:color w:val="000000" w:themeColor="text1"/>
              </w:rPr>
              <w:t>1920x1200/60Hz</w:t>
            </w:r>
            <w:r>
              <w:rPr>
                <w:rFonts w:hint="eastAsia" w:ascii="仿宋_GB2312" w:cs="宋体"/>
                <w:color w:val="000000" w:themeColor="text1"/>
              </w:rPr>
              <w:t>或</w:t>
            </w:r>
            <w:r>
              <w:rPr>
                <w:rFonts w:hint="eastAsia" w:eastAsia="等线" w:cs="宋体"/>
                <w:color w:val="000000" w:themeColor="text1"/>
              </w:rPr>
              <w:t>1080p</w:t>
            </w:r>
            <w:r>
              <w:rPr>
                <w:rFonts w:hint="eastAsia" w:ascii="仿宋_GB2312" w:cs="宋体"/>
                <w:color w:val="000000" w:themeColor="text1"/>
              </w:rPr>
              <w:t>的高清电视；</w:t>
            </w:r>
            <w:r>
              <w:rPr>
                <w:rFonts w:hint="eastAsia" w:eastAsia="等线" w:cs="宋体"/>
                <w:color w:val="000000" w:themeColor="text1"/>
              </w:rPr>
              <w:t>4</w:t>
            </w:r>
            <w:r>
              <w:rPr>
                <w:rFonts w:hint="eastAsia" w:ascii="仿宋_GB2312" w:cs="宋体"/>
                <w:color w:val="000000" w:themeColor="text1"/>
              </w:rPr>
              <w:t>、</w:t>
            </w:r>
            <w:r>
              <w:rPr>
                <w:rFonts w:hint="eastAsia" w:eastAsia="等线" w:cs="宋体"/>
                <w:color w:val="000000" w:themeColor="text1"/>
              </w:rPr>
              <w:t>EDID</w:t>
            </w:r>
            <w:r>
              <w:rPr>
                <w:rFonts w:hint="eastAsia" w:ascii="仿宋_GB2312" w:cs="宋体"/>
                <w:color w:val="000000" w:themeColor="text1"/>
              </w:rPr>
              <w:t>手动学习功能，显示发送端和接收端信号状态；</w:t>
            </w:r>
            <w:r>
              <w:rPr>
                <w:rFonts w:hint="eastAsia" w:eastAsia="等线" w:cs="宋体"/>
                <w:color w:val="000000" w:themeColor="text1"/>
              </w:rPr>
              <w:t>6</w:t>
            </w:r>
            <w:r>
              <w:rPr>
                <w:rFonts w:hint="eastAsia" w:ascii="仿宋_GB2312" w:cs="宋体"/>
                <w:color w:val="000000" w:themeColor="text1"/>
              </w:rPr>
              <w:t>、单电源＋</w:t>
            </w:r>
            <w:r>
              <w:rPr>
                <w:rFonts w:hint="eastAsia" w:eastAsia="等线" w:cs="宋体"/>
                <w:color w:val="000000" w:themeColor="text1"/>
              </w:rPr>
              <w:t>5V</w:t>
            </w:r>
            <w:r>
              <w:rPr>
                <w:rFonts w:hint="eastAsia" w:ascii="仿宋_GB2312" w:cs="宋体"/>
                <w:color w:val="000000" w:themeColor="text1"/>
              </w:rPr>
              <w:t>供电，最佳导热散热性能的金属外壳设计、低功耗；</w:t>
            </w:r>
            <w:r>
              <w:rPr>
                <w:rFonts w:hint="eastAsia" w:eastAsia="等线" w:cs="宋体"/>
                <w:color w:val="000000" w:themeColor="text1"/>
              </w:rPr>
              <w:t>7</w:t>
            </w:r>
            <w:r>
              <w:rPr>
                <w:rFonts w:hint="eastAsia" w:ascii="仿宋_GB2312" w:cs="宋体"/>
                <w:color w:val="000000" w:themeColor="text1"/>
              </w:rPr>
              <w:t>、符合</w:t>
            </w:r>
            <w:r>
              <w:rPr>
                <w:rFonts w:hint="eastAsia" w:eastAsia="等线" w:cs="宋体"/>
                <w:color w:val="000000" w:themeColor="text1"/>
              </w:rPr>
              <w:t>RoHS</w:t>
            </w:r>
            <w:r>
              <w:rPr>
                <w:rFonts w:hint="eastAsia" w:ascii="仿宋_GB2312" w:cs="宋体"/>
                <w:color w:val="000000" w:themeColor="text1"/>
              </w:rPr>
              <w:t>标准；</w:t>
            </w:r>
            <w:r>
              <w:rPr>
                <w:rFonts w:hint="eastAsia" w:eastAsia="等线" w:cs="宋体"/>
                <w:color w:val="000000" w:themeColor="text1"/>
              </w:rPr>
              <w:t>8</w:t>
            </w:r>
            <w:r>
              <w:rPr>
                <w:rFonts w:hint="eastAsia" w:ascii="仿宋_GB2312" w:cs="宋体"/>
                <w:color w:val="000000" w:themeColor="text1"/>
              </w:rPr>
              <w:t>、信号源连接矩阵以及矩阵输出到电视之间使用；</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9</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4</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结构架和装饰包边</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1.</w:t>
            </w:r>
            <w:r>
              <w:rPr>
                <w:rFonts w:hint="eastAsia" w:ascii="仿宋_GB2312" w:cs="宋体"/>
                <w:color w:val="000000" w:themeColor="text1"/>
              </w:rPr>
              <w:t>主体弧形钢架结构；</w:t>
            </w:r>
            <w:r>
              <w:rPr>
                <w:rFonts w:hint="eastAsia" w:eastAsia="等线" w:cs="宋体"/>
                <w:color w:val="000000" w:themeColor="text1"/>
              </w:rPr>
              <w:t>2.</w:t>
            </w:r>
            <w:r>
              <w:rPr>
                <w:rFonts w:hint="eastAsia" w:ascii="仿宋_GB2312" w:cs="宋体"/>
                <w:color w:val="000000" w:themeColor="text1"/>
              </w:rPr>
              <w:t>确保楼层承受力许可</w:t>
            </w:r>
            <w:r>
              <w:rPr>
                <w:rFonts w:hint="eastAsia" w:eastAsia="等线" w:cs="宋体"/>
                <w:color w:val="000000" w:themeColor="text1"/>
              </w:rPr>
              <w:t>,</w:t>
            </w:r>
            <w:r>
              <w:rPr>
                <w:rFonts w:hint="eastAsia" w:ascii="仿宋_GB2312" w:cs="宋体"/>
                <w:color w:val="000000" w:themeColor="text1"/>
              </w:rPr>
              <w:t>按需加固楼层地面；</w:t>
            </w:r>
            <w:r>
              <w:rPr>
                <w:rFonts w:hint="eastAsia" w:eastAsia="等线" w:cs="宋体"/>
                <w:color w:val="000000" w:themeColor="text1"/>
              </w:rPr>
              <w:t>3.</w:t>
            </w:r>
            <w:r>
              <w:rPr>
                <w:rFonts w:hint="eastAsia" w:ascii="仿宋_GB2312" w:cs="宋体"/>
                <w:color w:val="000000" w:themeColor="text1"/>
              </w:rPr>
              <w:t>为保障显示屏的整体平整度及避免钢结构日久变形，需原厂安装、调试；</w:t>
            </w:r>
            <w:r>
              <w:rPr>
                <w:rFonts w:hint="eastAsia" w:eastAsia="等线" w:cs="宋体"/>
                <w:color w:val="000000" w:themeColor="text1"/>
              </w:rPr>
              <w:t>4.</w:t>
            </w:r>
            <w:r>
              <w:rPr>
                <w:rFonts w:hint="eastAsia" w:ascii="仿宋_GB2312" w:cs="宋体"/>
                <w:color w:val="000000" w:themeColor="text1"/>
              </w:rPr>
              <w:t>不锈钢装饰包边。</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5</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配电柜</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15KW</w:t>
            </w:r>
            <w:r>
              <w:rPr>
                <w:rFonts w:hint="eastAsia" w:ascii="仿宋_GB2312" w:cs="宋体"/>
                <w:color w:val="000000" w:themeColor="text1"/>
              </w:rPr>
              <w:t>配电柜，带智能</w:t>
            </w:r>
            <w:r>
              <w:rPr>
                <w:rFonts w:hint="eastAsia" w:eastAsia="等线" w:cs="宋体"/>
                <w:color w:val="000000" w:themeColor="text1"/>
              </w:rPr>
              <w:t>PLC</w:t>
            </w:r>
            <w:r>
              <w:rPr>
                <w:rFonts w:hint="eastAsia" w:ascii="仿宋_GB2312" w:cs="宋体"/>
                <w:color w:val="000000" w:themeColor="text1"/>
              </w:rPr>
              <w:t>，施耐德或相同等级元器件，含</w:t>
            </w:r>
            <w:r>
              <w:rPr>
                <w:rFonts w:hint="eastAsia" w:eastAsia="等线" w:cs="宋体"/>
                <w:color w:val="000000" w:themeColor="text1"/>
              </w:rPr>
              <w:t>2</w:t>
            </w:r>
            <w:r>
              <w:rPr>
                <w:rFonts w:hint="eastAsia" w:ascii="仿宋_GB2312" w:cs="宋体"/>
                <w:color w:val="000000" w:themeColor="text1"/>
              </w:rPr>
              <w:t>个分线箱。</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6</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大屏配套线缆</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配电柜引入电缆：</w:t>
            </w:r>
            <w:r>
              <w:rPr>
                <w:rFonts w:hint="eastAsia" w:eastAsia="等线" w:cs="宋体"/>
                <w:color w:val="000000" w:themeColor="text1"/>
              </w:rPr>
              <w:t>4*6+1*4mm2</w:t>
            </w:r>
            <w:r>
              <w:rPr>
                <w:rFonts w:hint="eastAsia" w:ascii="仿宋_GB2312" w:hAnsi="宋体" w:cs="宋体"/>
                <w:color w:val="000000" w:themeColor="text1"/>
              </w:rPr>
              <w:t>（含配件）；配套所需电源线缆、控制网线，图像处理器到大屏的高清视频线缆、多模光纤等适配，并考虑冗余。</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7</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字幕条屏</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P4</w:t>
            </w:r>
            <w:r>
              <w:rPr>
                <w:rFonts w:hint="eastAsia" w:ascii="仿宋_GB2312" w:cs="宋体"/>
                <w:color w:val="000000" w:themeColor="text1"/>
              </w:rPr>
              <w:t>全彩表贴，屏幕面积</w:t>
            </w:r>
            <w:r>
              <w:rPr>
                <w:rFonts w:hint="eastAsia" w:eastAsia="等线" w:cs="宋体"/>
                <w:color w:val="000000" w:themeColor="text1"/>
              </w:rPr>
              <w:t>7.2m×0.48m=3.456m²</w:t>
            </w:r>
            <w:r>
              <w:rPr>
                <w:rFonts w:hint="eastAsia" w:ascii="仿宋_GB2312" w:cs="宋体"/>
                <w:color w:val="000000" w:themeColor="text1"/>
              </w:rPr>
              <w:t>，亮度：</w:t>
            </w:r>
            <w:r>
              <w:rPr>
                <w:rFonts w:hint="eastAsia" w:eastAsia="等线" w:cs="宋体"/>
                <w:color w:val="000000" w:themeColor="text1"/>
              </w:rPr>
              <w:t>800cd/m2</w:t>
            </w:r>
            <w:r>
              <w:rPr>
                <w:rFonts w:hint="eastAsia" w:ascii="仿宋_GB2312" w:cs="宋体"/>
                <w:color w:val="000000" w:themeColor="text1"/>
              </w:rPr>
              <w:t>，支架与大屏一体化安装，含控制软件</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3.5</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平方米</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8</w:t>
            </w:r>
          </w:p>
        </w:tc>
        <w:tc>
          <w:tcPr>
            <w:tcW w:w="1176"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会商作战室视频显示</w:t>
            </w: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会议触控平板一体机</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86"</w:t>
            </w:r>
            <w:r>
              <w:rPr>
                <w:rFonts w:hint="eastAsia" w:ascii="仿宋_GB2312" w:cs="宋体"/>
                <w:color w:val="000000" w:themeColor="text1"/>
              </w:rPr>
              <w:t>，</w:t>
            </w:r>
            <w:r>
              <w:rPr>
                <w:rFonts w:hint="eastAsia" w:eastAsia="等线" w:cs="宋体"/>
                <w:color w:val="000000" w:themeColor="text1"/>
              </w:rPr>
              <w:t>LED</w:t>
            </w:r>
            <w:r>
              <w:rPr>
                <w:rFonts w:hint="eastAsia" w:ascii="仿宋_GB2312" w:cs="宋体"/>
                <w:color w:val="000000" w:themeColor="text1"/>
              </w:rPr>
              <w:t>液晶显示屏，</w:t>
            </w:r>
            <w:r>
              <w:rPr>
                <w:rFonts w:hint="eastAsia" w:eastAsia="等线" w:cs="宋体"/>
                <w:color w:val="000000" w:themeColor="text1"/>
              </w:rPr>
              <w:t>4K</w:t>
            </w:r>
            <w:r>
              <w:rPr>
                <w:rFonts w:hint="eastAsia" w:ascii="仿宋_GB2312" w:cs="宋体"/>
                <w:color w:val="000000" w:themeColor="text1"/>
              </w:rPr>
              <w:t>高清；红外触控，</w:t>
            </w:r>
            <w:r>
              <w:rPr>
                <w:rFonts w:hint="eastAsia" w:eastAsia="等线" w:cs="宋体"/>
                <w:color w:val="000000" w:themeColor="text1"/>
              </w:rPr>
              <w:t>AG</w:t>
            </w:r>
            <w:r>
              <w:rPr>
                <w:rFonts w:hint="eastAsia" w:ascii="仿宋_GB2312" w:cs="宋体"/>
                <w:color w:val="000000" w:themeColor="text1"/>
              </w:rPr>
              <w:t>钢化玻璃，</w:t>
            </w:r>
            <w:r>
              <w:rPr>
                <w:rFonts w:hint="eastAsia" w:eastAsia="等线" w:cs="宋体"/>
                <w:color w:val="000000" w:themeColor="text1"/>
              </w:rPr>
              <w:t>Android4.4.3</w:t>
            </w:r>
            <w:r>
              <w:rPr>
                <w:rFonts w:hint="eastAsia" w:ascii="仿宋_GB2312" w:cs="宋体"/>
                <w:color w:val="000000" w:themeColor="text1"/>
              </w:rPr>
              <w:t>系统，标配：壁挂板（</w:t>
            </w:r>
            <w:r>
              <w:rPr>
                <w:rFonts w:hint="eastAsia" w:eastAsia="等线" w:cs="宋体"/>
                <w:color w:val="000000" w:themeColor="text1"/>
              </w:rPr>
              <w:t>9060A</w:t>
            </w:r>
            <w:r>
              <w:rPr>
                <w:rFonts w:hint="eastAsia" w:ascii="仿宋_GB2312" w:cs="宋体"/>
                <w:color w:val="000000" w:themeColor="text1"/>
              </w:rPr>
              <w:t>），三支毛毡笔。内置四扬声器。辅配无线传屏器</w:t>
            </w:r>
            <w:r>
              <w:rPr>
                <w:rFonts w:hint="eastAsia" w:eastAsia="等线" w:cs="宋体"/>
                <w:color w:val="000000" w:themeColor="text1"/>
              </w:rPr>
              <w:t>2</w:t>
            </w:r>
            <w:r>
              <w:rPr>
                <w:rFonts w:hint="eastAsia" w:ascii="仿宋_GB2312" w:cs="宋体"/>
                <w:color w:val="000000" w:themeColor="text1"/>
              </w:rPr>
              <w:t>套</w:t>
            </w:r>
            <w:r>
              <w:rPr>
                <w:rFonts w:hint="eastAsia" w:eastAsia="等线" w:cs="宋体"/>
                <w:color w:val="000000" w:themeColor="text1"/>
              </w:rPr>
              <w:t>,</w:t>
            </w:r>
            <w:r>
              <w:rPr>
                <w:rFonts w:hint="eastAsia" w:ascii="仿宋_GB2312" w:cs="宋体"/>
                <w:color w:val="000000" w:themeColor="text1"/>
              </w:rPr>
              <w:t>配套支架</w:t>
            </w:r>
            <w:r>
              <w:rPr>
                <w:rFonts w:hint="eastAsia" w:eastAsia="等线" w:cs="宋体"/>
                <w:color w:val="000000" w:themeColor="text1"/>
              </w:rPr>
              <w:t>1</w:t>
            </w:r>
            <w:r>
              <w:rPr>
                <w:rFonts w:hint="eastAsia" w:ascii="仿宋_GB2312" w:cs="宋体"/>
                <w:color w:val="000000" w:themeColor="text1"/>
              </w:rPr>
              <w:t>套</w:t>
            </w:r>
            <w:r>
              <w:rPr>
                <w:rFonts w:hint="eastAsia" w:eastAsia="等线" w:cs="宋体"/>
                <w:color w:val="000000" w:themeColor="text1"/>
              </w:rPr>
              <w:t>.</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9</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液晶屏支架</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液晶屏配套伸缩支架</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10</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双绞线传输器</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50</w:t>
            </w:r>
            <w:r>
              <w:rPr>
                <w:rFonts w:hint="eastAsia" w:ascii="仿宋_GB2312" w:cs="宋体"/>
                <w:color w:val="000000" w:themeColor="text1"/>
              </w:rPr>
              <w:t>米无损高清视频传输，一发一收全套，用于图像处理器输出到</w:t>
            </w:r>
            <w:r>
              <w:rPr>
                <w:rFonts w:hint="eastAsia" w:eastAsia="等线" w:cs="宋体"/>
                <w:color w:val="000000" w:themeColor="text1"/>
              </w:rPr>
              <w:t>8</w:t>
            </w:r>
            <w:r>
              <w:rPr>
                <w:rFonts w:hint="eastAsia" w:ascii="仿宋_GB2312" w:cs="宋体"/>
                <w:color w:val="000000" w:themeColor="text1"/>
              </w:rPr>
              <w:t>套升降屏</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11</w:t>
            </w:r>
          </w:p>
        </w:tc>
        <w:tc>
          <w:tcPr>
            <w:tcW w:w="1176"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视频会议室</w:t>
            </w: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液晶拼接屏</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LCD</w:t>
            </w:r>
            <w:r>
              <w:rPr>
                <w:rFonts w:hint="eastAsia" w:ascii="仿宋_GB2312" w:cs="宋体"/>
                <w:color w:val="000000" w:themeColor="text1"/>
              </w:rPr>
              <w:t>显示单元为：</w:t>
            </w:r>
            <w:r>
              <w:rPr>
                <w:rFonts w:hint="eastAsia" w:eastAsia="等线" w:cs="宋体"/>
                <w:color w:val="000000" w:themeColor="text1"/>
              </w:rPr>
              <w:t>55“</w:t>
            </w:r>
            <w:r>
              <w:rPr>
                <w:rFonts w:hint="eastAsia" w:ascii="仿宋_GB2312" w:cs="宋体"/>
                <w:color w:val="000000" w:themeColor="text1"/>
              </w:rPr>
              <w:t>超窄边液晶屏；亮度达到</w:t>
            </w:r>
            <w:r>
              <w:rPr>
                <w:rFonts w:hint="eastAsia" w:eastAsia="等线" w:cs="宋体"/>
                <w:color w:val="000000" w:themeColor="text1"/>
              </w:rPr>
              <w:t>700cd/</w:t>
            </w:r>
            <w:r>
              <w:rPr>
                <w:rFonts w:hint="eastAsia" w:ascii="Batang" w:hAnsi="Batang" w:eastAsia="Batang" w:cs="Batang"/>
                <w:color w:val="000000" w:themeColor="text1"/>
              </w:rPr>
              <w:t>㎡</w:t>
            </w:r>
            <w:r>
              <w:rPr>
                <w:rFonts w:hint="eastAsia" w:ascii="仿宋_GB2312" w:hAnsi="仿宋_GB2312" w:cs="仿宋_GB2312"/>
                <w:color w:val="000000" w:themeColor="text1"/>
              </w:rPr>
              <w:t>，对比度达到</w:t>
            </w:r>
            <w:r>
              <w:rPr>
                <w:rFonts w:hint="eastAsia" w:eastAsia="等线" w:cs="宋体"/>
                <w:color w:val="000000" w:themeColor="text1"/>
              </w:rPr>
              <w:t>4000:1</w:t>
            </w:r>
            <w:r>
              <w:rPr>
                <w:rFonts w:hint="eastAsia" w:ascii="仿宋_GB2312" w:cs="宋体"/>
                <w:color w:val="000000" w:themeColor="text1"/>
              </w:rPr>
              <w:t>；物理拼缝</w:t>
            </w:r>
            <w:r>
              <w:rPr>
                <w:rFonts w:hint="eastAsia" w:eastAsia="等线" w:cs="宋体"/>
                <w:color w:val="000000" w:themeColor="text1"/>
              </w:rPr>
              <w:t>≤0.88mm</w:t>
            </w:r>
            <w:r>
              <w:rPr>
                <w:rFonts w:hint="eastAsia" w:ascii="仿宋_GB2312" w:cs="宋体"/>
                <w:color w:val="000000" w:themeColor="text1"/>
              </w:rPr>
              <w:t>。输入接口：</w:t>
            </w:r>
            <w:r>
              <w:rPr>
                <w:rFonts w:hint="eastAsia" w:eastAsia="等线" w:cs="宋体"/>
                <w:color w:val="000000" w:themeColor="text1"/>
              </w:rPr>
              <w:t>VGAX1</w:t>
            </w:r>
            <w:r>
              <w:rPr>
                <w:rFonts w:hint="eastAsia" w:ascii="仿宋_GB2312" w:cs="宋体"/>
                <w:color w:val="000000" w:themeColor="text1"/>
              </w:rPr>
              <w:t>，</w:t>
            </w:r>
            <w:r>
              <w:rPr>
                <w:rFonts w:hint="eastAsia" w:eastAsia="等线" w:cs="宋体"/>
                <w:color w:val="000000" w:themeColor="text1"/>
              </w:rPr>
              <w:t>DVIX1</w:t>
            </w:r>
            <w:r>
              <w:rPr>
                <w:rFonts w:hint="eastAsia" w:ascii="仿宋_GB2312" w:cs="宋体"/>
                <w:color w:val="000000" w:themeColor="text1"/>
              </w:rPr>
              <w:t>，</w:t>
            </w:r>
            <w:r>
              <w:rPr>
                <w:rFonts w:hint="eastAsia" w:eastAsia="等线" w:cs="宋体"/>
                <w:color w:val="000000" w:themeColor="text1"/>
              </w:rPr>
              <w:t>BNCX1</w:t>
            </w:r>
            <w:r>
              <w:rPr>
                <w:rFonts w:hint="eastAsia" w:ascii="仿宋_GB2312" w:cs="宋体"/>
                <w:color w:val="000000" w:themeColor="text1"/>
              </w:rPr>
              <w:t>，</w:t>
            </w:r>
            <w:r>
              <w:rPr>
                <w:rFonts w:hint="eastAsia" w:eastAsia="等线" w:cs="宋体"/>
                <w:color w:val="000000" w:themeColor="text1"/>
              </w:rPr>
              <w:t>YPbPrX1,HDMIX1;</w:t>
            </w:r>
            <w:r>
              <w:rPr>
                <w:rFonts w:hint="eastAsia" w:ascii="仿宋_GB2312" w:cs="宋体"/>
                <w:color w:val="000000" w:themeColor="text1"/>
              </w:rPr>
              <w:t>输出接口：</w:t>
            </w:r>
            <w:r>
              <w:rPr>
                <w:rFonts w:hint="eastAsia" w:eastAsia="等线" w:cs="宋体"/>
                <w:color w:val="000000" w:themeColor="text1"/>
              </w:rPr>
              <w:t>VGAX1</w:t>
            </w:r>
            <w:r>
              <w:rPr>
                <w:rFonts w:hint="eastAsia" w:ascii="仿宋_GB2312" w:cs="宋体"/>
                <w:color w:val="000000" w:themeColor="text1"/>
              </w:rPr>
              <w:t>，</w:t>
            </w:r>
            <w:r>
              <w:rPr>
                <w:rFonts w:hint="eastAsia" w:eastAsia="等线" w:cs="宋体"/>
                <w:color w:val="000000" w:themeColor="text1"/>
              </w:rPr>
              <w:t>DVIX1</w:t>
            </w:r>
            <w:r>
              <w:rPr>
                <w:rFonts w:hint="eastAsia" w:ascii="仿宋_GB2312" w:cs="宋体"/>
                <w:color w:val="000000" w:themeColor="text1"/>
              </w:rPr>
              <w:t>，</w:t>
            </w:r>
            <w:r>
              <w:rPr>
                <w:rFonts w:hint="eastAsia" w:eastAsia="等线" w:cs="宋体"/>
                <w:color w:val="000000" w:themeColor="text1"/>
              </w:rPr>
              <w:t>BNCX2</w:t>
            </w:r>
            <w:r>
              <w:rPr>
                <w:rFonts w:hint="eastAsia" w:ascii="仿宋_GB2312" w:cs="宋体"/>
                <w:color w:val="000000" w:themeColor="text1"/>
              </w:rPr>
              <w:t>。</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9</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块</w:t>
            </w:r>
          </w:p>
        </w:tc>
      </w:tr>
      <w:tr>
        <w:tblPrEx>
          <w:tblLayout w:type="fixed"/>
          <w:tblCellMar>
            <w:top w:w="0" w:type="dxa"/>
            <w:left w:w="108" w:type="dxa"/>
            <w:bottom w:w="0" w:type="dxa"/>
            <w:right w:w="108" w:type="dxa"/>
          </w:tblCellMar>
        </w:tblPrEx>
        <w:tc>
          <w:tcPr>
            <w:tcW w:w="469"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12</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拼接控制器</w:t>
            </w: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8U</w:t>
            </w:r>
            <w:r>
              <w:rPr>
                <w:rFonts w:hint="eastAsia" w:ascii="仿宋_GB2312" w:cs="宋体"/>
                <w:color w:val="000000" w:themeColor="text1"/>
              </w:rPr>
              <w:t>机箱（含主控板和电源），</w:t>
            </w:r>
            <w:r>
              <w:rPr>
                <w:rFonts w:hint="eastAsia" w:eastAsia="等线" w:cs="宋体"/>
                <w:color w:val="000000" w:themeColor="text1"/>
              </w:rPr>
              <w:t>12</w:t>
            </w:r>
            <w:r>
              <w:rPr>
                <w:rFonts w:hint="eastAsia" w:ascii="仿宋_GB2312" w:cs="宋体"/>
                <w:color w:val="000000" w:themeColor="text1"/>
              </w:rPr>
              <w:t>个输入槽位，</w:t>
            </w:r>
            <w:r>
              <w:rPr>
                <w:rFonts w:hint="eastAsia" w:eastAsia="等线" w:cs="宋体"/>
                <w:color w:val="000000" w:themeColor="text1"/>
              </w:rPr>
              <w:t>10</w:t>
            </w:r>
            <w:r>
              <w:rPr>
                <w:rFonts w:hint="eastAsia" w:ascii="仿宋_GB2312" w:cs="宋体"/>
                <w:color w:val="000000" w:themeColor="text1"/>
              </w:rPr>
              <w:t>个输出槽位。</w:t>
            </w:r>
          </w:p>
        </w:tc>
        <w:tc>
          <w:tcPr>
            <w:tcW w:w="775"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vMerge w:val="restart"/>
            <w:tcBorders>
              <w:top w:val="nil"/>
              <w:left w:val="single" w:color="auto" w:sz="8" w:space="0"/>
              <w:bottom w:val="single" w:color="000000"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接口：支持</w:t>
            </w:r>
            <w:r>
              <w:rPr>
                <w:rFonts w:hint="eastAsia" w:eastAsia="等线" w:cs="宋体"/>
                <w:color w:val="000000" w:themeColor="text1"/>
              </w:rPr>
              <w:t>VGA</w:t>
            </w:r>
            <w:r>
              <w:rPr>
                <w:rFonts w:hint="eastAsia" w:ascii="仿宋_GB2312" w:hAnsi="宋体" w:cs="宋体"/>
                <w:color w:val="000000" w:themeColor="text1"/>
              </w:rPr>
              <w:t>、</w:t>
            </w:r>
            <w:r>
              <w:rPr>
                <w:rFonts w:hint="eastAsia" w:eastAsia="等线" w:cs="宋体"/>
                <w:color w:val="000000" w:themeColor="text1"/>
              </w:rPr>
              <w:t>DVI</w:t>
            </w:r>
            <w:r>
              <w:rPr>
                <w:rFonts w:hint="eastAsia" w:ascii="仿宋_GB2312" w:hAnsi="宋体" w:cs="宋体"/>
                <w:color w:val="000000" w:themeColor="text1"/>
              </w:rPr>
              <w:t>、</w:t>
            </w:r>
            <w:r>
              <w:rPr>
                <w:rFonts w:hint="eastAsia" w:eastAsia="等线" w:cs="宋体"/>
                <w:color w:val="000000" w:themeColor="text1"/>
              </w:rPr>
              <w:t>HDMI</w:t>
            </w:r>
            <w:r>
              <w:rPr>
                <w:rFonts w:hint="eastAsia" w:ascii="仿宋_GB2312" w:hAnsi="宋体" w:cs="宋体"/>
                <w:color w:val="000000" w:themeColor="text1"/>
              </w:rPr>
              <w:t>、</w:t>
            </w:r>
            <w:r>
              <w:rPr>
                <w:rFonts w:hint="eastAsia" w:eastAsia="等线" w:cs="宋体"/>
                <w:color w:val="000000" w:themeColor="text1"/>
              </w:rPr>
              <w:t>BNC</w:t>
            </w:r>
            <w:r>
              <w:rPr>
                <w:rFonts w:hint="eastAsia" w:ascii="仿宋_GB2312" w:hAnsi="宋体" w:cs="宋体"/>
                <w:color w:val="000000" w:themeColor="text1"/>
              </w:rPr>
              <w:t>、</w:t>
            </w:r>
            <w:r>
              <w:rPr>
                <w:rFonts w:hint="eastAsia" w:eastAsia="等线" w:cs="宋体"/>
                <w:color w:val="000000" w:themeColor="text1"/>
              </w:rPr>
              <w:t>SDI</w:t>
            </w:r>
            <w:r>
              <w:rPr>
                <w:rFonts w:hint="eastAsia" w:ascii="仿宋_GB2312" w:hAnsi="宋体" w:cs="宋体"/>
                <w:color w:val="000000" w:themeColor="text1"/>
              </w:rPr>
              <w:t>、</w:t>
            </w:r>
            <w:r>
              <w:rPr>
                <w:rFonts w:hint="eastAsia" w:eastAsia="等线" w:cs="宋体"/>
                <w:color w:val="000000" w:themeColor="text1"/>
              </w:rPr>
              <w:t>YPbPr</w:t>
            </w:r>
            <w:r>
              <w:rPr>
                <w:rFonts w:hint="eastAsia" w:ascii="仿宋_GB2312" w:hAnsi="宋体" w:cs="宋体"/>
                <w:color w:val="000000" w:themeColor="text1"/>
              </w:rPr>
              <w:t>、</w:t>
            </w:r>
            <w:r>
              <w:rPr>
                <w:rFonts w:hint="eastAsia" w:eastAsia="等线" w:cs="宋体"/>
                <w:color w:val="000000" w:themeColor="text1"/>
              </w:rPr>
              <w:t>HDTVI</w:t>
            </w:r>
            <w:r>
              <w:rPr>
                <w:rFonts w:hint="eastAsia" w:ascii="仿宋_GB2312" w:hAnsi="宋体" w:cs="宋体"/>
                <w:color w:val="000000" w:themeColor="text1"/>
              </w:rPr>
              <w:t>、</w:t>
            </w:r>
            <w:r>
              <w:rPr>
                <w:rFonts w:hint="eastAsia" w:eastAsia="等线" w:cs="宋体"/>
                <w:color w:val="000000" w:themeColor="text1"/>
              </w:rPr>
              <w:t>DP</w:t>
            </w:r>
            <w:r>
              <w:rPr>
                <w:rFonts w:hint="eastAsia" w:ascii="仿宋_GB2312" w:hAnsi="宋体" w:cs="宋体"/>
                <w:color w:val="000000" w:themeColor="text1"/>
              </w:rPr>
              <w:t>、</w:t>
            </w:r>
            <w:r>
              <w:rPr>
                <w:rFonts w:hint="eastAsia" w:eastAsia="等线" w:cs="宋体"/>
                <w:color w:val="000000" w:themeColor="text1"/>
              </w:rPr>
              <w:t>DVI</w:t>
            </w:r>
            <w:r>
              <w:rPr>
                <w:rFonts w:hint="eastAsia" w:ascii="仿宋_GB2312" w:hAnsi="宋体" w:cs="宋体"/>
                <w:color w:val="000000" w:themeColor="text1"/>
              </w:rPr>
              <w:t>双链路、</w:t>
            </w:r>
            <w:r>
              <w:rPr>
                <w:rFonts w:hint="eastAsia" w:eastAsia="等线" w:cs="宋体"/>
                <w:color w:val="000000" w:themeColor="text1"/>
              </w:rPr>
              <w:t>DisplayPort 2.0</w:t>
            </w:r>
            <w:r>
              <w:rPr>
                <w:rFonts w:hint="eastAsia" w:ascii="仿宋_GB2312" w:hAnsi="宋体" w:cs="宋体"/>
                <w:color w:val="000000" w:themeColor="text1"/>
              </w:rPr>
              <w:t>和</w:t>
            </w:r>
            <w:r>
              <w:rPr>
                <w:rFonts w:hint="eastAsia" w:eastAsia="等线" w:cs="宋体"/>
                <w:color w:val="000000" w:themeColor="text1"/>
              </w:rPr>
              <w:t>HDMI 1.4</w:t>
            </w:r>
            <w:r>
              <w:rPr>
                <w:rFonts w:hint="eastAsia" w:ascii="仿宋_GB2312" w:hAnsi="宋体" w:cs="宋体"/>
                <w:color w:val="000000" w:themeColor="text1"/>
              </w:rPr>
              <w:t>等超高清及</w:t>
            </w:r>
            <w:r>
              <w:rPr>
                <w:rFonts w:hint="eastAsia" w:eastAsia="等线" w:cs="宋体"/>
                <w:color w:val="000000" w:themeColor="text1"/>
              </w:rPr>
              <w:t>IP</w:t>
            </w:r>
            <w:r>
              <w:rPr>
                <w:rFonts w:hint="eastAsia" w:ascii="仿宋_GB2312" w:hAnsi="宋体" w:cs="宋体"/>
                <w:color w:val="000000" w:themeColor="text1"/>
              </w:rPr>
              <w:t>源多种信号源采集；</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解码能力：解码板支持</w:t>
            </w:r>
            <w:r>
              <w:rPr>
                <w:rFonts w:hint="eastAsia" w:eastAsia="等线" w:cs="宋体"/>
                <w:color w:val="000000" w:themeColor="text1"/>
              </w:rPr>
              <w:t>2</w:t>
            </w:r>
            <w:r>
              <w:rPr>
                <w:rFonts w:hint="eastAsia" w:ascii="仿宋_GB2312" w:hAnsi="宋体" w:cs="宋体"/>
                <w:color w:val="000000" w:themeColor="text1"/>
              </w:rPr>
              <w:t>路</w:t>
            </w:r>
            <w:r>
              <w:rPr>
                <w:rFonts w:hint="eastAsia" w:eastAsia="等线" w:cs="宋体"/>
                <w:color w:val="000000" w:themeColor="text1"/>
              </w:rPr>
              <w:t>800W</w:t>
            </w:r>
            <w:r>
              <w:rPr>
                <w:rFonts w:hint="eastAsia" w:ascii="仿宋_GB2312" w:hAnsi="宋体" w:cs="宋体"/>
                <w:color w:val="000000" w:themeColor="text1"/>
              </w:rPr>
              <w:t>（</w:t>
            </w:r>
            <w:r>
              <w:rPr>
                <w:rFonts w:hint="eastAsia" w:eastAsia="等线" w:cs="宋体"/>
                <w:color w:val="000000" w:themeColor="text1"/>
              </w:rPr>
              <w:t>2</w:t>
            </w:r>
            <w:r>
              <w:rPr>
                <w:rFonts w:hint="eastAsia" w:ascii="仿宋_GB2312" w:hAnsi="宋体" w:cs="宋体"/>
                <w:color w:val="000000" w:themeColor="text1"/>
              </w:rPr>
              <w:t>路</w:t>
            </w:r>
            <w:r>
              <w:rPr>
                <w:rFonts w:hint="eastAsia" w:eastAsia="等线" w:cs="宋体"/>
                <w:color w:val="000000" w:themeColor="text1"/>
              </w:rPr>
              <w:t>600w</w:t>
            </w:r>
            <w:r>
              <w:rPr>
                <w:rFonts w:hint="eastAsia" w:ascii="仿宋_GB2312" w:hAnsi="宋体" w:cs="宋体"/>
                <w:color w:val="000000" w:themeColor="text1"/>
              </w:rPr>
              <w:t>或</w:t>
            </w:r>
            <w:r>
              <w:rPr>
                <w:rFonts w:hint="eastAsia" w:eastAsia="等线" w:cs="宋体"/>
                <w:color w:val="000000" w:themeColor="text1"/>
              </w:rPr>
              <w:t>2</w:t>
            </w:r>
            <w:r>
              <w:rPr>
                <w:rFonts w:hint="eastAsia" w:ascii="仿宋_GB2312" w:hAnsi="宋体" w:cs="宋体"/>
                <w:color w:val="000000" w:themeColor="text1"/>
              </w:rPr>
              <w:t>路</w:t>
            </w:r>
            <w:r>
              <w:rPr>
                <w:rFonts w:hint="eastAsia" w:eastAsia="等线" w:cs="宋体"/>
                <w:color w:val="000000" w:themeColor="text1"/>
              </w:rPr>
              <w:t>500W</w:t>
            </w:r>
            <w:r>
              <w:rPr>
                <w:rFonts w:hint="eastAsia" w:ascii="仿宋_GB2312" w:hAnsi="宋体" w:cs="宋体"/>
                <w:color w:val="000000" w:themeColor="text1"/>
              </w:rPr>
              <w:t>或</w:t>
            </w:r>
            <w:r>
              <w:rPr>
                <w:rFonts w:hint="eastAsia" w:eastAsia="等线" w:cs="宋体"/>
                <w:color w:val="000000" w:themeColor="text1"/>
              </w:rPr>
              <w:t>8</w:t>
            </w:r>
            <w:r>
              <w:rPr>
                <w:rFonts w:hint="eastAsia" w:ascii="仿宋_GB2312" w:hAnsi="宋体" w:cs="宋体"/>
                <w:color w:val="000000" w:themeColor="text1"/>
              </w:rPr>
              <w:t>路</w:t>
            </w:r>
            <w:r>
              <w:rPr>
                <w:rFonts w:hint="eastAsia" w:eastAsia="等线" w:cs="宋体"/>
                <w:color w:val="000000" w:themeColor="text1"/>
              </w:rPr>
              <w:t>1080P</w:t>
            </w:r>
            <w:r>
              <w:rPr>
                <w:rFonts w:hint="eastAsia" w:ascii="仿宋_GB2312" w:hAnsi="宋体" w:cs="宋体"/>
                <w:color w:val="000000" w:themeColor="text1"/>
              </w:rPr>
              <w:t>或</w:t>
            </w:r>
            <w:r>
              <w:rPr>
                <w:rFonts w:hint="eastAsia" w:eastAsia="等线" w:cs="宋体"/>
                <w:color w:val="000000" w:themeColor="text1"/>
              </w:rPr>
              <w:t>16</w:t>
            </w:r>
            <w:r>
              <w:rPr>
                <w:rFonts w:hint="eastAsia" w:ascii="仿宋_GB2312" w:hAnsi="宋体" w:cs="宋体"/>
                <w:color w:val="000000" w:themeColor="text1"/>
              </w:rPr>
              <w:t>路</w:t>
            </w:r>
            <w:r>
              <w:rPr>
                <w:rFonts w:hint="eastAsia" w:eastAsia="等线" w:cs="宋体"/>
                <w:color w:val="000000" w:themeColor="text1"/>
              </w:rPr>
              <w:t>720P</w:t>
            </w:r>
            <w:r>
              <w:rPr>
                <w:rFonts w:hint="eastAsia" w:ascii="仿宋_GB2312" w:hAnsi="宋体" w:cs="宋体"/>
                <w:color w:val="000000" w:themeColor="text1"/>
              </w:rPr>
              <w:t>或</w:t>
            </w:r>
            <w:r>
              <w:rPr>
                <w:rFonts w:hint="eastAsia" w:eastAsia="等线" w:cs="宋体"/>
                <w:color w:val="000000" w:themeColor="text1"/>
              </w:rPr>
              <w:t>32</w:t>
            </w:r>
            <w:r>
              <w:rPr>
                <w:rFonts w:hint="eastAsia" w:ascii="仿宋_GB2312" w:hAnsi="宋体" w:cs="宋体"/>
                <w:color w:val="000000" w:themeColor="text1"/>
              </w:rPr>
              <w:t>路</w:t>
            </w:r>
            <w:r>
              <w:rPr>
                <w:rFonts w:hint="eastAsia" w:eastAsia="等线" w:cs="宋体"/>
                <w:color w:val="000000" w:themeColor="text1"/>
              </w:rPr>
              <w:t>D1</w:t>
            </w:r>
            <w:r>
              <w:rPr>
                <w:rFonts w:hint="eastAsia" w:ascii="仿宋_GB2312" w:hAnsi="宋体" w:cs="宋体"/>
                <w:color w:val="000000" w:themeColor="text1"/>
              </w:rPr>
              <w:t>）网络信号解码上墙，且支持本地录像文件回放上墙；</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画面分割：单个输出口支持</w:t>
            </w:r>
            <w:r>
              <w:rPr>
                <w:rFonts w:hint="eastAsia" w:eastAsia="等线" w:cs="宋体"/>
                <w:color w:val="000000" w:themeColor="text1"/>
              </w:rPr>
              <w:t>1/4/9/16</w:t>
            </w:r>
            <w:r>
              <w:rPr>
                <w:rFonts w:hint="eastAsia" w:ascii="仿宋_GB2312" w:hAnsi="宋体" w:cs="宋体"/>
                <w:color w:val="000000" w:themeColor="text1"/>
              </w:rPr>
              <w:t>画面分割；</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图层叠加：支持图层叠加，最大支持</w:t>
            </w:r>
            <w:r>
              <w:rPr>
                <w:rFonts w:hint="eastAsia" w:eastAsia="等线" w:cs="宋体"/>
                <w:color w:val="000000" w:themeColor="text1"/>
              </w:rPr>
              <w:t>6</w:t>
            </w:r>
            <w:r>
              <w:rPr>
                <w:rFonts w:hint="eastAsia" w:ascii="仿宋_GB2312" w:hAnsi="宋体" w:cs="宋体"/>
                <w:color w:val="000000" w:themeColor="text1"/>
              </w:rPr>
              <w:t>个图层，其中包括一个虚拟</w:t>
            </w:r>
            <w:r>
              <w:rPr>
                <w:rFonts w:hint="eastAsia" w:eastAsia="等线" w:cs="宋体"/>
                <w:color w:val="000000" w:themeColor="text1"/>
              </w:rPr>
              <w:t>LED</w:t>
            </w:r>
            <w:r>
              <w:rPr>
                <w:rFonts w:hint="eastAsia" w:ascii="仿宋_GB2312" w:hAnsi="宋体" w:cs="宋体"/>
                <w:color w:val="000000" w:themeColor="text1"/>
              </w:rPr>
              <w:t>图层和一个底图图层，虚拟</w:t>
            </w:r>
            <w:r>
              <w:rPr>
                <w:rFonts w:hint="eastAsia" w:eastAsia="等线" w:cs="宋体"/>
                <w:color w:val="000000" w:themeColor="text1"/>
              </w:rPr>
              <w:t>LED</w:t>
            </w:r>
            <w:r>
              <w:rPr>
                <w:rFonts w:hint="eastAsia" w:ascii="仿宋_GB2312" w:hAnsi="宋体" w:cs="宋体"/>
                <w:color w:val="000000" w:themeColor="text1"/>
              </w:rPr>
              <w:t>字体大小及背景颜色可调，可选择</w:t>
            </w:r>
            <w:r>
              <w:rPr>
                <w:rFonts w:hint="eastAsia" w:eastAsia="等线" w:cs="宋体"/>
                <w:color w:val="000000" w:themeColor="text1"/>
              </w:rPr>
              <w:t>LED</w:t>
            </w:r>
            <w:r>
              <w:rPr>
                <w:rFonts w:hint="eastAsia" w:ascii="仿宋_GB2312" w:hAnsi="宋体" w:cs="宋体"/>
                <w:color w:val="000000" w:themeColor="text1"/>
              </w:rPr>
              <w:t>滚动方式，底图分辨率可高达</w:t>
            </w:r>
            <w:r>
              <w:rPr>
                <w:rFonts w:hint="eastAsia" w:eastAsia="等线" w:cs="宋体"/>
                <w:color w:val="000000" w:themeColor="text1"/>
              </w:rPr>
              <w:t>16384*8192</w:t>
            </w:r>
            <w:r>
              <w:rPr>
                <w:rFonts w:hint="eastAsia" w:ascii="仿宋_GB2312" w:hAnsi="宋体" w:cs="宋体"/>
                <w:color w:val="000000" w:themeColor="text1"/>
              </w:rPr>
              <w:t>；</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支持</w:t>
            </w:r>
            <w:r>
              <w:rPr>
                <w:rFonts w:hint="eastAsia" w:eastAsia="等线" w:cs="宋体"/>
                <w:color w:val="000000" w:themeColor="text1"/>
              </w:rPr>
              <w:t>HD/3G SDI</w:t>
            </w:r>
            <w:r>
              <w:rPr>
                <w:rFonts w:hint="eastAsia" w:ascii="仿宋_GB2312" w:hAnsi="宋体" w:cs="宋体"/>
                <w:color w:val="000000" w:themeColor="text1"/>
              </w:rPr>
              <w:t>同步输出显示；</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支持</w:t>
            </w:r>
            <w:r>
              <w:rPr>
                <w:rFonts w:hint="eastAsia" w:eastAsia="等线" w:cs="宋体"/>
                <w:color w:val="000000" w:themeColor="text1"/>
              </w:rPr>
              <w:t>ipad</w:t>
            </w:r>
            <w:r>
              <w:rPr>
                <w:rFonts w:hint="eastAsia" w:ascii="仿宋_GB2312" w:hAnsi="宋体" w:cs="宋体"/>
                <w:color w:val="000000" w:themeColor="text1"/>
              </w:rPr>
              <w:t>客户端、</w:t>
            </w:r>
            <w:r>
              <w:rPr>
                <w:rFonts w:hint="eastAsia" w:eastAsia="等线" w:cs="宋体"/>
                <w:color w:val="000000" w:themeColor="text1"/>
              </w:rPr>
              <w:t>WEB</w:t>
            </w:r>
            <w:r>
              <w:rPr>
                <w:rFonts w:hint="eastAsia" w:ascii="仿宋_GB2312" w:hAnsi="宋体" w:cs="宋体"/>
                <w:color w:val="000000" w:themeColor="text1"/>
              </w:rPr>
              <w:t>控制；</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超高分辨率拼接，最大支持</w:t>
            </w:r>
            <w:r>
              <w:rPr>
                <w:rFonts w:hint="eastAsia" w:eastAsia="等线" w:cs="宋体"/>
                <w:color w:val="000000" w:themeColor="text1"/>
              </w:rPr>
              <w:t>16</w:t>
            </w:r>
            <w:r>
              <w:rPr>
                <w:rFonts w:hint="eastAsia" w:ascii="仿宋_GB2312" w:hAnsi="宋体" w:cs="宋体"/>
                <w:color w:val="000000" w:themeColor="text1"/>
              </w:rPr>
              <w:t>路</w:t>
            </w:r>
            <w:r>
              <w:rPr>
                <w:rFonts w:hint="eastAsia" w:eastAsia="等线" w:cs="宋体"/>
                <w:color w:val="000000" w:themeColor="text1"/>
              </w:rPr>
              <w:t>4K</w:t>
            </w:r>
            <w:r>
              <w:rPr>
                <w:rFonts w:hint="eastAsia" w:ascii="仿宋_GB2312" w:hAnsi="宋体" w:cs="宋体"/>
                <w:color w:val="000000" w:themeColor="text1"/>
              </w:rPr>
              <w:t>信号源拼接成一幅完整图；</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支持解码国标码流；</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机箱风扇转速根据温度自适应；</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支持电视墙回显，信号源列表预览；</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13</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4</w:t>
            </w:r>
            <w:r>
              <w:rPr>
                <w:rFonts w:hint="eastAsia" w:ascii="仿宋_GB2312" w:cs="宋体"/>
                <w:color w:val="000000" w:themeColor="text1"/>
              </w:rPr>
              <w:t>口输入板</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DVI</w:t>
            </w:r>
            <w:r>
              <w:rPr>
                <w:rFonts w:hint="eastAsia" w:ascii="仿宋_GB2312" w:cs="宋体"/>
                <w:color w:val="000000" w:themeColor="text1"/>
              </w:rPr>
              <w:t>输入板，每块板支持</w:t>
            </w:r>
            <w:r>
              <w:rPr>
                <w:rFonts w:hint="eastAsia" w:eastAsia="等线" w:cs="宋体"/>
                <w:color w:val="000000" w:themeColor="text1"/>
              </w:rPr>
              <w:t>4</w:t>
            </w:r>
            <w:r>
              <w:rPr>
                <w:rFonts w:hint="eastAsia" w:ascii="仿宋_GB2312" w:cs="宋体"/>
                <w:color w:val="000000" w:themeColor="text1"/>
              </w:rPr>
              <w:t>路输入，支持长</w:t>
            </w:r>
            <w:r>
              <w:rPr>
                <w:rFonts w:hint="eastAsia" w:eastAsia="等线" w:cs="宋体"/>
                <w:color w:val="000000" w:themeColor="text1"/>
              </w:rPr>
              <w:t>DVI</w:t>
            </w:r>
            <w:r>
              <w:rPr>
                <w:rFonts w:hint="eastAsia" w:ascii="仿宋_GB2312" w:cs="宋体"/>
                <w:color w:val="000000" w:themeColor="text1"/>
              </w:rPr>
              <w:t>视频线</w:t>
            </w:r>
            <w:r>
              <w:rPr>
                <w:rFonts w:hint="eastAsia" w:eastAsia="等线" w:cs="宋体"/>
                <w:color w:val="000000" w:themeColor="text1"/>
              </w:rPr>
              <w:t>,</w:t>
            </w:r>
            <w:r>
              <w:rPr>
                <w:rFonts w:hint="eastAsia" w:ascii="仿宋_GB2312" w:cs="宋体"/>
                <w:color w:val="000000" w:themeColor="text1"/>
              </w:rPr>
              <w:t>可传输</w:t>
            </w:r>
            <w:r>
              <w:rPr>
                <w:rFonts w:hint="eastAsia" w:eastAsia="等线" w:cs="宋体"/>
                <w:color w:val="000000" w:themeColor="text1"/>
              </w:rPr>
              <w:t>30m</w:t>
            </w:r>
            <w:r>
              <w:rPr>
                <w:rFonts w:hint="eastAsia" w:ascii="仿宋_GB2312" w:cs="宋体"/>
                <w:color w:val="000000" w:themeColor="text1"/>
              </w:rPr>
              <w:t>距离</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14</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4</w:t>
            </w:r>
            <w:r>
              <w:rPr>
                <w:rFonts w:hint="eastAsia" w:ascii="仿宋_GB2312" w:cs="宋体"/>
                <w:color w:val="000000" w:themeColor="text1"/>
              </w:rPr>
              <w:t>口输出板</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DVI-I</w:t>
            </w:r>
            <w:r>
              <w:rPr>
                <w:rFonts w:hint="eastAsia" w:ascii="仿宋_GB2312" w:cs="宋体"/>
                <w:color w:val="000000" w:themeColor="text1"/>
              </w:rPr>
              <w:t>输出板，每块板支持</w:t>
            </w:r>
            <w:r>
              <w:rPr>
                <w:rFonts w:hint="eastAsia" w:eastAsia="等线" w:cs="宋体"/>
                <w:color w:val="000000" w:themeColor="text1"/>
              </w:rPr>
              <w:t>4</w:t>
            </w:r>
            <w:r>
              <w:rPr>
                <w:rFonts w:hint="eastAsia" w:ascii="仿宋_GB2312" w:cs="宋体"/>
                <w:color w:val="000000" w:themeColor="text1"/>
              </w:rPr>
              <w:t>路</w:t>
            </w:r>
            <w:r>
              <w:rPr>
                <w:rFonts w:hint="eastAsia" w:eastAsia="等线" w:cs="宋体"/>
                <w:color w:val="000000" w:themeColor="text1"/>
              </w:rPr>
              <w:t>DVI</w:t>
            </w:r>
            <w:r>
              <w:rPr>
                <w:rFonts w:hint="eastAsia" w:ascii="仿宋_GB2312" w:cs="宋体"/>
                <w:color w:val="000000" w:themeColor="text1"/>
              </w:rPr>
              <w:t>输出</w:t>
            </w:r>
            <w:r>
              <w:rPr>
                <w:rFonts w:hint="eastAsia" w:eastAsia="等线" w:cs="宋体"/>
                <w:color w:val="000000" w:themeColor="text1"/>
              </w:rPr>
              <w:t>,</w:t>
            </w:r>
            <w:r>
              <w:rPr>
                <w:rFonts w:hint="eastAsia" w:ascii="仿宋_GB2312" w:cs="宋体"/>
                <w:color w:val="000000" w:themeColor="text1"/>
              </w:rPr>
              <w:t>支持</w:t>
            </w:r>
            <w:r>
              <w:rPr>
                <w:rFonts w:hint="eastAsia" w:eastAsia="等线" w:cs="宋体"/>
                <w:color w:val="000000" w:themeColor="text1"/>
              </w:rPr>
              <w:t>60Hz</w:t>
            </w:r>
            <w:r>
              <w:rPr>
                <w:rFonts w:hint="eastAsia" w:ascii="仿宋_GB2312" w:cs="宋体"/>
                <w:color w:val="000000" w:themeColor="text1"/>
              </w:rPr>
              <w:t>全帧率处理</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3</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15</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DVI</w:t>
            </w:r>
            <w:r>
              <w:rPr>
                <w:rFonts w:hint="eastAsia" w:ascii="仿宋_GB2312" w:cs="宋体"/>
                <w:color w:val="000000" w:themeColor="text1"/>
              </w:rPr>
              <w:t>分配器</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1.</w:t>
            </w:r>
            <w:r>
              <w:rPr>
                <w:rFonts w:hint="eastAsia" w:ascii="仿宋_GB2312" w:cs="宋体"/>
                <w:color w:val="000000" w:themeColor="text1"/>
              </w:rPr>
              <w:t>将</w:t>
            </w:r>
            <w:r>
              <w:rPr>
                <w:rFonts w:hint="eastAsia" w:eastAsia="等线" w:cs="宋体"/>
                <w:color w:val="000000" w:themeColor="text1"/>
              </w:rPr>
              <w:t>1</w:t>
            </w:r>
            <w:r>
              <w:rPr>
                <w:rFonts w:hint="eastAsia" w:ascii="仿宋_GB2312" w:cs="宋体"/>
                <w:color w:val="000000" w:themeColor="text1"/>
              </w:rPr>
              <w:t>路</w:t>
            </w:r>
            <w:r>
              <w:rPr>
                <w:rFonts w:hint="eastAsia" w:eastAsia="等线" w:cs="宋体"/>
                <w:color w:val="000000" w:themeColor="text1"/>
              </w:rPr>
              <w:t>DVI</w:t>
            </w:r>
            <w:r>
              <w:rPr>
                <w:rFonts w:hint="eastAsia" w:ascii="仿宋_GB2312" w:cs="宋体"/>
                <w:color w:val="000000" w:themeColor="text1"/>
              </w:rPr>
              <w:t>信号输入，分配成</w:t>
            </w:r>
            <w:r>
              <w:rPr>
                <w:rFonts w:hint="eastAsia" w:eastAsia="等线" w:cs="宋体"/>
                <w:color w:val="000000" w:themeColor="text1"/>
              </w:rPr>
              <w:t>2</w:t>
            </w:r>
            <w:r>
              <w:rPr>
                <w:rFonts w:hint="eastAsia" w:ascii="仿宋_GB2312" w:cs="宋体"/>
                <w:color w:val="000000" w:themeColor="text1"/>
              </w:rPr>
              <w:t>、</w:t>
            </w:r>
            <w:r>
              <w:rPr>
                <w:rFonts w:hint="eastAsia" w:eastAsia="等线" w:cs="宋体"/>
                <w:color w:val="000000" w:themeColor="text1"/>
              </w:rPr>
              <w:t>4</w:t>
            </w:r>
            <w:r>
              <w:rPr>
                <w:rFonts w:hint="eastAsia" w:ascii="仿宋_GB2312" w:cs="宋体"/>
                <w:color w:val="000000" w:themeColor="text1"/>
              </w:rPr>
              <w:t>、</w:t>
            </w:r>
            <w:r>
              <w:rPr>
                <w:rFonts w:hint="eastAsia" w:eastAsia="等线" w:cs="宋体"/>
                <w:color w:val="000000" w:themeColor="text1"/>
              </w:rPr>
              <w:t>8</w:t>
            </w:r>
            <w:r>
              <w:rPr>
                <w:rFonts w:hint="eastAsia" w:ascii="仿宋_GB2312" w:cs="宋体"/>
                <w:color w:val="000000" w:themeColor="text1"/>
              </w:rPr>
              <w:t>路</w:t>
            </w:r>
            <w:r>
              <w:rPr>
                <w:rFonts w:hint="eastAsia" w:eastAsia="等线" w:cs="宋体"/>
                <w:color w:val="000000" w:themeColor="text1"/>
              </w:rPr>
              <w:t>DVI</w:t>
            </w:r>
            <w:r>
              <w:rPr>
                <w:rFonts w:hint="eastAsia" w:ascii="仿宋_GB2312" w:cs="宋体"/>
                <w:color w:val="000000" w:themeColor="text1"/>
              </w:rPr>
              <w:t>信号输出；</w:t>
            </w:r>
            <w:r>
              <w:rPr>
                <w:rFonts w:hint="eastAsia" w:eastAsia="等线" w:cs="宋体"/>
                <w:color w:val="000000" w:themeColor="text1"/>
              </w:rPr>
              <w:t xml:space="preserve">2. </w:t>
            </w:r>
            <w:r>
              <w:rPr>
                <w:rFonts w:hint="eastAsia" w:ascii="仿宋_GB2312" w:cs="宋体"/>
                <w:color w:val="000000" w:themeColor="text1"/>
              </w:rPr>
              <w:t>支持</w:t>
            </w:r>
            <w:r>
              <w:rPr>
                <w:rFonts w:hint="eastAsia" w:eastAsia="等线" w:cs="宋体"/>
                <w:color w:val="000000" w:themeColor="text1"/>
              </w:rPr>
              <w:t>4K*2K@30Hz</w:t>
            </w:r>
            <w:r>
              <w:rPr>
                <w:rFonts w:hint="eastAsia" w:ascii="仿宋_GB2312" w:cs="宋体"/>
                <w:color w:val="000000" w:themeColor="text1"/>
              </w:rPr>
              <w:t>；</w:t>
            </w:r>
            <w:r>
              <w:rPr>
                <w:rFonts w:hint="eastAsia" w:eastAsia="等线" w:cs="宋体"/>
                <w:color w:val="000000" w:themeColor="text1"/>
              </w:rPr>
              <w:t>3D</w:t>
            </w:r>
            <w:r>
              <w:rPr>
                <w:rFonts w:hint="eastAsia" w:ascii="仿宋_GB2312" w:cs="宋体"/>
                <w:color w:val="000000" w:themeColor="text1"/>
              </w:rPr>
              <w:t>；</w:t>
            </w:r>
            <w:r>
              <w:rPr>
                <w:rFonts w:hint="eastAsia" w:eastAsia="等线" w:cs="宋体"/>
                <w:color w:val="000000" w:themeColor="text1"/>
              </w:rPr>
              <w:t>1080P@60Hz</w:t>
            </w:r>
            <w:r>
              <w:rPr>
                <w:rFonts w:hint="eastAsia" w:ascii="仿宋_GB2312" w:cs="宋体"/>
                <w:color w:val="000000" w:themeColor="text1"/>
              </w:rPr>
              <w:t>；</w:t>
            </w:r>
            <w:r>
              <w:rPr>
                <w:rFonts w:hint="eastAsia" w:eastAsia="等线" w:cs="宋体"/>
                <w:color w:val="000000" w:themeColor="text1"/>
              </w:rPr>
              <w:t>1080i@60Hz</w:t>
            </w:r>
            <w:r>
              <w:rPr>
                <w:rFonts w:hint="eastAsia" w:ascii="仿宋_GB2312" w:cs="宋体"/>
                <w:color w:val="000000" w:themeColor="text1"/>
              </w:rPr>
              <w:t>；</w:t>
            </w:r>
            <w:r>
              <w:rPr>
                <w:rFonts w:hint="eastAsia" w:eastAsia="等线" w:cs="宋体"/>
                <w:color w:val="000000" w:themeColor="text1"/>
              </w:rPr>
              <w:t>720P@60Hz</w:t>
            </w:r>
            <w:r>
              <w:rPr>
                <w:rFonts w:hint="eastAsia" w:ascii="仿宋_GB2312" w:cs="宋体"/>
                <w:color w:val="000000" w:themeColor="text1"/>
              </w:rPr>
              <w:t>等</w:t>
            </w:r>
            <w:r>
              <w:rPr>
                <w:rFonts w:hint="eastAsia" w:eastAsia="等线" w:cs="宋体"/>
                <w:color w:val="000000" w:themeColor="text1"/>
              </w:rPr>
              <w:t>HDTV</w:t>
            </w:r>
            <w:r>
              <w:rPr>
                <w:rFonts w:hint="eastAsia" w:ascii="仿宋_GB2312" w:cs="宋体"/>
                <w:color w:val="000000" w:themeColor="text1"/>
              </w:rPr>
              <w:t>格式分辨率的高清信号，支持</w:t>
            </w:r>
            <w:r>
              <w:rPr>
                <w:rFonts w:hint="eastAsia" w:eastAsia="等线" w:cs="宋体"/>
                <w:color w:val="000000" w:themeColor="text1"/>
              </w:rPr>
              <w:t>1920*1200</w:t>
            </w:r>
            <w:r>
              <w:rPr>
                <w:rFonts w:hint="eastAsia" w:ascii="仿宋_GB2312" w:cs="宋体"/>
                <w:color w:val="000000" w:themeColor="text1"/>
              </w:rPr>
              <w:t>等</w:t>
            </w:r>
            <w:r>
              <w:rPr>
                <w:rFonts w:hint="eastAsia" w:eastAsia="等线" w:cs="宋体"/>
                <w:color w:val="000000" w:themeColor="text1"/>
              </w:rPr>
              <w:t xml:space="preserve">VESA </w:t>
            </w:r>
            <w:r>
              <w:rPr>
                <w:rFonts w:hint="eastAsia" w:ascii="仿宋_GB2312" w:cs="宋体"/>
                <w:color w:val="000000" w:themeColor="text1"/>
              </w:rPr>
              <w:t>格式分辨率的高清信号，最大带宽高达</w:t>
            </w:r>
            <w:r>
              <w:rPr>
                <w:rFonts w:hint="eastAsia" w:eastAsia="等线" w:cs="宋体"/>
                <w:color w:val="000000" w:themeColor="text1"/>
              </w:rPr>
              <w:t>10.2Gbps</w:t>
            </w:r>
            <w:r>
              <w:rPr>
                <w:rFonts w:hint="eastAsia" w:ascii="仿宋_GB2312" w:cs="宋体"/>
                <w:color w:val="000000" w:themeColor="text1"/>
              </w:rPr>
              <w:t>；</w:t>
            </w:r>
            <w:r>
              <w:rPr>
                <w:rFonts w:hint="eastAsia" w:eastAsia="等线" w:cs="宋体"/>
                <w:color w:val="000000" w:themeColor="text1"/>
              </w:rPr>
              <w:t>3.</w:t>
            </w:r>
            <w:r>
              <w:rPr>
                <w:rFonts w:hint="eastAsia" w:ascii="仿宋_GB2312" w:cs="宋体"/>
                <w:color w:val="000000" w:themeColor="text1"/>
              </w:rPr>
              <w:t>支持</w:t>
            </w:r>
            <w:r>
              <w:rPr>
                <w:rFonts w:hint="eastAsia" w:eastAsia="等线" w:cs="宋体"/>
                <w:color w:val="000000" w:themeColor="text1"/>
              </w:rPr>
              <w:t>HDCP</w:t>
            </w:r>
            <w:r>
              <w:rPr>
                <w:rFonts w:hint="eastAsia" w:ascii="仿宋_GB2312" w:cs="宋体"/>
                <w:color w:val="000000" w:themeColor="text1"/>
              </w:rPr>
              <w:t>，仅需要一个</w:t>
            </w:r>
            <w:r>
              <w:rPr>
                <w:rFonts w:hint="eastAsia" w:eastAsia="等线" w:cs="宋体"/>
                <w:color w:val="000000" w:themeColor="text1"/>
              </w:rPr>
              <w:t>DVI-HDMI</w:t>
            </w:r>
            <w:r>
              <w:rPr>
                <w:rFonts w:hint="eastAsia" w:ascii="仿宋_GB2312" w:cs="宋体"/>
                <w:color w:val="000000" w:themeColor="text1"/>
              </w:rPr>
              <w:t>的转接头即可实现</w:t>
            </w:r>
            <w:r>
              <w:rPr>
                <w:rFonts w:hint="eastAsia" w:eastAsia="等线" w:cs="宋体"/>
                <w:color w:val="000000" w:themeColor="text1"/>
              </w:rPr>
              <w:t>HDMI</w:t>
            </w:r>
            <w:r>
              <w:rPr>
                <w:rFonts w:hint="eastAsia" w:ascii="仿宋_GB2312" w:cs="宋体"/>
                <w:color w:val="000000" w:themeColor="text1"/>
              </w:rPr>
              <w:t>的分配功能；</w:t>
            </w:r>
            <w:r>
              <w:rPr>
                <w:rFonts w:hint="eastAsia" w:eastAsia="等线" w:cs="宋体"/>
                <w:color w:val="000000" w:themeColor="text1"/>
              </w:rPr>
              <w:t>4.</w:t>
            </w:r>
            <w:r>
              <w:rPr>
                <w:rFonts w:hint="eastAsia" w:ascii="仿宋_GB2312" w:cs="宋体"/>
                <w:color w:val="000000" w:themeColor="text1"/>
              </w:rPr>
              <w:t>支持</w:t>
            </w:r>
            <w:r>
              <w:rPr>
                <w:rFonts w:hint="eastAsia" w:eastAsia="等线" w:cs="宋体"/>
                <w:color w:val="000000" w:themeColor="text1"/>
              </w:rPr>
              <w:t xml:space="preserve">EDID </w:t>
            </w:r>
            <w:r>
              <w:rPr>
                <w:rFonts w:hint="eastAsia" w:ascii="仿宋_GB2312" w:cs="宋体"/>
                <w:color w:val="000000" w:themeColor="text1"/>
              </w:rPr>
              <w:t>现场学习功能，可以将任意显示设备的</w:t>
            </w:r>
            <w:r>
              <w:rPr>
                <w:rFonts w:hint="eastAsia" w:eastAsia="等线" w:cs="宋体"/>
                <w:color w:val="000000" w:themeColor="text1"/>
              </w:rPr>
              <w:t>EDID</w:t>
            </w:r>
            <w:r>
              <w:rPr>
                <w:rFonts w:hint="eastAsia" w:ascii="仿宋_GB2312" w:cs="宋体"/>
                <w:color w:val="000000" w:themeColor="text1"/>
              </w:rPr>
              <w:t>数据现场拷贝进分配器中，从而达到最佳的显示效果；</w:t>
            </w:r>
            <w:r>
              <w:rPr>
                <w:rFonts w:hint="eastAsia" w:eastAsia="等线" w:cs="宋体"/>
                <w:color w:val="000000" w:themeColor="text1"/>
              </w:rPr>
              <w:t>5.</w:t>
            </w:r>
            <w:r>
              <w:rPr>
                <w:rFonts w:hint="eastAsia" w:ascii="仿宋_GB2312" w:cs="宋体"/>
                <w:color w:val="000000" w:themeColor="text1"/>
              </w:rPr>
              <w:t>支持</w:t>
            </w:r>
            <w:r>
              <w:rPr>
                <w:rFonts w:hint="eastAsia" w:eastAsia="等线" w:cs="宋体"/>
                <w:color w:val="000000" w:themeColor="text1"/>
              </w:rPr>
              <w:t>DVI1.0</w:t>
            </w:r>
            <w:r>
              <w:rPr>
                <w:rFonts w:hint="eastAsia" w:ascii="仿宋_GB2312" w:cs="宋体"/>
                <w:color w:val="000000" w:themeColor="text1"/>
              </w:rPr>
              <w:t>协议，支持</w:t>
            </w:r>
            <w:r>
              <w:rPr>
                <w:rFonts w:hint="eastAsia" w:eastAsia="等线" w:cs="宋体"/>
                <w:color w:val="000000" w:themeColor="text1"/>
              </w:rPr>
              <w:t>V-EDID</w:t>
            </w:r>
            <w:r>
              <w:rPr>
                <w:rFonts w:hint="eastAsia" w:ascii="仿宋_GB2312" w:cs="宋体"/>
                <w:color w:val="000000" w:themeColor="text1"/>
              </w:rPr>
              <w:t>协议；</w:t>
            </w:r>
            <w:r>
              <w:rPr>
                <w:rFonts w:hint="eastAsia" w:eastAsia="等线" w:cs="宋体"/>
                <w:color w:val="000000" w:themeColor="text1"/>
              </w:rPr>
              <w:t>6.</w:t>
            </w:r>
            <w:r>
              <w:rPr>
                <w:rFonts w:hint="eastAsia" w:ascii="仿宋_GB2312" w:cs="宋体"/>
                <w:color w:val="000000" w:themeColor="text1"/>
              </w:rPr>
              <w:t>支持多种色彩空间</w:t>
            </w:r>
            <w:r>
              <w:rPr>
                <w:rFonts w:hint="eastAsia" w:eastAsia="等线" w:cs="宋体"/>
                <w:color w:val="000000" w:themeColor="text1"/>
              </w:rPr>
              <w:t>RGB444</w:t>
            </w:r>
            <w:r>
              <w:rPr>
                <w:rFonts w:hint="eastAsia" w:ascii="仿宋_GB2312" w:cs="宋体"/>
                <w:color w:val="000000" w:themeColor="text1"/>
              </w:rPr>
              <w:t>，</w:t>
            </w:r>
            <w:r>
              <w:rPr>
                <w:rFonts w:hint="eastAsia" w:eastAsia="等线" w:cs="宋体"/>
                <w:color w:val="000000" w:themeColor="text1"/>
              </w:rPr>
              <w:t>YUV444</w:t>
            </w:r>
            <w:r>
              <w:rPr>
                <w:rFonts w:hint="eastAsia" w:ascii="仿宋_GB2312" w:cs="宋体"/>
                <w:color w:val="000000" w:themeColor="text1"/>
              </w:rPr>
              <w:t>，</w:t>
            </w:r>
            <w:r>
              <w:rPr>
                <w:rFonts w:hint="eastAsia" w:eastAsia="等线" w:cs="宋体"/>
                <w:color w:val="000000" w:themeColor="text1"/>
              </w:rPr>
              <w:t>YUV422</w:t>
            </w:r>
            <w:r>
              <w:rPr>
                <w:rFonts w:hint="eastAsia" w:ascii="仿宋_GB2312" w:cs="宋体"/>
                <w:color w:val="000000" w:themeColor="text1"/>
              </w:rPr>
              <w:t>，支持</w:t>
            </w:r>
            <w:r>
              <w:rPr>
                <w:rFonts w:hint="eastAsia" w:eastAsia="等线" w:cs="宋体"/>
                <w:color w:val="000000" w:themeColor="text1"/>
              </w:rPr>
              <w:t>x.v.Color</w:t>
            </w:r>
            <w:r>
              <w:rPr>
                <w:rFonts w:hint="eastAsia" w:ascii="仿宋_GB2312" w:cs="宋体"/>
                <w:color w:val="000000" w:themeColor="text1"/>
              </w:rPr>
              <w:t>扩展色域；</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9</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个</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16</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DVI</w:t>
            </w:r>
            <w:r>
              <w:rPr>
                <w:rFonts w:hint="eastAsia" w:ascii="仿宋_GB2312" w:cs="宋体"/>
                <w:color w:val="000000" w:themeColor="text1"/>
              </w:rPr>
              <w:t>光纤延长器</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1</w:t>
            </w:r>
            <w:r>
              <w:rPr>
                <w:rFonts w:hint="eastAsia" w:ascii="仿宋_GB2312" w:cs="宋体"/>
                <w:color w:val="000000" w:themeColor="text1"/>
              </w:rPr>
              <w:t>、四</w:t>
            </w:r>
            <w:r>
              <w:rPr>
                <w:rFonts w:hint="eastAsia" w:eastAsia="等线" w:cs="宋体"/>
                <w:color w:val="000000" w:themeColor="text1"/>
              </w:rPr>
              <w:t>LC</w:t>
            </w:r>
            <w:r>
              <w:rPr>
                <w:rFonts w:hint="eastAsia" w:ascii="仿宋_GB2312" w:cs="宋体"/>
                <w:color w:val="000000" w:themeColor="text1"/>
              </w:rPr>
              <w:t>光纤接口，多模光纤使用；</w:t>
            </w:r>
            <w:r>
              <w:rPr>
                <w:rFonts w:hint="eastAsia" w:eastAsia="等线" w:cs="宋体"/>
                <w:color w:val="000000" w:themeColor="text1"/>
              </w:rPr>
              <w:t>2</w:t>
            </w:r>
            <w:r>
              <w:rPr>
                <w:rFonts w:hint="eastAsia" w:ascii="仿宋_GB2312" w:cs="宋体"/>
                <w:color w:val="000000" w:themeColor="text1"/>
              </w:rPr>
              <w:t>、长距离和高分辨率图像传输；</w:t>
            </w:r>
            <w:r>
              <w:rPr>
                <w:rFonts w:hint="eastAsia" w:eastAsia="等线" w:cs="宋体"/>
                <w:color w:val="000000" w:themeColor="text1"/>
              </w:rPr>
              <w:t>3</w:t>
            </w:r>
            <w:r>
              <w:rPr>
                <w:rFonts w:hint="eastAsia" w:ascii="仿宋_GB2312" w:cs="宋体"/>
                <w:color w:val="000000" w:themeColor="text1"/>
              </w:rPr>
              <w:t>、支持视频分辨率最高达</w:t>
            </w:r>
            <w:r>
              <w:rPr>
                <w:rFonts w:hint="eastAsia" w:eastAsia="等线" w:cs="宋体"/>
                <w:color w:val="000000" w:themeColor="text1"/>
              </w:rPr>
              <w:t>1920x1200/60Hz</w:t>
            </w:r>
            <w:r>
              <w:rPr>
                <w:rFonts w:hint="eastAsia" w:ascii="仿宋_GB2312" w:cs="宋体"/>
                <w:color w:val="000000" w:themeColor="text1"/>
              </w:rPr>
              <w:t>或</w:t>
            </w:r>
            <w:r>
              <w:rPr>
                <w:rFonts w:hint="eastAsia" w:eastAsia="等线" w:cs="宋体"/>
                <w:color w:val="000000" w:themeColor="text1"/>
              </w:rPr>
              <w:t>1080p</w:t>
            </w:r>
            <w:r>
              <w:rPr>
                <w:rFonts w:hint="eastAsia" w:ascii="仿宋_GB2312" w:cs="宋体"/>
                <w:color w:val="000000" w:themeColor="text1"/>
              </w:rPr>
              <w:t>的高清电视；</w:t>
            </w:r>
            <w:r>
              <w:rPr>
                <w:rFonts w:hint="eastAsia" w:eastAsia="等线" w:cs="宋体"/>
                <w:color w:val="000000" w:themeColor="text1"/>
              </w:rPr>
              <w:t>4</w:t>
            </w:r>
            <w:r>
              <w:rPr>
                <w:rFonts w:hint="eastAsia" w:ascii="仿宋_GB2312" w:cs="宋体"/>
                <w:color w:val="000000" w:themeColor="text1"/>
              </w:rPr>
              <w:t>、</w:t>
            </w:r>
            <w:r>
              <w:rPr>
                <w:rFonts w:hint="eastAsia" w:eastAsia="等线" w:cs="宋体"/>
                <w:color w:val="000000" w:themeColor="text1"/>
              </w:rPr>
              <w:t>EDID</w:t>
            </w:r>
            <w:r>
              <w:rPr>
                <w:rFonts w:hint="eastAsia" w:ascii="仿宋_GB2312" w:cs="宋体"/>
                <w:color w:val="000000" w:themeColor="text1"/>
              </w:rPr>
              <w:t>手动学习功能，显示发送端和接收端信号状态；</w:t>
            </w:r>
            <w:r>
              <w:rPr>
                <w:rFonts w:hint="eastAsia" w:eastAsia="等线" w:cs="宋体"/>
                <w:color w:val="000000" w:themeColor="text1"/>
              </w:rPr>
              <w:t>6</w:t>
            </w:r>
            <w:r>
              <w:rPr>
                <w:rFonts w:hint="eastAsia" w:ascii="仿宋_GB2312" w:cs="宋体"/>
                <w:color w:val="000000" w:themeColor="text1"/>
              </w:rPr>
              <w:t>、单电源＋</w:t>
            </w:r>
            <w:r>
              <w:rPr>
                <w:rFonts w:hint="eastAsia" w:eastAsia="等线" w:cs="宋体"/>
                <w:color w:val="000000" w:themeColor="text1"/>
              </w:rPr>
              <w:t>5V</w:t>
            </w:r>
            <w:r>
              <w:rPr>
                <w:rFonts w:hint="eastAsia" w:ascii="仿宋_GB2312" w:cs="宋体"/>
                <w:color w:val="000000" w:themeColor="text1"/>
              </w:rPr>
              <w:t>供电，最佳导热散热性能的金属外壳设计、低功耗；</w:t>
            </w:r>
            <w:r>
              <w:rPr>
                <w:rFonts w:hint="eastAsia" w:eastAsia="等线" w:cs="宋体"/>
                <w:color w:val="000000" w:themeColor="text1"/>
              </w:rPr>
              <w:t>7</w:t>
            </w:r>
            <w:r>
              <w:rPr>
                <w:rFonts w:hint="eastAsia" w:ascii="仿宋_GB2312" w:cs="宋体"/>
                <w:color w:val="000000" w:themeColor="text1"/>
              </w:rPr>
              <w:t>、符合</w:t>
            </w:r>
            <w:r>
              <w:rPr>
                <w:rFonts w:hint="eastAsia" w:eastAsia="等线" w:cs="宋体"/>
                <w:color w:val="000000" w:themeColor="text1"/>
              </w:rPr>
              <w:t>RoHS</w:t>
            </w:r>
            <w:r>
              <w:rPr>
                <w:rFonts w:hint="eastAsia" w:ascii="仿宋_GB2312" w:cs="宋体"/>
                <w:color w:val="000000" w:themeColor="text1"/>
              </w:rPr>
              <w:t>标准；</w:t>
            </w:r>
            <w:r>
              <w:rPr>
                <w:rFonts w:hint="eastAsia" w:eastAsia="等线" w:cs="宋体"/>
                <w:color w:val="000000" w:themeColor="text1"/>
              </w:rPr>
              <w:t>8</w:t>
            </w:r>
            <w:r>
              <w:rPr>
                <w:rFonts w:hint="eastAsia" w:ascii="仿宋_GB2312" w:cs="宋体"/>
                <w:color w:val="000000" w:themeColor="text1"/>
              </w:rPr>
              <w:t>、信号源连接矩阵以及矩阵输出到电视之间使用；</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9</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17</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拼接屏支架</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壁挂式支架</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9</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18</w:t>
            </w:r>
          </w:p>
        </w:tc>
        <w:tc>
          <w:tcPr>
            <w:tcW w:w="1176"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视频控制</w:t>
            </w: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视频综合平台</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1</w:t>
            </w:r>
            <w:r>
              <w:rPr>
                <w:rFonts w:hint="eastAsia" w:ascii="仿宋_GB2312" w:cs="宋体"/>
                <w:color w:val="000000" w:themeColor="text1"/>
              </w:rPr>
              <w:t>）主箱体，支持输入</w:t>
            </w:r>
            <w:r>
              <w:rPr>
                <w:rFonts w:hint="eastAsia" w:eastAsia="等线" w:cs="宋体"/>
                <w:color w:val="000000" w:themeColor="text1"/>
              </w:rPr>
              <w:t>32</w:t>
            </w:r>
            <w:r>
              <w:rPr>
                <w:rFonts w:hint="eastAsia" w:ascii="仿宋_GB2312" w:cs="宋体"/>
                <w:color w:val="000000" w:themeColor="text1"/>
              </w:rPr>
              <w:t>槽位，输出</w:t>
            </w:r>
            <w:r>
              <w:rPr>
                <w:rFonts w:hint="eastAsia" w:eastAsia="等线" w:cs="宋体"/>
                <w:color w:val="000000" w:themeColor="text1"/>
              </w:rPr>
              <w:t>18</w:t>
            </w:r>
            <w:r>
              <w:rPr>
                <w:rFonts w:hint="eastAsia" w:ascii="仿宋_GB2312" w:cs="宋体"/>
                <w:color w:val="000000" w:themeColor="text1"/>
              </w:rPr>
              <w:t>槽位，支持</w:t>
            </w:r>
            <w:r>
              <w:rPr>
                <w:rFonts w:hint="eastAsia" w:eastAsia="等线" w:cs="宋体"/>
                <w:color w:val="000000" w:themeColor="text1"/>
              </w:rPr>
              <w:t>36</w:t>
            </w:r>
            <w:r>
              <w:rPr>
                <w:rFonts w:hint="eastAsia" w:ascii="仿宋_GB2312" w:cs="宋体"/>
                <w:color w:val="000000" w:themeColor="text1"/>
              </w:rPr>
              <w:t>路</w:t>
            </w:r>
            <w:r>
              <w:rPr>
                <w:rFonts w:hint="eastAsia" w:eastAsia="等线" w:cs="宋体"/>
                <w:color w:val="000000" w:themeColor="text1"/>
              </w:rPr>
              <w:t>Dual-Link</w:t>
            </w:r>
            <w:r>
              <w:rPr>
                <w:rFonts w:hint="eastAsia" w:ascii="仿宋_GB2312" w:cs="宋体"/>
                <w:color w:val="000000" w:themeColor="text1"/>
              </w:rPr>
              <w:t>高分采集，支持冗余电源，标配</w:t>
            </w:r>
            <w:r>
              <w:rPr>
                <w:rFonts w:hint="eastAsia" w:eastAsia="等线" w:cs="宋体"/>
                <w:color w:val="000000" w:themeColor="text1"/>
              </w:rPr>
              <w:t>2</w:t>
            </w:r>
            <w:r>
              <w:rPr>
                <w:rFonts w:hint="eastAsia" w:ascii="仿宋_GB2312" w:cs="宋体"/>
                <w:color w:val="000000" w:themeColor="text1"/>
              </w:rPr>
              <w:t>个电源模块</w:t>
            </w:r>
            <w:r>
              <w:rPr>
                <w:rFonts w:hint="eastAsia" w:eastAsia="等线" w:cs="宋体"/>
                <w:color w:val="000000" w:themeColor="text1"/>
              </w:rPr>
              <w:t xml:space="preserve">;2) </w:t>
            </w:r>
            <w:r>
              <w:rPr>
                <w:rFonts w:hint="eastAsia" w:ascii="仿宋_GB2312" w:cs="宋体"/>
                <w:color w:val="000000" w:themeColor="text1"/>
              </w:rPr>
              <w:t>系统支持多信号的混合接入及输出，支持标清、高清、模拟、数字、压缩、非压缩等多种视频混合显示，具备丰富的图像处理功能任一信号都可在全屏墙显示范围内开窗显示、整屏拼接、任意漫游、信号叠加、任意跨屏、信号分割；</w:t>
            </w:r>
            <w:r>
              <w:rPr>
                <w:rFonts w:hint="eastAsia" w:eastAsia="等线" w:cs="宋体"/>
                <w:color w:val="000000" w:themeColor="text1"/>
              </w:rPr>
              <w:t xml:space="preserve">3) </w:t>
            </w:r>
            <w:r>
              <w:rPr>
                <w:rFonts w:hint="eastAsia" w:ascii="仿宋_GB2312" w:cs="宋体"/>
                <w:color w:val="000000" w:themeColor="text1"/>
              </w:rPr>
              <w:t>系统应具有图像处理硬件部分应采用</w:t>
            </w:r>
            <w:r>
              <w:rPr>
                <w:rFonts w:hint="eastAsia" w:eastAsia="等线" w:cs="宋体"/>
                <w:color w:val="000000" w:themeColor="text1"/>
              </w:rPr>
              <w:t>FPGA</w:t>
            </w:r>
            <w:r>
              <w:rPr>
                <w:rFonts w:hint="eastAsia" w:ascii="仿宋_GB2312" w:cs="宋体"/>
                <w:color w:val="000000" w:themeColor="text1"/>
              </w:rPr>
              <w:t>自建核心实时处理技术，启动小于</w:t>
            </w:r>
            <w:r>
              <w:rPr>
                <w:rFonts w:hint="eastAsia" w:eastAsia="等线" w:cs="宋体"/>
                <w:color w:val="000000" w:themeColor="text1"/>
              </w:rPr>
              <w:t>5S</w:t>
            </w:r>
            <w:r>
              <w:rPr>
                <w:rFonts w:hint="eastAsia" w:ascii="仿宋_GB2312" w:cs="宋体"/>
                <w:color w:val="000000" w:themeColor="text1"/>
              </w:rPr>
              <w:t>，无操作系统以避免死机及病毒入侵导致的系统瘫痪或故障；数据总线采用</w:t>
            </w:r>
            <w:r>
              <w:rPr>
                <w:rFonts w:hint="eastAsia" w:eastAsia="等线" w:cs="宋体"/>
                <w:color w:val="000000" w:themeColor="text1"/>
              </w:rPr>
              <w:t>CrossPoint</w:t>
            </w:r>
            <w:r>
              <w:rPr>
                <w:rFonts w:hint="eastAsia" w:ascii="仿宋_GB2312" w:cs="宋体"/>
                <w:color w:val="000000" w:themeColor="text1"/>
              </w:rPr>
              <w:t>高速全交叉矩阵交换技术，支持高清图像实时交换和处理；</w:t>
            </w:r>
            <w:r>
              <w:rPr>
                <w:rFonts w:hint="eastAsia" w:eastAsia="等线" w:cs="宋体"/>
                <w:color w:val="000000" w:themeColor="text1"/>
              </w:rPr>
              <w:t xml:space="preserve">4) </w:t>
            </w:r>
            <w:r>
              <w:rPr>
                <w:rFonts w:hint="eastAsia" w:ascii="仿宋_GB2312" w:cs="宋体"/>
                <w:color w:val="000000" w:themeColor="text1"/>
              </w:rPr>
              <w:t>系统应支持同时控制多组不同规模及不同分辨率的大屏幕。使用时，可以将任意通道分配到不同的工作组中，每个工作组对应一组大屏幕，输出统一的分辨率、每组输出分辨支持自定义成各种标准分辨率或非标分辨。</w:t>
            </w:r>
            <w:r>
              <w:rPr>
                <w:rFonts w:hint="eastAsia" w:eastAsia="等线" w:cs="宋体"/>
                <w:color w:val="000000" w:themeColor="text1"/>
              </w:rPr>
              <w:t xml:space="preserve">5) </w:t>
            </w:r>
            <w:r>
              <w:rPr>
                <w:rFonts w:hint="eastAsia" w:ascii="仿宋_GB2312" w:cs="宋体"/>
                <w:color w:val="000000" w:themeColor="text1"/>
              </w:rPr>
              <w:t>系统应支持静态底图功能，满足</w:t>
            </w:r>
            <w:r>
              <w:rPr>
                <w:rFonts w:hint="eastAsia" w:eastAsia="等线" w:cs="宋体"/>
                <w:color w:val="000000" w:themeColor="text1"/>
              </w:rPr>
              <w:t>65535</w:t>
            </w:r>
            <w:r>
              <w:rPr>
                <w:rFonts w:hint="eastAsia" w:ascii="仿宋_GB2312" w:cs="宋体"/>
                <w:color w:val="000000" w:themeColor="text1"/>
              </w:rPr>
              <w:t>分辨率底图存储及设置，支持</w:t>
            </w:r>
            <w:r>
              <w:rPr>
                <w:rFonts w:hint="eastAsia" w:eastAsia="等线" w:cs="宋体"/>
                <w:color w:val="000000" w:themeColor="text1"/>
              </w:rPr>
              <w:t>BMP/24</w:t>
            </w:r>
            <w:r>
              <w:rPr>
                <w:rFonts w:hint="eastAsia" w:ascii="仿宋_GB2312" w:cs="宋体"/>
                <w:color w:val="000000" w:themeColor="text1"/>
              </w:rPr>
              <w:t>位真彩色文件加载；静态底图应存储设备内置的存储芯片，同时支持底图的快速切换。</w:t>
            </w:r>
            <w:r>
              <w:rPr>
                <w:rFonts w:hint="eastAsia" w:eastAsia="等线" w:cs="宋体"/>
                <w:color w:val="000000" w:themeColor="text1"/>
              </w:rPr>
              <w:t xml:space="preserve">6) </w:t>
            </w:r>
            <w:r>
              <w:rPr>
                <w:rFonts w:hint="eastAsia" w:ascii="仿宋_GB2312" w:cs="宋体"/>
                <w:color w:val="000000" w:themeColor="text1"/>
              </w:rPr>
              <w:t>系统应具有图像去黑边裁剪功能，满足带黑边图像信号上墙显示的完整性；</w:t>
            </w:r>
            <w:r>
              <w:rPr>
                <w:rFonts w:hint="eastAsia" w:eastAsia="等线" w:cs="宋体"/>
                <w:color w:val="000000" w:themeColor="text1"/>
              </w:rPr>
              <w:t xml:space="preserve">7) </w:t>
            </w:r>
            <w:r>
              <w:rPr>
                <w:rFonts w:hint="eastAsia" w:ascii="仿宋_GB2312" w:cs="宋体"/>
                <w:color w:val="000000" w:themeColor="text1"/>
              </w:rPr>
              <w:t>系统应具有支持</w:t>
            </w:r>
            <w:r>
              <w:rPr>
                <w:rFonts w:hint="eastAsia" w:eastAsia="等线" w:cs="宋体"/>
                <w:color w:val="000000" w:themeColor="text1"/>
              </w:rPr>
              <w:t xml:space="preserve"> RS232</w:t>
            </w:r>
            <w:r>
              <w:rPr>
                <w:rFonts w:hint="eastAsia" w:ascii="仿宋_GB2312" w:cs="宋体"/>
                <w:color w:val="000000" w:themeColor="text1"/>
              </w:rPr>
              <w:t>串口和网络</w:t>
            </w:r>
            <w:r>
              <w:rPr>
                <w:rFonts w:hint="eastAsia" w:eastAsia="等线" w:cs="宋体"/>
                <w:color w:val="000000" w:themeColor="text1"/>
              </w:rPr>
              <w:t>TCP/IP</w:t>
            </w:r>
            <w:r>
              <w:rPr>
                <w:rFonts w:hint="eastAsia" w:ascii="仿宋_GB2312" w:cs="宋体"/>
                <w:color w:val="000000" w:themeColor="text1"/>
              </w:rPr>
              <w:t>控制，支持平台控制软件控制，开放控制协议，可与各品牌中控系统轻松集成；</w:t>
            </w:r>
            <w:r>
              <w:rPr>
                <w:rFonts w:hint="eastAsia" w:eastAsia="等线" w:cs="宋体"/>
                <w:color w:val="000000" w:themeColor="text1"/>
              </w:rPr>
              <w:t xml:space="preserve">8) </w:t>
            </w:r>
            <w:r>
              <w:rPr>
                <w:rFonts w:hint="eastAsia" w:ascii="仿宋_GB2312" w:cs="宋体"/>
                <w:color w:val="000000" w:themeColor="text1"/>
              </w:rPr>
              <w:t>可以保存至少</w:t>
            </w:r>
            <w:r>
              <w:rPr>
                <w:rFonts w:hint="eastAsia" w:eastAsia="等线" w:cs="宋体"/>
                <w:color w:val="000000" w:themeColor="text1"/>
              </w:rPr>
              <w:t>40</w:t>
            </w:r>
            <w:r>
              <w:rPr>
                <w:rFonts w:hint="eastAsia" w:ascii="仿宋_GB2312" w:cs="宋体"/>
                <w:color w:val="000000" w:themeColor="text1"/>
              </w:rPr>
              <w:t>个场景模式。</w:t>
            </w:r>
            <w:r>
              <w:rPr>
                <w:rFonts w:hint="eastAsia" w:eastAsia="等线" w:cs="宋体"/>
                <w:color w:val="000000" w:themeColor="text1"/>
              </w:rPr>
              <w:t xml:space="preserve">9) </w:t>
            </w:r>
            <w:r>
              <w:rPr>
                <w:rFonts w:hint="eastAsia" w:ascii="仿宋_GB2312" w:cs="宋体"/>
                <w:color w:val="000000" w:themeColor="text1"/>
              </w:rPr>
              <w:t>系统应支持细化到端口的字符叠加功能，可设置字体颜色、大小和背景；</w:t>
            </w:r>
            <w:r>
              <w:rPr>
                <w:rFonts w:hint="eastAsia" w:eastAsia="等线" w:cs="宋体"/>
                <w:color w:val="000000" w:themeColor="text1"/>
              </w:rPr>
              <w:t xml:space="preserve">10) </w:t>
            </w:r>
            <w:r>
              <w:rPr>
                <w:rFonts w:hint="eastAsia" w:ascii="仿宋_GB2312" w:cs="宋体"/>
                <w:color w:val="000000" w:themeColor="text1"/>
              </w:rPr>
              <w:t>系统应支持</w:t>
            </w:r>
            <w:r>
              <w:rPr>
                <w:rFonts w:hint="eastAsia" w:eastAsia="等线" w:cs="宋体"/>
                <w:color w:val="000000" w:themeColor="text1"/>
              </w:rPr>
              <w:t>M*N</w:t>
            </w:r>
            <w:r>
              <w:rPr>
                <w:rFonts w:hint="eastAsia" w:ascii="仿宋_GB2312" w:cs="宋体"/>
                <w:color w:val="000000" w:themeColor="text1"/>
              </w:rPr>
              <w:t>的任意拼接方式选择，屏幕间隔可以根据电视墙实现接缝大小不同而任意设置。</w:t>
            </w:r>
            <w:r>
              <w:rPr>
                <w:rFonts w:hint="eastAsia" w:eastAsia="等线" w:cs="宋体"/>
                <w:color w:val="000000" w:themeColor="text1"/>
              </w:rPr>
              <w:t xml:space="preserve">11) </w:t>
            </w:r>
            <w:r>
              <w:rPr>
                <w:rFonts w:hint="eastAsia" w:ascii="仿宋_GB2312" w:cs="宋体"/>
                <w:color w:val="000000" w:themeColor="text1"/>
              </w:rPr>
              <w:t>系统输出应支持冗余备份。</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19</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超高分</w:t>
            </w:r>
            <w:r>
              <w:rPr>
                <w:rFonts w:hint="eastAsia" w:eastAsia="等线" w:cs="宋体"/>
                <w:color w:val="000000" w:themeColor="text1"/>
              </w:rPr>
              <w:t>DP</w:t>
            </w:r>
            <w:r>
              <w:rPr>
                <w:rFonts w:hint="eastAsia" w:ascii="仿宋_GB2312" w:hAnsi="宋体" w:cs="宋体"/>
                <w:color w:val="000000" w:themeColor="text1"/>
              </w:rPr>
              <w:t>采集卡</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DisplayPort</w:t>
            </w:r>
            <w:r>
              <w:rPr>
                <w:rFonts w:hint="eastAsia" w:ascii="仿宋_GB2312" w:cs="宋体"/>
                <w:color w:val="000000" w:themeColor="text1"/>
              </w:rPr>
              <w:t>输入卡，支持</w:t>
            </w:r>
            <w:r>
              <w:rPr>
                <w:rFonts w:hint="eastAsia" w:eastAsia="等线" w:cs="宋体"/>
                <w:color w:val="000000" w:themeColor="text1"/>
              </w:rPr>
              <w:t>2</w:t>
            </w:r>
            <w:r>
              <w:rPr>
                <w:rFonts w:hint="eastAsia" w:ascii="仿宋_GB2312" w:cs="宋体"/>
                <w:color w:val="000000" w:themeColor="text1"/>
              </w:rPr>
              <w:t>通道</w:t>
            </w:r>
            <w:r>
              <w:rPr>
                <w:rFonts w:hint="eastAsia" w:eastAsia="等线" w:cs="宋体"/>
                <w:color w:val="000000" w:themeColor="text1"/>
              </w:rPr>
              <w:t>DP</w:t>
            </w:r>
            <w:r>
              <w:rPr>
                <w:rFonts w:hint="eastAsia" w:ascii="仿宋_GB2312" w:cs="宋体"/>
                <w:color w:val="000000" w:themeColor="text1"/>
              </w:rPr>
              <w:t>信号输入，支持</w:t>
            </w:r>
            <w:r>
              <w:rPr>
                <w:rFonts w:hint="eastAsia" w:eastAsia="等线" w:cs="宋体"/>
                <w:color w:val="000000" w:themeColor="text1"/>
              </w:rPr>
              <w:t>DP 1.1</w:t>
            </w:r>
            <w:r>
              <w:rPr>
                <w:rFonts w:hint="eastAsia" w:ascii="仿宋_GB2312" w:cs="宋体"/>
                <w:color w:val="000000" w:themeColor="text1"/>
              </w:rPr>
              <w:t>标准，输入分辨率典型值</w:t>
            </w:r>
            <w:r>
              <w:rPr>
                <w:rFonts w:hint="eastAsia" w:eastAsia="等线" w:cs="宋体"/>
                <w:color w:val="000000" w:themeColor="text1"/>
              </w:rPr>
              <w:t>3840x2400@30</w:t>
            </w:r>
            <w:r>
              <w:rPr>
                <w:rFonts w:hint="eastAsia" w:ascii="仿宋_GB2312" w:cs="宋体"/>
                <w:color w:val="000000" w:themeColor="text1"/>
              </w:rPr>
              <w:t>或</w:t>
            </w:r>
            <w:r>
              <w:rPr>
                <w:rFonts w:hint="eastAsia" w:eastAsia="等线" w:cs="宋体"/>
                <w:color w:val="000000" w:themeColor="text1"/>
              </w:rPr>
              <w:t>2560x1600@60</w:t>
            </w:r>
            <w:r>
              <w:rPr>
                <w:rFonts w:hint="eastAsia" w:ascii="仿宋_GB2312" w:cs="宋体"/>
                <w:color w:val="000000" w:themeColor="text1"/>
              </w:rPr>
              <w:t>，支持</w:t>
            </w:r>
            <w:r>
              <w:rPr>
                <w:rFonts w:hint="eastAsia" w:eastAsia="等线" w:cs="宋体"/>
                <w:color w:val="000000" w:themeColor="text1"/>
              </w:rPr>
              <w:t>EDID</w:t>
            </w:r>
            <w:r>
              <w:rPr>
                <w:rFonts w:hint="eastAsia" w:ascii="仿宋_GB2312" w:cs="宋体"/>
                <w:color w:val="000000" w:themeColor="text1"/>
              </w:rPr>
              <w:t>在线编辑，支持输入信号完全不丢帧处理</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20</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远程输入解码板卡</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IP</w:t>
            </w:r>
            <w:r>
              <w:rPr>
                <w:rFonts w:hint="eastAsia" w:ascii="仿宋_GB2312" w:cs="宋体"/>
                <w:color w:val="000000" w:themeColor="text1"/>
              </w:rPr>
              <w:t>解码卡，每张卡</w:t>
            </w:r>
            <w:r>
              <w:rPr>
                <w:rFonts w:hint="eastAsia" w:eastAsia="等线" w:cs="宋体"/>
                <w:color w:val="000000" w:themeColor="text1"/>
              </w:rPr>
              <w:t>2</w:t>
            </w:r>
            <w:r>
              <w:rPr>
                <w:rFonts w:hint="eastAsia" w:ascii="仿宋_GB2312" w:cs="宋体"/>
                <w:color w:val="000000" w:themeColor="text1"/>
              </w:rPr>
              <w:t>个</w:t>
            </w:r>
            <w:r>
              <w:rPr>
                <w:rFonts w:hint="eastAsia" w:eastAsia="等线" w:cs="宋体"/>
                <w:color w:val="000000" w:themeColor="text1"/>
              </w:rPr>
              <w:t>RJ</w:t>
            </w:r>
            <w:r>
              <w:rPr>
                <w:rFonts w:hint="eastAsia" w:ascii="仿宋_GB2312" w:cs="宋体"/>
                <w:color w:val="000000" w:themeColor="text1"/>
              </w:rPr>
              <w:t>接口，每张卡支持解码</w:t>
            </w:r>
            <w:r>
              <w:rPr>
                <w:rFonts w:hint="eastAsia" w:eastAsia="等线" w:cs="宋体"/>
                <w:color w:val="000000" w:themeColor="text1"/>
              </w:rPr>
              <w:t>4</w:t>
            </w:r>
            <w:r>
              <w:rPr>
                <w:rFonts w:hint="eastAsia" w:ascii="仿宋_GB2312" w:cs="宋体"/>
                <w:color w:val="000000" w:themeColor="text1"/>
              </w:rPr>
              <w:t>路</w:t>
            </w:r>
            <w:r>
              <w:rPr>
                <w:rFonts w:hint="eastAsia" w:eastAsia="等线" w:cs="宋体"/>
                <w:color w:val="000000" w:themeColor="text1"/>
              </w:rPr>
              <w:t>1920x1080p@60</w:t>
            </w:r>
            <w:r>
              <w:rPr>
                <w:rFonts w:hint="eastAsia" w:ascii="仿宋_GB2312" w:cs="宋体"/>
                <w:color w:val="000000" w:themeColor="text1"/>
              </w:rPr>
              <w:t>、</w:t>
            </w:r>
            <w:r>
              <w:rPr>
                <w:rFonts w:hint="eastAsia" w:eastAsia="等线" w:cs="宋体"/>
                <w:color w:val="000000" w:themeColor="text1"/>
              </w:rPr>
              <w:t>8</w:t>
            </w:r>
            <w:r>
              <w:rPr>
                <w:rFonts w:hint="eastAsia" w:ascii="仿宋_GB2312" w:cs="宋体"/>
                <w:color w:val="000000" w:themeColor="text1"/>
              </w:rPr>
              <w:t>路</w:t>
            </w:r>
            <w:r>
              <w:rPr>
                <w:rFonts w:hint="eastAsia" w:eastAsia="等线" w:cs="宋体"/>
                <w:color w:val="000000" w:themeColor="text1"/>
              </w:rPr>
              <w:t>1920x1080p@30</w:t>
            </w:r>
            <w:r>
              <w:rPr>
                <w:rFonts w:hint="eastAsia" w:ascii="仿宋_GB2312" w:cs="宋体"/>
                <w:color w:val="000000" w:themeColor="text1"/>
              </w:rPr>
              <w:t>、</w:t>
            </w:r>
            <w:r>
              <w:rPr>
                <w:rFonts w:hint="eastAsia" w:eastAsia="等线" w:cs="宋体"/>
                <w:color w:val="000000" w:themeColor="text1"/>
              </w:rPr>
              <w:t>16</w:t>
            </w:r>
            <w:r>
              <w:rPr>
                <w:rFonts w:hint="eastAsia" w:ascii="仿宋_GB2312" w:cs="宋体"/>
                <w:color w:val="000000" w:themeColor="text1"/>
              </w:rPr>
              <w:t>路</w:t>
            </w:r>
            <w:r>
              <w:rPr>
                <w:rFonts w:hint="eastAsia" w:eastAsia="等线" w:cs="宋体"/>
                <w:color w:val="000000" w:themeColor="text1"/>
              </w:rPr>
              <w:t>1280x720p@30</w:t>
            </w:r>
            <w:r>
              <w:rPr>
                <w:rFonts w:hint="eastAsia" w:ascii="仿宋_GB2312" w:cs="宋体"/>
                <w:color w:val="000000" w:themeColor="text1"/>
              </w:rPr>
              <w:t>、或</w:t>
            </w:r>
            <w:r>
              <w:rPr>
                <w:rFonts w:hint="eastAsia" w:eastAsia="等线" w:cs="宋体"/>
                <w:color w:val="000000" w:themeColor="text1"/>
              </w:rPr>
              <w:t>36</w:t>
            </w:r>
            <w:r>
              <w:rPr>
                <w:rFonts w:hint="eastAsia" w:ascii="仿宋_GB2312" w:cs="宋体"/>
                <w:color w:val="000000" w:themeColor="text1"/>
              </w:rPr>
              <w:t>路</w:t>
            </w:r>
            <w:r>
              <w:rPr>
                <w:rFonts w:hint="eastAsia" w:eastAsia="等线" w:cs="宋体"/>
                <w:color w:val="000000" w:themeColor="text1"/>
              </w:rPr>
              <w:t>D1</w:t>
            </w:r>
            <w:r>
              <w:rPr>
                <w:rFonts w:hint="eastAsia" w:ascii="仿宋_GB2312" w:cs="宋体"/>
                <w:color w:val="000000" w:themeColor="text1"/>
              </w:rPr>
              <w:t>信号</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21</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DVI</w:t>
            </w:r>
            <w:r>
              <w:rPr>
                <w:rFonts w:hint="eastAsia" w:ascii="仿宋_GB2312" w:cs="宋体"/>
                <w:color w:val="000000" w:themeColor="text1"/>
              </w:rPr>
              <w:t>输入卡</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DVI/HDMI</w:t>
            </w:r>
            <w:r>
              <w:rPr>
                <w:rFonts w:hint="eastAsia" w:ascii="仿宋_GB2312" w:cs="宋体"/>
                <w:color w:val="000000" w:themeColor="text1"/>
              </w:rPr>
              <w:t>输入卡，支持</w:t>
            </w:r>
            <w:r>
              <w:rPr>
                <w:rFonts w:hint="eastAsia" w:eastAsia="等线" w:cs="宋体"/>
                <w:color w:val="000000" w:themeColor="text1"/>
              </w:rPr>
              <w:t>4</w:t>
            </w:r>
            <w:r>
              <w:rPr>
                <w:rFonts w:hint="eastAsia" w:ascii="仿宋_GB2312" w:cs="宋体"/>
                <w:color w:val="000000" w:themeColor="text1"/>
              </w:rPr>
              <w:t>通道</w:t>
            </w:r>
            <w:r>
              <w:rPr>
                <w:rFonts w:hint="eastAsia" w:eastAsia="等线" w:cs="宋体"/>
                <w:color w:val="000000" w:themeColor="text1"/>
              </w:rPr>
              <w:t>DVI</w:t>
            </w:r>
            <w:r>
              <w:rPr>
                <w:rFonts w:hint="eastAsia" w:ascii="仿宋_GB2312" w:cs="宋体"/>
                <w:color w:val="000000" w:themeColor="text1"/>
              </w:rPr>
              <w:t>信号输入，支持</w:t>
            </w:r>
            <w:r>
              <w:rPr>
                <w:rFonts w:hint="eastAsia" w:eastAsia="等线" w:cs="宋体"/>
                <w:color w:val="000000" w:themeColor="text1"/>
              </w:rPr>
              <w:t>HDCP</w:t>
            </w:r>
            <w:r>
              <w:rPr>
                <w:rFonts w:hint="eastAsia" w:ascii="仿宋_GB2312" w:cs="宋体"/>
                <w:color w:val="000000" w:themeColor="text1"/>
              </w:rPr>
              <w:t>，支持</w:t>
            </w:r>
            <w:r>
              <w:rPr>
                <w:rFonts w:hint="eastAsia" w:eastAsia="等线" w:cs="宋体"/>
                <w:color w:val="000000" w:themeColor="text1"/>
              </w:rPr>
              <w:t>EDID</w:t>
            </w:r>
            <w:r>
              <w:rPr>
                <w:rFonts w:hint="eastAsia" w:ascii="仿宋_GB2312" w:cs="宋体"/>
                <w:color w:val="000000" w:themeColor="text1"/>
              </w:rPr>
              <w:t>在线编辑，最大支持分辨率</w:t>
            </w:r>
            <w:r>
              <w:rPr>
                <w:rFonts w:hint="eastAsia" w:eastAsia="等线" w:cs="宋体"/>
                <w:color w:val="000000" w:themeColor="text1"/>
              </w:rPr>
              <w:t>1920*1200@60Hz</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4</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22</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HDbaseT</w:t>
            </w:r>
            <w:r>
              <w:rPr>
                <w:rFonts w:hint="eastAsia" w:ascii="仿宋_GB2312" w:cs="宋体"/>
                <w:color w:val="000000" w:themeColor="text1"/>
              </w:rPr>
              <w:t>输入卡</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HDbaseT</w:t>
            </w:r>
            <w:r>
              <w:rPr>
                <w:rFonts w:hint="eastAsia" w:ascii="仿宋_GB2312" w:cs="宋体"/>
                <w:color w:val="000000" w:themeColor="text1"/>
              </w:rPr>
              <w:t>输入卡，支持</w:t>
            </w:r>
            <w:r>
              <w:rPr>
                <w:rFonts w:hint="eastAsia" w:eastAsia="等线" w:cs="宋体"/>
                <w:color w:val="000000" w:themeColor="text1"/>
              </w:rPr>
              <w:t>4</w:t>
            </w:r>
            <w:r>
              <w:rPr>
                <w:rFonts w:hint="eastAsia" w:ascii="仿宋_GB2312" w:cs="宋体"/>
                <w:color w:val="000000" w:themeColor="text1"/>
              </w:rPr>
              <w:t>通道双绞线信号输入，最大输出分辨率</w:t>
            </w:r>
            <w:r>
              <w:rPr>
                <w:rFonts w:hint="eastAsia" w:eastAsia="等线" w:cs="宋体"/>
                <w:color w:val="000000" w:themeColor="text1"/>
              </w:rPr>
              <w:t>1920*1200@60Hz</w:t>
            </w:r>
            <w:r>
              <w:rPr>
                <w:rFonts w:hint="eastAsia" w:ascii="仿宋_GB2312" w:cs="宋体"/>
                <w:color w:val="000000" w:themeColor="text1"/>
              </w:rPr>
              <w:t>，和</w:t>
            </w:r>
            <w:r>
              <w:rPr>
                <w:rFonts w:hint="eastAsia" w:eastAsia="等线" w:cs="宋体"/>
                <w:color w:val="000000" w:themeColor="text1"/>
              </w:rPr>
              <w:t>DVI-TX</w:t>
            </w:r>
            <w:r>
              <w:rPr>
                <w:rFonts w:hint="eastAsia" w:ascii="仿宋_GB2312" w:cs="宋体"/>
                <w:color w:val="000000" w:themeColor="text1"/>
              </w:rPr>
              <w:t>设备配套使用，可通过</w:t>
            </w:r>
            <w:r>
              <w:rPr>
                <w:rFonts w:hint="eastAsia" w:eastAsia="等线" w:cs="宋体"/>
                <w:color w:val="000000" w:themeColor="text1"/>
              </w:rPr>
              <w:t>6</w:t>
            </w:r>
            <w:r>
              <w:rPr>
                <w:rFonts w:hint="eastAsia" w:ascii="仿宋_GB2312" w:cs="宋体"/>
                <w:color w:val="000000" w:themeColor="text1"/>
              </w:rPr>
              <w:t>类双绞线将输出信号传输</w:t>
            </w:r>
            <w:r>
              <w:rPr>
                <w:rFonts w:hint="eastAsia" w:eastAsia="等线" w:cs="宋体"/>
                <w:color w:val="000000" w:themeColor="text1"/>
              </w:rPr>
              <w:t>70</w:t>
            </w:r>
            <w:r>
              <w:rPr>
                <w:rFonts w:hint="eastAsia" w:ascii="仿宋_GB2312" w:cs="宋体"/>
                <w:color w:val="000000" w:themeColor="text1"/>
              </w:rPr>
              <w:t>米</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13</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张</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23</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双绞线传输器发送端</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50</w:t>
            </w:r>
            <w:r>
              <w:rPr>
                <w:rFonts w:hint="eastAsia" w:ascii="仿宋_GB2312" w:cs="宋体"/>
                <w:color w:val="000000" w:themeColor="text1"/>
              </w:rPr>
              <w:t>米无损高清视频传输发送端，配合</w:t>
            </w:r>
            <w:r>
              <w:rPr>
                <w:rFonts w:hint="eastAsia" w:eastAsia="等线" w:cs="宋体"/>
                <w:color w:val="000000" w:themeColor="text1"/>
              </w:rPr>
              <w:t>HDbaseT</w:t>
            </w:r>
            <w:r>
              <w:rPr>
                <w:rFonts w:hint="eastAsia" w:ascii="仿宋_GB2312" w:cs="宋体"/>
                <w:color w:val="000000" w:themeColor="text1"/>
              </w:rPr>
              <w:t>卡使用，</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52</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24</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双链</w:t>
            </w:r>
            <w:r>
              <w:rPr>
                <w:rFonts w:hint="eastAsia" w:eastAsia="等线" w:cs="宋体"/>
                <w:color w:val="000000" w:themeColor="text1"/>
              </w:rPr>
              <w:t>DVI</w:t>
            </w:r>
            <w:r>
              <w:rPr>
                <w:rFonts w:hint="eastAsia" w:ascii="仿宋_GB2312" w:hAnsi="宋体" w:cs="宋体"/>
                <w:color w:val="000000" w:themeColor="text1"/>
              </w:rPr>
              <w:t>输出卡</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双链路</w:t>
            </w:r>
            <w:r>
              <w:rPr>
                <w:rFonts w:hint="eastAsia" w:eastAsia="等线" w:cs="宋体"/>
                <w:color w:val="000000" w:themeColor="text1"/>
              </w:rPr>
              <w:t>DVI</w:t>
            </w:r>
            <w:r>
              <w:rPr>
                <w:rFonts w:hint="eastAsia" w:ascii="仿宋_GB2312" w:hAnsi="宋体" w:cs="宋体"/>
                <w:color w:val="000000" w:themeColor="text1"/>
              </w:rPr>
              <w:t>输出卡，支持</w:t>
            </w:r>
            <w:r>
              <w:rPr>
                <w:rFonts w:hint="eastAsia" w:eastAsia="等线" w:cs="宋体"/>
                <w:color w:val="000000" w:themeColor="text1"/>
              </w:rPr>
              <w:t>2</w:t>
            </w:r>
            <w:r>
              <w:rPr>
                <w:rFonts w:hint="eastAsia" w:ascii="仿宋_GB2312" w:hAnsi="宋体" w:cs="宋体"/>
                <w:color w:val="000000" w:themeColor="text1"/>
              </w:rPr>
              <w:t>通道</w:t>
            </w:r>
            <w:r>
              <w:rPr>
                <w:rFonts w:hint="eastAsia" w:eastAsia="等线" w:cs="宋体"/>
                <w:color w:val="000000" w:themeColor="text1"/>
              </w:rPr>
              <w:t>Dual-link DVI</w:t>
            </w:r>
            <w:r>
              <w:rPr>
                <w:rFonts w:hint="eastAsia" w:ascii="仿宋_GB2312" w:hAnsi="宋体" w:cs="宋体"/>
                <w:color w:val="000000" w:themeColor="text1"/>
              </w:rPr>
              <w:t>信号输出，单口最大输出分辨率</w:t>
            </w:r>
            <w:r>
              <w:rPr>
                <w:rFonts w:hint="eastAsia" w:eastAsia="等线" w:cs="宋体"/>
                <w:color w:val="000000" w:themeColor="text1"/>
              </w:rPr>
              <w:t>3840*2160@30Hz</w:t>
            </w:r>
            <w:r>
              <w:rPr>
                <w:rFonts w:hint="eastAsia" w:ascii="仿宋_GB2312" w:hAnsi="宋体" w:cs="宋体"/>
                <w:color w:val="000000" w:themeColor="text1"/>
              </w:rPr>
              <w:t>，每个输出通道可以开</w:t>
            </w:r>
            <w:r>
              <w:rPr>
                <w:rFonts w:hint="eastAsia" w:eastAsia="等线" w:cs="宋体"/>
                <w:color w:val="000000" w:themeColor="text1"/>
              </w:rPr>
              <w:t>8</w:t>
            </w:r>
            <w:r>
              <w:rPr>
                <w:rFonts w:hint="eastAsia" w:ascii="仿宋_GB2312" w:hAnsi="宋体" w:cs="宋体"/>
                <w:color w:val="000000" w:themeColor="text1"/>
              </w:rPr>
              <w:t>个高清信号窗口，其中</w:t>
            </w:r>
            <w:r>
              <w:rPr>
                <w:rFonts w:hint="eastAsia" w:eastAsia="等线" w:cs="宋体"/>
                <w:color w:val="000000" w:themeColor="text1"/>
              </w:rPr>
              <w:t>5</w:t>
            </w:r>
            <w:r>
              <w:rPr>
                <w:rFonts w:hint="eastAsia" w:ascii="仿宋_GB2312" w:hAnsi="宋体" w:cs="宋体"/>
                <w:color w:val="000000" w:themeColor="text1"/>
              </w:rPr>
              <w:t>片用于指挥大屏配合</w:t>
            </w:r>
            <w:r>
              <w:rPr>
                <w:rFonts w:hint="eastAsia" w:eastAsia="等线" w:cs="宋体"/>
                <w:color w:val="000000" w:themeColor="text1"/>
              </w:rPr>
              <w:t>9</w:t>
            </w:r>
            <w:r>
              <w:rPr>
                <w:rFonts w:hint="eastAsia" w:ascii="仿宋_GB2312" w:hAnsi="宋体" w:cs="宋体"/>
                <w:color w:val="000000" w:themeColor="text1"/>
              </w:rPr>
              <w:t>路</w:t>
            </w:r>
            <w:r>
              <w:rPr>
                <w:rFonts w:hint="eastAsia" w:eastAsia="等线" w:cs="宋体"/>
                <w:color w:val="000000" w:themeColor="text1"/>
              </w:rPr>
              <w:t>DVI</w:t>
            </w:r>
            <w:r>
              <w:rPr>
                <w:rFonts w:hint="eastAsia" w:ascii="仿宋_GB2312" w:hAnsi="宋体" w:cs="宋体"/>
                <w:color w:val="000000" w:themeColor="text1"/>
              </w:rPr>
              <w:t>光纤</w:t>
            </w:r>
            <w:r>
              <w:rPr>
                <w:rFonts w:hint="eastAsia" w:eastAsia="等线" w:cs="宋体"/>
                <w:color w:val="000000" w:themeColor="text1"/>
              </w:rPr>
              <w:t>DVI</w:t>
            </w:r>
            <w:r>
              <w:rPr>
                <w:rFonts w:hint="eastAsia" w:ascii="仿宋_GB2312" w:hAnsi="宋体" w:cs="宋体"/>
                <w:color w:val="000000" w:themeColor="text1"/>
              </w:rPr>
              <w:t>延长器使用，</w:t>
            </w:r>
            <w:r>
              <w:rPr>
                <w:rFonts w:hint="eastAsia" w:eastAsia="等线" w:cs="宋体"/>
                <w:color w:val="000000" w:themeColor="text1"/>
              </w:rPr>
              <w:t>2</w:t>
            </w:r>
            <w:r>
              <w:rPr>
                <w:rFonts w:hint="eastAsia" w:ascii="仿宋_GB2312" w:hAnsi="宋体" w:cs="宋体"/>
                <w:color w:val="000000" w:themeColor="text1"/>
              </w:rPr>
              <w:t>片用于视频会议室配合</w:t>
            </w:r>
            <w:r>
              <w:rPr>
                <w:rFonts w:hint="eastAsia" w:eastAsia="等线" w:cs="宋体"/>
                <w:color w:val="000000" w:themeColor="text1"/>
              </w:rPr>
              <w:t>4</w:t>
            </w:r>
            <w:r>
              <w:rPr>
                <w:rFonts w:hint="eastAsia" w:ascii="仿宋_GB2312" w:hAnsi="宋体" w:cs="宋体"/>
                <w:color w:val="000000" w:themeColor="text1"/>
              </w:rPr>
              <w:t>路</w:t>
            </w:r>
            <w:r>
              <w:rPr>
                <w:rFonts w:hint="eastAsia" w:eastAsia="等线" w:cs="宋体"/>
                <w:color w:val="000000" w:themeColor="text1"/>
              </w:rPr>
              <w:t>DVI</w:t>
            </w:r>
            <w:r>
              <w:rPr>
                <w:rFonts w:hint="eastAsia" w:ascii="仿宋_GB2312" w:hAnsi="宋体" w:cs="宋体"/>
                <w:color w:val="000000" w:themeColor="text1"/>
              </w:rPr>
              <w:t>光纤</w:t>
            </w:r>
            <w:r>
              <w:rPr>
                <w:rFonts w:hint="eastAsia" w:eastAsia="等线" w:cs="宋体"/>
                <w:color w:val="000000" w:themeColor="text1"/>
              </w:rPr>
              <w:t>DVI</w:t>
            </w:r>
            <w:r>
              <w:rPr>
                <w:rFonts w:hint="eastAsia" w:ascii="仿宋_GB2312" w:hAnsi="宋体" w:cs="宋体"/>
                <w:color w:val="000000" w:themeColor="text1"/>
              </w:rPr>
              <w:t>延长器使用，</w:t>
            </w:r>
            <w:r>
              <w:rPr>
                <w:rFonts w:hint="eastAsia" w:eastAsia="等线" w:cs="宋体"/>
                <w:color w:val="000000" w:themeColor="text1"/>
              </w:rPr>
              <w:t>1</w:t>
            </w:r>
            <w:r>
              <w:rPr>
                <w:rFonts w:hint="eastAsia" w:ascii="仿宋_GB2312" w:hAnsi="宋体" w:cs="宋体"/>
                <w:color w:val="000000" w:themeColor="text1"/>
              </w:rPr>
              <w:t>片为会商室备用。</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7</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25</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DVI</w:t>
            </w:r>
            <w:r>
              <w:rPr>
                <w:rFonts w:hint="eastAsia" w:ascii="仿宋_GB2312" w:cs="宋体"/>
                <w:color w:val="000000" w:themeColor="text1"/>
              </w:rPr>
              <w:t>输出卡</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DVI</w:t>
            </w:r>
            <w:r>
              <w:rPr>
                <w:rFonts w:hint="eastAsia" w:ascii="仿宋_GB2312" w:cs="宋体"/>
                <w:color w:val="000000" w:themeColor="text1"/>
              </w:rPr>
              <w:t>输出卡，支持</w:t>
            </w:r>
            <w:r>
              <w:rPr>
                <w:rFonts w:hint="eastAsia" w:eastAsia="等线" w:cs="宋体"/>
                <w:color w:val="000000" w:themeColor="text1"/>
              </w:rPr>
              <w:t>4</w:t>
            </w:r>
            <w:r>
              <w:rPr>
                <w:rFonts w:hint="eastAsia" w:ascii="仿宋_GB2312" w:cs="宋体"/>
                <w:color w:val="000000" w:themeColor="text1"/>
              </w:rPr>
              <w:t>通道</w:t>
            </w:r>
            <w:r>
              <w:rPr>
                <w:rFonts w:hint="eastAsia" w:eastAsia="等线" w:cs="宋体"/>
                <w:color w:val="000000" w:themeColor="text1"/>
              </w:rPr>
              <w:t>DVI-I</w:t>
            </w:r>
            <w:r>
              <w:rPr>
                <w:rFonts w:hint="eastAsia" w:ascii="仿宋_GB2312" w:cs="宋体"/>
                <w:color w:val="000000" w:themeColor="text1"/>
              </w:rPr>
              <w:t>信号输出，最大输出分辨率</w:t>
            </w:r>
            <w:r>
              <w:rPr>
                <w:rFonts w:hint="eastAsia" w:eastAsia="等线" w:cs="宋体"/>
                <w:color w:val="000000" w:themeColor="text1"/>
              </w:rPr>
              <w:t>1920*1200@60Hz</w:t>
            </w:r>
            <w:r>
              <w:rPr>
                <w:rFonts w:hint="eastAsia" w:ascii="仿宋_GB2312" w:cs="宋体"/>
                <w:color w:val="000000" w:themeColor="text1"/>
              </w:rPr>
              <w:t>，每个输出可开</w:t>
            </w:r>
            <w:r>
              <w:rPr>
                <w:rFonts w:hint="eastAsia" w:eastAsia="等线" w:cs="宋体"/>
                <w:color w:val="000000" w:themeColor="text1"/>
              </w:rPr>
              <w:t>4</w:t>
            </w:r>
            <w:r>
              <w:rPr>
                <w:rFonts w:hint="eastAsia" w:ascii="仿宋_GB2312" w:cs="宋体"/>
                <w:color w:val="000000" w:themeColor="text1"/>
              </w:rPr>
              <w:t>个窗口，可通过转接头输出</w:t>
            </w:r>
            <w:r>
              <w:rPr>
                <w:rFonts w:hint="eastAsia" w:eastAsia="等线" w:cs="宋体"/>
                <w:color w:val="000000" w:themeColor="text1"/>
              </w:rPr>
              <w:t>VGA</w:t>
            </w:r>
            <w:r>
              <w:rPr>
                <w:rFonts w:hint="eastAsia" w:ascii="仿宋_GB2312" w:cs="宋体"/>
                <w:color w:val="000000" w:themeColor="text1"/>
              </w:rPr>
              <w:t>信号</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5</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26</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预监卡</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信号预监卡，支持实时在上位机软件浏览通道信号源，每张卡支持</w:t>
            </w:r>
            <w:r>
              <w:rPr>
                <w:rFonts w:hint="eastAsia" w:eastAsia="等线" w:cs="宋体"/>
                <w:color w:val="000000" w:themeColor="text1"/>
              </w:rPr>
              <w:t>64</w:t>
            </w:r>
            <w:r>
              <w:rPr>
                <w:rFonts w:hint="eastAsia" w:ascii="仿宋_GB2312" w:hAnsi="宋体" w:cs="宋体"/>
                <w:color w:val="000000" w:themeColor="text1"/>
              </w:rPr>
              <w:t>路图像预监，占用一个输出插槽</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片</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27</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可视化硬件服务器</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通用服务器机箱：</w:t>
            </w:r>
            <w:r>
              <w:rPr>
                <w:rFonts w:hint="eastAsia" w:eastAsia="等线" w:cs="宋体"/>
                <w:color w:val="000000" w:themeColor="text1"/>
              </w:rPr>
              <w:t xml:space="preserve">1U </w:t>
            </w:r>
            <w:r>
              <w:rPr>
                <w:rFonts w:hint="eastAsia" w:ascii="仿宋_GB2312" w:hAnsi="宋体" w:cs="宋体"/>
                <w:color w:val="000000" w:themeColor="text1"/>
              </w:rPr>
              <w:t>支持</w:t>
            </w:r>
            <w:r>
              <w:rPr>
                <w:rFonts w:hint="eastAsia" w:eastAsia="等线" w:cs="宋体"/>
                <w:color w:val="000000" w:themeColor="text1"/>
              </w:rPr>
              <w:t>2</w:t>
            </w:r>
            <w:r>
              <w:rPr>
                <w:rFonts w:hint="eastAsia" w:ascii="仿宋_GB2312" w:hAnsi="宋体" w:cs="宋体"/>
                <w:color w:val="000000" w:themeColor="text1"/>
              </w:rPr>
              <w:t>个</w:t>
            </w:r>
            <w:r>
              <w:rPr>
                <w:rFonts w:hint="eastAsia" w:eastAsia="等线" w:cs="宋体"/>
                <w:color w:val="000000" w:themeColor="text1"/>
              </w:rPr>
              <w:t>3.5</w:t>
            </w:r>
            <w:r>
              <w:rPr>
                <w:rFonts w:hint="eastAsia" w:ascii="仿宋_GB2312" w:hAnsi="宋体" w:cs="宋体"/>
                <w:color w:val="000000" w:themeColor="text1"/>
              </w:rPr>
              <w:t>寸</w:t>
            </w:r>
            <w:r>
              <w:rPr>
                <w:rFonts w:hint="eastAsia" w:eastAsia="等线" w:cs="宋体"/>
                <w:color w:val="000000" w:themeColor="text1"/>
              </w:rPr>
              <w:t>SAS/SATA</w:t>
            </w:r>
            <w:r>
              <w:rPr>
                <w:rFonts w:hint="eastAsia" w:ascii="仿宋_GB2312" w:hAnsi="宋体" w:cs="宋体"/>
                <w:color w:val="000000" w:themeColor="text1"/>
              </w:rPr>
              <w:t>非热插拔硬盘；电源：</w:t>
            </w:r>
            <w:r>
              <w:rPr>
                <w:rFonts w:hint="eastAsia" w:eastAsia="等线" w:cs="宋体"/>
                <w:color w:val="000000" w:themeColor="text1"/>
              </w:rPr>
              <w:t>300W</w:t>
            </w:r>
            <w:r>
              <w:rPr>
                <w:rFonts w:hint="eastAsia" w:ascii="仿宋_GB2312" w:hAnsi="宋体" w:cs="宋体"/>
                <w:color w:val="000000" w:themeColor="text1"/>
              </w:rPr>
              <w:t>单电；</w:t>
            </w:r>
            <w:r>
              <w:rPr>
                <w:rFonts w:hint="eastAsia" w:eastAsia="等线" w:cs="宋体"/>
                <w:color w:val="000000" w:themeColor="text1"/>
              </w:rPr>
              <w:t>CPU</w:t>
            </w:r>
            <w:r>
              <w:rPr>
                <w:rFonts w:hint="eastAsia" w:ascii="仿宋_GB2312" w:hAnsi="宋体" w:cs="宋体"/>
                <w:color w:val="000000" w:themeColor="text1"/>
              </w:rPr>
              <w:t>：</w:t>
            </w:r>
            <w:r>
              <w:rPr>
                <w:rFonts w:hint="eastAsia" w:eastAsia="等线" w:cs="宋体"/>
                <w:color w:val="000000" w:themeColor="text1"/>
              </w:rPr>
              <w:t>INTEL XEON &amp;nbsp;E3-1220 3.1GHZ * 1</w:t>
            </w:r>
            <w:r>
              <w:rPr>
                <w:rFonts w:hint="eastAsia" w:ascii="仿宋_GB2312" w:hAnsi="宋体" w:cs="宋体"/>
                <w:color w:val="000000" w:themeColor="text1"/>
              </w:rPr>
              <w:t>；缓存：</w:t>
            </w:r>
            <w:r>
              <w:rPr>
                <w:rFonts w:hint="eastAsia" w:eastAsia="等线" w:cs="宋体"/>
                <w:color w:val="000000" w:themeColor="text1"/>
              </w:rPr>
              <w:t>4GB DDR3 ECC * 1</w:t>
            </w:r>
            <w:r>
              <w:rPr>
                <w:rFonts w:hint="eastAsia" w:ascii="仿宋_GB2312" w:hAnsi="宋体" w:cs="宋体"/>
                <w:color w:val="000000" w:themeColor="text1"/>
              </w:rPr>
              <w:t>；系统盘：企业级</w:t>
            </w:r>
            <w:r>
              <w:rPr>
                <w:rFonts w:hint="eastAsia" w:eastAsia="等线" w:cs="宋体"/>
                <w:color w:val="000000" w:themeColor="text1"/>
              </w:rPr>
              <w:t xml:space="preserve">500GB </w:t>
            </w:r>
            <w:r>
              <w:rPr>
                <w:rFonts w:hint="eastAsia" w:ascii="仿宋_GB2312" w:hAnsi="宋体" w:cs="宋体"/>
                <w:color w:val="000000" w:themeColor="text1"/>
              </w:rPr>
              <w:t>硬盘</w:t>
            </w:r>
            <w:r>
              <w:rPr>
                <w:rFonts w:hint="eastAsia" w:eastAsia="等线" w:cs="宋体"/>
                <w:color w:val="000000" w:themeColor="text1"/>
              </w:rPr>
              <w:t xml:space="preserve"> *2</w:t>
            </w:r>
            <w:r>
              <w:rPr>
                <w:rFonts w:hint="eastAsia" w:ascii="仿宋_GB2312" w:hAnsi="宋体" w:cs="宋体"/>
                <w:color w:val="000000" w:themeColor="text1"/>
              </w:rPr>
              <w:t>；网</w:t>
            </w:r>
            <w:r>
              <w:rPr>
                <w:rFonts w:hint="eastAsia" w:eastAsia="等线" w:cs="宋体"/>
                <w:color w:val="000000" w:themeColor="text1"/>
              </w:rPr>
              <w:t>&amp;nbsp;</w:t>
            </w:r>
            <w:r>
              <w:rPr>
                <w:rFonts w:hint="eastAsia" w:ascii="仿宋_GB2312" w:hAnsi="宋体" w:cs="宋体"/>
                <w:color w:val="000000" w:themeColor="text1"/>
              </w:rPr>
              <w:t>络：板载</w:t>
            </w:r>
            <w:r>
              <w:rPr>
                <w:rFonts w:hint="eastAsia" w:eastAsia="等线" w:cs="宋体"/>
                <w:color w:val="000000" w:themeColor="text1"/>
              </w:rPr>
              <w:t xml:space="preserve">1000MB </w:t>
            </w:r>
            <w:r>
              <w:rPr>
                <w:rFonts w:hint="eastAsia" w:ascii="仿宋_GB2312" w:hAnsi="宋体" w:cs="宋体"/>
                <w:color w:val="000000" w:themeColor="text1"/>
              </w:rPr>
              <w:t>网卡</w:t>
            </w:r>
            <w:r>
              <w:rPr>
                <w:rFonts w:hint="eastAsia" w:eastAsia="等线" w:cs="宋体"/>
                <w:color w:val="000000" w:themeColor="text1"/>
              </w:rPr>
              <w:t xml:space="preserve"> * 2</w:t>
            </w:r>
            <w:r>
              <w:rPr>
                <w:rFonts w:hint="eastAsia" w:ascii="仿宋_GB2312" w:hAnsi="宋体" w:cs="宋体"/>
                <w:color w:val="000000" w:themeColor="text1"/>
              </w:rPr>
              <w:t>；</w:t>
            </w:r>
            <w:r>
              <w:rPr>
                <w:rFonts w:hint="eastAsia" w:eastAsia="等线" w:cs="宋体"/>
                <w:color w:val="000000" w:themeColor="text1"/>
              </w:rPr>
              <w:t>RAID</w:t>
            </w:r>
            <w:r>
              <w:rPr>
                <w:rFonts w:hint="eastAsia" w:ascii="仿宋_GB2312" w:hAnsi="宋体" w:cs="宋体"/>
                <w:color w:val="000000" w:themeColor="text1"/>
              </w:rPr>
              <w:t>：板载集成支持</w:t>
            </w:r>
            <w:r>
              <w:rPr>
                <w:rFonts w:hint="eastAsia" w:eastAsia="等线" w:cs="宋体"/>
                <w:color w:val="000000" w:themeColor="text1"/>
              </w:rPr>
              <w:t>0,1,10</w:t>
            </w:r>
            <w:r>
              <w:rPr>
                <w:rFonts w:hint="eastAsia" w:ascii="仿宋_GB2312" w:hAnsi="宋体" w:cs="宋体"/>
                <w:color w:val="000000" w:themeColor="text1"/>
              </w:rPr>
              <w:t>；光驱：无</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28</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可视化服务器软件</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包含中心管理服务，权限管理服务，云台控制，</w:t>
            </w:r>
            <w:r>
              <w:rPr>
                <w:rFonts w:hint="eastAsia" w:eastAsia="等线" w:cs="宋体"/>
                <w:color w:val="000000" w:themeColor="text1"/>
              </w:rPr>
              <w:t>web</w:t>
            </w:r>
            <w:r>
              <w:rPr>
                <w:rFonts w:hint="eastAsia" w:ascii="仿宋_GB2312" w:hAnsi="宋体" w:cs="宋体"/>
                <w:color w:val="000000" w:themeColor="text1"/>
              </w:rPr>
              <w:t>管理服务等基础服务。用户管理、设备管理、报警管理、云镜控制、矩阵控制、大屏管理、转发负载均衡，支持分布式扩展。大屏显示窗口的管理、场景控制、信号切换等。可以实现所有输入信号的实时预览，软件回显。</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29</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可视化客户端软件</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支持可视化触控操作，不支持多客户端同时连接。不需要服务器支持。安装于台式机或移动平板电脑。应急指挥室大厅指挥长席位</w:t>
            </w:r>
            <w:r>
              <w:rPr>
                <w:rFonts w:hint="eastAsia" w:eastAsia="等线" w:cs="宋体"/>
                <w:color w:val="000000" w:themeColor="text1"/>
              </w:rPr>
              <w:t>1</w:t>
            </w:r>
            <w:r>
              <w:rPr>
                <w:rFonts w:hint="eastAsia" w:ascii="仿宋_GB2312" w:hAnsi="宋体" w:cs="宋体"/>
                <w:color w:val="000000" w:themeColor="text1"/>
              </w:rPr>
              <w:t>固定电脑，</w:t>
            </w:r>
            <w:r>
              <w:rPr>
                <w:rFonts w:hint="eastAsia" w:eastAsia="等线" w:cs="宋体"/>
                <w:color w:val="000000" w:themeColor="text1"/>
              </w:rPr>
              <w:t>1</w:t>
            </w:r>
            <w:r>
              <w:rPr>
                <w:rFonts w:hint="eastAsia" w:ascii="仿宋_GB2312" w:hAnsi="宋体" w:cs="宋体"/>
                <w:color w:val="000000" w:themeColor="text1"/>
              </w:rPr>
              <w:t>移动平板，</w:t>
            </w:r>
            <w:r>
              <w:rPr>
                <w:rFonts w:hint="eastAsia" w:eastAsia="等线" w:cs="宋体"/>
                <w:color w:val="000000" w:themeColor="text1"/>
              </w:rPr>
              <w:t>1</w:t>
            </w:r>
            <w:r>
              <w:rPr>
                <w:rFonts w:hint="eastAsia" w:ascii="仿宋_GB2312" w:hAnsi="宋体" w:cs="宋体"/>
                <w:color w:val="000000" w:themeColor="text1"/>
              </w:rPr>
              <w:t>视频会议室和会商室移动平板</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3</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30</w:t>
            </w:r>
          </w:p>
        </w:tc>
        <w:tc>
          <w:tcPr>
            <w:tcW w:w="1176"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应急指挥室席位终端</w:t>
            </w: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高清视频解码器</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单台设备</w:t>
            </w:r>
            <w:r>
              <w:rPr>
                <w:rFonts w:hint="eastAsia" w:eastAsia="等线" w:cs="宋体"/>
                <w:color w:val="000000" w:themeColor="text1"/>
              </w:rPr>
              <w:t>9</w:t>
            </w:r>
            <w:r>
              <w:rPr>
                <w:rFonts w:hint="eastAsia" w:ascii="仿宋_GB2312" w:hAnsi="宋体" w:cs="宋体"/>
                <w:color w:val="000000" w:themeColor="text1"/>
              </w:rPr>
              <w:t>路</w:t>
            </w:r>
            <w:r>
              <w:rPr>
                <w:rFonts w:hint="eastAsia" w:eastAsia="等线" w:cs="宋体"/>
                <w:color w:val="000000" w:themeColor="text1"/>
              </w:rPr>
              <w:t>VGA&amp;HDMI</w:t>
            </w:r>
            <w:r>
              <w:rPr>
                <w:rFonts w:hint="eastAsia" w:ascii="仿宋_GB2312" w:hAnsi="宋体" w:cs="宋体"/>
                <w:color w:val="000000" w:themeColor="text1"/>
              </w:rPr>
              <w:t>输出；支持</w:t>
            </w:r>
            <w:r>
              <w:rPr>
                <w:rFonts w:hint="eastAsia" w:eastAsia="等线" w:cs="宋体"/>
                <w:color w:val="000000" w:themeColor="text1"/>
              </w:rPr>
              <w:t>MPEG4/H.264/MJPEG</w:t>
            </w:r>
            <w:r>
              <w:rPr>
                <w:rFonts w:hint="eastAsia" w:ascii="仿宋_GB2312" w:hAnsi="宋体" w:cs="宋体"/>
                <w:color w:val="000000" w:themeColor="text1"/>
              </w:rPr>
              <w:t>标准网络视频流解码；设备最大支持</w:t>
            </w:r>
            <w:r>
              <w:rPr>
                <w:rFonts w:hint="eastAsia" w:eastAsia="等线" w:cs="宋体"/>
                <w:color w:val="000000" w:themeColor="text1"/>
              </w:rPr>
              <w:t xml:space="preserve"> 2</w:t>
            </w:r>
            <w:r>
              <w:rPr>
                <w:rFonts w:hint="eastAsia" w:ascii="仿宋_GB2312" w:hAnsi="宋体" w:cs="宋体"/>
                <w:color w:val="000000" w:themeColor="text1"/>
              </w:rPr>
              <w:t>路</w:t>
            </w:r>
            <w:r>
              <w:rPr>
                <w:rFonts w:hint="eastAsia" w:eastAsia="等线" w:cs="宋体"/>
                <w:color w:val="000000" w:themeColor="text1"/>
              </w:rPr>
              <w:t>800w@13fps</w:t>
            </w:r>
            <w:r>
              <w:rPr>
                <w:rFonts w:hint="eastAsia" w:ascii="仿宋_GB2312" w:hAnsi="宋体" w:cs="宋体"/>
                <w:color w:val="000000" w:themeColor="text1"/>
              </w:rPr>
              <w:t>（</w:t>
            </w:r>
            <w:r>
              <w:rPr>
                <w:rFonts w:hint="eastAsia" w:eastAsia="等线" w:cs="宋体"/>
                <w:color w:val="000000" w:themeColor="text1"/>
              </w:rPr>
              <w:t>1-2</w:t>
            </w:r>
            <w:r>
              <w:rPr>
                <w:rFonts w:hint="eastAsia" w:ascii="仿宋_GB2312" w:hAnsi="宋体" w:cs="宋体"/>
                <w:color w:val="000000" w:themeColor="text1"/>
              </w:rPr>
              <w:t>输出口任意一个，</w:t>
            </w:r>
            <w:r>
              <w:rPr>
                <w:rFonts w:hint="eastAsia" w:eastAsia="等线" w:cs="宋体"/>
                <w:color w:val="000000" w:themeColor="text1"/>
              </w:rPr>
              <w:t>5-6</w:t>
            </w:r>
            <w:r>
              <w:rPr>
                <w:rFonts w:hint="eastAsia" w:ascii="仿宋_GB2312" w:hAnsi="宋体" w:cs="宋体"/>
                <w:color w:val="000000" w:themeColor="text1"/>
              </w:rPr>
              <w:t>输出口任意一个），</w:t>
            </w:r>
            <w:r>
              <w:rPr>
                <w:rFonts w:hint="eastAsia" w:eastAsia="等线" w:cs="宋体"/>
                <w:color w:val="000000" w:themeColor="text1"/>
              </w:rPr>
              <w:t>2</w:t>
            </w:r>
            <w:r>
              <w:rPr>
                <w:rFonts w:hint="eastAsia" w:ascii="仿宋_GB2312" w:hAnsi="宋体" w:cs="宋体"/>
                <w:color w:val="000000" w:themeColor="text1"/>
              </w:rPr>
              <w:t>路</w:t>
            </w:r>
            <w:r>
              <w:rPr>
                <w:rFonts w:hint="eastAsia" w:eastAsia="等线" w:cs="宋体"/>
                <w:color w:val="000000" w:themeColor="text1"/>
              </w:rPr>
              <w:t>500w</w:t>
            </w:r>
            <w:r>
              <w:rPr>
                <w:rFonts w:hint="eastAsia" w:ascii="仿宋_GB2312" w:hAnsi="宋体" w:cs="宋体"/>
                <w:color w:val="000000" w:themeColor="text1"/>
              </w:rPr>
              <w:t>实时解码（</w:t>
            </w:r>
            <w:r>
              <w:rPr>
                <w:rFonts w:hint="eastAsia" w:eastAsia="等线" w:cs="宋体"/>
                <w:color w:val="000000" w:themeColor="text1"/>
              </w:rPr>
              <w:t>1-2</w:t>
            </w:r>
            <w:r>
              <w:rPr>
                <w:rFonts w:hint="eastAsia" w:ascii="仿宋_GB2312" w:hAnsi="宋体" w:cs="宋体"/>
                <w:color w:val="000000" w:themeColor="text1"/>
              </w:rPr>
              <w:t>输出口任意一个，</w:t>
            </w:r>
            <w:r>
              <w:rPr>
                <w:rFonts w:hint="eastAsia" w:eastAsia="等线" w:cs="宋体"/>
                <w:color w:val="000000" w:themeColor="text1"/>
              </w:rPr>
              <w:t>5-6</w:t>
            </w:r>
            <w:r>
              <w:rPr>
                <w:rFonts w:hint="eastAsia" w:ascii="仿宋_GB2312" w:hAnsi="宋体" w:cs="宋体"/>
                <w:color w:val="000000" w:themeColor="text1"/>
              </w:rPr>
              <w:t>输出口任意一个），</w:t>
            </w:r>
            <w:r>
              <w:rPr>
                <w:rFonts w:hint="eastAsia" w:eastAsia="等线" w:cs="宋体"/>
                <w:color w:val="000000" w:themeColor="text1"/>
              </w:rPr>
              <w:t xml:space="preserve">8 </w:t>
            </w:r>
            <w:r>
              <w:rPr>
                <w:rFonts w:hint="eastAsia" w:ascii="仿宋_GB2312" w:hAnsi="宋体" w:cs="宋体"/>
                <w:color w:val="000000" w:themeColor="text1"/>
              </w:rPr>
              <w:t>路</w:t>
            </w:r>
            <w:r>
              <w:rPr>
                <w:rFonts w:hint="eastAsia" w:eastAsia="等线" w:cs="宋体"/>
                <w:color w:val="000000" w:themeColor="text1"/>
              </w:rPr>
              <w:t xml:space="preserve"> 500w </w:t>
            </w:r>
            <w:r>
              <w:rPr>
                <w:rFonts w:hint="eastAsia" w:ascii="仿宋_GB2312" w:hAnsi="宋体" w:cs="宋体"/>
                <w:color w:val="000000" w:themeColor="text1"/>
              </w:rPr>
              <w:t>图像非实时解码输出，</w:t>
            </w:r>
            <w:r>
              <w:rPr>
                <w:rFonts w:hint="eastAsia" w:eastAsia="等线" w:cs="宋体"/>
                <w:color w:val="000000" w:themeColor="text1"/>
              </w:rPr>
              <w:t xml:space="preserve">8 </w:t>
            </w:r>
            <w:r>
              <w:rPr>
                <w:rFonts w:hint="eastAsia" w:ascii="仿宋_GB2312" w:hAnsi="宋体" w:cs="宋体"/>
                <w:color w:val="000000" w:themeColor="text1"/>
              </w:rPr>
              <w:t>路</w:t>
            </w:r>
            <w:r>
              <w:rPr>
                <w:rFonts w:hint="eastAsia" w:eastAsia="等线" w:cs="宋体"/>
                <w:color w:val="000000" w:themeColor="text1"/>
              </w:rPr>
              <w:t xml:space="preserve"> 300w </w:t>
            </w:r>
            <w:r>
              <w:rPr>
                <w:rFonts w:hint="eastAsia" w:ascii="仿宋_GB2312" w:hAnsi="宋体" w:cs="宋体"/>
                <w:color w:val="000000" w:themeColor="text1"/>
              </w:rPr>
              <w:t>图像非实时解码输出，</w:t>
            </w:r>
            <w:r>
              <w:rPr>
                <w:rFonts w:hint="eastAsia" w:eastAsia="等线" w:cs="宋体"/>
                <w:color w:val="000000" w:themeColor="text1"/>
              </w:rPr>
              <w:t xml:space="preserve">9 </w:t>
            </w:r>
            <w:r>
              <w:rPr>
                <w:rFonts w:hint="eastAsia" w:ascii="仿宋_GB2312" w:hAnsi="宋体" w:cs="宋体"/>
                <w:color w:val="000000" w:themeColor="text1"/>
              </w:rPr>
              <w:t>路</w:t>
            </w:r>
            <w:r>
              <w:rPr>
                <w:rFonts w:hint="eastAsia" w:eastAsia="等线" w:cs="宋体"/>
                <w:color w:val="000000" w:themeColor="text1"/>
              </w:rPr>
              <w:t xml:space="preserve"> 1080P </w:t>
            </w:r>
            <w:r>
              <w:rPr>
                <w:rFonts w:hint="eastAsia" w:ascii="仿宋_GB2312" w:hAnsi="宋体" w:cs="宋体"/>
                <w:color w:val="000000" w:themeColor="text1"/>
              </w:rPr>
              <w:t>图像解码输出，</w:t>
            </w:r>
            <w:r>
              <w:rPr>
                <w:rFonts w:hint="eastAsia" w:eastAsia="等线" w:cs="宋体"/>
                <w:color w:val="000000" w:themeColor="text1"/>
              </w:rPr>
              <w:t xml:space="preserve">33 </w:t>
            </w:r>
            <w:r>
              <w:rPr>
                <w:rFonts w:hint="eastAsia" w:ascii="仿宋_GB2312" w:hAnsi="宋体" w:cs="宋体"/>
                <w:color w:val="000000" w:themeColor="text1"/>
              </w:rPr>
              <w:t>路</w:t>
            </w:r>
            <w:r>
              <w:rPr>
                <w:rFonts w:hint="eastAsia" w:eastAsia="等线" w:cs="宋体"/>
                <w:color w:val="000000" w:themeColor="text1"/>
              </w:rPr>
              <w:t xml:space="preserve"> 720P </w:t>
            </w:r>
            <w:r>
              <w:rPr>
                <w:rFonts w:hint="eastAsia" w:ascii="仿宋_GB2312" w:hAnsi="宋体" w:cs="宋体"/>
                <w:color w:val="000000" w:themeColor="text1"/>
              </w:rPr>
              <w:t>图像解码输出，</w:t>
            </w:r>
            <w:r>
              <w:rPr>
                <w:rFonts w:hint="eastAsia" w:eastAsia="等线" w:cs="宋体"/>
                <w:color w:val="000000" w:themeColor="text1"/>
              </w:rPr>
              <w:t xml:space="preserve">44 </w:t>
            </w:r>
            <w:r>
              <w:rPr>
                <w:rFonts w:hint="eastAsia" w:ascii="仿宋_GB2312" w:hAnsi="宋体" w:cs="宋体"/>
                <w:color w:val="000000" w:themeColor="text1"/>
              </w:rPr>
              <w:t>路</w:t>
            </w:r>
            <w:r>
              <w:rPr>
                <w:rFonts w:hint="eastAsia" w:eastAsia="等线" w:cs="宋体"/>
                <w:color w:val="000000" w:themeColor="text1"/>
              </w:rPr>
              <w:t xml:space="preserve"> 960H </w:t>
            </w:r>
            <w:r>
              <w:rPr>
                <w:rFonts w:hint="eastAsia" w:ascii="仿宋_GB2312" w:hAnsi="宋体" w:cs="宋体"/>
                <w:color w:val="000000" w:themeColor="text1"/>
              </w:rPr>
              <w:t>图像解码器输出，</w:t>
            </w:r>
            <w:r>
              <w:rPr>
                <w:rFonts w:hint="eastAsia" w:eastAsia="等线" w:cs="宋体"/>
                <w:color w:val="000000" w:themeColor="text1"/>
              </w:rPr>
              <w:t xml:space="preserve">48 </w:t>
            </w:r>
            <w:r>
              <w:rPr>
                <w:rFonts w:hint="eastAsia" w:ascii="仿宋_GB2312" w:hAnsi="宋体" w:cs="宋体"/>
                <w:color w:val="000000" w:themeColor="text1"/>
              </w:rPr>
              <w:t>路</w:t>
            </w:r>
            <w:r>
              <w:rPr>
                <w:rFonts w:hint="eastAsia" w:eastAsia="等线" w:cs="宋体"/>
                <w:color w:val="000000" w:themeColor="text1"/>
              </w:rPr>
              <w:t xml:space="preserve"> D1 </w:t>
            </w:r>
            <w:r>
              <w:rPr>
                <w:rFonts w:hint="eastAsia" w:ascii="仿宋_GB2312" w:hAnsi="宋体" w:cs="宋体"/>
                <w:color w:val="000000" w:themeColor="text1"/>
              </w:rPr>
              <w:t>图像解码输出</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31</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接警席位工作主机</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i7/8G</w:t>
            </w:r>
            <w:r>
              <w:rPr>
                <w:rFonts w:hint="eastAsia" w:ascii="仿宋_GB2312" w:cs="宋体"/>
                <w:color w:val="000000" w:themeColor="text1"/>
              </w:rPr>
              <w:t>内存</w:t>
            </w:r>
            <w:r>
              <w:rPr>
                <w:rFonts w:hint="eastAsia" w:eastAsia="等线" w:cs="宋体"/>
                <w:color w:val="000000" w:themeColor="text1"/>
              </w:rPr>
              <w:t>/256G SSD/1T</w:t>
            </w:r>
            <w:r>
              <w:rPr>
                <w:rFonts w:hint="eastAsia" w:ascii="仿宋_GB2312" w:cs="宋体"/>
                <w:color w:val="000000" w:themeColor="text1"/>
              </w:rPr>
              <w:t>硬盘</w:t>
            </w:r>
            <w:r>
              <w:rPr>
                <w:rFonts w:hint="eastAsia" w:eastAsia="等线" w:cs="宋体"/>
                <w:color w:val="000000" w:themeColor="text1"/>
                <w:szCs w:val="21"/>
              </w:rPr>
              <w:t> </w:t>
            </w:r>
            <w:r>
              <w:rPr>
                <w:rFonts w:hint="eastAsia" w:eastAsia="等线" w:cs="宋体"/>
                <w:color w:val="000000" w:themeColor="text1"/>
              </w:rPr>
              <w:t>WIN7 64</w:t>
            </w:r>
            <w:r>
              <w:rPr>
                <w:rFonts w:hint="eastAsia" w:ascii="仿宋_GB2312" w:cs="宋体"/>
                <w:color w:val="000000" w:themeColor="text1"/>
              </w:rPr>
              <w:t>专业版</w:t>
            </w:r>
            <w:r>
              <w:rPr>
                <w:rFonts w:hint="eastAsia" w:eastAsia="等线" w:cs="宋体"/>
                <w:color w:val="000000" w:themeColor="text1"/>
              </w:rPr>
              <w:t>/</w:t>
            </w:r>
            <w:r>
              <w:rPr>
                <w:rFonts w:hint="eastAsia" w:ascii="仿宋_GB2312" w:cs="宋体"/>
                <w:color w:val="000000" w:themeColor="text1"/>
              </w:rPr>
              <w:t>支持一机三屏</w:t>
            </w:r>
            <w:r>
              <w:rPr>
                <w:rFonts w:hint="eastAsia" w:eastAsia="等线" w:cs="宋体"/>
                <w:color w:val="000000" w:themeColor="text1"/>
              </w:rPr>
              <w:t>/</w:t>
            </w:r>
            <w:r>
              <w:rPr>
                <w:rFonts w:hint="eastAsia" w:ascii="仿宋_GB2312" w:cs="宋体"/>
                <w:color w:val="000000" w:themeColor="text1"/>
              </w:rPr>
              <w:t>键盘鼠标</w:t>
            </w:r>
            <w:r>
              <w:rPr>
                <w:rFonts w:hint="eastAsia" w:eastAsia="等线" w:cs="宋体"/>
                <w:color w:val="000000" w:themeColor="text1"/>
              </w:rPr>
              <w:t>/</w:t>
            </w:r>
            <w:r>
              <w:rPr>
                <w:rFonts w:hint="eastAsia" w:ascii="仿宋_GB2312" w:cs="宋体"/>
                <w:color w:val="000000" w:themeColor="text1"/>
              </w:rPr>
              <w:t>原厂</w:t>
            </w:r>
            <w:r>
              <w:rPr>
                <w:rFonts w:eastAsia="等线" w:cs="宋体"/>
                <w:color w:val="000000" w:themeColor="text1"/>
              </w:rPr>
              <w:t>5</w:t>
            </w:r>
            <w:r>
              <w:rPr>
                <w:rFonts w:hint="eastAsia" w:ascii="仿宋_GB2312" w:cs="宋体"/>
                <w:color w:val="000000" w:themeColor="text1"/>
              </w:rPr>
              <w:t>年质保</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6</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32</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综合业务席位工作主机</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i5/8G/256G SSD/1T</w:t>
            </w:r>
            <w:r>
              <w:rPr>
                <w:rFonts w:hint="eastAsia" w:ascii="仿宋_GB2312" w:cs="宋体"/>
                <w:color w:val="000000" w:themeColor="text1"/>
              </w:rPr>
              <w:t>硬盘</w:t>
            </w:r>
            <w:r>
              <w:rPr>
                <w:rFonts w:hint="eastAsia" w:eastAsia="等线" w:cs="宋体"/>
                <w:color w:val="000000" w:themeColor="text1"/>
                <w:szCs w:val="21"/>
              </w:rPr>
              <w:t> </w:t>
            </w:r>
            <w:r>
              <w:rPr>
                <w:rFonts w:hint="eastAsia" w:eastAsia="等线" w:cs="宋体"/>
                <w:color w:val="000000" w:themeColor="text1"/>
              </w:rPr>
              <w:t>2GB</w:t>
            </w:r>
            <w:r>
              <w:rPr>
                <w:rFonts w:hint="eastAsia" w:ascii="仿宋_GB2312" w:cs="宋体"/>
                <w:color w:val="000000" w:themeColor="text1"/>
              </w:rPr>
              <w:t>独显</w:t>
            </w:r>
            <w:r>
              <w:rPr>
                <w:rFonts w:hint="eastAsia" w:eastAsia="等线" w:cs="宋体"/>
                <w:color w:val="000000" w:themeColor="text1"/>
              </w:rPr>
              <w:t>/WIN7 64</w:t>
            </w:r>
            <w:r>
              <w:rPr>
                <w:rFonts w:hint="eastAsia" w:ascii="仿宋_GB2312" w:cs="宋体"/>
                <w:color w:val="000000" w:themeColor="text1"/>
              </w:rPr>
              <w:t>位</w:t>
            </w:r>
            <w:r>
              <w:rPr>
                <w:rFonts w:hint="eastAsia" w:eastAsia="等线" w:cs="宋体"/>
                <w:color w:val="000000" w:themeColor="text1"/>
              </w:rPr>
              <w:t>/</w:t>
            </w:r>
            <w:r>
              <w:rPr>
                <w:rFonts w:hint="eastAsia" w:ascii="仿宋_GB2312" w:cs="宋体"/>
                <w:color w:val="000000" w:themeColor="text1"/>
              </w:rPr>
              <w:t>键盘鼠标</w:t>
            </w:r>
            <w:r>
              <w:rPr>
                <w:rFonts w:hint="eastAsia" w:eastAsia="等线" w:cs="宋体"/>
                <w:color w:val="000000" w:themeColor="text1"/>
              </w:rPr>
              <w:t>/</w:t>
            </w:r>
            <w:r>
              <w:rPr>
                <w:rFonts w:hint="eastAsia" w:ascii="仿宋_GB2312" w:cs="宋体"/>
                <w:color w:val="000000" w:themeColor="text1"/>
              </w:rPr>
              <w:t>原厂</w:t>
            </w:r>
            <w:r>
              <w:rPr>
                <w:rFonts w:eastAsia="等线" w:cs="宋体"/>
                <w:color w:val="000000" w:themeColor="text1"/>
              </w:rPr>
              <w:t>5</w:t>
            </w:r>
            <w:r>
              <w:rPr>
                <w:rFonts w:hint="eastAsia" w:ascii="仿宋_GB2312" w:cs="宋体"/>
                <w:color w:val="000000" w:themeColor="text1"/>
              </w:rPr>
              <w:t>年质保</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9</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33</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高清显示器</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21.5</w:t>
            </w:r>
            <w:r>
              <w:rPr>
                <w:rFonts w:hint="eastAsia" w:ascii="仿宋_GB2312" w:cs="宋体"/>
                <w:color w:val="000000" w:themeColor="text1"/>
              </w:rPr>
              <w:t>英寸，宽屏，屏幕比例</w:t>
            </w:r>
            <w:r>
              <w:rPr>
                <w:rFonts w:hint="eastAsia" w:eastAsia="等线" w:cs="宋体"/>
                <w:color w:val="000000" w:themeColor="text1"/>
              </w:rPr>
              <w:t>16</w:t>
            </w:r>
            <w:r>
              <w:rPr>
                <w:rFonts w:hint="eastAsia" w:ascii="仿宋_GB2312" w:cs="宋体"/>
                <w:color w:val="000000" w:themeColor="text1"/>
              </w:rPr>
              <w:t>：</w:t>
            </w:r>
            <w:r>
              <w:rPr>
                <w:rFonts w:hint="eastAsia" w:eastAsia="等线" w:cs="宋体"/>
                <w:color w:val="000000" w:themeColor="text1"/>
              </w:rPr>
              <w:t>9</w:t>
            </w:r>
            <w:r>
              <w:rPr>
                <w:rFonts w:hint="eastAsia" w:ascii="仿宋_GB2312" w:cs="宋体"/>
                <w:color w:val="000000" w:themeColor="text1"/>
              </w:rPr>
              <w:t>，最佳分辨率</w:t>
            </w:r>
            <w:r>
              <w:rPr>
                <w:rFonts w:hint="eastAsia" w:eastAsia="等线" w:cs="宋体"/>
                <w:color w:val="000000" w:themeColor="text1"/>
              </w:rPr>
              <w:t>1920x1080</w:t>
            </w:r>
            <w:r>
              <w:rPr>
                <w:rFonts w:hint="eastAsia" w:ascii="仿宋_GB2312" w:cs="宋体"/>
                <w:color w:val="000000" w:themeColor="text1"/>
              </w:rPr>
              <w:t>，接口：</w:t>
            </w:r>
            <w:r>
              <w:rPr>
                <w:rFonts w:hint="eastAsia" w:eastAsia="等线" w:cs="宋体"/>
                <w:color w:val="000000" w:themeColor="text1"/>
              </w:rPr>
              <w:t>VGA 1</w:t>
            </w:r>
            <w:r>
              <w:rPr>
                <w:rFonts w:hint="eastAsia" w:ascii="仿宋_GB2312" w:cs="宋体"/>
                <w:color w:val="000000" w:themeColor="text1"/>
              </w:rPr>
              <w:t>个，</w:t>
            </w:r>
            <w:r>
              <w:rPr>
                <w:rFonts w:hint="eastAsia" w:eastAsia="等线" w:cs="宋体"/>
                <w:color w:val="000000" w:themeColor="text1"/>
              </w:rPr>
              <w:t>DVI 1</w:t>
            </w:r>
            <w:r>
              <w:rPr>
                <w:rFonts w:hint="eastAsia" w:ascii="仿宋_GB2312" w:cs="宋体"/>
                <w:color w:val="000000" w:themeColor="text1"/>
              </w:rPr>
              <w:t>个；</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30</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34</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触控转轴式升降一体终端</w:t>
            </w: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1</w:t>
            </w:r>
            <w:r>
              <w:rPr>
                <w:rFonts w:hint="eastAsia" w:ascii="仿宋_GB2312" w:cs="宋体"/>
                <w:color w:val="000000" w:themeColor="text1"/>
              </w:rPr>
              <w:t>、一体显示器：</w:t>
            </w:r>
            <w:r>
              <w:rPr>
                <w:rFonts w:hint="eastAsia" w:eastAsia="等线" w:cs="宋体"/>
                <w:color w:val="000000" w:themeColor="text1"/>
              </w:rPr>
              <w:t>15.6</w:t>
            </w:r>
            <w:r>
              <w:rPr>
                <w:rFonts w:hint="eastAsia" w:ascii="仿宋_GB2312" w:cs="宋体"/>
                <w:color w:val="000000" w:themeColor="text1"/>
              </w:rPr>
              <w:t>寸高亮真彩液晶宽屏，屏分辨率</w:t>
            </w:r>
            <w:r>
              <w:rPr>
                <w:rFonts w:hint="eastAsia" w:eastAsia="等线" w:cs="宋体"/>
                <w:color w:val="000000" w:themeColor="text1"/>
              </w:rPr>
              <w:t>1920*1080dpi</w:t>
            </w:r>
            <w:r>
              <w:rPr>
                <w:rFonts w:hint="eastAsia" w:ascii="仿宋_GB2312" w:cs="宋体"/>
                <w:color w:val="000000" w:themeColor="text1"/>
              </w:rPr>
              <w:t>，</w:t>
            </w:r>
            <w:r>
              <w:rPr>
                <w:rFonts w:hint="eastAsia" w:eastAsia="等线" w:cs="宋体"/>
                <w:color w:val="000000" w:themeColor="text1"/>
              </w:rPr>
              <w:t>IPS</w:t>
            </w:r>
            <w:r>
              <w:rPr>
                <w:rFonts w:hint="eastAsia" w:ascii="仿宋_GB2312" w:cs="宋体"/>
                <w:color w:val="000000" w:themeColor="text1"/>
              </w:rPr>
              <w:t>视网膜高清屏；视角水平视角</w:t>
            </w:r>
            <w:r>
              <w:rPr>
                <w:rFonts w:hint="eastAsia" w:eastAsia="等线" w:cs="宋体"/>
                <w:color w:val="000000" w:themeColor="text1"/>
              </w:rPr>
              <w:t>(</w:t>
            </w:r>
            <w:r>
              <w:rPr>
                <w:rFonts w:hint="eastAsia" w:ascii="仿宋_GB2312" w:cs="宋体"/>
                <w:color w:val="000000" w:themeColor="text1"/>
              </w:rPr>
              <w:t>度</w:t>
            </w:r>
            <w:r>
              <w:rPr>
                <w:rFonts w:hint="eastAsia" w:eastAsia="等线" w:cs="宋体"/>
                <w:color w:val="000000" w:themeColor="text1"/>
              </w:rPr>
              <w:t>)0~176</w:t>
            </w:r>
            <w:r>
              <w:rPr>
                <w:rFonts w:hint="eastAsia" w:ascii="仿宋_GB2312" w:cs="宋体"/>
                <w:color w:val="000000" w:themeColor="text1"/>
              </w:rPr>
              <w:t>度，亮度</w:t>
            </w:r>
            <w:r>
              <w:rPr>
                <w:rFonts w:hint="eastAsia" w:eastAsia="等线" w:cs="宋体"/>
                <w:color w:val="000000" w:themeColor="text1"/>
              </w:rPr>
              <w:t>400cd/m2</w:t>
            </w:r>
            <w:r>
              <w:rPr>
                <w:rFonts w:hint="eastAsia" w:ascii="仿宋_GB2312" w:cs="宋体"/>
                <w:color w:val="000000" w:themeColor="text1"/>
              </w:rPr>
              <w:t>，垂直视角（度）</w:t>
            </w:r>
            <w:r>
              <w:rPr>
                <w:rFonts w:hint="eastAsia" w:eastAsia="等线" w:cs="宋体"/>
                <w:color w:val="000000" w:themeColor="text1"/>
              </w:rPr>
              <w:t>30~150</w:t>
            </w:r>
            <w:r>
              <w:rPr>
                <w:rFonts w:hint="eastAsia" w:ascii="仿宋_GB2312" w:cs="宋体"/>
                <w:color w:val="000000" w:themeColor="text1"/>
              </w:rPr>
              <w:t>度；屏幕比例</w:t>
            </w:r>
            <w:r>
              <w:rPr>
                <w:rFonts w:hint="eastAsia" w:eastAsia="等线" w:cs="宋体"/>
                <w:color w:val="000000" w:themeColor="text1"/>
              </w:rPr>
              <w:t>16:9</w:t>
            </w:r>
            <w:r>
              <w:rPr>
                <w:rFonts w:hint="eastAsia" w:ascii="仿宋_GB2312" w:cs="宋体"/>
                <w:color w:val="000000" w:themeColor="text1"/>
              </w:rPr>
              <w:t>；</w:t>
            </w:r>
          </w:p>
        </w:tc>
        <w:tc>
          <w:tcPr>
            <w:tcW w:w="775"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5</w:t>
            </w:r>
          </w:p>
        </w:tc>
        <w:tc>
          <w:tcPr>
            <w:tcW w:w="456" w:type="dxa"/>
            <w:vMerge w:val="restart"/>
            <w:tcBorders>
              <w:top w:val="nil"/>
              <w:left w:val="single" w:color="auto" w:sz="8" w:space="0"/>
              <w:bottom w:val="single" w:color="000000"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2</w:t>
            </w:r>
            <w:r>
              <w:rPr>
                <w:rFonts w:hint="eastAsia" w:ascii="仿宋_GB2312" w:cs="宋体"/>
                <w:color w:val="000000" w:themeColor="text1"/>
              </w:rPr>
              <w:t>、一体触摸屏：电容屏，支持</w:t>
            </w:r>
            <w:r>
              <w:rPr>
                <w:rFonts w:hint="eastAsia" w:eastAsia="等线" w:cs="宋体"/>
                <w:color w:val="000000" w:themeColor="text1"/>
              </w:rPr>
              <w:t>10</w:t>
            </w:r>
            <w:r>
              <w:rPr>
                <w:rFonts w:hint="eastAsia" w:ascii="仿宋_GB2312" w:cs="宋体"/>
                <w:color w:val="000000" w:themeColor="text1"/>
              </w:rPr>
              <w:t>点触控</w:t>
            </w:r>
            <w:r>
              <w:rPr>
                <w:rFonts w:hint="eastAsia" w:eastAsia="等线" w:cs="宋体"/>
                <w:color w:val="000000" w:themeColor="text1"/>
              </w:rPr>
              <w:t>,</w:t>
            </w:r>
            <w:r>
              <w:rPr>
                <w:rFonts w:hint="eastAsia" w:ascii="仿宋_GB2312" w:cs="宋体"/>
                <w:color w:val="000000" w:themeColor="text1"/>
              </w:rPr>
              <w:t>感应力度</w:t>
            </w:r>
            <w:r>
              <w:rPr>
                <w:rFonts w:hint="eastAsia" w:eastAsia="等线" w:cs="宋体"/>
                <w:color w:val="000000" w:themeColor="text1"/>
              </w:rPr>
              <w:t>&lt;=10g</w:t>
            </w:r>
            <w:r>
              <w:rPr>
                <w:rFonts w:hint="eastAsia" w:ascii="仿宋_GB2312" w:cs="宋体"/>
                <w:color w:val="000000" w:themeColor="text1"/>
              </w:rPr>
              <w:t>，触摸反应时间</w:t>
            </w:r>
            <w:r>
              <w:rPr>
                <w:rFonts w:hint="eastAsia" w:eastAsia="等线" w:cs="宋体"/>
                <w:color w:val="000000" w:themeColor="text1"/>
              </w:rPr>
              <w:t>&lt;=5ms</w:t>
            </w:r>
            <w:r>
              <w:rPr>
                <w:rFonts w:hint="eastAsia" w:ascii="仿宋_GB2312" w:cs="宋体"/>
                <w:color w:val="000000" w:themeColor="text1"/>
              </w:rPr>
              <w:t>，动态对比度：</w:t>
            </w:r>
            <w:r>
              <w:rPr>
                <w:rFonts w:hint="eastAsia" w:eastAsia="等线" w:cs="宋体"/>
                <w:color w:val="000000" w:themeColor="text1"/>
              </w:rPr>
              <w:t>100000</w:t>
            </w:r>
            <w:r>
              <w:rPr>
                <w:rFonts w:hint="eastAsia" w:ascii="仿宋_GB2312" w:cs="宋体"/>
                <w:color w:val="000000" w:themeColor="text1"/>
              </w:rPr>
              <w:t>：</w:t>
            </w:r>
            <w:r>
              <w:rPr>
                <w:rFonts w:hint="eastAsia" w:eastAsia="等线" w:cs="宋体"/>
                <w:color w:val="000000" w:themeColor="text1"/>
              </w:rPr>
              <w:t>1</w:t>
            </w:r>
            <w:r>
              <w:rPr>
                <w:rFonts w:hint="eastAsia" w:ascii="仿宋_GB2312" w:cs="宋体"/>
                <w:color w:val="000000" w:themeColor="text1"/>
              </w:rPr>
              <w:t>；</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3</w:t>
            </w:r>
            <w:r>
              <w:rPr>
                <w:rFonts w:hint="eastAsia" w:ascii="仿宋_GB2312" w:cs="宋体"/>
                <w:color w:val="000000" w:themeColor="text1"/>
              </w:rPr>
              <w:t>、外观设计：屏体弧形设计，屏体厚度不大于</w:t>
            </w:r>
            <w:r>
              <w:rPr>
                <w:rFonts w:hint="eastAsia" w:eastAsia="等线" w:cs="宋体"/>
                <w:color w:val="000000" w:themeColor="text1"/>
              </w:rPr>
              <w:t>12mm</w:t>
            </w:r>
            <w:r>
              <w:rPr>
                <w:rFonts w:hint="eastAsia" w:ascii="仿宋_GB2312" w:cs="宋体"/>
                <w:color w:val="000000" w:themeColor="text1"/>
              </w:rPr>
              <w:t>，边缘弧形厚度不大于</w:t>
            </w:r>
            <w:r>
              <w:rPr>
                <w:rFonts w:hint="eastAsia" w:eastAsia="等线" w:cs="宋体"/>
                <w:color w:val="000000" w:themeColor="text1"/>
              </w:rPr>
              <w:t>5.5mm</w:t>
            </w:r>
            <w:r>
              <w:rPr>
                <w:rFonts w:hint="eastAsia" w:ascii="仿宋_GB2312" w:cs="宋体"/>
                <w:color w:val="000000" w:themeColor="text1"/>
              </w:rPr>
              <w:t>；</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4</w:t>
            </w:r>
            <w:r>
              <w:rPr>
                <w:rFonts w:hint="eastAsia" w:ascii="仿宋_GB2312" w:cs="宋体"/>
                <w:color w:val="000000" w:themeColor="text1"/>
              </w:rPr>
              <w:t>、升降系统：嵌入式转轴电动升降系统，自上而下顺装，按键控制升降及控制前后仰角</w:t>
            </w:r>
            <w:r>
              <w:rPr>
                <w:rFonts w:hint="eastAsia" w:eastAsia="等线" w:cs="宋体"/>
                <w:color w:val="000000" w:themeColor="text1"/>
              </w:rPr>
              <w:t>0-62</w:t>
            </w:r>
            <w:r>
              <w:rPr>
                <w:rFonts w:hint="eastAsia" w:ascii="仿宋_GB2312" w:cs="宋体"/>
                <w:color w:val="000000" w:themeColor="text1"/>
              </w:rPr>
              <w:t>度可调，面板尺寸</w:t>
            </w:r>
            <w:r>
              <w:rPr>
                <w:rFonts w:hint="eastAsia" w:eastAsia="等线" w:cs="宋体"/>
                <w:color w:val="000000" w:themeColor="text1"/>
              </w:rPr>
              <w:t>&lt;=420mm*68*4mm</w:t>
            </w:r>
            <w:r>
              <w:rPr>
                <w:rFonts w:hint="eastAsia" w:ascii="仿宋_GB2312" w:cs="宋体"/>
                <w:color w:val="000000" w:themeColor="text1"/>
              </w:rPr>
              <w:t>（长宽厚），箱体尺寸</w:t>
            </w:r>
            <w:r>
              <w:rPr>
                <w:rFonts w:hint="eastAsia" w:eastAsia="等线" w:cs="宋体"/>
                <w:color w:val="000000" w:themeColor="text1"/>
              </w:rPr>
              <w:t>&lt;=410mm*60*600mm</w:t>
            </w:r>
            <w:r>
              <w:rPr>
                <w:rFonts w:hint="eastAsia" w:ascii="仿宋_GB2312" w:cs="宋体"/>
                <w:color w:val="000000" w:themeColor="text1"/>
              </w:rPr>
              <w:t>（长宽高），具有电源保护功能，产品支持</w:t>
            </w:r>
            <w:r>
              <w:rPr>
                <w:rFonts w:hint="eastAsia" w:eastAsia="等线" w:cs="宋体"/>
                <w:color w:val="000000" w:themeColor="text1"/>
              </w:rPr>
              <w:t>RS-485</w:t>
            </w:r>
            <w:r>
              <w:rPr>
                <w:rFonts w:hint="eastAsia" w:ascii="仿宋_GB2312" w:cs="宋体"/>
                <w:color w:val="000000" w:themeColor="text1"/>
              </w:rPr>
              <w:t>通讯协议控制升降、仰俯；</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5</w:t>
            </w:r>
            <w:r>
              <w:rPr>
                <w:rFonts w:hint="eastAsia" w:ascii="仿宋_GB2312" w:cs="宋体"/>
                <w:color w:val="000000" w:themeColor="text1"/>
              </w:rPr>
              <w:t>、材质：产品全身为高档铝合金（包括升降器箱体）；</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6</w:t>
            </w:r>
            <w:r>
              <w:rPr>
                <w:rFonts w:hint="eastAsia" w:ascii="仿宋_GB2312" w:cs="宋体"/>
                <w:color w:val="000000" w:themeColor="text1"/>
              </w:rPr>
              <w:t>、信号切换功能：支持本地</w:t>
            </w:r>
            <w:r>
              <w:rPr>
                <w:rFonts w:hint="eastAsia" w:eastAsia="等线" w:cs="宋体"/>
                <w:color w:val="000000" w:themeColor="text1"/>
              </w:rPr>
              <w:t>VGA</w:t>
            </w:r>
            <w:r>
              <w:rPr>
                <w:rFonts w:hint="eastAsia" w:ascii="仿宋_GB2312" w:cs="宋体"/>
                <w:color w:val="000000" w:themeColor="text1"/>
              </w:rPr>
              <w:t>信号，外界</w:t>
            </w:r>
            <w:r>
              <w:rPr>
                <w:rFonts w:hint="eastAsia" w:eastAsia="等线" w:cs="宋体"/>
                <w:color w:val="000000" w:themeColor="text1"/>
              </w:rPr>
              <w:t>DVI</w:t>
            </w:r>
            <w:r>
              <w:rPr>
                <w:rFonts w:hint="eastAsia" w:ascii="仿宋_GB2312" w:cs="宋体"/>
                <w:color w:val="000000" w:themeColor="text1"/>
              </w:rPr>
              <w:t>及</w:t>
            </w:r>
            <w:r>
              <w:rPr>
                <w:rFonts w:hint="eastAsia" w:eastAsia="等线" w:cs="宋体"/>
                <w:color w:val="000000" w:themeColor="text1"/>
              </w:rPr>
              <w:t>HDMI</w:t>
            </w:r>
            <w:r>
              <w:rPr>
                <w:rFonts w:hint="eastAsia" w:ascii="仿宋_GB2312" w:cs="宋体"/>
                <w:color w:val="000000" w:themeColor="text1"/>
              </w:rPr>
              <w:t>信号三路信号切换，支持</w:t>
            </w:r>
            <w:r>
              <w:rPr>
                <w:rFonts w:hint="eastAsia" w:eastAsia="等线" w:cs="宋体"/>
                <w:color w:val="000000" w:themeColor="text1"/>
              </w:rPr>
              <w:t>RS485</w:t>
            </w:r>
            <w:r>
              <w:rPr>
                <w:rFonts w:hint="eastAsia" w:ascii="仿宋_GB2312" w:cs="宋体"/>
                <w:color w:val="000000" w:themeColor="text1"/>
              </w:rPr>
              <w:t>协议串口统一切换信号；</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7</w:t>
            </w:r>
            <w:r>
              <w:rPr>
                <w:rFonts w:hint="eastAsia" w:ascii="仿宋_GB2312" w:cs="宋体"/>
                <w:color w:val="000000" w:themeColor="text1"/>
              </w:rPr>
              <w:t>、工艺处理：铝合金表面采用微细拉丝处理或细磨砂处理；</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8</w:t>
            </w:r>
            <w:r>
              <w:rPr>
                <w:rFonts w:hint="eastAsia" w:ascii="仿宋_GB2312" w:cs="宋体"/>
                <w:color w:val="000000" w:themeColor="text1"/>
              </w:rPr>
              <w:t>、结构式三防（防夹手、防掉笔、防掉异物）；</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9</w:t>
            </w:r>
            <w:r>
              <w:rPr>
                <w:rFonts w:hint="eastAsia" w:ascii="仿宋_GB2312" w:cs="宋体"/>
                <w:color w:val="000000" w:themeColor="text1"/>
              </w:rPr>
              <w:t>、传动方式：采用双钢丝软传动设计；</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10</w:t>
            </w:r>
            <w:r>
              <w:rPr>
                <w:rFonts w:hint="eastAsia" w:ascii="仿宋_GB2312" w:cs="宋体"/>
                <w:color w:val="000000" w:themeColor="text1"/>
              </w:rPr>
              <w:t>、面板按键：上升键</w:t>
            </w:r>
            <w:r>
              <w:rPr>
                <w:rFonts w:hint="eastAsia" w:eastAsia="等线" w:cs="宋体"/>
                <w:color w:val="000000" w:themeColor="text1"/>
              </w:rPr>
              <w:t>(</w:t>
            </w:r>
            <w:r>
              <w:rPr>
                <w:rFonts w:hint="eastAsia" w:ascii="仿宋_GB2312" w:cs="宋体"/>
                <w:color w:val="000000" w:themeColor="text1"/>
              </w:rPr>
              <w:t>该按键同时支持仰角调节</w:t>
            </w:r>
            <w:r>
              <w:rPr>
                <w:rFonts w:hint="eastAsia" w:eastAsia="等线" w:cs="宋体"/>
                <w:color w:val="000000" w:themeColor="text1"/>
              </w:rPr>
              <w:t>)</w:t>
            </w:r>
            <w:r>
              <w:rPr>
                <w:rFonts w:hint="eastAsia" w:ascii="仿宋_GB2312" w:cs="宋体"/>
                <w:color w:val="000000" w:themeColor="text1"/>
              </w:rPr>
              <w:t>、下降键</w:t>
            </w:r>
            <w:r>
              <w:rPr>
                <w:rFonts w:hint="eastAsia" w:eastAsia="等线" w:cs="宋体"/>
                <w:color w:val="000000" w:themeColor="text1"/>
              </w:rPr>
              <w:t>(</w:t>
            </w:r>
            <w:r>
              <w:rPr>
                <w:rFonts w:hint="eastAsia" w:ascii="仿宋_GB2312" w:cs="宋体"/>
                <w:color w:val="000000" w:themeColor="text1"/>
              </w:rPr>
              <w:t>该按键同时支持仰角调节</w:t>
            </w:r>
            <w:r>
              <w:rPr>
                <w:rFonts w:hint="eastAsia" w:eastAsia="等线" w:cs="宋体"/>
                <w:color w:val="000000" w:themeColor="text1"/>
              </w:rPr>
              <w:t>)</w:t>
            </w:r>
            <w:r>
              <w:rPr>
                <w:rFonts w:hint="eastAsia" w:ascii="仿宋_GB2312" w:cs="宋体"/>
                <w:color w:val="000000" w:themeColor="text1"/>
              </w:rPr>
              <w:t>、停止按键、电脑开</w:t>
            </w:r>
            <w:r>
              <w:rPr>
                <w:rFonts w:hint="eastAsia" w:eastAsia="等线" w:cs="宋体"/>
                <w:color w:val="000000" w:themeColor="text1"/>
              </w:rPr>
              <w:t>/</w:t>
            </w:r>
            <w:r>
              <w:rPr>
                <w:rFonts w:hint="eastAsia" w:ascii="仿宋_GB2312" w:cs="宋体"/>
                <w:color w:val="000000" w:themeColor="text1"/>
              </w:rPr>
              <w:t>关机按键、</w:t>
            </w:r>
            <w:r>
              <w:rPr>
                <w:rFonts w:hint="eastAsia" w:eastAsia="等线" w:cs="宋体"/>
                <w:color w:val="000000" w:themeColor="text1"/>
              </w:rPr>
              <w:t>VGA</w:t>
            </w:r>
            <w:r>
              <w:rPr>
                <w:rFonts w:hint="eastAsia" w:ascii="仿宋_GB2312" w:cs="宋体"/>
                <w:color w:val="000000" w:themeColor="text1"/>
              </w:rPr>
              <w:t>／</w:t>
            </w:r>
            <w:r>
              <w:rPr>
                <w:rFonts w:hint="eastAsia" w:eastAsia="等线" w:cs="宋体"/>
                <w:color w:val="000000" w:themeColor="text1"/>
              </w:rPr>
              <w:t>HDMI</w:t>
            </w:r>
            <w:r>
              <w:rPr>
                <w:rFonts w:hint="eastAsia" w:ascii="仿宋_GB2312" w:cs="宋体"/>
                <w:color w:val="000000" w:themeColor="text1"/>
              </w:rPr>
              <w:t>／</w:t>
            </w:r>
            <w:r>
              <w:rPr>
                <w:rFonts w:hint="eastAsia" w:eastAsia="等线" w:cs="宋体"/>
                <w:color w:val="000000" w:themeColor="text1"/>
              </w:rPr>
              <w:t>HDMI</w:t>
            </w:r>
            <w:r>
              <w:rPr>
                <w:rFonts w:hint="eastAsia" w:ascii="仿宋_GB2312" w:cs="宋体"/>
                <w:color w:val="000000" w:themeColor="text1"/>
              </w:rPr>
              <w:t>三信号切换键、</w:t>
            </w:r>
            <w:r>
              <w:rPr>
                <w:rFonts w:hint="eastAsia" w:eastAsia="等线" w:cs="宋体"/>
                <w:color w:val="000000" w:themeColor="text1"/>
              </w:rPr>
              <w:t>USB</w:t>
            </w:r>
            <w:r>
              <w:rPr>
                <w:rFonts w:hint="eastAsia" w:ascii="仿宋_GB2312" w:cs="宋体"/>
                <w:color w:val="000000" w:themeColor="text1"/>
              </w:rPr>
              <w:t>接口等；</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35</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终端客户端主机</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windows7/windows8/Windows10</w:t>
            </w:r>
            <w:r>
              <w:rPr>
                <w:rFonts w:hint="eastAsia" w:ascii="仿宋_GB2312" w:cs="宋体"/>
                <w:color w:val="000000" w:themeColor="text1"/>
              </w:rPr>
              <w:t>操作系统平台，</w:t>
            </w:r>
            <w:r>
              <w:rPr>
                <w:rFonts w:hint="eastAsia" w:eastAsia="等线" w:cs="宋体"/>
                <w:color w:val="000000" w:themeColor="text1"/>
              </w:rPr>
              <w:t>CPU</w:t>
            </w:r>
            <w:r>
              <w:rPr>
                <w:rFonts w:hint="eastAsia" w:ascii="仿宋_GB2312" w:cs="宋体"/>
                <w:color w:val="000000" w:themeColor="text1"/>
              </w:rPr>
              <w:t>为双核或四核，</w:t>
            </w:r>
            <w:r>
              <w:rPr>
                <w:rFonts w:hint="eastAsia" w:eastAsia="等线" w:cs="宋体"/>
                <w:color w:val="000000" w:themeColor="text1"/>
              </w:rPr>
              <w:t>4G</w:t>
            </w:r>
            <w:r>
              <w:rPr>
                <w:rFonts w:hint="eastAsia" w:ascii="仿宋_GB2312" w:cs="宋体"/>
                <w:color w:val="000000" w:themeColor="text1"/>
              </w:rPr>
              <w:t>内存，</w:t>
            </w:r>
            <w:r>
              <w:rPr>
                <w:rFonts w:hint="eastAsia" w:eastAsia="等线" w:cs="宋体"/>
                <w:color w:val="000000" w:themeColor="text1"/>
              </w:rPr>
              <w:t>60GSSD</w:t>
            </w:r>
            <w:r>
              <w:rPr>
                <w:rFonts w:hint="eastAsia" w:ascii="仿宋_GB2312" w:cs="宋体"/>
                <w:color w:val="000000" w:themeColor="text1"/>
              </w:rPr>
              <w:t>固态硬盘，接口含</w:t>
            </w:r>
            <w:r>
              <w:rPr>
                <w:rFonts w:hint="eastAsia" w:eastAsia="等线" w:cs="宋体"/>
                <w:color w:val="000000" w:themeColor="text1"/>
              </w:rPr>
              <w:t>VGA/HDMI</w:t>
            </w:r>
            <w:r>
              <w:rPr>
                <w:rFonts w:hint="eastAsia" w:ascii="仿宋_GB2312" w:cs="宋体"/>
                <w:color w:val="000000" w:themeColor="text1"/>
              </w:rPr>
              <w:t>、</w:t>
            </w:r>
            <w:r>
              <w:rPr>
                <w:rFonts w:hint="eastAsia" w:eastAsia="等线" w:cs="宋体"/>
                <w:color w:val="000000" w:themeColor="text1"/>
              </w:rPr>
              <w:t>DC</w:t>
            </w:r>
            <w:r>
              <w:rPr>
                <w:rFonts w:hint="eastAsia" w:ascii="仿宋_GB2312" w:cs="宋体"/>
                <w:color w:val="000000" w:themeColor="text1"/>
              </w:rPr>
              <w:t>、</w:t>
            </w:r>
            <w:r>
              <w:rPr>
                <w:rFonts w:hint="eastAsia" w:eastAsia="等线" w:cs="宋体"/>
                <w:color w:val="000000" w:themeColor="text1"/>
              </w:rPr>
              <w:t>RJ45</w:t>
            </w:r>
            <w:r>
              <w:rPr>
                <w:rFonts w:hint="eastAsia" w:ascii="仿宋_GB2312" w:cs="宋体"/>
                <w:color w:val="000000" w:themeColor="text1"/>
              </w:rPr>
              <w:t>、</w:t>
            </w:r>
            <w:r>
              <w:rPr>
                <w:rFonts w:hint="eastAsia" w:eastAsia="等线" w:cs="宋体"/>
                <w:color w:val="000000" w:themeColor="text1"/>
              </w:rPr>
              <w:t>USB*4</w:t>
            </w:r>
            <w:r>
              <w:rPr>
                <w:rFonts w:hint="eastAsia" w:ascii="仿宋_GB2312" w:cs="宋体"/>
                <w:color w:val="000000" w:themeColor="text1"/>
              </w:rPr>
              <w:t>、</w:t>
            </w:r>
            <w:r>
              <w:rPr>
                <w:rFonts w:hint="eastAsia" w:eastAsia="等线" w:cs="宋体"/>
                <w:color w:val="000000" w:themeColor="text1"/>
              </w:rPr>
              <w:t>COM</w:t>
            </w:r>
            <w:r>
              <w:rPr>
                <w:rFonts w:hint="eastAsia" w:ascii="仿宋_GB2312" w:cs="宋体"/>
                <w:color w:val="000000" w:themeColor="text1"/>
              </w:rPr>
              <w:t>接口；</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5</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36</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双绞线传输器</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50</w:t>
            </w:r>
            <w:r>
              <w:rPr>
                <w:rFonts w:hint="eastAsia" w:ascii="仿宋_GB2312" w:cs="宋体"/>
                <w:color w:val="000000" w:themeColor="text1"/>
              </w:rPr>
              <w:t>米无损高清视频传输，一发一收全套，用于图像处理器输出到</w:t>
            </w:r>
            <w:r>
              <w:rPr>
                <w:rFonts w:hint="eastAsia" w:eastAsia="等线" w:cs="宋体"/>
                <w:color w:val="000000" w:themeColor="text1"/>
              </w:rPr>
              <w:t>8</w:t>
            </w:r>
            <w:r>
              <w:rPr>
                <w:rFonts w:hint="eastAsia" w:ascii="仿宋_GB2312" w:cs="宋体"/>
                <w:color w:val="000000" w:themeColor="text1"/>
              </w:rPr>
              <w:t>套升降屏</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5</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37</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多媒体信息盒</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HDMI*1+3.5</w:t>
            </w:r>
            <w:r>
              <w:rPr>
                <w:rFonts w:hint="eastAsia" w:ascii="仿宋_GB2312" w:cs="宋体"/>
                <w:color w:val="000000" w:themeColor="text1"/>
              </w:rPr>
              <w:t>音频</w:t>
            </w:r>
            <w:r>
              <w:rPr>
                <w:rFonts w:hint="eastAsia" w:eastAsia="等线" w:cs="宋体"/>
                <w:color w:val="000000" w:themeColor="text1"/>
              </w:rPr>
              <w:t>*1+</w:t>
            </w:r>
            <w:r>
              <w:rPr>
                <w:rFonts w:hint="eastAsia" w:ascii="仿宋_GB2312" w:cs="宋体"/>
                <w:color w:val="000000" w:themeColor="text1"/>
              </w:rPr>
              <w:t>网口</w:t>
            </w:r>
            <w:r>
              <w:rPr>
                <w:rFonts w:hint="eastAsia" w:eastAsia="等线" w:cs="宋体"/>
                <w:color w:val="000000" w:themeColor="text1"/>
              </w:rPr>
              <w:t>*2+</w:t>
            </w:r>
            <w:r>
              <w:rPr>
                <w:rFonts w:hint="eastAsia" w:ascii="仿宋_GB2312" w:cs="宋体"/>
                <w:color w:val="000000" w:themeColor="text1"/>
              </w:rPr>
              <w:t>电源模块</w:t>
            </w:r>
            <w:r>
              <w:rPr>
                <w:rFonts w:hint="eastAsia" w:eastAsia="等线" w:cs="宋体"/>
                <w:color w:val="000000" w:themeColor="text1"/>
              </w:rPr>
              <w:t>*1</w:t>
            </w:r>
            <w:r>
              <w:rPr>
                <w:rFonts w:hint="eastAsia" w:ascii="仿宋_GB2312" w:cs="宋体"/>
                <w:color w:val="000000" w:themeColor="text1"/>
              </w:rPr>
              <w:t>，桌用</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6</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38</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六类</w:t>
            </w:r>
            <w:r>
              <w:rPr>
                <w:rFonts w:hint="eastAsia" w:eastAsia="等线" w:cs="宋体"/>
                <w:color w:val="000000" w:themeColor="text1"/>
              </w:rPr>
              <w:t>4</w:t>
            </w:r>
            <w:r>
              <w:rPr>
                <w:rFonts w:hint="eastAsia" w:ascii="仿宋_GB2312" w:hAnsi="宋体" w:cs="宋体"/>
                <w:color w:val="000000" w:themeColor="text1"/>
              </w:rPr>
              <w:t>对非屏蔽双绞线</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视频显示系统所需六类双绞线，考虑冗余备份</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3300</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米</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39</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六类</w:t>
            </w:r>
            <w:r>
              <w:rPr>
                <w:rFonts w:hint="eastAsia" w:eastAsia="等线" w:cs="宋体"/>
                <w:color w:val="000000" w:themeColor="text1"/>
              </w:rPr>
              <w:t>24</w:t>
            </w:r>
            <w:r>
              <w:rPr>
                <w:rFonts w:hint="eastAsia" w:ascii="仿宋_GB2312" w:hAnsi="宋体" w:cs="宋体"/>
                <w:color w:val="000000" w:themeColor="text1"/>
              </w:rPr>
              <w:t>口非屏蔽配线架</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视频显示系统六类网线成端配线架</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4</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40</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高清电缆</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各种规格</w:t>
            </w:r>
            <w:r>
              <w:rPr>
                <w:rFonts w:hint="eastAsia" w:eastAsia="等线" w:cs="宋体"/>
                <w:color w:val="000000" w:themeColor="text1"/>
              </w:rPr>
              <w:t>DVI</w:t>
            </w:r>
            <w:r>
              <w:rPr>
                <w:rFonts w:hint="eastAsia" w:ascii="仿宋_GB2312" w:hAnsi="宋体" w:cs="宋体"/>
                <w:color w:val="000000" w:themeColor="text1"/>
              </w:rPr>
              <w:t>高清线缆</w:t>
            </w:r>
            <w:r>
              <w:rPr>
                <w:rFonts w:hint="eastAsia" w:eastAsia="等线" w:cs="宋体"/>
                <w:color w:val="000000" w:themeColor="text1"/>
              </w:rPr>
              <w:t>,</w:t>
            </w:r>
            <w:r>
              <w:rPr>
                <w:rFonts w:hint="eastAsia" w:ascii="仿宋_GB2312" w:hAnsi="宋体" w:cs="宋体"/>
                <w:color w:val="000000" w:themeColor="text1"/>
              </w:rPr>
              <w:t>满足显示器、解码器、工作主机的高清输入要求</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41</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视频布线零星材料</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水晶头、扎带、视频分配器等</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42</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桥架、管道工程</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配套管线、桥架工程、墙面地面开槽等</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8426" w:type="dxa"/>
            <w:gridSpan w:val="6"/>
            <w:tcBorders>
              <w:top w:val="single" w:color="auto" w:sz="8" w:space="0"/>
              <w:left w:val="single" w:color="auto" w:sz="8" w:space="0"/>
              <w:bottom w:val="single" w:color="auto" w:sz="8" w:space="0"/>
              <w:right w:val="nil"/>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三、扩声会议系统</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1176"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应急指挥室大厅</w:t>
            </w: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全频二分频线性主音柱</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高频</w:t>
            </w:r>
            <w:r>
              <w:rPr>
                <w:rFonts w:hint="eastAsia" w:eastAsia="等线" w:cs="宋体"/>
                <w:color w:val="000000" w:themeColor="text1"/>
              </w:rPr>
              <w:t>1×1.75"</w:t>
            </w:r>
            <w:r>
              <w:rPr>
                <w:rFonts w:hint="eastAsia" w:ascii="仿宋_GB2312" w:hAnsi="宋体" w:cs="宋体"/>
                <w:color w:val="000000" w:themeColor="text1"/>
              </w:rPr>
              <w:t>芯高音驱动器，低频</w:t>
            </w:r>
            <w:r>
              <w:rPr>
                <w:rFonts w:hint="eastAsia" w:eastAsia="等线" w:cs="宋体"/>
                <w:color w:val="000000" w:themeColor="text1"/>
              </w:rPr>
              <w:t>4×4"</w:t>
            </w:r>
            <w:r>
              <w:rPr>
                <w:rFonts w:hint="eastAsia" w:ascii="仿宋_GB2312" w:hAnsi="宋体" w:cs="宋体"/>
                <w:color w:val="000000" w:themeColor="text1"/>
              </w:rPr>
              <w:t>低频驱动单元；频率响应</w:t>
            </w:r>
            <w:r>
              <w:rPr>
                <w:rFonts w:hint="eastAsia" w:eastAsia="等线" w:cs="宋体"/>
                <w:color w:val="000000" w:themeColor="text1"/>
              </w:rPr>
              <w:t>(±3dB):160Hz-17kHz</w:t>
            </w:r>
            <w:r>
              <w:rPr>
                <w:rFonts w:hint="eastAsia" w:ascii="仿宋_GB2312" w:hAnsi="宋体" w:cs="宋体"/>
                <w:color w:val="000000" w:themeColor="text1"/>
              </w:rPr>
              <w:t>，</w:t>
            </w:r>
            <w:r>
              <w:rPr>
                <w:rFonts w:hint="eastAsia" w:eastAsia="等线" w:cs="宋体"/>
                <w:color w:val="000000" w:themeColor="text1"/>
              </w:rPr>
              <w:t>-10dB:140Hz-20kHz</w:t>
            </w:r>
            <w:r>
              <w:rPr>
                <w:rFonts w:hint="eastAsia" w:ascii="仿宋_GB2312" w:hAnsi="宋体" w:cs="宋体"/>
                <w:color w:val="000000" w:themeColor="text1"/>
              </w:rPr>
              <w:t>；额定功率</w:t>
            </w:r>
            <w:r>
              <w:rPr>
                <w:rFonts w:hint="eastAsia" w:eastAsia="等线" w:cs="宋体"/>
                <w:color w:val="000000" w:themeColor="text1"/>
              </w:rPr>
              <w:t>RMS:120W</w:t>
            </w:r>
            <w:r>
              <w:rPr>
                <w:rFonts w:hint="eastAsia" w:ascii="仿宋_GB2312" w:hAnsi="宋体" w:cs="宋体"/>
                <w:color w:val="000000" w:themeColor="text1"/>
              </w:rPr>
              <w:t>；连续功率：</w:t>
            </w:r>
            <w:r>
              <w:rPr>
                <w:rFonts w:hint="eastAsia" w:eastAsia="等线" w:cs="宋体"/>
                <w:color w:val="000000" w:themeColor="text1"/>
              </w:rPr>
              <w:t>240W</w:t>
            </w:r>
            <w:r>
              <w:rPr>
                <w:rFonts w:hint="eastAsia" w:ascii="仿宋_GB2312" w:hAnsi="宋体" w:cs="宋体"/>
                <w:color w:val="000000" w:themeColor="text1"/>
              </w:rPr>
              <w:t>；最大功率：</w:t>
            </w:r>
            <w:r>
              <w:rPr>
                <w:rFonts w:hint="eastAsia" w:eastAsia="等线" w:cs="宋体"/>
                <w:color w:val="000000" w:themeColor="text1"/>
              </w:rPr>
              <w:t>480W</w:t>
            </w:r>
            <w:r>
              <w:rPr>
                <w:rFonts w:hint="eastAsia" w:ascii="仿宋_GB2312" w:hAnsi="宋体" w:cs="宋体"/>
                <w:color w:val="000000" w:themeColor="text1"/>
              </w:rPr>
              <w:t>；水平覆盖角</w:t>
            </w:r>
            <w:r>
              <w:rPr>
                <w:rFonts w:hint="eastAsia" w:eastAsia="等线" w:cs="宋体"/>
                <w:color w:val="000000" w:themeColor="text1"/>
              </w:rPr>
              <w:t>150°</w:t>
            </w:r>
            <w:r>
              <w:rPr>
                <w:rFonts w:hint="eastAsia" w:ascii="仿宋_GB2312" w:hAnsi="宋体" w:cs="宋体"/>
                <w:color w:val="000000" w:themeColor="text1"/>
              </w:rPr>
              <w:t>，垂直覆盖角</w:t>
            </w:r>
            <w:r>
              <w:rPr>
                <w:rFonts w:hint="eastAsia" w:eastAsia="等线" w:cs="宋体"/>
                <w:color w:val="000000" w:themeColor="text1"/>
              </w:rPr>
              <w:t xml:space="preserve"> 150°</w:t>
            </w:r>
            <w:r>
              <w:rPr>
                <w:rFonts w:hint="eastAsia" w:ascii="仿宋_GB2312" w:hAnsi="宋体" w:cs="宋体"/>
                <w:color w:val="000000" w:themeColor="text1"/>
              </w:rPr>
              <w:t>；灵敏度</w:t>
            </w:r>
            <w:r>
              <w:rPr>
                <w:rFonts w:hint="eastAsia" w:eastAsia="等线" w:cs="宋体"/>
                <w:color w:val="000000" w:themeColor="text1"/>
              </w:rPr>
              <w:t>(1W/1m):88dB</w:t>
            </w:r>
            <w:r>
              <w:rPr>
                <w:rFonts w:hint="eastAsia" w:ascii="仿宋_GB2312" w:hAnsi="宋体" w:cs="宋体"/>
                <w:color w:val="000000" w:themeColor="text1"/>
              </w:rPr>
              <w:t>；最大声压级</w:t>
            </w:r>
            <w:r>
              <w:rPr>
                <w:rFonts w:hint="eastAsia" w:eastAsia="等线" w:cs="宋体"/>
                <w:color w:val="000000" w:themeColor="text1"/>
              </w:rPr>
              <w:t>:115dB(</w:t>
            </w:r>
            <w:r>
              <w:rPr>
                <w:rFonts w:hint="eastAsia" w:ascii="仿宋_GB2312" w:hAnsi="宋体" w:cs="宋体"/>
                <w:color w:val="000000" w:themeColor="text1"/>
              </w:rPr>
              <w:t>峰值</w:t>
            </w:r>
            <w:r>
              <w:rPr>
                <w:rFonts w:hint="eastAsia" w:eastAsia="等线" w:cs="宋体"/>
                <w:color w:val="000000" w:themeColor="text1"/>
              </w:rPr>
              <w:t>)</w:t>
            </w:r>
            <w:r>
              <w:rPr>
                <w:rFonts w:hint="eastAsia" w:ascii="仿宋_GB2312" w:hAnsi="宋体" w:cs="宋体"/>
                <w:color w:val="000000" w:themeColor="text1"/>
              </w:rPr>
              <w:t>；额定阻抗</w:t>
            </w:r>
            <w:r>
              <w:rPr>
                <w:rFonts w:hint="eastAsia" w:eastAsia="等线" w:cs="宋体"/>
                <w:color w:val="000000" w:themeColor="text1"/>
              </w:rPr>
              <w:t>:8Ω</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4</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只</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功率放大器</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8Ω</w:t>
            </w:r>
            <w:r>
              <w:rPr>
                <w:rFonts w:hint="eastAsia" w:ascii="仿宋_GB2312" w:cs="宋体"/>
                <w:color w:val="000000" w:themeColor="text1"/>
              </w:rPr>
              <w:t>立体声</w:t>
            </w:r>
            <w:r>
              <w:rPr>
                <w:rFonts w:hint="eastAsia" w:eastAsia="等线" w:cs="宋体"/>
                <w:color w:val="000000" w:themeColor="text1"/>
              </w:rPr>
              <w:t>&amp;</w:t>
            </w:r>
            <w:r>
              <w:rPr>
                <w:rFonts w:hint="eastAsia" w:ascii="仿宋_GB2312" w:cs="宋体"/>
                <w:color w:val="000000" w:themeColor="text1"/>
              </w:rPr>
              <w:t>并接</w:t>
            </w:r>
            <w:r>
              <w:rPr>
                <w:rFonts w:hint="eastAsia" w:eastAsia="等线" w:cs="宋体"/>
                <w:color w:val="000000" w:themeColor="text1"/>
              </w:rPr>
              <w:t>330W×2</w:t>
            </w:r>
            <w:r>
              <w:rPr>
                <w:rFonts w:hint="eastAsia" w:ascii="仿宋_GB2312" w:cs="宋体"/>
                <w:color w:val="000000" w:themeColor="text1"/>
              </w:rPr>
              <w:t>，</w:t>
            </w:r>
            <w:r>
              <w:rPr>
                <w:rFonts w:hint="eastAsia" w:eastAsia="等线" w:cs="宋体"/>
                <w:color w:val="000000" w:themeColor="text1"/>
              </w:rPr>
              <w:t>4Ω</w:t>
            </w:r>
            <w:r>
              <w:rPr>
                <w:rFonts w:hint="eastAsia" w:ascii="仿宋_GB2312" w:cs="宋体"/>
                <w:color w:val="000000" w:themeColor="text1"/>
              </w:rPr>
              <w:t>立体声</w:t>
            </w:r>
            <w:r>
              <w:rPr>
                <w:rFonts w:hint="eastAsia" w:eastAsia="等线" w:cs="宋体"/>
                <w:color w:val="000000" w:themeColor="text1"/>
              </w:rPr>
              <w:t>&amp;</w:t>
            </w:r>
            <w:r>
              <w:rPr>
                <w:rFonts w:hint="eastAsia" w:ascii="仿宋_GB2312" w:cs="宋体"/>
                <w:color w:val="000000" w:themeColor="text1"/>
              </w:rPr>
              <w:t>并接</w:t>
            </w:r>
            <w:r>
              <w:rPr>
                <w:rFonts w:hint="eastAsia" w:eastAsia="等线" w:cs="宋体"/>
                <w:color w:val="000000" w:themeColor="text1"/>
              </w:rPr>
              <w:t>500W×2</w:t>
            </w:r>
            <w:r>
              <w:rPr>
                <w:rFonts w:hint="eastAsia" w:ascii="仿宋_GB2312" w:cs="宋体"/>
                <w:color w:val="000000" w:themeColor="text1"/>
              </w:rPr>
              <w:t>，</w:t>
            </w:r>
            <w:r>
              <w:rPr>
                <w:rFonts w:hint="eastAsia" w:eastAsia="等线" w:cs="宋体"/>
                <w:color w:val="000000" w:themeColor="text1"/>
              </w:rPr>
              <w:t>8Ω</w:t>
            </w:r>
            <w:r>
              <w:rPr>
                <w:rFonts w:hint="eastAsia" w:ascii="仿宋_GB2312" w:cs="宋体"/>
                <w:color w:val="000000" w:themeColor="text1"/>
              </w:rPr>
              <w:t>桥接单声道</w:t>
            </w:r>
            <w:r>
              <w:rPr>
                <w:rFonts w:hint="eastAsia" w:eastAsia="等线" w:cs="宋体"/>
                <w:color w:val="000000" w:themeColor="text1"/>
              </w:rPr>
              <w:t>1000W</w:t>
            </w:r>
            <w:r>
              <w:rPr>
                <w:rFonts w:hint="eastAsia" w:ascii="仿宋_GB2312" w:cs="宋体"/>
                <w:color w:val="000000" w:themeColor="text1"/>
              </w:rPr>
              <w:t>；频率响应</w:t>
            </w:r>
            <w:r>
              <w:rPr>
                <w:rFonts w:hint="eastAsia" w:eastAsia="等线" w:cs="宋体"/>
                <w:color w:val="000000" w:themeColor="text1"/>
              </w:rPr>
              <w:t>&lt;±0.25dB 20Hz-20kHz</w:t>
            </w:r>
            <w:r>
              <w:rPr>
                <w:rFonts w:hint="eastAsia" w:ascii="仿宋_GB2312" w:cs="宋体"/>
                <w:color w:val="000000" w:themeColor="text1"/>
              </w:rPr>
              <w:t>；峰值输出电压</w:t>
            </w:r>
            <w:r>
              <w:rPr>
                <w:rFonts w:hint="eastAsia" w:eastAsia="等线" w:cs="宋体"/>
                <w:color w:val="000000" w:themeColor="text1"/>
              </w:rPr>
              <w:t>78V</w:t>
            </w:r>
            <w:r>
              <w:rPr>
                <w:rFonts w:hint="eastAsia" w:ascii="仿宋_GB2312" w:cs="宋体"/>
                <w:color w:val="000000" w:themeColor="text1"/>
              </w:rPr>
              <w:t>；最大</w:t>
            </w:r>
            <w:r>
              <w:rPr>
                <w:rFonts w:hint="eastAsia" w:eastAsia="等线" w:cs="宋体"/>
                <w:color w:val="000000" w:themeColor="text1"/>
              </w:rPr>
              <w:t>RMS</w:t>
            </w:r>
            <w:r>
              <w:rPr>
                <w:rFonts w:hint="eastAsia" w:ascii="仿宋_GB2312" w:cs="宋体"/>
                <w:color w:val="000000" w:themeColor="text1"/>
              </w:rPr>
              <w:t>输出电压</w:t>
            </w:r>
            <w:r>
              <w:rPr>
                <w:rFonts w:hint="eastAsia" w:eastAsia="等线" w:cs="宋体"/>
                <w:color w:val="000000" w:themeColor="text1"/>
              </w:rPr>
              <w:t>55V</w:t>
            </w:r>
            <w:r>
              <w:rPr>
                <w:rFonts w:hint="eastAsia" w:ascii="仿宋_GB2312" w:cs="宋体"/>
                <w:color w:val="000000" w:themeColor="text1"/>
              </w:rPr>
              <w:t>；输入灵敏度</w:t>
            </w:r>
            <w:r>
              <w:rPr>
                <w:rFonts w:hint="eastAsia" w:eastAsia="等线" w:cs="宋体"/>
                <w:color w:val="000000" w:themeColor="text1"/>
              </w:rPr>
              <w:t>(</w:t>
            </w:r>
            <w:r>
              <w:rPr>
                <w:rFonts w:hint="eastAsia" w:ascii="仿宋_GB2312" w:cs="宋体"/>
                <w:color w:val="000000" w:themeColor="text1"/>
              </w:rPr>
              <w:t>额定功率</w:t>
            </w:r>
            <w:r>
              <w:rPr>
                <w:rFonts w:hint="eastAsia" w:eastAsia="等线" w:cs="宋体"/>
                <w:color w:val="000000" w:themeColor="text1"/>
              </w:rPr>
              <w:t>/8Ω)1.0V RMS</w:t>
            </w:r>
            <w:r>
              <w:rPr>
                <w:rFonts w:hint="eastAsia" w:ascii="仿宋_GB2312" w:cs="宋体"/>
                <w:color w:val="000000" w:themeColor="text1"/>
              </w:rPr>
              <w:t>；总谐波失真</w:t>
            </w:r>
            <w:r>
              <w:rPr>
                <w:rFonts w:hint="eastAsia" w:eastAsia="等线" w:cs="宋体"/>
                <w:color w:val="000000" w:themeColor="text1"/>
              </w:rPr>
              <w:t xml:space="preserve"> (1kHz) &lt;0.05%</w:t>
            </w:r>
            <w:r>
              <w:rPr>
                <w:rFonts w:hint="eastAsia" w:ascii="仿宋_GB2312" w:cs="宋体"/>
                <w:color w:val="000000" w:themeColor="text1"/>
              </w:rPr>
              <w:t>；互调失真</w:t>
            </w:r>
            <w:r>
              <w:rPr>
                <w:rFonts w:hint="eastAsia" w:eastAsia="等线" w:cs="宋体"/>
                <w:color w:val="000000" w:themeColor="text1"/>
              </w:rPr>
              <w:t xml:space="preserve">(60Hz/7kHz 4:1)&lt;0.1% </w:t>
            </w:r>
            <w:r>
              <w:rPr>
                <w:rFonts w:hint="eastAsia" w:ascii="仿宋_GB2312" w:cs="宋体"/>
                <w:color w:val="000000" w:themeColor="text1"/>
              </w:rPr>
              <w:t>；功率带宽</w:t>
            </w:r>
            <w:r>
              <w:rPr>
                <w:rFonts w:hint="eastAsia" w:eastAsia="等线" w:cs="宋体"/>
                <w:color w:val="000000" w:themeColor="text1"/>
              </w:rPr>
              <w:t>(</w:t>
            </w:r>
            <w:r>
              <w:rPr>
                <w:rFonts w:hint="eastAsia" w:ascii="仿宋_GB2312" w:cs="宋体"/>
                <w:color w:val="000000" w:themeColor="text1"/>
              </w:rPr>
              <w:t>额定功率</w:t>
            </w:r>
            <w:r>
              <w:rPr>
                <w:rFonts w:hint="eastAsia" w:eastAsia="等线" w:cs="宋体"/>
                <w:color w:val="000000" w:themeColor="text1"/>
              </w:rPr>
              <w:t>/8Ω, 1% THD+N)-1dB, 20Hz-20kHz</w:t>
            </w:r>
            <w:r>
              <w:rPr>
                <w:rFonts w:hint="eastAsia" w:ascii="仿宋_GB2312" w:cs="宋体"/>
                <w:color w:val="000000" w:themeColor="text1"/>
              </w:rPr>
              <w:t>；相位响应</w:t>
            </w:r>
            <w:r>
              <w:rPr>
                <w:rFonts w:hint="eastAsia" w:eastAsia="等线" w:cs="宋体"/>
                <w:color w:val="000000" w:themeColor="text1"/>
              </w:rPr>
              <w:t>(20Hz-20kHz)&lt;±15°</w:t>
            </w:r>
            <w:r>
              <w:rPr>
                <w:rFonts w:hint="eastAsia" w:ascii="仿宋_GB2312" w:cs="宋体"/>
                <w:color w:val="000000" w:themeColor="text1"/>
              </w:rPr>
              <w:t>；信噪比</w:t>
            </w:r>
            <w:r>
              <w:rPr>
                <w:rFonts w:hint="eastAsia" w:eastAsia="等线" w:cs="宋体"/>
                <w:color w:val="000000" w:themeColor="text1"/>
              </w:rPr>
              <w:t>(1kHz, A</w:t>
            </w:r>
            <w:r>
              <w:rPr>
                <w:rFonts w:hint="eastAsia" w:ascii="仿宋_GB2312" w:cs="宋体"/>
                <w:color w:val="000000" w:themeColor="text1"/>
              </w:rPr>
              <w:t>计权</w:t>
            </w:r>
            <w:r>
              <w:rPr>
                <w:rFonts w:hint="eastAsia" w:eastAsia="等线" w:cs="宋体"/>
                <w:color w:val="000000" w:themeColor="text1"/>
              </w:rPr>
              <w:t>)&gt;108dB</w:t>
            </w:r>
            <w:r>
              <w:rPr>
                <w:rFonts w:hint="eastAsia" w:ascii="仿宋_GB2312" w:cs="宋体"/>
                <w:color w:val="000000" w:themeColor="text1"/>
              </w:rPr>
              <w:t>；阻尼系数</w:t>
            </w:r>
            <w:r>
              <w:rPr>
                <w:rFonts w:hint="eastAsia" w:eastAsia="等线" w:cs="宋体"/>
                <w:color w:val="000000" w:themeColor="text1"/>
              </w:rPr>
              <w:t xml:space="preserve">(100Hz)&gt;800 </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3</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无线手持话筒</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工作频率：</w:t>
            </w:r>
            <w:r>
              <w:rPr>
                <w:rFonts w:hint="eastAsia" w:eastAsia="等线" w:cs="宋体"/>
                <w:color w:val="000000" w:themeColor="text1"/>
              </w:rPr>
              <w:t>D</w:t>
            </w:r>
            <w:r>
              <w:rPr>
                <w:rFonts w:hint="eastAsia" w:ascii="仿宋_GB2312" w:hAnsi="宋体" w:cs="宋体"/>
                <w:color w:val="000000" w:themeColor="text1"/>
              </w:rPr>
              <w:t>频段</w:t>
            </w:r>
            <w:r>
              <w:rPr>
                <w:rFonts w:hint="eastAsia" w:eastAsia="等线" w:cs="宋体"/>
                <w:color w:val="000000" w:themeColor="text1"/>
              </w:rPr>
              <w:t>656.125-678.500MHz</w:t>
            </w:r>
            <w:r>
              <w:rPr>
                <w:rFonts w:hint="eastAsia" w:ascii="仿宋_GB2312" w:hAnsi="宋体" w:cs="宋体"/>
                <w:color w:val="000000" w:themeColor="text1"/>
              </w:rPr>
              <w:t>、</w:t>
            </w:r>
            <w:r>
              <w:rPr>
                <w:rFonts w:hint="eastAsia" w:eastAsia="等线" w:cs="宋体"/>
                <w:color w:val="000000" w:themeColor="text1"/>
              </w:rPr>
              <w:t>G</w:t>
            </w:r>
            <w:r>
              <w:rPr>
                <w:rFonts w:hint="eastAsia" w:ascii="仿宋_GB2312" w:hAnsi="宋体" w:cs="宋体"/>
                <w:color w:val="000000" w:themeColor="text1"/>
              </w:rPr>
              <w:t>频段</w:t>
            </w:r>
            <w:r>
              <w:rPr>
                <w:rFonts w:hint="eastAsia" w:eastAsia="等线" w:cs="宋体"/>
                <w:color w:val="000000" w:themeColor="text1"/>
              </w:rPr>
              <w:t>722.125t-744.500MHz</w:t>
            </w:r>
            <w:r>
              <w:rPr>
                <w:rFonts w:hint="eastAsia" w:ascii="仿宋_GB2312" w:hAnsi="宋体" w:cs="宋体"/>
                <w:color w:val="000000" w:themeColor="text1"/>
              </w:rPr>
              <w:t>、</w:t>
            </w:r>
            <w:r>
              <w:rPr>
                <w:rFonts w:hint="eastAsia" w:eastAsia="等线" w:cs="宋体"/>
                <w:color w:val="000000" w:themeColor="text1"/>
              </w:rPr>
              <w:t>H</w:t>
            </w:r>
            <w:r>
              <w:rPr>
                <w:rFonts w:hint="eastAsia" w:ascii="仿宋_GB2312" w:hAnsi="宋体" w:cs="宋体"/>
                <w:color w:val="000000" w:themeColor="text1"/>
              </w:rPr>
              <w:t>频段</w:t>
            </w:r>
            <w:r>
              <w:rPr>
                <w:rFonts w:hint="eastAsia" w:eastAsia="等线" w:cs="宋体"/>
                <w:color w:val="000000" w:themeColor="text1"/>
              </w:rPr>
              <w:t>773.000t-796.625MHz</w:t>
            </w:r>
            <w:r>
              <w:rPr>
                <w:rFonts w:hint="eastAsia" w:ascii="仿宋_GB2312" w:hAnsi="宋体" w:cs="宋体"/>
                <w:color w:val="000000" w:themeColor="text1"/>
              </w:rPr>
              <w:t>、</w:t>
            </w:r>
            <w:r>
              <w:rPr>
                <w:rFonts w:hint="eastAsia" w:eastAsia="等线" w:cs="宋体"/>
                <w:color w:val="000000" w:themeColor="text1"/>
              </w:rPr>
              <w:t>I</w:t>
            </w:r>
            <w:r>
              <w:rPr>
                <w:rFonts w:hint="eastAsia" w:ascii="仿宋_GB2312" w:hAnsi="宋体" w:cs="宋体"/>
                <w:color w:val="000000" w:themeColor="text1"/>
              </w:rPr>
              <w:t>频段</w:t>
            </w:r>
            <w:r>
              <w:rPr>
                <w:rFonts w:hint="eastAsia" w:eastAsia="等线" w:cs="宋体"/>
                <w:color w:val="000000" w:themeColor="text1"/>
              </w:rPr>
              <w:t>484.125t-506.625MHz</w:t>
            </w:r>
            <w:r>
              <w:rPr>
                <w:rFonts w:hint="eastAsia" w:ascii="仿宋_GB2312" w:hAnsi="宋体" w:cs="宋体"/>
                <w:color w:val="000000" w:themeColor="text1"/>
              </w:rPr>
              <w:t>；通道数目：</w:t>
            </w:r>
            <w:r>
              <w:rPr>
                <w:rFonts w:hint="eastAsia" w:eastAsia="等线" w:cs="宋体"/>
                <w:color w:val="000000" w:themeColor="text1"/>
              </w:rPr>
              <w:t>10</w:t>
            </w:r>
            <w:r>
              <w:rPr>
                <w:rFonts w:hint="eastAsia" w:ascii="仿宋_GB2312" w:hAnsi="宋体" w:cs="宋体"/>
                <w:color w:val="000000" w:themeColor="text1"/>
              </w:rPr>
              <w:t>个可同时使用；频率稳定性：</w:t>
            </w:r>
            <w:r>
              <w:rPr>
                <w:rFonts w:hint="eastAsia" w:eastAsia="等线" w:cs="宋体"/>
                <w:color w:val="000000" w:themeColor="text1"/>
              </w:rPr>
              <w:t>±0.005%</w:t>
            </w:r>
            <w:r>
              <w:rPr>
                <w:rFonts w:hint="eastAsia" w:ascii="仿宋_GB2312" w:hAnsi="宋体" w:cs="宋体"/>
                <w:color w:val="000000" w:themeColor="text1"/>
              </w:rPr>
              <w:t>，</w:t>
            </w:r>
            <w:r>
              <w:rPr>
                <w:rFonts w:hint="eastAsia" w:eastAsia="等线" w:cs="宋体"/>
                <w:color w:val="000000" w:themeColor="text1"/>
              </w:rPr>
              <w:t>PLL</w:t>
            </w:r>
            <w:r>
              <w:rPr>
                <w:rFonts w:hint="eastAsia" w:ascii="仿宋_GB2312" w:hAnsi="宋体" w:cs="宋体"/>
                <w:color w:val="000000" w:themeColor="text1"/>
              </w:rPr>
              <w:t>锁相回路控制；调制方法：</w:t>
            </w:r>
            <w:r>
              <w:rPr>
                <w:rFonts w:hint="eastAsia" w:eastAsia="等线" w:cs="宋体"/>
                <w:color w:val="000000" w:themeColor="text1"/>
              </w:rPr>
              <w:t>FM</w:t>
            </w:r>
            <w:r>
              <w:rPr>
                <w:rFonts w:hint="eastAsia" w:ascii="仿宋_GB2312" w:hAnsi="宋体" w:cs="宋体"/>
                <w:color w:val="000000" w:themeColor="text1"/>
              </w:rPr>
              <w:t>调频；一般误差：</w:t>
            </w:r>
            <w:r>
              <w:rPr>
                <w:rFonts w:hint="eastAsia" w:eastAsia="等线" w:cs="宋体"/>
                <w:color w:val="000000" w:themeColor="text1"/>
              </w:rPr>
              <w:t>±5kHz</w:t>
            </w:r>
            <w:r>
              <w:rPr>
                <w:rFonts w:hint="eastAsia" w:ascii="仿宋_GB2312" w:hAnsi="宋体" w:cs="宋体"/>
                <w:color w:val="000000" w:themeColor="text1"/>
              </w:rPr>
              <w:t>；工作有效距离：一般</w:t>
            </w:r>
            <w:r>
              <w:rPr>
                <w:rFonts w:hint="eastAsia" w:eastAsia="等线" w:cs="宋体"/>
                <w:color w:val="000000" w:themeColor="text1"/>
              </w:rPr>
              <w:t>80</w:t>
            </w:r>
            <w:r>
              <w:rPr>
                <w:rFonts w:hint="eastAsia" w:ascii="仿宋_GB2312" w:hAnsi="宋体" w:cs="宋体"/>
                <w:color w:val="000000" w:themeColor="text1"/>
              </w:rPr>
              <w:t>米</w:t>
            </w:r>
            <w:r>
              <w:rPr>
                <w:rFonts w:hint="eastAsia" w:eastAsia="等线" w:cs="宋体"/>
                <w:color w:val="000000" w:themeColor="text1"/>
              </w:rPr>
              <w:t>(</w:t>
            </w:r>
            <w:r>
              <w:rPr>
                <w:rFonts w:hint="eastAsia" w:ascii="仿宋_GB2312" w:hAnsi="宋体" w:cs="宋体"/>
                <w:color w:val="000000" w:themeColor="text1"/>
              </w:rPr>
              <w:t>无干扰情况下</w:t>
            </w:r>
            <w:r>
              <w:rPr>
                <w:rFonts w:hint="eastAsia" w:eastAsia="等线" w:cs="宋体"/>
                <w:color w:val="000000" w:themeColor="text1"/>
              </w:rPr>
              <w:t>)</w:t>
            </w:r>
            <w:r>
              <w:rPr>
                <w:rFonts w:hint="eastAsia" w:ascii="仿宋_GB2312" w:hAnsi="宋体" w:cs="宋体"/>
                <w:color w:val="000000" w:themeColor="text1"/>
              </w:rPr>
              <w:t>；工作环境温度：</w:t>
            </w:r>
            <w:r>
              <w:rPr>
                <w:rFonts w:hint="eastAsia" w:eastAsia="等线" w:cs="宋体"/>
                <w:color w:val="000000" w:themeColor="text1"/>
              </w:rPr>
              <w:t>41°F(5°C)to113°F(45°C)</w:t>
            </w:r>
            <w:r>
              <w:rPr>
                <w:rFonts w:hint="eastAsia" w:ascii="仿宋_GB2312" w:hAnsi="宋体" w:cs="宋体"/>
                <w:color w:val="000000" w:themeColor="text1"/>
              </w:rPr>
              <w:t>；频率响应：</w:t>
            </w:r>
            <w:r>
              <w:rPr>
                <w:rFonts w:hint="eastAsia" w:eastAsia="等线" w:cs="宋体"/>
                <w:color w:val="000000" w:themeColor="text1"/>
              </w:rPr>
              <w:t>100Hzto15kHz</w:t>
            </w:r>
            <w:r>
              <w:rPr>
                <w:rFonts w:hint="eastAsia" w:ascii="仿宋_GB2312" w:hAnsi="宋体" w:cs="宋体"/>
                <w:color w:val="000000" w:themeColor="text1"/>
              </w:rPr>
              <w:t>；接收系统：自动分集式开关选择；镜频抑制：</w:t>
            </w:r>
            <w:r>
              <w:rPr>
                <w:rFonts w:hint="eastAsia" w:eastAsia="等线" w:cs="宋体"/>
                <w:color w:val="000000" w:themeColor="text1"/>
              </w:rPr>
              <w:t>55dB</w:t>
            </w:r>
            <w:r>
              <w:rPr>
                <w:rFonts w:hint="eastAsia" w:ascii="仿宋_GB2312" w:hAnsi="宋体" w:cs="宋体"/>
                <w:color w:val="000000" w:themeColor="text1"/>
              </w:rPr>
              <w:t>正常、</w:t>
            </w:r>
            <w:r>
              <w:rPr>
                <w:rFonts w:hint="eastAsia" w:eastAsia="等线" w:cs="宋体"/>
                <w:color w:val="000000" w:themeColor="text1"/>
              </w:rPr>
              <w:t>50dB</w:t>
            </w:r>
            <w:r>
              <w:rPr>
                <w:rFonts w:hint="eastAsia" w:ascii="仿宋_GB2312" w:hAnsi="宋体" w:cs="宋体"/>
                <w:color w:val="000000" w:themeColor="text1"/>
              </w:rPr>
              <w:t>最小；讯噪比：</w:t>
            </w:r>
            <w:r>
              <w:rPr>
                <w:rFonts w:hint="eastAsia" w:eastAsia="等线" w:cs="宋体"/>
                <w:color w:val="000000" w:themeColor="text1"/>
              </w:rPr>
              <w:t>100dB</w:t>
            </w:r>
            <w:r>
              <w:rPr>
                <w:rFonts w:hint="eastAsia" w:ascii="仿宋_GB2312" w:hAnsi="宋体" w:cs="宋体"/>
                <w:color w:val="000000" w:themeColor="text1"/>
              </w:rPr>
              <w:t>于</w:t>
            </w:r>
            <w:r>
              <w:rPr>
                <w:rFonts w:hint="eastAsia" w:eastAsia="等线" w:cs="宋体"/>
                <w:color w:val="000000" w:themeColor="text1"/>
              </w:rPr>
              <w:t>40kHz</w:t>
            </w:r>
            <w:r>
              <w:rPr>
                <w:rFonts w:hint="eastAsia" w:ascii="仿宋_GB2312" w:hAnsi="宋体" w:cs="宋体"/>
                <w:color w:val="000000" w:themeColor="text1"/>
              </w:rPr>
              <w:t>频偏</w:t>
            </w:r>
            <w:r>
              <w:rPr>
                <w:rFonts w:hint="eastAsia" w:eastAsia="等线" w:cs="宋体"/>
                <w:color w:val="000000" w:themeColor="text1"/>
              </w:rPr>
              <w:t>(A-</w:t>
            </w:r>
            <w:r>
              <w:rPr>
                <w:rFonts w:hint="eastAsia" w:ascii="仿宋_GB2312" w:hAnsi="宋体" w:cs="宋体"/>
                <w:color w:val="000000" w:themeColor="text1"/>
              </w:rPr>
              <w:t>加权</w:t>
            </w:r>
            <w:r>
              <w:rPr>
                <w:rFonts w:hint="eastAsia" w:eastAsia="等线" w:cs="宋体"/>
                <w:color w:val="000000" w:themeColor="text1"/>
              </w:rPr>
              <w:t>)</w:t>
            </w:r>
            <w:r>
              <w:rPr>
                <w:rFonts w:hint="eastAsia" w:ascii="仿宋_GB2312" w:hAnsi="宋体" w:cs="宋体"/>
                <w:color w:val="000000" w:themeColor="text1"/>
              </w:rPr>
              <w:t>，最大</w:t>
            </w:r>
            <w:r>
              <w:rPr>
                <w:rFonts w:hint="eastAsia" w:eastAsia="等线" w:cs="宋体"/>
                <w:color w:val="000000" w:themeColor="text1"/>
              </w:rPr>
              <w:t>40kHz</w:t>
            </w:r>
            <w:r>
              <w:rPr>
                <w:rFonts w:hint="eastAsia" w:ascii="仿宋_GB2312" w:hAnsi="宋体" w:cs="宋体"/>
                <w:color w:val="000000" w:themeColor="text1"/>
              </w:rPr>
              <w:t>调制；总谐波失真：</w:t>
            </w:r>
            <w:r>
              <w:rPr>
                <w:rFonts w:hint="eastAsia" w:eastAsia="等线" w:cs="宋体"/>
                <w:color w:val="000000" w:themeColor="text1"/>
              </w:rPr>
              <w:t>&lt;1%(±10kHz</w:t>
            </w:r>
            <w:r>
              <w:rPr>
                <w:rFonts w:hint="eastAsia" w:ascii="仿宋_GB2312" w:hAnsi="宋体" w:cs="宋体"/>
                <w:color w:val="000000" w:themeColor="text1"/>
              </w:rPr>
              <w:t>频偏于</w:t>
            </w:r>
            <w:r>
              <w:rPr>
                <w:rFonts w:hint="eastAsia" w:eastAsia="等线" w:cs="宋体"/>
                <w:color w:val="000000" w:themeColor="text1"/>
              </w:rPr>
              <w:t>1kHz)</w:t>
            </w:r>
            <w:r>
              <w:rPr>
                <w:rFonts w:hint="eastAsia" w:ascii="仿宋_GB2312" w:hAnsi="宋体" w:cs="宋体"/>
                <w:color w:val="000000" w:themeColor="text1"/>
              </w:rPr>
              <w:t>；灵敏度：</w:t>
            </w:r>
            <w:r>
              <w:rPr>
                <w:rFonts w:hint="eastAsia" w:eastAsia="等线" w:cs="宋体"/>
                <w:color w:val="000000" w:themeColor="text1"/>
              </w:rPr>
              <w:t>20dBV</w:t>
            </w:r>
            <w:r>
              <w:rPr>
                <w:rFonts w:hint="eastAsia" w:ascii="仿宋_GB2312" w:hAnsi="宋体" w:cs="宋体"/>
                <w:color w:val="000000" w:themeColor="text1"/>
              </w:rPr>
              <w:t>讯噪比为</w:t>
            </w:r>
            <w:r>
              <w:rPr>
                <w:rFonts w:hint="eastAsia" w:eastAsia="等线" w:cs="宋体"/>
                <w:color w:val="000000" w:themeColor="text1"/>
              </w:rPr>
              <w:t>60dB</w:t>
            </w:r>
            <w:r>
              <w:rPr>
                <w:rFonts w:hint="eastAsia" w:ascii="仿宋_GB2312" w:hAnsi="宋体" w:cs="宋体"/>
                <w:color w:val="000000" w:themeColor="text1"/>
              </w:rPr>
              <w:t>于</w:t>
            </w:r>
            <w:r>
              <w:rPr>
                <w:rFonts w:hint="eastAsia" w:eastAsia="等线" w:cs="宋体"/>
                <w:color w:val="000000" w:themeColor="text1"/>
              </w:rPr>
              <w:t>5kHz</w:t>
            </w:r>
            <w:r>
              <w:rPr>
                <w:rFonts w:hint="eastAsia" w:ascii="仿宋_GB2312" w:hAnsi="宋体" w:cs="宋体"/>
                <w:color w:val="000000" w:themeColor="text1"/>
              </w:rPr>
              <w:t>频偏</w:t>
            </w:r>
            <w:r>
              <w:rPr>
                <w:rFonts w:hint="eastAsia" w:eastAsia="等线" w:cs="宋体"/>
                <w:color w:val="000000" w:themeColor="text1"/>
              </w:rPr>
              <w:t>IEC</w:t>
            </w:r>
            <w:r>
              <w:rPr>
                <w:rFonts w:hint="eastAsia" w:ascii="仿宋_GB2312" w:hAnsi="宋体" w:cs="宋体"/>
                <w:color w:val="000000" w:themeColor="text1"/>
              </w:rPr>
              <w:t>加权</w:t>
            </w:r>
            <w:r>
              <w:rPr>
                <w:rFonts w:hint="eastAsia" w:eastAsia="等线" w:cs="宋体"/>
                <w:color w:val="000000" w:themeColor="text1"/>
              </w:rPr>
              <w:t>)</w:t>
            </w:r>
            <w:r>
              <w:rPr>
                <w:rFonts w:hint="eastAsia" w:ascii="仿宋_GB2312" w:hAnsi="宋体" w:cs="宋体"/>
                <w:color w:val="000000" w:themeColor="text1"/>
              </w:rPr>
              <w:t>；中频：</w:t>
            </w:r>
            <w:r>
              <w:rPr>
                <w:rFonts w:hint="eastAsia" w:eastAsia="等线" w:cs="宋体"/>
                <w:color w:val="000000" w:themeColor="text1"/>
              </w:rPr>
              <w:t>65.75MHz, 10.7MHz</w:t>
            </w:r>
            <w:r>
              <w:rPr>
                <w:rFonts w:hint="eastAsia" w:ascii="仿宋_GB2312" w:hAnsi="宋体" w:cs="宋体"/>
                <w:color w:val="000000" w:themeColor="text1"/>
              </w:rPr>
              <w:t>；音频输出：非平衡：</w:t>
            </w:r>
            <w:r>
              <w:rPr>
                <w:rFonts w:hint="eastAsia" w:eastAsia="等线" w:cs="宋体"/>
                <w:color w:val="000000" w:themeColor="text1"/>
              </w:rPr>
              <w:t>25mV(</w:t>
            </w:r>
            <w:r>
              <w:rPr>
                <w:rFonts w:hint="eastAsia" w:ascii="仿宋_GB2312" w:hAnsi="宋体" w:cs="宋体"/>
                <w:color w:val="000000" w:themeColor="text1"/>
              </w:rPr>
              <w:t>于</w:t>
            </w:r>
            <w:r>
              <w:rPr>
                <w:rFonts w:hint="eastAsia" w:eastAsia="等线" w:cs="宋体"/>
                <w:color w:val="000000" w:themeColor="text1"/>
              </w:rPr>
              <w:t>1kHz,±5kHz</w:t>
            </w:r>
            <w:r>
              <w:rPr>
                <w:rFonts w:hint="eastAsia" w:ascii="仿宋_GB2312" w:hAnsi="宋体" w:cs="宋体"/>
                <w:color w:val="000000" w:themeColor="text1"/>
              </w:rPr>
              <w:t>偏移，</w:t>
            </w:r>
            <w:r>
              <w:rPr>
                <w:rFonts w:hint="eastAsia" w:eastAsia="等线" w:cs="宋体"/>
                <w:color w:val="000000" w:themeColor="text1"/>
              </w:rPr>
              <w:t>100kΩ</w:t>
            </w:r>
            <w:r>
              <w:rPr>
                <w:rFonts w:hint="eastAsia" w:ascii="仿宋_GB2312" w:hAnsi="宋体" w:cs="宋体"/>
                <w:color w:val="000000" w:themeColor="text1"/>
              </w:rPr>
              <w:t>负载</w:t>
            </w:r>
            <w:r>
              <w:rPr>
                <w:rFonts w:hint="eastAsia" w:eastAsia="等线" w:cs="宋体"/>
                <w:color w:val="000000" w:themeColor="text1"/>
              </w:rPr>
              <w:t>)</w:t>
            </w:r>
            <w:r>
              <w:rPr>
                <w:rFonts w:hint="eastAsia" w:ascii="仿宋_GB2312" w:hAnsi="宋体" w:cs="宋体"/>
                <w:color w:val="000000" w:themeColor="text1"/>
              </w:rPr>
              <w:t>；平衡：</w:t>
            </w:r>
            <w:r>
              <w:rPr>
                <w:rFonts w:hint="eastAsia" w:eastAsia="等线" w:cs="宋体"/>
                <w:color w:val="000000" w:themeColor="text1"/>
              </w:rPr>
              <w:t>12.5mV (</w:t>
            </w:r>
            <w:r>
              <w:rPr>
                <w:rFonts w:hint="eastAsia" w:ascii="仿宋_GB2312" w:hAnsi="宋体" w:cs="宋体"/>
                <w:color w:val="000000" w:themeColor="text1"/>
              </w:rPr>
              <w:t>于</w:t>
            </w:r>
            <w:r>
              <w:rPr>
                <w:rFonts w:hint="eastAsia" w:eastAsia="等线" w:cs="宋体"/>
                <w:color w:val="000000" w:themeColor="text1"/>
              </w:rPr>
              <w:t>1kHz,±5kHz</w:t>
            </w:r>
            <w:r>
              <w:rPr>
                <w:rFonts w:hint="eastAsia" w:ascii="仿宋_GB2312" w:hAnsi="宋体" w:cs="宋体"/>
                <w:color w:val="000000" w:themeColor="text1"/>
              </w:rPr>
              <w:t>偏移，</w:t>
            </w:r>
            <w:r>
              <w:rPr>
                <w:rFonts w:hint="eastAsia" w:eastAsia="等线" w:cs="宋体"/>
                <w:color w:val="000000" w:themeColor="text1"/>
              </w:rPr>
              <w:t>100kΩ</w:t>
            </w:r>
            <w:r>
              <w:rPr>
                <w:rFonts w:hint="eastAsia" w:ascii="仿宋_GB2312" w:hAnsi="宋体" w:cs="宋体"/>
                <w:color w:val="000000" w:themeColor="text1"/>
              </w:rPr>
              <w:t>负载</w:t>
            </w:r>
            <w:r>
              <w:rPr>
                <w:rFonts w:hint="eastAsia" w:eastAsia="等线" w:cs="宋体"/>
                <w:color w:val="000000" w:themeColor="text1"/>
              </w:rPr>
              <w:t>)</w:t>
            </w:r>
            <w:r>
              <w:rPr>
                <w:rFonts w:hint="eastAsia" w:ascii="仿宋_GB2312" w:hAnsi="宋体" w:cs="宋体"/>
                <w:color w:val="000000" w:themeColor="text1"/>
              </w:rPr>
              <w:t>；</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4</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数字会议主机</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全数字技术，简洁外观设计；</w:t>
            </w:r>
            <w:r>
              <w:rPr>
                <w:rFonts w:hint="eastAsia" w:eastAsia="等线" w:cs="宋体"/>
                <w:color w:val="000000" w:themeColor="text1"/>
              </w:rPr>
              <w:t>LCD</w:t>
            </w:r>
            <w:r>
              <w:rPr>
                <w:rFonts w:hint="eastAsia" w:ascii="仿宋_GB2312" w:hAnsi="宋体" w:cs="宋体"/>
                <w:color w:val="000000" w:themeColor="text1"/>
              </w:rPr>
              <w:t>显示面板，显示各类操作菜单；支持</w:t>
            </w:r>
            <w:r>
              <w:rPr>
                <w:rFonts w:hint="eastAsia" w:eastAsia="等线" w:cs="宋体"/>
                <w:color w:val="000000" w:themeColor="text1"/>
              </w:rPr>
              <w:t>4</w:t>
            </w:r>
            <w:r>
              <w:rPr>
                <w:rFonts w:hint="eastAsia" w:ascii="仿宋_GB2312" w:hAnsi="宋体" w:cs="宋体"/>
                <w:color w:val="000000" w:themeColor="text1"/>
              </w:rPr>
              <w:t>路支路连接或者</w:t>
            </w:r>
            <w:r>
              <w:rPr>
                <w:rFonts w:hint="eastAsia" w:eastAsia="等线" w:cs="宋体"/>
                <w:color w:val="000000" w:themeColor="text1"/>
              </w:rPr>
              <w:t>2</w:t>
            </w:r>
            <w:r>
              <w:rPr>
                <w:rFonts w:hint="eastAsia" w:ascii="仿宋_GB2312" w:hAnsi="宋体" w:cs="宋体"/>
                <w:color w:val="000000" w:themeColor="text1"/>
              </w:rPr>
              <w:t>路环路连接；自动回声抑制功能；无风扇设计，保证系统稳定性和使用寿命；开会即插即用</w:t>
            </w:r>
            <w:r>
              <w:rPr>
                <w:rFonts w:hint="eastAsia" w:eastAsia="等线" w:cs="宋体"/>
                <w:color w:val="000000" w:themeColor="text1"/>
              </w:rPr>
              <w:t>-</w:t>
            </w:r>
            <w:r>
              <w:rPr>
                <w:rFonts w:hint="eastAsia" w:ascii="仿宋_GB2312" w:hAnsi="宋体" w:cs="宋体"/>
                <w:color w:val="000000" w:themeColor="text1"/>
              </w:rPr>
              <w:t>无需额外电脑软件配置；支持多种会议模式；触控按键技术；采用标准的</w:t>
            </w:r>
            <w:r>
              <w:rPr>
                <w:rFonts w:hint="eastAsia" w:eastAsia="等线" w:cs="宋体"/>
                <w:color w:val="000000" w:themeColor="text1"/>
              </w:rPr>
              <w:t>RJ45</w:t>
            </w:r>
            <w:r>
              <w:rPr>
                <w:rFonts w:hint="eastAsia" w:ascii="仿宋_GB2312" w:hAnsi="宋体" w:cs="宋体"/>
                <w:color w:val="000000" w:themeColor="text1"/>
              </w:rPr>
              <w:t>连接技术；具备冗余功能的环路连接；支持会议停止后可自动关机；支持</w:t>
            </w:r>
            <w:r>
              <w:rPr>
                <w:rFonts w:hint="eastAsia" w:eastAsia="等线" w:cs="宋体"/>
                <w:color w:val="000000" w:themeColor="text1"/>
              </w:rPr>
              <w:t>VOX</w:t>
            </w:r>
            <w:r>
              <w:rPr>
                <w:rFonts w:hint="eastAsia" w:ascii="仿宋_GB2312" w:hAnsi="宋体" w:cs="宋体"/>
                <w:color w:val="000000" w:themeColor="text1"/>
              </w:rPr>
              <w:t>语音唤醒功能；支持</w:t>
            </w:r>
            <w:r>
              <w:rPr>
                <w:rFonts w:hint="eastAsia" w:eastAsia="等线" w:cs="宋体"/>
                <w:color w:val="000000" w:themeColor="text1"/>
              </w:rPr>
              <w:t>N-1</w:t>
            </w:r>
            <w:r>
              <w:rPr>
                <w:rFonts w:hint="eastAsia" w:ascii="仿宋_GB2312" w:hAnsi="宋体" w:cs="宋体"/>
                <w:color w:val="000000" w:themeColor="text1"/>
              </w:rPr>
              <w:t>远程会议以及外部音频处理；可支持</w:t>
            </w:r>
            <w:r>
              <w:rPr>
                <w:rFonts w:hint="eastAsia" w:eastAsia="等线" w:cs="宋体"/>
                <w:color w:val="000000" w:themeColor="text1"/>
              </w:rPr>
              <w:t>8</w:t>
            </w:r>
            <w:r>
              <w:rPr>
                <w:rFonts w:hint="eastAsia" w:ascii="仿宋_GB2312" w:hAnsi="宋体" w:cs="宋体"/>
                <w:color w:val="000000" w:themeColor="text1"/>
              </w:rPr>
              <w:t>支麦克风同时开启；单系统支持</w:t>
            </w:r>
            <w:r>
              <w:rPr>
                <w:rFonts w:hint="eastAsia" w:eastAsia="等线" w:cs="宋体"/>
                <w:color w:val="000000" w:themeColor="text1"/>
              </w:rPr>
              <w:t>50</w:t>
            </w:r>
            <w:r>
              <w:rPr>
                <w:rFonts w:hint="eastAsia" w:ascii="仿宋_GB2312" w:hAnsi="宋体" w:cs="宋体"/>
                <w:color w:val="000000" w:themeColor="text1"/>
              </w:rPr>
              <w:t>个会议单元；支持主机级联扩展，最大支持</w:t>
            </w:r>
            <w:r>
              <w:rPr>
                <w:rFonts w:hint="eastAsia" w:eastAsia="等线" w:cs="宋体"/>
                <w:color w:val="000000" w:themeColor="text1"/>
              </w:rPr>
              <w:t>3</w:t>
            </w:r>
            <w:r>
              <w:rPr>
                <w:rFonts w:hint="eastAsia" w:ascii="仿宋_GB2312" w:hAnsi="宋体" w:cs="宋体"/>
                <w:color w:val="000000" w:themeColor="text1"/>
              </w:rPr>
              <w:t>台主机级联，扩展后最大支持</w:t>
            </w:r>
            <w:r>
              <w:rPr>
                <w:rFonts w:hint="eastAsia" w:eastAsia="等线" w:cs="宋体"/>
                <w:color w:val="000000" w:themeColor="text1"/>
              </w:rPr>
              <w:t>150</w:t>
            </w:r>
            <w:r>
              <w:rPr>
                <w:rFonts w:hint="eastAsia" w:ascii="仿宋_GB2312" w:hAnsi="宋体" w:cs="宋体"/>
                <w:color w:val="000000" w:themeColor="text1"/>
              </w:rPr>
              <w:t>个会议单元；支持</w:t>
            </w:r>
            <w:r>
              <w:rPr>
                <w:rFonts w:hint="eastAsia" w:eastAsia="等线" w:cs="宋体"/>
                <w:color w:val="000000" w:themeColor="text1"/>
              </w:rPr>
              <w:t>Web</w:t>
            </w:r>
            <w:r>
              <w:rPr>
                <w:rFonts w:hint="eastAsia" w:ascii="仿宋_GB2312" w:hAnsi="宋体" w:cs="宋体"/>
                <w:color w:val="000000" w:themeColor="text1"/>
              </w:rPr>
              <w:t>界面登录与系统设置；支持摄像跟踪；支持双</w:t>
            </w:r>
            <w:r>
              <w:rPr>
                <w:rFonts w:hint="eastAsia" w:eastAsia="等线" w:cs="宋体"/>
                <w:color w:val="000000" w:themeColor="text1"/>
              </w:rPr>
              <w:t>USB</w:t>
            </w:r>
            <w:r>
              <w:rPr>
                <w:rFonts w:hint="eastAsia" w:ascii="仿宋_GB2312" w:hAnsi="宋体" w:cs="宋体"/>
                <w:color w:val="000000" w:themeColor="text1"/>
              </w:rPr>
              <w:t>录音；支持</w:t>
            </w:r>
            <w:r>
              <w:rPr>
                <w:rFonts w:hint="eastAsia" w:eastAsia="等线" w:cs="宋体"/>
                <w:color w:val="000000" w:themeColor="text1"/>
              </w:rPr>
              <w:t>API</w:t>
            </w:r>
            <w:r>
              <w:rPr>
                <w:rFonts w:hint="eastAsia" w:ascii="仿宋_GB2312" w:hAnsi="宋体" w:cs="宋体"/>
                <w:color w:val="000000" w:themeColor="text1"/>
              </w:rPr>
              <w:t>编程。</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5</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会议主席单元（指挥长区）</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50cm</w:t>
            </w:r>
            <w:r>
              <w:rPr>
                <w:rFonts w:hint="eastAsia" w:ascii="仿宋_GB2312" w:cs="宋体"/>
                <w:color w:val="000000" w:themeColor="text1"/>
              </w:rPr>
              <w:t>长度麦克风；抗</w:t>
            </w:r>
            <w:r>
              <w:rPr>
                <w:rFonts w:hint="eastAsia" w:eastAsia="等线" w:cs="宋体"/>
                <w:color w:val="000000" w:themeColor="text1"/>
              </w:rPr>
              <w:t>GSM</w:t>
            </w:r>
            <w:r>
              <w:rPr>
                <w:rFonts w:hint="eastAsia" w:ascii="仿宋_GB2312" w:cs="宋体"/>
                <w:color w:val="000000" w:themeColor="text1"/>
              </w:rPr>
              <w:t>手机信号干扰；端口自动流向判断，无须定义输入</w:t>
            </w:r>
            <w:r>
              <w:rPr>
                <w:rFonts w:hint="eastAsia" w:eastAsia="等线" w:cs="宋体"/>
                <w:color w:val="000000" w:themeColor="text1"/>
              </w:rPr>
              <w:t>/</w:t>
            </w:r>
            <w:r>
              <w:rPr>
                <w:rFonts w:hint="eastAsia" w:ascii="仿宋_GB2312" w:cs="宋体"/>
                <w:color w:val="000000" w:themeColor="text1"/>
              </w:rPr>
              <w:t>输出；触控技术；主席单元</w:t>
            </w:r>
            <w:r>
              <w:rPr>
                <w:rFonts w:hint="eastAsia" w:eastAsia="等线" w:cs="宋体"/>
                <w:color w:val="000000" w:themeColor="text1"/>
              </w:rPr>
              <w:t>/</w:t>
            </w:r>
            <w:r>
              <w:rPr>
                <w:rFonts w:hint="eastAsia" w:ascii="仿宋_GB2312" w:cs="宋体"/>
                <w:color w:val="000000" w:themeColor="text1"/>
              </w:rPr>
              <w:t>会议单元之间采用网线手拉手连接</w:t>
            </w:r>
            <w:r>
              <w:rPr>
                <w:rFonts w:hint="eastAsia" w:eastAsia="等线" w:cs="宋体"/>
                <w:color w:val="000000" w:themeColor="text1"/>
              </w:rPr>
              <w:t>,</w:t>
            </w:r>
            <w:r>
              <w:rPr>
                <w:rFonts w:hint="eastAsia" w:ascii="仿宋_GB2312" w:cs="宋体"/>
                <w:color w:val="000000" w:themeColor="text1"/>
              </w:rPr>
              <w:t>输入输出口混用</w:t>
            </w:r>
            <w:r>
              <w:rPr>
                <w:rFonts w:hint="eastAsia" w:eastAsia="等线" w:cs="宋体"/>
                <w:color w:val="000000" w:themeColor="text1"/>
              </w:rPr>
              <w:t>.</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只</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6</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会议代表单元（指挥长区）</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50cm</w:t>
            </w:r>
            <w:r>
              <w:rPr>
                <w:rFonts w:hint="eastAsia" w:ascii="仿宋_GB2312" w:cs="宋体"/>
                <w:color w:val="000000" w:themeColor="text1"/>
              </w:rPr>
              <w:t>长度麦克风；抗</w:t>
            </w:r>
            <w:r>
              <w:rPr>
                <w:rFonts w:hint="eastAsia" w:eastAsia="等线" w:cs="宋体"/>
                <w:color w:val="000000" w:themeColor="text1"/>
              </w:rPr>
              <w:t>GSM</w:t>
            </w:r>
            <w:r>
              <w:rPr>
                <w:rFonts w:hint="eastAsia" w:ascii="仿宋_GB2312" w:cs="宋体"/>
                <w:color w:val="000000" w:themeColor="text1"/>
              </w:rPr>
              <w:t>手机信号干扰；端口自动流向判断，无须定义输入</w:t>
            </w:r>
            <w:r>
              <w:rPr>
                <w:rFonts w:hint="eastAsia" w:eastAsia="等线" w:cs="宋体"/>
                <w:color w:val="000000" w:themeColor="text1"/>
              </w:rPr>
              <w:t>/</w:t>
            </w:r>
            <w:r>
              <w:rPr>
                <w:rFonts w:hint="eastAsia" w:ascii="仿宋_GB2312" w:cs="宋体"/>
                <w:color w:val="000000" w:themeColor="text1"/>
              </w:rPr>
              <w:t>输出；触控技术；主席单元</w:t>
            </w:r>
            <w:r>
              <w:rPr>
                <w:rFonts w:hint="eastAsia" w:eastAsia="等线" w:cs="宋体"/>
                <w:color w:val="000000" w:themeColor="text1"/>
              </w:rPr>
              <w:t>/</w:t>
            </w:r>
            <w:r>
              <w:rPr>
                <w:rFonts w:hint="eastAsia" w:ascii="仿宋_GB2312" w:cs="宋体"/>
                <w:color w:val="000000" w:themeColor="text1"/>
              </w:rPr>
              <w:t>会议单元之间采用网线手拉手连接</w:t>
            </w:r>
            <w:r>
              <w:rPr>
                <w:rFonts w:hint="eastAsia" w:eastAsia="等线" w:cs="宋体"/>
                <w:color w:val="000000" w:themeColor="text1"/>
              </w:rPr>
              <w:t>,</w:t>
            </w:r>
            <w:r>
              <w:rPr>
                <w:rFonts w:hint="eastAsia" w:ascii="仿宋_GB2312" w:cs="宋体"/>
                <w:color w:val="000000" w:themeColor="text1"/>
              </w:rPr>
              <w:t>输入输出口混用</w:t>
            </w:r>
            <w:r>
              <w:rPr>
                <w:rFonts w:hint="eastAsia" w:eastAsia="等线" w:cs="宋体"/>
                <w:color w:val="000000" w:themeColor="text1"/>
              </w:rPr>
              <w:t>.</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4</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只</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7</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会议高清摄像机</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利旧</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8</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综合布线接插件</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按需</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9</w:t>
            </w:r>
          </w:p>
        </w:tc>
        <w:tc>
          <w:tcPr>
            <w:tcW w:w="1176"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会商作战室</w:t>
            </w:r>
          </w:p>
        </w:tc>
        <w:tc>
          <w:tcPr>
            <w:tcW w:w="1180"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全频会议音箱</w:t>
            </w: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1</w:t>
            </w:r>
            <w:r>
              <w:rPr>
                <w:rFonts w:hint="eastAsia" w:ascii="仿宋_GB2312" w:cs="宋体"/>
                <w:color w:val="000000" w:themeColor="text1"/>
              </w:rPr>
              <w:t>个</w:t>
            </w:r>
            <w:r>
              <w:rPr>
                <w:rFonts w:hint="eastAsia" w:eastAsia="等线" w:cs="宋体"/>
                <w:color w:val="000000" w:themeColor="text1"/>
              </w:rPr>
              <w:t>8</w:t>
            </w:r>
            <w:r>
              <w:rPr>
                <w:rFonts w:hint="eastAsia" w:ascii="仿宋_GB2312" w:cs="宋体"/>
                <w:color w:val="000000" w:themeColor="text1"/>
              </w:rPr>
              <w:t>英寸高功率低音单元；</w:t>
            </w:r>
            <w:r>
              <w:rPr>
                <w:rFonts w:hint="eastAsia" w:eastAsia="等线" w:cs="宋体"/>
                <w:color w:val="000000" w:themeColor="text1"/>
              </w:rPr>
              <w:t>1</w:t>
            </w:r>
            <w:r>
              <w:rPr>
                <w:rFonts w:hint="eastAsia" w:ascii="仿宋_GB2312" w:cs="宋体"/>
                <w:color w:val="000000" w:themeColor="text1"/>
              </w:rPr>
              <w:t>个</w:t>
            </w:r>
            <w:r>
              <w:rPr>
                <w:rFonts w:hint="eastAsia" w:eastAsia="等线" w:cs="宋体"/>
                <w:color w:val="000000" w:themeColor="text1"/>
              </w:rPr>
              <w:t>1</w:t>
            </w:r>
            <w:r>
              <w:rPr>
                <w:rFonts w:hint="eastAsia" w:ascii="仿宋_GB2312" w:cs="宋体"/>
                <w:color w:val="000000" w:themeColor="text1"/>
              </w:rPr>
              <w:t>英寸复合膜</w:t>
            </w:r>
            <w:r>
              <w:rPr>
                <w:rFonts w:hint="eastAsia" w:eastAsia="等线" w:cs="宋体"/>
                <w:color w:val="000000" w:themeColor="text1"/>
              </w:rPr>
              <w:t>25mm</w:t>
            </w:r>
            <w:r>
              <w:rPr>
                <w:rFonts w:hint="eastAsia" w:ascii="仿宋_GB2312" w:cs="宋体"/>
                <w:color w:val="000000" w:themeColor="text1"/>
              </w:rPr>
              <w:t>高音压缩驱动器；</w:t>
            </w:r>
            <w:r>
              <w:rPr>
                <w:rFonts w:hint="eastAsia" w:eastAsia="等线" w:cs="宋体"/>
                <w:color w:val="000000" w:themeColor="text1"/>
              </w:rPr>
              <w:t>100°×80°</w:t>
            </w:r>
            <w:r>
              <w:rPr>
                <w:rFonts w:hint="eastAsia" w:ascii="仿宋_GB2312" w:cs="宋体"/>
                <w:color w:val="000000" w:themeColor="text1"/>
              </w:rPr>
              <w:t>可调宽指向角度以获得较宽范围；频率响应达到</w:t>
            </w:r>
            <w:r>
              <w:rPr>
                <w:rFonts w:hint="eastAsia" w:eastAsia="等线" w:cs="宋体"/>
                <w:color w:val="000000" w:themeColor="text1"/>
              </w:rPr>
              <w:t>80Hz-19kHz</w:t>
            </w:r>
            <w:r>
              <w:rPr>
                <w:rFonts w:hint="eastAsia" w:ascii="仿宋_GB2312" w:cs="宋体"/>
                <w:color w:val="000000" w:themeColor="text1"/>
              </w:rPr>
              <w:t>（</w:t>
            </w:r>
            <w:r>
              <w:rPr>
                <w:rFonts w:hint="eastAsia" w:eastAsia="等线" w:cs="宋体"/>
                <w:color w:val="000000" w:themeColor="text1"/>
              </w:rPr>
              <w:t>±3dB</w:t>
            </w:r>
            <w:r>
              <w:rPr>
                <w:rFonts w:hint="eastAsia" w:ascii="仿宋_GB2312" w:cs="宋体"/>
                <w:color w:val="000000" w:themeColor="text1"/>
              </w:rPr>
              <w:t>）；灵敏度</w:t>
            </w:r>
            <w:r>
              <w:rPr>
                <w:rFonts w:hint="eastAsia" w:eastAsia="等线" w:cs="宋体"/>
                <w:color w:val="000000" w:themeColor="text1"/>
              </w:rPr>
              <w:t>96dB</w:t>
            </w:r>
            <w:r>
              <w:rPr>
                <w:rFonts w:hint="eastAsia" w:ascii="仿宋_GB2312" w:cs="宋体"/>
                <w:color w:val="000000" w:themeColor="text1"/>
              </w:rPr>
              <w:t>，最大声压级</w:t>
            </w:r>
            <w:r>
              <w:rPr>
                <w:rFonts w:hint="eastAsia" w:eastAsia="等线" w:cs="宋体"/>
                <w:color w:val="000000" w:themeColor="text1"/>
              </w:rPr>
              <w:t>124dB(</w:t>
            </w:r>
            <w:r>
              <w:rPr>
                <w:rFonts w:hint="eastAsia" w:ascii="仿宋_GB2312" w:cs="宋体"/>
                <w:color w:val="000000" w:themeColor="text1"/>
              </w:rPr>
              <w:t>峰值</w:t>
            </w:r>
            <w:r>
              <w:rPr>
                <w:rFonts w:hint="eastAsia" w:eastAsia="等线" w:cs="宋体"/>
                <w:color w:val="000000" w:themeColor="text1"/>
              </w:rPr>
              <w:t xml:space="preserve">)   </w:t>
            </w:r>
          </w:p>
        </w:tc>
        <w:tc>
          <w:tcPr>
            <w:tcW w:w="775"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w:t>
            </w:r>
          </w:p>
        </w:tc>
        <w:tc>
          <w:tcPr>
            <w:tcW w:w="456" w:type="dxa"/>
            <w:vMerge w:val="restart"/>
            <w:tcBorders>
              <w:top w:val="nil"/>
              <w:left w:val="single" w:color="auto" w:sz="8" w:space="0"/>
              <w:bottom w:val="single" w:color="000000"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只</w:t>
            </w: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额定功率</w:t>
            </w:r>
            <w:r>
              <w:rPr>
                <w:rFonts w:hint="eastAsia" w:eastAsia="等线" w:cs="宋体"/>
                <w:color w:val="000000" w:themeColor="text1"/>
              </w:rPr>
              <w:t>150W</w:t>
            </w:r>
            <w:r>
              <w:rPr>
                <w:rFonts w:hint="eastAsia" w:ascii="仿宋_GB2312" w:hAnsi="宋体" w:cs="宋体"/>
                <w:color w:val="000000" w:themeColor="text1"/>
              </w:rPr>
              <w:t>，短期最大功率</w:t>
            </w:r>
            <w:r>
              <w:rPr>
                <w:rFonts w:hint="eastAsia" w:eastAsia="等线" w:cs="宋体"/>
                <w:color w:val="000000" w:themeColor="text1"/>
              </w:rPr>
              <w:t xml:space="preserve">600W  </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10</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功率放大器</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8Ω</w:t>
            </w:r>
            <w:r>
              <w:rPr>
                <w:rFonts w:hint="eastAsia" w:ascii="仿宋_GB2312" w:cs="宋体"/>
                <w:color w:val="000000" w:themeColor="text1"/>
              </w:rPr>
              <w:t>立体声</w:t>
            </w:r>
            <w:r>
              <w:rPr>
                <w:rFonts w:hint="eastAsia" w:eastAsia="等线" w:cs="宋体"/>
                <w:color w:val="000000" w:themeColor="text1"/>
              </w:rPr>
              <w:t>&amp;</w:t>
            </w:r>
            <w:r>
              <w:rPr>
                <w:rFonts w:hint="eastAsia" w:ascii="仿宋_GB2312" w:cs="宋体"/>
                <w:color w:val="000000" w:themeColor="text1"/>
              </w:rPr>
              <w:t>并接</w:t>
            </w:r>
            <w:r>
              <w:rPr>
                <w:rFonts w:hint="eastAsia" w:eastAsia="等线" w:cs="宋体"/>
                <w:color w:val="000000" w:themeColor="text1"/>
              </w:rPr>
              <w:t>330W×2</w:t>
            </w:r>
            <w:r>
              <w:rPr>
                <w:rFonts w:hint="eastAsia" w:ascii="仿宋_GB2312" w:cs="宋体"/>
                <w:color w:val="000000" w:themeColor="text1"/>
              </w:rPr>
              <w:t>，</w:t>
            </w:r>
            <w:r>
              <w:rPr>
                <w:rFonts w:hint="eastAsia" w:eastAsia="等线" w:cs="宋体"/>
                <w:color w:val="000000" w:themeColor="text1"/>
              </w:rPr>
              <w:t>4Ω</w:t>
            </w:r>
            <w:r>
              <w:rPr>
                <w:rFonts w:hint="eastAsia" w:ascii="仿宋_GB2312" w:cs="宋体"/>
                <w:color w:val="000000" w:themeColor="text1"/>
              </w:rPr>
              <w:t>立体声</w:t>
            </w:r>
            <w:r>
              <w:rPr>
                <w:rFonts w:hint="eastAsia" w:eastAsia="等线" w:cs="宋体"/>
                <w:color w:val="000000" w:themeColor="text1"/>
              </w:rPr>
              <w:t>&amp;</w:t>
            </w:r>
            <w:r>
              <w:rPr>
                <w:rFonts w:hint="eastAsia" w:ascii="仿宋_GB2312" w:cs="宋体"/>
                <w:color w:val="000000" w:themeColor="text1"/>
              </w:rPr>
              <w:t>并接</w:t>
            </w:r>
            <w:r>
              <w:rPr>
                <w:rFonts w:hint="eastAsia" w:eastAsia="等线" w:cs="宋体"/>
                <w:color w:val="000000" w:themeColor="text1"/>
              </w:rPr>
              <w:t>500W×2</w:t>
            </w:r>
            <w:r>
              <w:rPr>
                <w:rFonts w:hint="eastAsia" w:ascii="仿宋_GB2312" w:cs="宋体"/>
                <w:color w:val="000000" w:themeColor="text1"/>
              </w:rPr>
              <w:t>，</w:t>
            </w:r>
            <w:r>
              <w:rPr>
                <w:rFonts w:hint="eastAsia" w:eastAsia="等线" w:cs="宋体"/>
                <w:color w:val="000000" w:themeColor="text1"/>
              </w:rPr>
              <w:t>8Ω</w:t>
            </w:r>
            <w:r>
              <w:rPr>
                <w:rFonts w:hint="eastAsia" w:ascii="仿宋_GB2312" w:cs="宋体"/>
                <w:color w:val="000000" w:themeColor="text1"/>
              </w:rPr>
              <w:t>桥接单声道</w:t>
            </w:r>
            <w:r>
              <w:rPr>
                <w:rFonts w:hint="eastAsia" w:eastAsia="等线" w:cs="宋体"/>
                <w:color w:val="000000" w:themeColor="text1"/>
              </w:rPr>
              <w:t>1000W</w:t>
            </w:r>
            <w:r>
              <w:rPr>
                <w:rFonts w:hint="eastAsia" w:ascii="仿宋_GB2312" w:cs="宋体"/>
                <w:color w:val="000000" w:themeColor="text1"/>
              </w:rPr>
              <w:t>；频率响应</w:t>
            </w:r>
            <w:r>
              <w:rPr>
                <w:rFonts w:hint="eastAsia" w:eastAsia="等线" w:cs="宋体"/>
                <w:color w:val="000000" w:themeColor="text1"/>
              </w:rPr>
              <w:t>&lt;±0.25dB 20Hz-20kHz</w:t>
            </w:r>
            <w:r>
              <w:rPr>
                <w:rFonts w:hint="eastAsia" w:ascii="仿宋_GB2312" w:cs="宋体"/>
                <w:color w:val="000000" w:themeColor="text1"/>
              </w:rPr>
              <w:t>；峰值输出电压</w:t>
            </w:r>
            <w:r>
              <w:rPr>
                <w:rFonts w:hint="eastAsia" w:eastAsia="等线" w:cs="宋体"/>
                <w:color w:val="000000" w:themeColor="text1"/>
              </w:rPr>
              <w:t>78V</w:t>
            </w:r>
            <w:r>
              <w:rPr>
                <w:rFonts w:hint="eastAsia" w:ascii="仿宋_GB2312" w:cs="宋体"/>
                <w:color w:val="000000" w:themeColor="text1"/>
              </w:rPr>
              <w:t>；最大</w:t>
            </w:r>
            <w:r>
              <w:rPr>
                <w:rFonts w:hint="eastAsia" w:eastAsia="等线" w:cs="宋体"/>
                <w:color w:val="000000" w:themeColor="text1"/>
              </w:rPr>
              <w:t>RMS</w:t>
            </w:r>
            <w:r>
              <w:rPr>
                <w:rFonts w:hint="eastAsia" w:ascii="仿宋_GB2312" w:cs="宋体"/>
                <w:color w:val="000000" w:themeColor="text1"/>
              </w:rPr>
              <w:t>输出电压</w:t>
            </w:r>
            <w:r>
              <w:rPr>
                <w:rFonts w:hint="eastAsia" w:eastAsia="等线" w:cs="宋体"/>
                <w:color w:val="000000" w:themeColor="text1"/>
              </w:rPr>
              <w:t>55V</w:t>
            </w:r>
            <w:r>
              <w:rPr>
                <w:rFonts w:hint="eastAsia" w:ascii="仿宋_GB2312" w:cs="宋体"/>
                <w:color w:val="000000" w:themeColor="text1"/>
              </w:rPr>
              <w:t>；输入灵敏度</w:t>
            </w:r>
            <w:r>
              <w:rPr>
                <w:rFonts w:hint="eastAsia" w:eastAsia="等线" w:cs="宋体"/>
                <w:color w:val="000000" w:themeColor="text1"/>
              </w:rPr>
              <w:t>(</w:t>
            </w:r>
            <w:r>
              <w:rPr>
                <w:rFonts w:hint="eastAsia" w:ascii="仿宋_GB2312" w:cs="宋体"/>
                <w:color w:val="000000" w:themeColor="text1"/>
              </w:rPr>
              <w:t>额定功率</w:t>
            </w:r>
            <w:r>
              <w:rPr>
                <w:rFonts w:hint="eastAsia" w:eastAsia="等线" w:cs="宋体"/>
                <w:color w:val="000000" w:themeColor="text1"/>
              </w:rPr>
              <w:t>/8Ω)1.0V RMS</w:t>
            </w:r>
            <w:r>
              <w:rPr>
                <w:rFonts w:hint="eastAsia" w:ascii="仿宋_GB2312" w:cs="宋体"/>
                <w:color w:val="000000" w:themeColor="text1"/>
              </w:rPr>
              <w:t>；总谐波失真</w:t>
            </w:r>
            <w:r>
              <w:rPr>
                <w:rFonts w:hint="eastAsia" w:eastAsia="等线" w:cs="宋体"/>
                <w:color w:val="000000" w:themeColor="text1"/>
              </w:rPr>
              <w:t xml:space="preserve"> (1kHz) &lt;0.05%</w:t>
            </w:r>
            <w:r>
              <w:rPr>
                <w:rFonts w:hint="eastAsia" w:ascii="仿宋_GB2312" w:cs="宋体"/>
                <w:color w:val="000000" w:themeColor="text1"/>
              </w:rPr>
              <w:t>；互调失真</w:t>
            </w:r>
            <w:r>
              <w:rPr>
                <w:rFonts w:hint="eastAsia" w:eastAsia="等线" w:cs="宋体"/>
                <w:color w:val="000000" w:themeColor="text1"/>
              </w:rPr>
              <w:t xml:space="preserve">(60Hz/7kHz 4:1)&lt;0.1% </w:t>
            </w:r>
            <w:r>
              <w:rPr>
                <w:rFonts w:hint="eastAsia" w:ascii="仿宋_GB2312" w:cs="宋体"/>
                <w:color w:val="000000" w:themeColor="text1"/>
              </w:rPr>
              <w:t>；功率带宽</w:t>
            </w:r>
            <w:r>
              <w:rPr>
                <w:rFonts w:hint="eastAsia" w:eastAsia="等线" w:cs="宋体"/>
                <w:color w:val="000000" w:themeColor="text1"/>
              </w:rPr>
              <w:t>(</w:t>
            </w:r>
            <w:r>
              <w:rPr>
                <w:rFonts w:hint="eastAsia" w:ascii="仿宋_GB2312" w:cs="宋体"/>
                <w:color w:val="000000" w:themeColor="text1"/>
              </w:rPr>
              <w:t>额定功率</w:t>
            </w:r>
            <w:r>
              <w:rPr>
                <w:rFonts w:hint="eastAsia" w:eastAsia="等线" w:cs="宋体"/>
                <w:color w:val="000000" w:themeColor="text1"/>
              </w:rPr>
              <w:t>/8Ω, 1% THD+N)-1dB, 20Hz-20kHz</w:t>
            </w:r>
            <w:r>
              <w:rPr>
                <w:rFonts w:hint="eastAsia" w:ascii="仿宋_GB2312" w:cs="宋体"/>
                <w:color w:val="000000" w:themeColor="text1"/>
              </w:rPr>
              <w:t>；相位响应</w:t>
            </w:r>
            <w:r>
              <w:rPr>
                <w:rFonts w:hint="eastAsia" w:eastAsia="等线" w:cs="宋体"/>
                <w:color w:val="000000" w:themeColor="text1"/>
              </w:rPr>
              <w:t>(20Hz-20kHz)&lt;±15°</w:t>
            </w:r>
            <w:r>
              <w:rPr>
                <w:rFonts w:hint="eastAsia" w:ascii="仿宋_GB2312" w:cs="宋体"/>
                <w:color w:val="000000" w:themeColor="text1"/>
              </w:rPr>
              <w:t>；信噪比</w:t>
            </w:r>
            <w:r>
              <w:rPr>
                <w:rFonts w:hint="eastAsia" w:eastAsia="等线" w:cs="宋体"/>
                <w:color w:val="000000" w:themeColor="text1"/>
              </w:rPr>
              <w:t>(1kHz, A</w:t>
            </w:r>
            <w:r>
              <w:rPr>
                <w:rFonts w:hint="eastAsia" w:ascii="仿宋_GB2312" w:cs="宋体"/>
                <w:color w:val="000000" w:themeColor="text1"/>
              </w:rPr>
              <w:t>计权</w:t>
            </w:r>
            <w:r>
              <w:rPr>
                <w:rFonts w:hint="eastAsia" w:eastAsia="等线" w:cs="宋体"/>
                <w:color w:val="000000" w:themeColor="text1"/>
              </w:rPr>
              <w:t>)&gt;108dB</w:t>
            </w:r>
            <w:r>
              <w:rPr>
                <w:rFonts w:hint="eastAsia" w:ascii="仿宋_GB2312" w:cs="宋体"/>
                <w:color w:val="000000" w:themeColor="text1"/>
              </w:rPr>
              <w:t>；阻尼系数</w:t>
            </w:r>
            <w:r>
              <w:rPr>
                <w:rFonts w:hint="eastAsia" w:eastAsia="等线" w:cs="宋体"/>
                <w:color w:val="000000" w:themeColor="text1"/>
              </w:rPr>
              <w:t xml:space="preserve">(100Hz)&gt;800 </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11</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会议代表单元（会商区指挥席位）</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50cm</w:t>
            </w:r>
            <w:r>
              <w:rPr>
                <w:rFonts w:hint="eastAsia" w:ascii="仿宋_GB2312" w:cs="宋体"/>
                <w:color w:val="000000" w:themeColor="text1"/>
              </w:rPr>
              <w:t>长度麦克风；抗</w:t>
            </w:r>
            <w:r>
              <w:rPr>
                <w:rFonts w:hint="eastAsia" w:eastAsia="等线" w:cs="宋体"/>
                <w:color w:val="000000" w:themeColor="text1"/>
              </w:rPr>
              <w:t>GSM</w:t>
            </w:r>
            <w:r>
              <w:rPr>
                <w:rFonts w:hint="eastAsia" w:ascii="仿宋_GB2312" w:cs="宋体"/>
                <w:color w:val="000000" w:themeColor="text1"/>
              </w:rPr>
              <w:t>手机信号干扰；端口自动流向判断，无须定义输入</w:t>
            </w:r>
            <w:r>
              <w:rPr>
                <w:rFonts w:hint="eastAsia" w:eastAsia="等线" w:cs="宋体"/>
                <w:color w:val="000000" w:themeColor="text1"/>
              </w:rPr>
              <w:t>/</w:t>
            </w:r>
            <w:r>
              <w:rPr>
                <w:rFonts w:hint="eastAsia" w:ascii="仿宋_GB2312" w:cs="宋体"/>
                <w:color w:val="000000" w:themeColor="text1"/>
              </w:rPr>
              <w:t>输出；触控技术；主席单元</w:t>
            </w:r>
            <w:r>
              <w:rPr>
                <w:rFonts w:hint="eastAsia" w:eastAsia="等线" w:cs="宋体"/>
                <w:color w:val="000000" w:themeColor="text1"/>
              </w:rPr>
              <w:t>/</w:t>
            </w:r>
            <w:r>
              <w:rPr>
                <w:rFonts w:hint="eastAsia" w:ascii="仿宋_GB2312" w:cs="宋体"/>
                <w:color w:val="000000" w:themeColor="text1"/>
              </w:rPr>
              <w:t>会议单元之间采用网线手拉手连接</w:t>
            </w:r>
            <w:r>
              <w:rPr>
                <w:rFonts w:hint="eastAsia" w:eastAsia="等线" w:cs="宋体"/>
                <w:color w:val="000000" w:themeColor="text1"/>
              </w:rPr>
              <w:t>,</w:t>
            </w:r>
            <w:r>
              <w:rPr>
                <w:rFonts w:hint="eastAsia" w:ascii="仿宋_GB2312" w:cs="宋体"/>
                <w:color w:val="000000" w:themeColor="text1"/>
              </w:rPr>
              <w:t>输入输出口混用</w:t>
            </w:r>
            <w:r>
              <w:rPr>
                <w:rFonts w:hint="eastAsia" w:eastAsia="等线" w:cs="宋体"/>
                <w:color w:val="000000" w:themeColor="text1"/>
              </w:rPr>
              <w:t>.</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4</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只</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12</w:t>
            </w:r>
          </w:p>
        </w:tc>
        <w:tc>
          <w:tcPr>
            <w:tcW w:w="1176"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视频会议室</w:t>
            </w: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全频二分频线性音柱</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高频</w:t>
            </w:r>
            <w:r>
              <w:rPr>
                <w:rFonts w:hint="eastAsia" w:eastAsia="等线" w:cs="宋体"/>
                <w:color w:val="000000" w:themeColor="text1"/>
              </w:rPr>
              <w:t>1×1.75"</w:t>
            </w:r>
            <w:r>
              <w:rPr>
                <w:rFonts w:hint="eastAsia" w:ascii="仿宋_GB2312" w:hAnsi="宋体" w:cs="宋体"/>
                <w:color w:val="000000" w:themeColor="text1"/>
              </w:rPr>
              <w:t>芯高音驱动器，低频</w:t>
            </w:r>
            <w:r>
              <w:rPr>
                <w:rFonts w:hint="eastAsia" w:eastAsia="等线" w:cs="宋体"/>
                <w:color w:val="000000" w:themeColor="text1"/>
              </w:rPr>
              <w:t>4×4"</w:t>
            </w:r>
            <w:r>
              <w:rPr>
                <w:rFonts w:hint="eastAsia" w:ascii="仿宋_GB2312" w:hAnsi="宋体" w:cs="宋体"/>
                <w:color w:val="000000" w:themeColor="text1"/>
              </w:rPr>
              <w:t>低频驱动单元；频率响应</w:t>
            </w:r>
            <w:r>
              <w:rPr>
                <w:rFonts w:hint="eastAsia" w:eastAsia="等线" w:cs="宋体"/>
                <w:color w:val="000000" w:themeColor="text1"/>
              </w:rPr>
              <w:t>(±3dB):160Hz-17kHz</w:t>
            </w:r>
            <w:r>
              <w:rPr>
                <w:rFonts w:hint="eastAsia" w:ascii="仿宋_GB2312" w:hAnsi="宋体" w:cs="宋体"/>
                <w:color w:val="000000" w:themeColor="text1"/>
              </w:rPr>
              <w:t>，</w:t>
            </w:r>
            <w:r>
              <w:rPr>
                <w:rFonts w:hint="eastAsia" w:eastAsia="等线" w:cs="宋体"/>
                <w:color w:val="000000" w:themeColor="text1"/>
              </w:rPr>
              <w:t>-10dB:140Hz-20kHz</w:t>
            </w:r>
            <w:r>
              <w:rPr>
                <w:rFonts w:hint="eastAsia" w:ascii="仿宋_GB2312" w:hAnsi="宋体" w:cs="宋体"/>
                <w:color w:val="000000" w:themeColor="text1"/>
              </w:rPr>
              <w:t>；额定功率</w:t>
            </w:r>
            <w:r>
              <w:rPr>
                <w:rFonts w:hint="eastAsia" w:eastAsia="等线" w:cs="宋体"/>
                <w:color w:val="000000" w:themeColor="text1"/>
              </w:rPr>
              <w:t>RMS:120W</w:t>
            </w:r>
            <w:r>
              <w:rPr>
                <w:rFonts w:hint="eastAsia" w:ascii="仿宋_GB2312" w:hAnsi="宋体" w:cs="宋体"/>
                <w:color w:val="000000" w:themeColor="text1"/>
              </w:rPr>
              <w:t>；连续功率：</w:t>
            </w:r>
            <w:r>
              <w:rPr>
                <w:rFonts w:hint="eastAsia" w:eastAsia="等线" w:cs="宋体"/>
                <w:color w:val="000000" w:themeColor="text1"/>
              </w:rPr>
              <w:t>240W</w:t>
            </w:r>
            <w:r>
              <w:rPr>
                <w:rFonts w:hint="eastAsia" w:ascii="仿宋_GB2312" w:hAnsi="宋体" w:cs="宋体"/>
                <w:color w:val="000000" w:themeColor="text1"/>
              </w:rPr>
              <w:t>；最大功率：</w:t>
            </w:r>
            <w:r>
              <w:rPr>
                <w:rFonts w:hint="eastAsia" w:eastAsia="等线" w:cs="宋体"/>
                <w:color w:val="000000" w:themeColor="text1"/>
              </w:rPr>
              <w:t>480W</w:t>
            </w:r>
            <w:r>
              <w:rPr>
                <w:rFonts w:hint="eastAsia" w:ascii="仿宋_GB2312" w:hAnsi="宋体" w:cs="宋体"/>
                <w:color w:val="000000" w:themeColor="text1"/>
              </w:rPr>
              <w:t>；水平覆盖角</w:t>
            </w:r>
            <w:r>
              <w:rPr>
                <w:rFonts w:hint="eastAsia" w:eastAsia="等线" w:cs="宋体"/>
                <w:color w:val="000000" w:themeColor="text1"/>
              </w:rPr>
              <w:t>150°</w:t>
            </w:r>
            <w:r>
              <w:rPr>
                <w:rFonts w:hint="eastAsia" w:ascii="仿宋_GB2312" w:hAnsi="宋体" w:cs="宋体"/>
                <w:color w:val="000000" w:themeColor="text1"/>
              </w:rPr>
              <w:t>，垂直覆盖角</w:t>
            </w:r>
            <w:r>
              <w:rPr>
                <w:rFonts w:hint="eastAsia" w:eastAsia="等线" w:cs="宋体"/>
                <w:color w:val="000000" w:themeColor="text1"/>
              </w:rPr>
              <w:t xml:space="preserve"> 150°</w:t>
            </w:r>
            <w:r>
              <w:rPr>
                <w:rFonts w:hint="eastAsia" w:ascii="仿宋_GB2312" w:hAnsi="宋体" w:cs="宋体"/>
                <w:color w:val="000000" w:themeColor="text1"/>
              </w:rPr>
              <w:t>；灵敏度</w:t>
            </w:r>
            <w:r>
              <w:rPr>
                <w:rFonts w:hint="eastAsia" w:eastAsia="等线" w:cs="宋体"/>
                <w:color w:val="000000" w:themeColor="text1"/>
              </w:rPr>
              <w:t>(1W/1m):88dB</w:t>
            </w:r>
            <w:r>
              <w:rPr>
                <w:rFonts w:hint="eastAsia" w:ascii="仿宋_GB2312" w:hAnsi="宋体" w:cs="宋体"/>
                <w:color w:val="000000" w:themeColor="text1"/>
              </w:rPr>
              <w:t>；最大声压级</w:t>
            </w:r>
            <w:r>
              <w:rPr>
                <w:rFonts w:hint="eastAsia" w:eastAsia="等线" w:cs="宋体"/>
                <w:color w:val="000000" w:themeColor="text1"/>
              </w:rPr>
              <w:t>:115dB(</w:t>
            </w:r>
            <w:r>
              <w:rPr>
                <w:rFonts w:hint="eastAsia" w:ascii="仿宋_GB2312" w:hAnsi="宋体" w:cs="宋体"/>
                <w:color w:val="000000" w:themeColor="text1"/>
              </w:rPr>
              <w:t>峰值</w:t>
            </w:r>
            <w:r>
              <w:rPr>
                <w:rFonts w:hint="eastAsia" w:eastAsia="等线" w:cs="宋体"/>
                <w:color w:val="000000" w:themeColor="text1"/>
              </w:rPr>
              <w:t>)</w:t>
            </w:r>
            <w:r>
              <w:rPr>
                <w:rFonts w:hint="eastAsia" w:ascii="仿宋_GB2312" w:hAnsi="宋体" w:cs="宋体"/>
                <w:color w:val="000000" w:themeColor="text1"/>
              </w:rPr>
              <w:t>；额定阻抗</w:t>
            </w:r>
            <w:r>
              <w:rPr>
                <w:rFonts w:hint="eastAsia" w:eastAsia="等线" w:cs="宋体"/>
                <w:color w:val="000000" w:themeColor="text1"/>
              </w:rPr>
              <w:t>:8Ω</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只</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13</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功率放大器</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8Ω</w:t>
            </w:r>
            <w:r>
              <w:rPr>
                <w:rFonts w:hint="eastAsia" w:ascii="仿宋_GB2312" w:cs="宋体"/>
                <w:color w:val="000000" w:themeColor="text1"/>
              </w:rPr>
              <w:t>立体声</w:t>
            </w:r>
            <w:r>
              <w:rPr>
                <w:rFonts w:hint="eastAsia" w:eastAsia="等线" w:cs="宋体"/>
                <w:color w:val="000000" w:themeColor="text1"/>
              </w:rPr>
              <w:t>&amp;</w:t>
            </w:r>
            <w:r>
              <w:rPr>
                <w:rFonts w:hint="eastAsia" w:ascii="仿宋_GB2312" w:cs="宋体"/>
                <w:color w:val="000000" w:themeColor="text1"/>
              </w:rPr>
              <w:t>并接</w:t>
            </w:r>
            <w:r>
              <w:rPr>
                <w:rFonts w:hint="eastAsia" w:eastAsia="等线" w:cs="宋体"/>
                <w:color w:val="000000" w:themeColor="text1"/>
              </w:rPr>
              <w:t>330W×2</w:t>
            </w:r>
            <w:r>
              <w:rPr>
                <w:rFonts w:hint="eastAsia" w:ascii="仿宋_GB2312" w:cs="宋体"/>
                <w:color w:val="000000" w:themeColor="text1"/>
              </w:rPr>
              <w:t>，</w:t>
            </w:r>
            <w:r>
              <w:rPr>
                <w:rFonts w:hint="eastAsia" w:eastAsia="等线" w:cs="宋体"/>
                <w:color w:val="000000" w:themeColor="text1"/>
              </w:rPr>
              <w:t>4Ω</w:t>
            </w:r>
            <w:r>
              <w:rPr>
                <w:rFonts w:hint="eastAsia" w:ascii="仿宋_GB2312" w:cs="宋体"/>
                <w:color w:val="000000" w:themeColor="text1"/>
              </w:rPr>
              <w:t>立体声</w:t>
            </w:r>
            <w:r>
              <w:rPr>
                <w:rFonts w:hint="eastAsia" w:eastAsia="等线" w:cs="宋体"/>
                <w:color w:val="000000" w:themeColor="text1"/>
              </w:rPr>
              <w:t>&amp;</w:t>
            </w:r>
            <w:r>
              <w:rPr>
                <w:rFonts w:hint="eastAsia" w:ascii="仿宋_GB2312" w:cs="宋体"/>
                <w:color w:val="000000" w:themeColor="text1"/>
              </w:rPr>
              <w:t>并接</w:t>
            </w:r>
            <w:r>
              <w:rPr>
                <w:rFonts w:hint="eastAsia" w:eastAsia="等线" w:cs="宋体"/>
                <w:color w:val="000000" w:themeColor="text1"/>
              </w:rPr>
              <w:t>500W×2</w:t>
            </w:r>
            <w:r>
              <w:rPr>
                <w:rFonts w:hint="eastAsia" w:ascii="仿宋_GB2312" w:cs="宋体"/>
                <w:color w:val="000000" w:themeColor="text1"/>
              </w:rPr>
              <w:t>，</w:t>
            </w:r>
            <w:r>
              <w:rPr>
                <w:rFonts w:hint="eastAsia" w:eastAsia="等线" w:cs="宋体"/>
                <w:color w:val="000000" w:themeColor="text1"/>
              </w:rPr>
              <w:t>8Ω</w:t>
            </w:r>
            <w:r>
              <w:rPr>
                <w:rFonts w:hint="eastAsia" w:ascii="仿宋_GB2312" w:cs="宋体"/>
                <w:color w:val="000000" w:themeColor="text1"/>
              </w:rPr>
              <w:t>桥接单声道</w:t>
            </w:r>
            <w:r>
              <w:rPr>
                <w:rFonts w:hint="eastAsia" w:eastAsia="等线" w:cs="宋体"/>
                <w:color w:val="000000" w:themeColor="text1"/>
              </w:rPr>
              <w:t>1000W</w:t>
            </w:r>
            <w:r>
              <w:rPr>
                <w:rFonts w:hint="eastAsia" w:ascii="仿宋_GB2312" w:cs="宋体"/>
                <w:color w:val="000000" w:themeColor="text1"/>
              </w:rPr>
              <w:t>；频率响应</w:t>
            </w:r>
            <w:r>
              <w:rPr>
                <w:rFonts w:hint="eastAsia" w:eastAsia="等线" w:cs="宋体"/>
                <w:color w:val="000000" w:themeColor="text1"/>
              </w:rPr>
              <w:t>&lt;±0.25dB 20Hz-20kHz</w:t>
            </w:r>
            <w:r>
              <w:rPr>
                <w:rFonts w:hint="eastAsia" w:ascii="仿宋_GB2312" w:cs="宋体"/>
                <w:color w:val="000000" w:themeColor="text1"/>
              </w:rPr>
              <w:t>；峰值输出电压</w:t>
            </w:r>
            <w:r>
              <w:rPr>
                <w:rFonts w:hint="eastAsia" w:eastAsia="等线" w:cs="宋体"/>
                <w:color w:val="000000" w:themeColor="text1"/>
              </w:rPr>
              <w:t>78V</w:t>
            </w:r>
            <w:r>
              <w:rPr>
                <w:rFonts w:hint="eastAsia" w:ascii="仿宋_GB2312" w:cs="宋体"/>
                <w:color w:val="000000" w:themeColor="text1"/>
              </w:rPr>
              <w:t>；最大</w:t>
            </w:r>
            <w:r>
              <w:rPr>
                <w:rFonts w:hint="eastAsia" w:eastAsia="等线" w:cs="宋体"/>
                <w:color w:val="000000" w:themeColor="text1"/>
              </w:rPr>
              <w:t>RMS</w:t>
            </w:r>
            <w:r>
              <w:rPr>
                <w:rFonts w:hint="eastAsia" w:ascii="仿宋_GB2312" w:cs="宋体"/>
                <w:color w:val="000000" w:themeColor="text1"/>
              </w:rPr>
              <w:t>输出电压</w:t>
            </w:r>
            <w:r>
              <w:rPr>
                <w:rFonts w:hint="eastAsia" w:eastAsia="等线" w:cs="宋体"/>
                <w:color w:val="000000" w:themeColor="text1"/>
              </w:rPr>
              <w:t>55V</w:t>
            </w:r>
            <w:r>
              <w:rPr>
                <w:rFonts w:hint="eastAsia" w:ascii="仿宋_GB2312" w:cs="宋体"/>
                <w:color w:val="000000" w:themeColor="text1"/>
              </w:rPr>
              <w:t>；输入灵敏度</w:t>
            </w:r>
            <w:r>
              <w:rPr>
                <w:rFonts w:hint="eastAsia" w:eastAsia="等线" w:cs="宋体"/>
                <w:color w:val="000000" w:themeColor="text1"/>
              </w:rPr>
              <w:t>(</w:t>
            </w:r>
            <w:r>
              <w:rPr>
                <w:rFonts w:hint="eastAsia" w:ascii="仿宋_GB2312" w:cs="宋体"/>
                <w:color w:val="000000" w:themeColor="text1"/>
              </w:rPr>
              <w:t>额定功率</w:t>
            </w:r>
            <w:r>
              <w:rPr>
                <w:rFonts w:hint="eastAsia" w:eastAsia="等线" w:cs="宋体"/>
                <w:color w:val="000000" w:themeColor="text1"/>
              </w:rPr>
              <w:t>/8Ω)1.0V RMS</w:t>
            </w:r>
            <w:r>
              <w:rPr>
                <w:rFonts w:hint="eastAsia" w:ascii="仿宋_GB2312" w:cs="宋体"/>
                <w:color w:val="000000" w:themeColor="text1"/>
              </w:rPr>
              <w:t>；总谐波失真</w:t>
            </w:r>
            <w:r>
              <w:rPr>
                <w:rFonts w:hint="eastAsia" w:eastAsia="等线" w:cs="宋体"/>
                <w:color w:val="000000" w:themeColor="text1"/>
              </w:rPr>
              <w:t xml:space="preserve"> (1kHz) &lt;0.05%</w:t>
            </w:r>
            <w:r>
              <w:rPr>
                <w:rFonts w:hint="eastAsia" w:ascii="仿宋_GB2312" w:cs="宋体"/>
                <w:color w:val="000000" w:themeColor="text1"/>
              </w:rPr>
              <w:t>；互调失真</w:t>
            </w:r>
            <w:r>
              <w:rPr>
                <w:rFonts w:hint="eastAsia" w:eastAsia="等线" w:cs="宋体"/>
                <w:color w:val="000000" w:themeColor="text1"/>
              </w:rPr>
              <w:t xml:space="preserve">(60Hz/7kHz 4:1)&lt;0.1% </w:t>
            </w:r>
            <w:r>
              <w:rPr>
                <w:rFonts w:hint="eastAsia" w:ascii="仿宋_GB2312" w:cs="宋体"/>
                <w:color w:val="000000" w:themeColor="text1"/>
              </w:rPr>
              <w:t>；功率带宽</w:t>
            </w:r>
            <w:r>
              <w:rPr>
                <w:rFonts w:hint="eastAsia" w:eastAsia="等线" w:cs="宋体"/>
                <w:color w:val="000000" w:themeColor="text1"/>
              </w:rPr>
              <w:t>(</w:t>
            </w:r>
            <w:r>
              <w:rPr>
                <w:rFonts w:hint="eastAsia" w:ascii="仿宋_GB2312" w:cs="宋体"/>
                <w:color w:val="000000" w:themeColor="text1"/>
              </w:rPr>
              <w:t>额定功率</w:t>
            </w:r>
            <w:r>
              <w:rPr>
                <w:rFonts w:hint="eastAsia" w:eastAsia="等线" w:cs="宋体"/>
                <w:color w:val="000000" w:themeColor="text1"/>
              </w:rPr>
              <w:t>/8Ω, 1% THD+N)-1dB, 20Hz-20kHz</w:t>
            </w:r>
            <w:r>
              <w:rPr>
                <w:rFonts w:hint="eastAsia" w:ascii="仿宋_GB2312" w:cs="宋体"/>
                <w:color w:val="000000" w:themeColor="text1"/>
              </w:rPr>
              <w:t>；相位响应</w:t>
            </w:r>
            <w:r>
              <w:rPr>
                <w:rFonts w:hint="eastAsia" w:eastAsia="等线" w:cs="宋体"/>
                <w:color w:val="000000" w:themeColor="text1"/>
              </w:rPr>
              <w:t>(20Hz-20kHz)&lt;±15°</w:t>
            </w:r>
            <w:r>
              <w:rPr>
                <w:rFonts w:hint="eastAsia" w:ascii="仿宋_GB2312" w:cs="宋体"/>
                <w:color w:val="000000" w:themeColor="text1"/>
              </w:rPr>
              <w:t>；信噪比</w:t>
            </w:r>
            <w:r>
              <w:rPr>
                <w:rFonts w:hint="eastAsia" w:eastAsia="等线" w:cs="宋体"/>
                <w:color w:val="000000" w:themeColor="text1"/>
              </w:rPr>
              <w:t>(1kHz, A</w:t>
            </w:r>
            <w:r>
              <w:rPr>
                <w:rFonts w:hint="eastAsia" w:ascii="仿宋_GB2312" w:cs="宋体"/>
                <w:color w:val="000000" w:themeColor="text1"/>
              </w:rPr>
              <w:t>计权</w:t>
            </w:r>
            <w:r>
              <w:rPr>
                <w:rFonts w:hint="eastAsia" w:eastAsia="等线" w:cs="宋体"/>
                <w:color w:val="000000" w:themeColor="text1"/>
              </w:rPr>
              <w:t>)&gt;108dB</w:t>
            </w:r>
            <w:r>
              <w:rPr>
                <w:rFonts w:hint="eastAsia" w:ascii="仿宋_GB2312" w:cs="宋体"/>
                <w:color w:val="000000" w:themeColor="text1"/>
              </w:rPr>
              <w:t>；阻尼系数</w:t>
            </w:r>
            <w:r>
              <w:rPr>
                <w:rFonts w:hint="eastAsia" w:eastAsia="等线" w:cs="宋体"/>
                <w:color w:val="000000" w:themeColor="text1"/>
              </w:rPr>
              <w:t xml:space="preserve">(100Hz)&gt;800 </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14</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无线手持话筒</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工作频率：</w:t>
            </w:r>
            <w:r>
              <w:rPr>
                <w:rFonts w:hint="eastAsia" w:eastAsia="等线" w:cs="宋体"/>
                <w:color w:val="000000" w:themeColor="text1"/>
              </w:rPr>
              <w:t>D</w:t>
            </w:r>
            <w:r>
              <w:rPr>
                <w:rFonts w:hint="eastAsia" w:ascii="仿宋_GB2312" w:hAnsi="宋体" w:cs="宋体"/>
                <w:color w:val="000000" w:themeColor="text1"/>
              </w:rPr>
              <w:t>频段</w:t>
            </w:r>
            <w:r>
              <w:rPr>
                <w:rFonts w:hint="eastAsia" w:eastAsia="等线" w:cs="宋体"/>
                <w:color w:val="000000" w:themeColor="text1"/>
              </w:rPr>
              <w:t>656.125-678.500MHz</w:t>
            </w:r>
            <w:r>
              <w:rPr>
                <w:rFonts w:hint="eastAsia" w:ascii="仿宋_GB2312" w:hAnsi="宋体" w:cs="宋体"/>
                <w:color w:val="000000" w:themeColor="text1"/>
              </w:rPr>
              <w:t>、</w:t>
            </w:r>
            <w:r>
              <w:rPr>
                <w:rFonts w:hint="eastAsia" w:eastAsia="等线" w:cs="宋体"/>
                <w:color w:val="000000" w:themeColor="text1"/>
              </w:rPr>
              <w:t>G</w:t>
            </w:r>
            <w:r>
              <w:rPr>
                <w:rFonts w:hint="eastAsia" w:ascii="仿宋_GB2312" w:hAnsi="宋体" w:cs="宋体"/>
                <w:color w:val="000000" w:themeColor="text1"/>
              </w:rPr>
              <w:t>频段</w:t>
            </w:r>
            <w:r>
              <w:rPr>
                <w:rFonts w:hint="eastAsia" w:eastAsia="等线" w:cs="宋体"/>
                <w:color w:val="000000" w:themeColor="text1"/>
              </w:rPr>
              <w:t>722.125t-744.500MHz</w:t>
            </w:r>
            <w:r>
              <w:rPr>
                <w:rFonts w:hint="eastAsia" w:ascii="仿宋_GB2312" w:hAnsi="宋体" w:cs="宋体"/>
                <w:color w:val="000000" w:themeColor="text1"/>
              </w:rPr>
              <w:t>、</w:t>
            </w:r>
            <w:r>
              <w:rPr>
                <w:rFonts w:hint="eastAsia" w:eastAsia="等线" w:cs="宋体"/>
                <w:color w:val="000000" w:themeColor="text1"/>
              </w:rPr>
              <w:t>H</w:t>
            </w:r>
            <w:r>
              <w:rPr>
                <w:rFonts w:hint="eastAsia" w:ascii="仿宋_GB2312" w:hAnsi="宋体" w:cs="宋体"/>
                <w:color w:val="000000" w:themeColor="text1"/>
              </w:rPr>
              <w:t>频段</w:t>
            </w:r>
            <w:r>
              <w:rPr>
                <w:rFonts w:hint="eastAsia" w:eastAsia="等线" w:cs="宋体"/>
                <w:color w:val="000000" w:themeColor="text1"/>
              </w:rPr>
              <w:t>773.000t-796.625MHz</w:t>
            </w:r>
            <w:r>
              <w:rPr>
                <w:rFonts w:hint="eastAsia" w:ascii="仿宋_GB2312" w:hAnsi="宋体" w:cs="宋体"/>
                <w:color w:val="000000" w:themeColor="text1"/>
              </w:rPr>
              <w:t>、</w:t>
            </w:r>
            <w:r>
              <w:rPr>
                <w:rFonts w:hint="eastAsia" w:eastAsia="等线" w:cs="宋体"/>
                <w:color w:val="000000" w:themeColor="text1"/>
              </w:rPr>
              <w:t>I</w:t>
            </w:r>
            <w:r>
              <w:rPr>
                <w:rFonts w:hint="eastAsia" w:ascii="仿宋_GB2312" w:hAnsi="宋体" w:cs="宋体"/>
                <w:color w:val="000000" w:themeColor="text1"/>
              </w:rPr>
              <w:t>频段</w:t>
            </w:r>
            <w:r>
              <w:rPr>
                <w:rFonts w:hint="eastAsia" w:eastAsia="等线" w:cs="宋体"/>
                <w:color w:val="000000" w:themeColor="text1"/>
              </w:rPr>
              <w:t>484.125t-506.625MHz</w:t>
            </w:r>
            <w:r>
              <w:rPr>
                <w:rFonts w:hint="eastAsia" w:ascii="仿宋_GB2312" w:hAnsi="宋体" w:cs="宋体"/>
                <w:color w:val="000000" w:themeColor="text1"/>
              </w:rPr>
              <w:t>；通道数目：</w:t>
            </w:r>
            <w:r>
              <w:rPr>
                <w:rFonts w:hint="eastAsia" w:eastAsia="等线" w:cs="宋体"/>
                <w:color w:val="000000" w:themeColor="text1"/>
              </w:rPr>
              <w:t>10</w:t>
            </w:r>
            <w:r>
              <w:rPr>
                <w:rFonts w:hint="eastAsia" w:ascii="仿宋_GB2312" w:hAnsi="宋体" w:cs="宋体"/>
                <w:color w:val="000000" w:themeColor="text1"/>
              </w:rPr>
              <w:t>个可同时使用；频率稳定性：</w:t>
            </w:r>
            <w:r>
              <w:rPr>
                <w:rFonts w:hint="eastAsia" w:eastAsia="等线" w:cs="宋体"/>
                <w:color w:val="000000" w:themeColor="text1"/>
              </w:rPr>
              <w:t>±0.005%</w:t>
            </w:r>
            <w:r>
              <w:rPr>
                <w:rFonts w:hint="eastAsia" w:ascii="仿宋_GB2312" w:hAnsi="宋体" w:cs="宋体"/>
                <w:color w:val="000000" w:themeColor="text1"/>
              </w:rPr>
              <w:t>，</w:t>
            </w:r>
            <w:r>
              <w:rPr>
                <w:rFonts w:hint="eastAsia" w:eastAsia="等线" w:cs="宋体"/>
                <w:color w:val="000000" w:themeColor="text1"/>
              </w:rPr>
              <w:t>PLL</w:t>
            </w:r>
            <w:r>
              <w:rPr>
                <w:rFonts w:hint="eastAsia" w:ascii="仿宋_GB2312" w:hAnsi="宋体" w:cs="宋体"/>
                <w:color w:val="000000" w:themeColor="text1"/>
              </w:rPr>
              <w:t>锁相回路控制；调制方法：</w:t>
            </w:r>
            <w:r>
              <w:rPr>
                <w:rFonts w:hint="eastAsia" w:eastAsia="等线" w:cs="宋体"/>
                <w:color w:val="000000" w:themeColor="text1"/>
              </w:rPr>
              <w:t>FM</w:t>
            </w:r>
            <w:r>
              <w:rPr>
                <w:rFonts w:hint="eastAsia" w:ascii="仿宋_GB2312" w:hAnsi="宋体" w:cs="宋体"/>
                <w:color w:val="000000" w:themeColor="text1"/>
              </w:rPr>
              <w:t>调频；一般误差：</w:t>
            </w:r>
            <w:r>
              <w:rPr>
                <w:rFonts w:hint="eastAsia" w:eastAsia="等线" w:cs="宋体"/>
                <w:color w:val="000000" w:themeColor="text1"/>
              </w:rPr>
              <w:t>±5kHz</w:t>
            </w:r>
            <w:r>
              <w:rPr>
                <w:rFonts w:hint="eastAsia" w:ascii="仿宋_GB2312" w:hAnsi="宋体" w:cs="宋体"/>
                <w:color w:val="000000" w:themeColor="text1"/>
              </w:rPr>
              <w:t>；工作有效距离：一般</w:t>
            </w:r>
            <w:r>
              <w:rPr>
                <w:rFonts w:hint="eastAsia" w:eastAsia="等线" w:cs="宋体"/>
                <w:color w:val="000000" w:themeColor="text1"/>
              </w:rPr>
              <w:t>80</w:t>
            </w:r>
            <w:r>
              <w:rPr>
                <w:rFonts w:hint="eastAsia" w:ascii="仿宋_GB2312" w:hAnsi="宋体" w:cs="宋体"/>
                <w:color w:val="000000" w:themeColor="text1"/>
              </w:rPr>
              <w:t>米</w:t>
            </w:r>
            <w:r>
              <w:rPr>
                <w:rFonts w:hint="eastAsia" w:eastAsia="等线" w:cs="宋体"/>
                <w:color w:val="000000" w:themeColor="text1"/>
              </w:rPr>
              <w:t>(</w:t>
            </w:r>
            <w:r>
              <w:rPr>
                <w:rFonts w:hint="eastAsia" w:ascii="仿宋_GB2312" w:hAnsi="宋体" w:cs="宋体"/>
                <w:color w:val="000000" w:themeColor="text1"/>
              </w:rPr>
              <w:t>无干扰情况下</w:t>
            </w:r>
            <w:r>
              <w:rPr>
                <w:rFonts w:hint="eastAsia" w:eastAsia="等线" w:cs="宋体"/>
                <w:color w:val="000000" w:themeColor="text1"/>
              </w:rPr>
              <w:t>)</w:t>
            </w:r>
            <w:r>
              <w:rPr>
                <w:rFonts w:hint="eastAsia" w:ascii="仿宋_GB2312" w:hAnsi="宋体" w:cs="宋体"/>
                <w:color w:val="000000" w:themeColor="text1"/>
              </w:rPr>
              <w:t>；工作环境温度：</w:t>
            </w:r>
            <w:r>
              <w:rPr>
                <w:rFonts w:hint="eastAsia" w:eastAsia="等线" w:cs="宋体"/>
                <w:color w:val="000000" w:themeColor="text1"/>
              </w:rPr>
              <w:t>41°F(5°C)to113°F(45°C)</w:t>
            </w:r>
            <w:r>
              <w:rPr>
                <w:rFonts w:hint="eastAsia" w:ascii="仿宋_GB2312" w:hAnsi="宋体" w:cs="宋体"/>
                <w:color w:val="000000" w:themeColor="text1"/>
              </w:rPr>
              <w:t>；频率响应：</w:t>
            </w:r>
            <w:r>
              <w:rPr>
                <w:rFonts w:hint="eastAsia" w:eastAsia="等线" w:cs="宋体"/>
                <w:color w:val="000000" w:themeColor="text1"/>
              </w:rPr>
              <w:t>100Hzto15kHz</w:t>
            </w:r>
            <w:r>
              <w:rPr>
                <w:rFonts w:hint="eastAsia" w:ascii="仿宋_GB2312" w:hAnsi="宋体" w:cs="宋体"/>
                <w:color w:val="000000" w:themeColor="text1"/>
              </w:rPr>
              <w:t>；接收系统：自动分集式开关选择；镜频抑制：</w:t>
            </w:r>
            <w:r>
              <w:rPr>
                <w:rFonts w:hint="eastAsia" w:eastAsia="等线" w:cs="宋体"/>
                <w:color w:val="000000" w:themeColor="text1"/>
              </w:rPr>
              <w:t>55dB</w:t>
            </w:r>
            <w:r>
              <w:rPr>
                <w:rFonts w:hint="eastAsia" w:ascii="仿宋_GB2312" w:hAnsi="宋体" w:cs="宋体"/>
                <w:color w:val="000000" w:themeColor="text1"/>
              </w:rPr>
              <w:t>正常、</w:t>
            </w:r>
            <w:r>
              <w:rPr>
                <w:rFonts w:hint="eastAsia" w:eastAsia="等线" w:cs="宋体"/>
                <w:color w:val="000000" w:themeColor="text1"/>
              </w:rPr>
              <w:t>50dB</w:t>
            </w:r>
            <w:r>
              <w:rPr>
                <w:rFonts w:hint="eastAsia" w:ascii="仿宋_GB2312" w:hAnsi="宋体" w:cs="宋体"/>
                <w:color w:val="000000" w:themeColor="text1"/>
              </w:rPr>
              <w:t>最小；讯噪比：</w:t>
            </w:r>
            <w:r>
              <w:rPr>
                <w:rFonts w:hint="eastAsia" w:eastAsia="等线" w:cs="宋体"/>
                <w:color w:val="000000" w:themeColor="text1"/>
              </w:rPr>
              <w:t>100dB</w:t>
            </w:r>
            <w:r>
              <w:rPr>
                <w:rFonts w:hint="eastAsia" w:ascii="仿宋_GB2312" w:hAnsi="宋体" w:cs="宋体"/>
                <w:color w:val="000000" w:themeColor="text1"/>
              </w:rPr>
              <w:t>于</w:t>
            </w:r>
            <w:r>
              <w:rPr>
                <w:rFonts w:hint="eastAsia" w:eastAsia="等线" w:cs="宋体"/>
                <w:color w:val="000000" w:themeColor="text1"/>
              </w:rPr>
              <w:t>40kHz</w:t>
            </w:r>
            <w:r>
              <w:rPr>
                <w:rFonts w:hint="eastAsia" w:ascii="仿宋_GB2312" w:hAnsi="宋体" w:cs="宋体"/>
                <w:color w:val="000000" w:themeColor="text1"/>
              </w:rPr>
              <w:t>频偏</w:t>
            </w:r>
            <w:r>
              <w:rPr>
                <w:rFonts w:hint="eastAsia" w:eastAsia="等线" w:cs="宋体"/>
                <w:color w:val="000000" w:themeColor="text1"/>
              </w:rPr>
              <w:t>(A-</w:t>
            </w:r>
            <w:r>
              <w:rPr>
                <w:rFonts w:hint="eastAsia" w:ascii="仿宋_GB2312" w:hAnsi="宋体" w:cs="宋体"/>
                <w:color w:val="000000" w:themeColor="text1"/>
              </w:rPr>
              <w:t>加权</w:t>
            </w:r>
            <w:r>
              <w:rPr>
                <w:rFonts w:hint="eastAsia" w:eastAsia="等线" w:cs="宋体"/>
                <w:color w:val="000000" w:themeColor="text1"/>
              </w:rPr>
              <w:t>)</w:t>
            </w:r>
            <w:r>
              <w:rPr>
                <w:rFonts w:hint="eastAsia" w:ascii="仿宋_GB2312" w:hAnsi="宋体" w:cs="宋体"/>
                <w:color w:val="000000" w:themeColor="text1"/>
              </w:rPr>
              <w:t>，最大</w:t>
            </w:r>
            <w:r>
              <w:rPr>
                <w:rFonts w:hint="eastAsia" w:eastAsia="等线" w:cs="宋体"/>
                <w:color w:val="000000" w:themeColor="text1"/>
              </w:rPr>
              <w:t>40kHz</w:t>
            </w:r>
            <w:r>
              <w:rPr>
                <w:rFonts w:hint="eastAsia" w:ascii="仿宋_GB2312" w:hAnsi="宋体" w:cs="宋体"/>
                <w:color w:val="000000" w:themeColor="text1"/>
              </w:rPr>
              <w:t>调制；总谐波失真：</w:t>
            </w:r>
            <w:r>
              <w:rPr>
                <w:rFonts w:hint="eastAsia" w:eastAsia="等线" w:cs="宋体"/>
                <w:color w:val="000000" w:themeColor="text1"/>
              </w:rPr>
              <w:t>&lt;1%(±10kHz</w:t>
            </w:r>
            <w:r>
              <w:rPr>
                <w:rFonts w:hint="eastAsia" w:ascii="仿宋_GB2312" w:hAnsi="宋体" w:cs="宋体"/>
                <w:color w:val="000000" w:themeColor="text1"/>
              </w:rPr>
              <w:t>频偏于</w:t>
            </w:r>
            <w:r>
              <w:rPr>
                <w:rFonts w:hint="eastAsia" w:eastAsia="等线" w:cs="宋体"/>
                <w:color w:val="000000" w:themeColor="text1"/>
              </w:rPr>
              <w:t>1kHz)</w:t>
            </w:r>
            <w:r>
              <w:rPr>
                <w:rFonts w:hint="eastAsia" w:ascii="仿宋_GB2312" w:hAnsi="宋体" w:cs="宋体"/>
                <w:color w:val="000000" w:themeColor="text1"/>
              </w:rPr>
              <w:t>；灵敏度：</w:t>
            </w:r>
            <w:r>
              <w:rPr>
                <w:rFonts w:hint="eastAsia" w:eastAsia="等线" w:cs="宋体"/>
                <w:color w:val="000000" w:themeColor="text1"/>
              </w:rPr>
              <w:t>20dBV</w:t>
            </w:r>
            <w:r>
              <w:rPr>
                <w:rFonts w:hint="eastAsia" w:ascii="仿宋_GB2312" w:hAnsi="宋体" w:cs="宋体"/>
                <w:color w:val="000000" w:themeColor="text1"/>
              </w:rPr>
              <w:t>讯噪比为</w:t>
            </w:r>
            <w:r>
              <w:rPr>
                <w:rFonts w:hint="eastAsia" w:eastAsia="等线" w:cs="宋体"/>
                <w:color w:val="000000" w:themeColor="text1"/>
              </w:rPr>
              <w:t>60dB</w:t>
            </w:r>
            <w:r>
              <w:rPr>
                <w:rFonts w:hint="eastAsia" w:ascii="仿宋_GB2312" w:hAnsi="宋体" w:cs="宋体"/>
                <w:color w:val="000000" w:themeColor="text1"/>
              </w:rPr>
              <w:t>于</w:t>
            </w:r>
            <w:r>
              <w:rPr>
                <w:rFonts w:hint="eastAsia" w:eastAsia="等线" w:cs="宋体"/>
                <w:color w:val="000000" w:themeColor="text1"/>
              </w:rPr>
              <w:t>5kHz</w:t>
            </w:r>
            <w:r>
              <w:rPr>
                <w:rFonts w:hint="eastAsia" w:ascii="仿宋_GB2312" w:hAnsi="宋体" w:cs="宋体"/>
                <w:color w:val="000000" w:themeColor="text1"/>
              </w:rPr>
              <w:t>频偏</w:t>
            </w:r>
            <w:r>
              <w:rPr>
                <w:rFonts w:hint="eastAsia" w:eastAsia="等线" w:cs="宋体"/>
                <w:color w:val="000000" w:themeColor="text1"/>
              </w:rPr>
              <w:t>IEC</w:t>
            </w:r>
            <w:r>
              <w:rPr>
                <w:rFonts w:hint="eastAsia" w:ascii="仿宋_GB2312" w:hAnsi="宋体" w:cs="宋体"/>
                <w:color w:val="000000" w:themeColor="text1"/>
              </w:rPr>
              <w:t>加权</w:t>
            </w:r>
            <w:r>
              <w:rPr>
                <w:rFonts w:hint="eastAsia" w:eastAsia="等线" w:cs="宋体"/>
                <w:color w:val="000000" w:themeColor="text1"/>
              </w:rPr>
              <w:t>)</w:t>
            </w:r>
            <w:r>
              <w:rPr>
                <w:rFonts w:hint="eastAsia" w:ascii="仿宋_GB2312" w:hAnsi="宋体" w:cs="宋体"/>
                <w:color w:val="000000" w:themeColor="text1"/>
              </w:rPr>
              <w:t>；中频：</w:t>
            </w:r>
            <w:r>
              <w:rPr>
                <w:rFonts w:hint="eastAsia" w:eastAsia="等线" w:cs="宋体"/>
                <w:color w:val="000000" w:themeColor="text1"/>
              </w:rPr>
              <w:t>65.75MHz, 10.7MHz</w:t>
            </w:r>
            <w:r>
              <w:rPr>
                <w:rFonts w:hint="eastAsia" w:ascii="仿宋_GB2312" w:hAnsi="宋体" w:cs="宋体"/>
                <w:color w:val="000000" w:themeColor="text1"/>
              </w:rPr>
              <w:t>；音频输出：非平衡：</w:t>
            </w:r>
            <w:r>
              <w:rPr>
                <w:rFonts w:hint="eastAsia" w:eastAsia="等线" w:cs="宋体"/>
                <w:color w:val="000000" w:themeColor="text1"/>
              </w:rPr>
              <w:t>25mV(</w:t>
            </w:r>
            <w:r>
              <w:rPr>
                <w:rFonts w:hint="eastAsia" w:ascii="仿宋_GB2312" w:hAnsi="宋体" w:cs="宋体"/>
                <w:color w:val="000000" w:themeColor="text1"/>
              </w:rPr>
              <w:t>于</w:t>
            </w:r>
            <w:r>
              <w:rPr>
                <w:rFonts w:hint="eastAsia" w:eastAsia="等线" w:cs="宋体"/>
                <w:color w:val="000000" w:themeColor="text1"/>
              </w:rPr>
              <w:t>1kHz,±5kHz</w:t>
            </w:r>
            <w:r>
              <w:rPr>
                <w:rFonts w:hint="eastAsia" w:ascii="仿宋_GB2312" w:hAnsi="宋体" w:cs="宋体"/>
                <w:color w:val="000000" w:themeColor="text1"/>
              </w:rPr>
              <w:t>偏移，</w:t>
            </w:r>
            <w:r>
              <w:rPr>
                <w:rFonts w:hint="eastAsia" w:eastAsia="等线" w:cs="宋体"/>
                <w:color w:val="000000" w:themeColor="text1"/>
              </w:rPr>
              <w:t>100kΩ</w:t>
            </w:r>
            <w:r>
              <w:rPr>
                <w:rFonts w:hint="eastAsia" w:ascii="仿宋_GB2312" w:hAnsi="宋体" w:cs="宋体"/>
                <w:color w:val="000000" w:themeColor="text1"/>
              </w:rPr>
              <w:t>负载</w:t>
            </w:r>
            <w:r>
              <w:rPr>
                <w:rFonts w:hint="eastAsia" w:eastAsia="等线" w:cs="宋体"/>
                <w:color w:val="000000" w:themeColor="text1"/>
              </w:rPr>
              <w:t>)</w:t>
            </w:r>
            <w:r>
              <w:rPr>
                <w:rFonts w:hint="eastAsia" w:ascii="仿宋_GB2312" w:hAnsi="宋体" w:cs="宋体"/>
                <w:color w:val="000000" w:themeColor="text1"/>
              </w:rPr>
              <w:t>；平衡：</w:t>
            </w:r>
            <w:r>
              <w:rPr>
                <w:rFonts w:hint="eastAsia" w:eastAsia="等线" w:cs="宋体"/>
                <w:color w:val="000000" w:themeColor="text1"/>
              </w:rPr>
              <w:t>12.5mV (</w:t>
            </w:r>
            <w:r>
              <w:rPr>
                <w:rFonts w:hint="eastAsia" w:ascii="仿宋_GB2312" w:hAnsi="宋体" w:cs="宋体"/>
                <w:color w:val="000000" w:themeColor="text1"/>
              </w:rPr>
              <w:t>于</w:t>
            </w:r>
            <w:r>
              <w:rPr>
                <w:rFonts w:hint="eastAsia" w:eastAsia="等线" w:cs="宋体"/>
                <w:color w:val="000000" w:themeColor="text1"/>
              </w:rPr>
              <w:t>1kHz,±5kHz</w:t>
            </w:r>
            <w:r>
              <w:rPr>
                <w:rFonts w:hint="eastAsia" w:ascii="仿宋_GB2312" w:hAnsi="宋体" w:cs="宋体"/>
                <w:color w:val="000000" w:themeColor="text1"/>
              </w:rPr>
              <w:t>偏移，</w:t>
            </w:r>
            <w:r>
              <w:rPr>
                <w:rFonts w:hint="eastAsia" w:eastAsia="等线" w:cs="宋体"/>
                <w:color w:val="000000" w:themeColor="text1"/>
              </w:rPr>
              <w:t>100kΩ</w:t>
            </w:r>
            <w:r>
              <w:rPr>
                <w:rFonts w:hint="eastAsia" w:ascii="仿宋_GB2312" w:hAnsi="宋体" w:cs="宋体"/>
                <w:color w:val="000000" w:themeColor="text1"/>
              </w:rPr>
              <w:t>负载</w:t>
            </w:r>
            <w:r>
              <w:rPr>
                <w:rFonts w:hint="eastAsia" w:eastAsia="等线" w:cs="宋体"/>
                <w:color w:val="000000" w:themeColor="text1"/>
              </w:rPr>
              <w:t>)</w:t>
            </w:r>
            <w:r>
              <w:rPr>
                <w:rFonts w:hint="eastAsia" w:ascii="仿宋_GB2312" w:hAnsi="宋体" w:cs="宋体"/>
                <w:color w:val="000000" w:themeColor="text1"/>
              </w:rPr>
              <w:t>；</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15</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数字会议主机</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全数字技术，简洁外观设计；</w:t>
            </w:r>
            <w:r>
              <w:rPr>
                <w:rFonts w:hint="eastAsia" w:eastAsia="等线" w:cs="宋体"/>
                <w:color w:val="000000" w:themeColor="text1"/>
              </w:rPr>
              <w:t>LCD</w:t>
            </w:r>
            <w:r>
              <w:rPr>
                <w:rFonts w:hint="eastAsia" w:ascii="仿宋_GB2312" w:hAnsi="宋体" w:cs="宋体"/>
                <w:color w:val="000000" w:themeColor="text1"/>
              </w:rPr>
              <w:t>显示面板，显示各类操作菜单；支持</w:t>
            </w:r>
            <w:r>
              <w:rPr>
                <w:rFonts w:hint="eastAsia" w:eastAsia="等线" w:cs="宋体"/>
                <w:color w:val="000000" w:themeColor="text1"/>
              </w:rPr>
              <w:t>4</w:t>
            </w:r>
            <w:r>
              <w:rPr>
                <w:rFonts w:hint="eastAsia" w:ascii="仿宋_GB2312" w:hAnsi="宋体" w:cs="宋体"/>
                <w:color w:val="000000" w:themeColor="text1"/>
              </w:rPr>
              <w:t>路支路连接或者</w:t>
            </w:r>
            <w:r>
              <w:rPr>
                <w:rFonts w:hint="eastAsia" w:eastAsia="等线" w:cs="宋体"/>
                <w:color w:val="000000" w:themeColor="text1"/>
              </w:rPr>
              <w:t>2</w:t>
            </w:r>
            <w:r>
              <w:rPr>
                <w:rFonts w:hint="eastAsia" w:ascii="仿宋_GB2312" w:hAnsi="宋体" w:cs="宋体"/>
                <w:color w:val="000000" w:themeColor="text1"/>
              </w:rPr>
              <w:t>路环路连接；自动回声抑制功能；无风扇设计，保证系统稳定性和使用寿命；开会即插即用</w:t>
            </w:r>
            <w:r>
              <w:rPr>
                <w:rFonts w:hint="eastAsia" w:eastAsia="等线" w:cs="宋体"/>
                <w:color w:val="000000" w:themeColor="text1"/>
              </w:rPr>
              <w:t>-</w:t>
            </w:r>
            <w:r>
              <w:rPr>
                <w:rFonts w:hint="eastAsia" w:ascii="仿宋_GB2312" w:hAnsi="宋体" w:cs="宋体"/>
                <w:color w:val="000000" w:themeColor="text1"/>
              </w:rPr>
              <w:t>无需额外电脑软件配置；支持多种会议模式；触控按键技术；采用标准的</w:t>
            </w:r>
            <w:r>
              <w:rPr>
                <w:rFonts w:hint="eastAsia" w:eastAsia="等线" w:cs="宋体"/>
                <w:color w:val="000000" w:themeColor="text1"/>
              </w:rPr>
              <w:t>RJ45</w:t>
            </w:r>
            <w:r>
              <w:rPr>
                <w:rFonts w:hint="eastAsia" w:ascii="仿宋_GB2312" w:hAnsi="宋体" w:cs="宋体"/>
                <w:color w:val="000000" w:themeColor="text1"/>
              </w:rPr>
              <w:t>连接技术；具备冗余功能的环路连接；支持会议停止后可自动关机；支持</w:t>
            </w:r>
            <w:r>
              <w:rPr>
                <w:rFonts w:hint="eastAsia" w:eastAsia="等线" w:cs="宋体"/>
                <w:color w:val="000000" w:themeColor="text1"/>
              </w:rPr>
              <w:t>VOX</w:t>
            </w:r>
            <w:r>
              <w:rPr>
                <w:rFonts w:hint="eastAsia" w:ascii="仿宋_GB2312" w:hAnsi="宋体" w:cs="宋体"/>
                <w:color w:val="000000" w:themeColor="text1"/>
              </w:rPr>
              <w:t>语音唤醒功能；支持</w:t>
            </w:r>
            <w:r>
              <w:rPr>
                <w:rFonts w:hint="eastAsia" w:eastAsia="等线" w:cs="宋体"/>
                <w:color w:val="000000" w:themeColor="text1"/>
              </w:rPr>
              <w:t>N-1</w:t>
            </w:r>
            <w:r>
              <w:rPr>
                <w:rFonts w:hint="eastAsia" w:ascii="仿宋_GB2312" w:hAnsi="宋体" w:cs="宋体"/>
                <w:color w:val="000000" w:themeColor="text1"/>
              </w:rPr>
              <w:t>远程会议以及外部音频处理；可支持</w:t>
            </w:r>
            <w:r>
              <w:rPr>
                <w:rFonts w:hint="eastAsia" w:eastAsia="等线" w:cs="宋体"/>
                <w:color w:val="000000" w:themeColor="text1"/>
              </w:rPr>
              <w:t>8</w:t>
            </w:r>
            <w:r>
              <w:rPr>
                <w:rFonts w:hint="eastAsia" w:ascii="仿宋_GB2312" w:hAnsi="宋体" w:cs="宋体"/>
                <w:color w:val="000000" w:themeColor="text1"/>
              </w:rPr>
              <w:t>支麦克风同时开启；单系统支持</w:t>
            </w:r>
            <w:r>
              <w:rPr>
                <w:rFonts w:hint="eastAsia" w:eastAsia="等线" w:cs="宋体"/>
                <w:color w:val="000000" w:themeColor="text1"/>
              </w:rPr>
              <w:t>50</w:t>
            </w:r>
            <w:r>
              <w:rPr>
                <w:rFonts w:hint="eastAsia" w:ascii="仿宋_GB2312" w:hAnsi="宋体" w:cs="宋体"/>
                <w:color w:val="000000" w:themeColor="text1"/>
              </w:rPr>
              <w:t>个会议单元；支持主机级联扩展，最大支持</w:t>
            </w:r>
            <w:r>
              <w:rPr>
                <w:rFonts w:hint="eastAsia" w:eastAsia="等线" w:cs="宋体"/>
                <w:color w:val="000000" w:themeColor="text1"/>
              </w:rPr>
              <w:t>3</w:t>
            </w:r>
            <w:r>
              <w:rPr>
                <w:rFonts w:hint="eastAsia" w:ascii="仿宋_GB2312" w:hAnsi="宋体" w:cs="宋体"/>
                <w:color w:val="000000" w:themeColor="text1"/>
              </w:rPr>
              <w:t>台主机级联，扩展后最大支持</w:t>
            </w:r>
            <w:r>
              <w:rPr>
                <w:rFonts w:hint="eastAsia" w:eastAsia="等线" w:cs="宋体"/>
                <w:color w:val="000000" w:themeColor="text1"/>
              </w:rPr>
              <w:t>150</w:t>
            </w:r>
            <w:r>
              <w:rPr>
                <w:rFonts w:hint="eastAsia" w:ascii="仿宋_GB2312" w:hAnsi="宋体" w:cs="宋体"/>
                <w:color w:val="000000" w:themeColor="text1"/>
              </w:rPr>
              <w:t>个会议单元；支持</w:t>
            </w:r>
            <w:r>
              <w:rPr>
                <w:rFonts w:hint="eastAsia" w:eastAsia="等线" w:cs="宋体"/>
                <w:color w:val="000000" w:themeColor="text1"/>
              </w:rPr>
              <w:t>Web</w:t>
            </w:r>
            <w:r>
              <w:rPr>
                <w:rFonts w:hint="eastAsia" w:ascii="仿宋_GB2312" w:hAnsi="宋体" w:cs="宋体"/>
                <w:color w:val="000000" w:themeColor="text1"/>
              </w:rPr>
              <w:t>界面登录与系统设置；支持摄像跟踪；支持双</w:t>
            </w:r>
            <w:r>
              <w:rPr>
                <w:rFonts w:hint="eastAsia" w:eastAsia="等线" w:cs="宋体"/>
                <w:color w:val="000000" w:themeColor="text1"/>
              </w:rPr>
              <w:t>USB</w:t>
            </w:r>
            <w:r>
              <w:rPr>
                <w:rFonts w:hint="eastAsia" w:ascii="仿宋_GB2312" w:hAnsi="宋体" w:cs="宋体"/>
                <w:color w:val="000000" w:themeColor="text1"/>
              </w:rPr>
              <w:t>录音；支持</w:t>
            </w:r>
            <w:r>
              <w:rPr>
                <w:rFonts w:hint="eastAsia" w:eastAsia="等线" w:cs="宋体"/>
                <w:color w:val="000000" w:themeColor="text1"/>
              </w:rPr>
              <w:t>API</w:t>
            </w:r>
            <w:r>
              <w:rPr>
                <w:rFonts w:hint="eastAsia" w:ascii="仿宋_GB2312" w:hAnsi="宋体" w:cs="宋体"/>
                <w:color w:val="000000" w:themeColor="text1"/>
              </w:rPr>
              <w:t>编程。</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16</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会议主席单元（视频会议室）</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50cm</w:t>
            </w:r>
            <w:r>
              <w:rPr>
                <w:rFonts w:hint="eastAsia" w:ascii="仿宋_GB2312" w:cs="宋体"/>
                <w:color w:val="000000" w:themeColor="text1"/>
              </w:rPr>
              <w:t>长度麦克风；抗</w:t>
            </w:r>
            <w:r>
              <w:rPr>
                <w:rFonts w:hint="eastAsia" w:eastAsia="等线" w:cs="宋体"/>
                <w:color w:val="000000" w:themeColor="text1"/>
              </w:rPr>
              <w:t>GSM</w:t>
            </w:r>
            <w:r>
              <w:rPr>
                <w:rFonts w:hint="eastAsia" w:ascii="仿宋_GB2312" w:cs="宋体"/>
                <w:color w:val="000000" w:themeColor="text1"/>
              </w:rPr>
              <w:t>手机信号干扰；端口自动流向判断，无须定义输入</w:t>
            </w:r>
            <w:r>
              <w:rPr>
                <w:rFonts w:hint="eastAsia" w:eastAsia="等线" w:cs="宋体"/>
                <w:color w:val="000000" w:themeColor="text1"/>
              </w:rPr>
              <w:t>/</w:t>
            </w:r>
            <w:r>
              <w:rPr>
                <w:rFonts w:hint="eastAsia" w:ascii="仿宋_GB2312" w:cs="宋体"/>
                <w:color w:val="000000" w:themeColor="text1"/>
              </w:rPr>
              <w:t>输出；触控技术；主席单元</w:t>
            </w:r>
            <w:r>
              <w:rPr>
                <w:rFonts w:hint="eastAsia" w:eastAsia="等线" w:cs="宋体"/>
                <w:color w:val="000000" w:themeColor="text1"/>
              </w:rPr>
              <w:t>/</w:t>
            </w:r>
            <w:r>
              <w:rPr>
                <w:rFonts w:hint="eastAsia" w:ascii="仿宋_GB2312" w:cs="宋体"/>
                <w:color w:val="000000" w:themeColor="text1"/>
              </w:rPr>
              <w:t>会议单元之间采用网线手拉手连接</w:t>
            </w:r>
            <w:r>
              <w:rPr>
                <w:rFonts w:hint="eastAsia" w:eastAsia="等线" w:cs="宋体"/>
                <w:color w:val="000000" w:themeColor="text1"/>
              </w:rPr>
              <w:t>,</w:t>
            </w:r>
            <w:r>
              <w:rPr>
                <w:rFonts w:hint="eastAsia" w:ascii="仿宋_GB2312" w:cs="宋体"/>
                <w:color w:val="000000" w:themeColor="text1"/>
              </w:rPr>
              <w:t>输入输出口混用</w:t>
            </w:r>
            <w:r>
              <w:rPr>
                <w:rFonts w:hint="eastAsia" w:eastAsia="等线" w:cs="宋体"/>
                <w:color w:val="000000" w:themeColor="text1"/>
              </w:rPr>
              <w:t>.</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只</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17</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会议代表单元（视频会议室）</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50cm</w:t>
            </w:r>
            <w:r>
              <w:rPr>
                <w:rFonts w:hint="eastAsia" w:ascii="仿宋_GB2312" w:cs="宋体"/>
                <w:color w:val="000000" w:themeColor="text1"/>
              </w:rPr>
              <w:t>长度麦克风；抗</w:t>
            </w:r>
            <w:r>
              <w:rPr>
                <w:rFonts w:hint="eastAsia" w:eastAsia="等线" w:cs="宋体"/>
                <w:color w:val="000000" w:themeColor="text1"/>
              </w:rPr>
              <w:t>GSM</w:t>
            </w:r>
            <w:r>
              <w:rPr>
                <w:rFonts w:hint="eastAsia" w:ascii="仿宋_GB2312" w:cs="宋体"/>
                <w:color w:val="000000" w:themeColor="text1"/>
              </w:rPr>
              <w:t>手机信号干扰；端口自动流向判断，无须定义输入</w:t>
            </w:r>
            <w:r>
              <w:rPr>
                <w:rFonts w:hint="eastAsia" w:eastAsia="等线" w:cs="宋体"/>
                <w:color w:val="000000" w:themeColor="text1"/>
              </w:rPr>
              <w:t>/</w:t>
            </w:r>
            <w:r>
              <w:rPr>
                <w:rFonts w:hint="eastAsia" w:ascii="仿宋_GB2312" w:cs="宋体"/>
                <w:color w:val="000000" w:themeColor="text1"/>
              </w:rPr>
              <w:t>输出；触控技术；主席单元</w:t>
            </w:r>
            <w:r>
              <w:rPr>
                <w:rFonts w:hint="eastAsia" w:eastAsia="等线" w:cs="宋体"/>
                <w:color w:val="000000" w:themeColor="text1"/>
              </w:rPr>
              <w:t>/</w:t>
            </w:r>
            <w:r>
              <w:rPr>
                <w:rFonts w:hint="eastAsia" w:ascii="仿宋_GB2312" w:cs="宋体"/>
                <w:color w:val="000000" w:themeColor="text1"/>
              </w:rPr>
              <w:t>会议单元之间采用网线手拉手连接</w:t>
            </w:r>
            <w:r>
              <w:rPr>
                <w:rFonts w:hint="eastAsia" w:eastAsia="等线" w:cs="宋体"/>
                <w:color w:val="000000" w:themeColor="text1"/>
              </w:rPr>
              <w:t>,</w:t>
            </w:r>
            <w:r>
              <w:rPr>
                <w:rFonts w:hint="eastAsia" w:ascii="仿宋_GB2312" w:cs="宋体"/>
                <w:color w:val="000000" w:themeColor="text1"/>
              </w:rPr>
              <w:t>输入输出口混用</w:t>
            </w:r>
            <w:r>
              <w:rPr>
                <w:rFonts w:hint="eastAsia" w:eastAsia="等线" w:cs="宋体"/>
                <w:color w:val="000000" w:themeColor="text1"/>
              </w:rPr>
              <w:t>.</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5</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只</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18</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数字音频处理器</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16</w:t>
            </w:r>
            <w:r>
              <w:rPr>
                <w:rFonts w:hint="eastAsia" w:ascii="仿宋_GB2312" w:cs="宋体"/>
                <w:color w:val="000000" w:themeColor="text1"/>
              </w:rPr>
              <w:t>路可切换的平衡话筒或线路电平输入，</w:t>
            </w:r>
            <w:r>
              <w:rPr>
                <w:rFonts w:hint="eastAsia" w:eastAsia="等线" w:cs="宋体"/>
                <w:color w:val="000000" w:themeColor="text1"/>
              </w:rPr>
              <w:t>8</w:t>
            </w:r>
            <w:r>
              <w:rPr>
                <w:rFonts w:hint="eastAsia" w:ascii="仿宋_GB2312" w:cs="宋体"/>
                <w:color w:val="000000" w:themeColor="text1"/>
              </w:rPr>
              <w:t>路线路电平输出；标称输入电平：</w:t>
            </w:r>
            <w:r>
              <w:rPr>
                <w:rFonts w:hint="eastAsia" w:eastAsia="等线" w:cs="宋体"/>
                <w:color w:val="000000" w:themeColor="text1"/>
              </w:rPr>
              <w:t>+4dBu</w:t>
            </w:r>
            <w:r>
              <w:rPr>
                <w:rFonts w:hint="eastAsia" w:ascii="仿宋_GB2312" w:cs="宋体"/>
                <w:color w:val="000000" w:themeColor="text1"/>
              </w:rPr>
              <w:t>线路或</w:t>
            </w:r>
            <w:r>
              <w:rPr>
                <w:rFonts w:hint="eastAsia" w:eastAsia="等线" w:cs="宋体"/>
                <w:color w:val="000000" w:themeColor="text1"/>
              </w:rPr>
              <w:t>-36dBu</w:t>
            </w:r>
            <w:r>
              <w:rPr>
                <w:rFonts w:hint="eastAsia" w:ascii="仿宋_GB2312" w:cs="宋体"/>
                <w:color w:val="000000" w:themeColor="text1"/>
              </w:rPr>
              <w:t>话筒电平</w:t>
            </w:r>
            <w:r>
              <w:rPr>
                <w:rFonts w:hint="eastAsia" w:eastAsia="等线" w:cs="宋体"/>
                <w:color w:val="000000" w:themeColor="text1"/>
              </w:rPr>
              <w:t>(</w:t>
            </w:r>
            <w:r>
              <w:rPr>
                <w:rFonts w:hint="eastAsia" w:ascii="仿宋_GB2312" w:cs="宋体"/>
                <w:color w:val="000000" w:themeColor="text1"/>
              </w:rPr>
              <w:t>可选择软件</w:t>
            </w:r>
            <w:r>
              <w:rPr>
                <w:rFonts w:hint="eastAsia" w:eastAsia="等线" w:cs="宋体"/>
                <w:color w:val="000000" w:themeColor="text1"/>
              </w:rPr>
              <w:t>)</w:t>
            </w:r>
            <w:r>
              <w:rPr>
                <w:rFonts w:hint="eastAsia" w:ascii="仿宋_GB2312" w:cs="宋体"/>
                <w:color w:val="000000" w:themeColor="text1"/>
              </w:rPr>
              <w:t>，</w:t>
            </w:r>
            <w:r>
              <w:rPr>
                <w:rFonts w:hint="eastAsia" w:eastAsia="等线" w:cs="宋体"/>
                <w:color w:val="000000" w:themeColor="text1"/>
              </w:rPr>
              <w:t>20dB</w:t>
            </w:r>
            <w:r>
              <w:rPr>
                <w:rFonts w:hint="eastAsia" w:ascii="仿宋_GB2312" w:cs="宋体"/>
                <w:color w:val="000000" w:themeColor="text1"/>
              </w:rPr>
              <w:t>动态余量；话筒前置放大增益：</w:t>
            </w:r>
            <w:r>
              <w:rPr>
                <w:rFonts w:hint="eastAsia" w:eastAsia="等线" w:cs="宋体"/>
                <w:color w:val="000000" w:themeColor="text1"/>
              </w:rPr>
              <w:t>+40dB</w:t>
            </w:r>
            <w:r>
              <w:rPr>
                <w:rFonts w:hint="eastAsia" w:ascii="仿宋_GB2312" w:cs="宋体"/>
                <w:color w:val="000000" w:themeColor="text1"/>
              </w:rPr>
              <w:t>；输入微调：</w:t>
            </w:r>
            <w:r>
              <w:rPr>
                <w:rFonts w:hint="eastAsia" w:eastAsia="等线" w:cs="宋体"/>
                <w:color w:val="000000" w:themeColor="text1"/>
              </w:rPr>
              <w:t>+/-24dB</w:t>
            </w:r>
            <w:r>
              <w:rPr>
                <w:rFonts w:hint="eastAsia" w:ascii="仿宋_GB2312" w:cs="宋体"/>
                <w:color w:val="000000" w:themeColor="text1"/>
              </w:rPr>
              <w:t>；最大输入电平：</w:t>
            </w:r>
            <w:r>
              <w:rPr>
                <w:rFonts w:hint="eastAsia" w:eastAsia="等线" w:cs="宋体"/>
                <w:color w:val="000000" w:themeColor="text1"/>
              </w:rPr>
              <w:t>+23dBu</w:t>
            </w:r>
            <w:r>
              <w:rPr>
                <w:rFonts w:hint="eastAsia" w:ascii="仿宋_GB2312" w:cs="宋体"/>
                <w:color w:val="000000" w:themeColor="text1"/>
              </w:rPr>
              <w:t>；输入阻抗：</w:t>
            </w:r>
            <w:r>
              <w:rPr>
                <w:rFonts w:hint="eastAsia" w:eastAsia="等线" w:cs="宋体"/>
                <w:color w:val="000000" w:themeColor="text1"/>
              </w:rPr>
              <w:t>&gt;18kΩ</w:t>
            </w:r>
            <w:r>
              <w:rPr>
                <w:rFonts w:hint="eastAsia" w:ascii="仿宋_GB2312" w:cs="宋体"/>
                <w:color w:val="000000" w:themeColor="text1"/>
              </w:rPr>
              <w:t>平衡，</w:t>
            </w:r>
            <w:r>
              <w:rPr>
                <w:rFonts w:hint="eastAsia" w:eastAsia="等线" w:cs="宋体"/>
                <w:color w:val="000000" w:themeColor="text1"/>
              </w:rPr>
              <w:t>&gt;9kΩ</w:t>
            </w:r>
            <w:r>
              <w:rPr>
                <w:rFonts w:hint="eastAsia" w:ascii="仿宋_GB2312" w:cs="宋体"/>
                <w:color w:val="000000" w:themeColor="text1"/>
              </w:rPr>
              <w:t>非平衡，</w:t>
            </w:r>
            <w:r>
              <w:rPr>
                <w:rFonts w:hint="eastAsia" w:eastAsia="等线" w:cs="宋体"/>
                <w:color w:val="000000" w:themeColor="text1"/>
              </w:rPr>
              <w:t>&gt;2kΩ</w:t>
            </w:r>
            <w:r>
              <w:rPr>
                <w:rFonts w:hint="eastAsia" w:ascii="仿宋_GB2312" w:cs="宋体"/>
                <w:color w:val="000000" w:themeColor="text1"/>
              </w:rPr>
              <w:t>带幻象电源；共模抑制比：</w:t>
            </w:r>
            <w:r>
              <w:rPr>
                <w:rFonts w:hint="eastAsia" w:eastAsia="等线" w:cs="宋体"/>
                <w:color w:val="000000" w:themeColor="text1"/>
              </w:rPr>
              <w:t>&gt;50dB @ 1kHz,</w:t>
            </w:r>
            <w:r>
              <w:rPr>
                <w:rFonts w:hint="eastAsia" w:ascii="仿宋_GB2312" w:cs="宋体"/>
                <w:color w:val="000000" w:themeColor="text1"/>
              </w:rPr>
              <w:t>整体增益；话筒前置放大等效输入噪声：</w:t>
            </w:r>
            <w:r>
              <w:rPr>
                <w:rFonts w:hint="eastAsia" w:eastAsia="等线" w:cs="宋体"/>
                <w:color w:val="000000" w:themeColor="text1"/>
              </w:rPr>
              <w:t>&lt;-125dBu</w:t>
            </w:r>
            <w:r>
              <w:rPr>
                <w:rFonts w:hint="eastAsia" w:ascii="仿宋_GB2312" w:cs="宋体"/>
                <w:color w:val="000000" w:themeColor="text1"/>
              </w:rPr>
              <w:t>，</w:t>
            </w:r>
            <w:r>
              <w:rPr>
                <w:rFonts w:hint="eastAsia" w:eastAsia="等线" w:cs="宋体"/>
                <w:color w:val="000000" w:themeColor="text1"/>
              </w:rPr>
              <w:t>22Hz-22kHz,100Ω</w:t>
            </w:r>
            <w:r>
              <w:rPr>
                <w:rFonts w:hint="eastAsia" w:ascii="仿宋_GB2312" w:cs="宋体"/>
                <w:color w:val="000000" w:themeColor="text1"/>
              </w:rPr>
              <w:t>电源阻抗；幻象电源：</w:t>
            </w:r>
            <w:r>
              <w:rPr>
                <w:rFonts w:hint="eastAsia" w:eastAsia="等线" w:cs="宋体"/>
                <w:color w:val="000000" w:themeColor="text1"/>
              </w:rPr>
              <w:t>+20V</w:t>
            </w:r>
            <w:r>
              <w:rPr>
                <w:rFonts w:hint="eastAsia" w:ascii="仿宋_GB2312" w:cs="宋体"/>
                <w:color w:val="000000" w:themeColor="text1"/>
              </w:rPr>
              <w:t>直流</w:t>
            </w:r>
            <w:r>
              <w:rPr>
                <w:rFonts w:hint="eastAsia" w:eastAsia="等线" w:cs="宋体"/>
                <w:color w:val="000000" w:themeColor="text1"/>
              </w:rPr>
              <w:t xml:space="preserve">, </w:t>
            </w:r>
            <w:r>
              <w:rPr>
                <w:rFonts w:hint="eastAsia" w:ascii="仿宋_GB2312" w:cs="宋体"/>
                <w:color w:val="000000" w:themeColor="text1"/>
              </w:rPr>
              <w:t>每路输入最大为</w:t>
            </w:r>
            <w:r>
              <w:rPr>
                <w:rFonts w:hint="eastAsia" w:eastAsia="等线" w:cs="宋体"/>
                <w:color w:val="000000" w:themeColor="text1"/>
              </w:rPr>
              <w:t>20mA</w:t>
            </w:r>
            <w:r>
              <w:rPr>
                <w:rFonts w:hint="eastAsia" w:ascii="仿宋_GB2312" w:cs="宋体"/>
                <w:color w:val="000000" w:themeColor="text1"/>
              </w:rPr>
              <w:t>；最大输出电平：</w:t>
            </w:r>
            <w:r>
              <w:rPr>
                <w:rFonts w:hint="eastAsia" w:eastAsia="等线" w:cs="宋体"/>
                <w:color w:val="000000" w:themeColor="text1"/>
              </w:rPr>
              <w:t>+24dBu</w:t>
            </w:r>
            <w:r>
              <w:rPr>
                <w:rFonts w:hint="eastAsia" w:ascii="仿宋_GB2312" w:cs="宋体"/>
                <w:color w:val="000000" w:themeColor="text1"/>
              </w:rPr>
              <w:t>；输出阻抗：</w:t>
            </w:r>
            <w:r>
              <w:rPr>
                <w:rFonts w:hint="eastAsia" w:eastAsia="等线" w:cs="宋体"/>
                <w:color w:val="000000" w:themeColor="text1"/>
              </w:rPr>
              <w:t>200Ω</w:t>
            </w:r>
            <w:r>
              <w:rPr>
                <w:rFonts w:hint="eastAsia" w:ascii="仿宋_GB2312" w:cs="宋体"/>
                <w:color w:val="000000" w:themeColor="text1"/>
              </w:rPr>
              <w:t>平衡，</w:t>
            </w:r>
            <w:r>
              <w:rPr>
                <w:rFonts w:hint="eastAsia" w:eastAsia="等线" w:cs="宋体"/>
                <w:color w:val="000000" w:themeColor="text1"/>
              </w:rPr>
              <w:t>100Ω</w:t>
            </w:r>
            <w:r>
              <w:rPr>
                <w:rFonts w:hint="eastAsia" w:ascii="仿宋_GB2312" w:cs="宋体"/>
                <w:color w:val="000000" w:themeColor="text1"/>
              </w:rPr>
              <w:t>非平衡；采样率：</w:t>
            </w:r>
            <w:r>
              <w:rPr>
                <w:rFonts w:hint="eastAsia" w:eastAsia="等线" w:cs="宋体"/>
                <w:color w:val="000000" w:themeColor="text1"/>
              </w:rPr>
              <w:t>48kHz</w:t>
            </w:r>
            <w:r>
              <w:rPr>
                <w:rFonts w:hint="eastAsia" w:ascii="仿宋_GB2312" w:cs="宋体"/>
                <w:color w:val="000000" w:themeColor="text1"/>
              </w:rPr>
              <w:t>；频率响应：</w:t>
            </w:r>
            <w:r>
              <w:rPr>
                <w:rFonts w:hint="eastAsia" w:eastAsia="等线" w:cs="宋体"/>
                <w:color w:val="000000" w:themeColor="text1"/>
              </w:rPr>
              <w:t>20Hz-20kHz, +/-0.5dB</w:t>
            </w:r>
            <w:r>
              <w:rPr>
                <w:rFonts w:hint="eastAsia" w:ascii="仿宋_GB2312" w:cs="宋体"/>
                <w:color w:val="000000" w:themeColor="text1"/>
              </w:rPr>
              <w:t>；动态范围：</w:t>
            </w:r>
            <w:r>
              <w:rPr>
                <w:rFonts w:hint="eastAsia" w:eastAsia="等线" w:cs="宋体"/>
                <w:color w:val="000000" w:themeColor="text1"/>
              </w:rPr>
              <w:t>&gt;110dB(A</w:t>
            </w:r>
            <w:r>
              <w:rPr>
                <w:rFonts w:hint="eastAsia" w:ascii="仿宋_GB2312" w:cs="宋体"/>
                <w:color w:val="000000" w:themeColor="text1"/>
              </w:rPr>
              <w:t>计权</w:t>
            </w:r>
            <w:r>
              <w:rPr>
                <w:rFonts w:hint="eastAsia" w:eastAsia="等线" w:cs="宋体"/>
                <w:color w:val="000000" w:themeColor="text1"/>
              </w:rPr>
              <w:t>)</w:t>
            </w:r>
            <w:r>
              <w:rPr>
                <w:rFonts w:hint="eastAsia" w:ascii="仿宋_GB2312" w:cs="宋体"/>
                <w:color w:val="000000" w:themeColor="text1"/>
              </w:rPr>
              <w:t>，输入至输出；总谐波失真</w:t>
            </w:r>
            <w:r>
              <w:rPr>
                <w:rFonts w:hint="eastAsia" w:eastAsia="等线" w:cs="宋体"/>
                <w:color w:val="000000" w:themeColor="text1"/>
              </w:rPr>
              <w:t>+</w:t>
            </w:r>
            <w:r>
              <w:rPr>
                <w:rFonts w:hint="eastAsia" w:ascii="仿宋_GB2312" w:cs="宋体"/>
                <w:color w:val="000000" w:themeColor="text1"/>
              </w:rPr>
              <w:t>噪声</w:t>
            </w:r>
            <w:r>
              <w:rPr>
                <w:rFonts w:hint="eastAsia" w:eastAsia="等线" w:cs="宋体"/>
                <w:color w:val="000000" w:themeColor="text1"/>
              </w:rPr>
              <w:t>:&lt;-85 dB(</w:t>
            </w:r>
            <w:r>
              <w:rPr>
                <w:rFonts w:hint="eastAsia" w:ascii="仿宋_GB2312" w:cs="宋体"/>
                <w:color w:val="000000" w:themeColor="text1"/>
              </w:rPr>
              <w:t>未计权</w:t>
            </w:r>
            <w:r>
              <w:rPr>
                <w:rFonts w:hint="eastAsia" w:eastAsia="等线" w:cs="宋体"/>
                <w:color w:val="000000" w:themeColor="text1"/>
              </w:rPr>
              <w:t>)</w:t>
            </w:r>
            <w:r>
              <w:rPr>
                <w:rFonts w:hint="eastAsia" w:ascii="仿宋_GB2312" w:cs="宋体"/>
                <w:color w:val="000000" w:themeColor="text1"/>
              </w:rPr>
              <w:t>；</w:t>
            </w:r>
            <w:r>
              <w:rPr>
                <w:rFonts w:hint="eastAsia" w:eastAsia="等线" w:cs="宋体"/>
                <w:color w:val="000000" w:themeColor="text1"/>
              </w:rPr>
              <w:t>1kHz@+22dBu</w:t>
            </w:r>
            <w:r>
              <w:rPr>
                <w:rFonts w:hint="eastAsia" w:ascii="仿宋_GB2312" w:cs="宋体"/>
                <w:color w:val="000000" w:themeColor="text1"/>
              </w:rPr>
              <w:t>，</w:t>
            </w:r>
            <w:r>
              <w:rPr>
                <w:rFonts w:hint="eastAsia" w:eastAsia="等线" w:cs="宋体"/>
                <w:color w:val="000000" w:themeColor="text1"/>
              </w:rPr>
              <w:t>0dB</w:t>
            </w:r>
            <w:r>
              <w:rPr>
                <w:rFonts w:hint="eastAsia" w:ascii="仿宋_GB2312" w:cs="宋体"/>
                <w:color w:val="000000" w:themeColor="text1"/>
              </w:rPr>
              <w:t>增益；交叉通道串音：</w:t>
            </w:r>
            <w:r>
              <w:rPr>
                <w:rFonts w:hint="eastAsia" w:eastAsia="等线" w:cs="宋体"/>
                <w:color w:val="000000" w:themeColor="text1"/>
              </w:rPr>
              <w:t>&lt;-90dBu@1kHz,</w:t>
            </w:r>
            <w:r>
              <w:rPr>
                <w:rFonts w:hint="eastAsia" w:ascii="仿宋_GB2312" w:cs="宋体"/>
                <w:color w:val="000000" w:themeColor="text1"/>
              </w:rPr>
              <w:t>典型；延时：</w:t>
            </w:r>
            <w:r>
              <w:rPr>
                <w:rFonts w:hint="eastAsia" w:eastAsia="等线" w:cs="宋体"/>
                <w:color w:val="000000" w:themeColor="text1"/>
              </w:rPr>
              <w:t>&lt;1.6ms</w:t>
            </w:r>
            <w:r>
              <w:rPr>
                <w:rFonts w:hint="eastAsia" w:ascii="仿宋_GB2312" w:cs="宋体"/>
                <w:color w:val="000000" w:themeColor="text1"/>
              </w:rPr>
              <w:t>，输入路由至输出；电子：</w:t>
            </w:r>
            <w:r>
              <w:rPr>
                <w:rFonts w:hint="eastAsia" w:eastAsia="等线" w:cs="宋体"/>
                <w:color w:val="000000" w:themeColor="text1"/>
              </w:rPr>
              <w:t>100-240V</w:t>
            </w:r>
            <w:r>
              <w:rPr>
                <w:rFonts w:hint="eastAsia" w:ascii="仿宋_GB2312" w:cs="宋体"/>
                <w:color w:val="000000" w:themeColor="text1"/>
              </w:rPr>
              <w:t>交流</w:t>
            </w:r>
            <w:r>
              <w:rPr>
                <w:rFonts w:hint="eastAsia" w:eastAsia="等线" w:cs="宋体"/>
                <w:color w:val="000000" w:themeColor="text1"/>
              </w:rPr>
              <w:t>,50/60Hz,</w:t>
            </w:r>
            <w:r>
              <w:rPr>
                <w:rFonts w:hint="eastAsia" w:ascii="仿宋_GB2312" w:cs="宋体"/>
                <w:color w:val="000000" w:themeColor="text1"/>
              </w:rPr>
              <w:t>最大</w:t>
            </w:r>
            <w:r>
              <w:rPr>
                <w:rFonts w:hint="eastAsia" w:eastAsia="等线" w:cs="宋体"/>
                <w:color w:val="000000" w:themeColor="text1"/>
              </w:rPr>
              <w:t>25W</w:t>
            </w:r>
            <w:r>
              <w:rPr>
                <w:rFonts w:hint="eastAsia" w:ascii="仿宋_GB2312" w:cs="宋体"/>
                <w:color w:val="000000" w:themeColor="text1"/>
              </w:rPr>
              <w:t>，通用输入；</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19</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数字调音台</w:t>
            </w: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24</w:t>
            </w:r>
            <w:r>
              <w:rPr>
                <w:rFonts w:hint="eastAsia" w:ascii="仿宋_GB2312" w:cs="宋体"/>
                <w:color w:val="000000" w:themeColor="text1"/>
              </w:rPr>
              <w:t>路卡农口信号输入，</w:t>
            </w:r>
            <w:r>
              <w:rPr>
                <w:rFonts w:hint="eastAsia" w:eastAsia="等线" w:cs="宋体"/>
                <w:color w:val="000000" w:themeColor="text1"/>
              </w:rPr>
              <w:t>4</w:t>
            </w:r>
            <w:r>
              <w:rPr>
                <w:rFonts w:hint="eastAsia" w:ascii="仿宋_GB2312" w:cs="宋体"/>
                <w:color w:val="000000" w:themeColor="text1"/>
              </w:rPr>
              <w:t>路线路输入（大两星</w:t>
            </w:r>
            <w:r>
              <w:rPr>
                <w:rFonts w:hint="eastAsia" w:eastAsia="等线" w:cs="宋体"/>
                <w:color w:val="000000" w:themeColor="text1"/>
              </w:rPr>
              <w:t>/</w:t>
            </w:r>
            <w:r>
              <w:rPr>
                <w:rFonts w:hint="eastAsia" w:ascii="仿宋_GB2312" w:cs="宋体"/>
                <w:color w:val="000000" w:themeColor="text1"/>
              </w:rPr>
              <w:t>大三星信号）</w:t>
            </w:r>
          </w:p>
        </w:tc>
        <w:tc>
          <w:tcPr>
            <w:tcW w:w="775"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vMerge w:val="restart"/>
            <w:tcBorders>
              <w:top w:val="nil"/>
              <w:left w:val="single" w:color="auto" w:sz="8" w:space="0"/>
              <w:bottom w:val="single" w:color="000000"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彩色触摸显示屏</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连接扩展卡，最大可扩展到</w:t>
            </w:r>
            <w:r>
              <w:rPr>
                <w:rFonts w:hint="eastAsia" w:eastAsia="等线" w:cs="宋体"/>
                <w:color w:val="000000" w:themeColor="text1"/>
              </w:rPr>
              <w:t>66</w:t>
            </w:r>
            <w:r>
              <w:rPr>
                <w:rFonts w:hint="eastAsia" w:ascii="仿宋_GB2312" w:hAnsi="宋体" w:cs="宋体"/>
                <w:color w:val="000000" w:themeColor="text1"/>
              </w:rPr>
              <w:t>路卡农口信号输入</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每路输入都有</w:t>
            </w:r>
            <w:r>
              <w:rPr>
                <w:rFonts w:hint="eastAsia" w:eastAsia="等线" w:cs="宋体"/>
                <w:color w:val="000000" w:themeColor="text1"/>
              </w:rPr>
              <w:t>4</w:t>
            </w:r>
            <w:r>
              <w:rPr>
                <w:rFonts w:hint="eastAsia" w:ascii="仿宋_GB2312" w:hAnsi="宋体" w:cs="宋体"/>
                <w:color w:val="000000" w:themeColor="text1"/>
              </w:rPr>
              <w:t>段参量均衡器</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共</w:t>
            </w:r>
            <w:r>
              <w:rPr>
                <w:rFonts w:hint="eastAsia" w:eastAsia="等线" w:cs="宋体"/>
                <w:color w:val="000000" w:themeColor="text1"/>
              </w:rPr>
              <w:t>24</w:t>
            </w:r>
            <w:r>
              <w:rPr>
                <w:rFonts w:hint="eastAsia" w:ascii="仿宋_GB2312" w:hAnsi="宋体" w:cs="宋体"/>
                <w:color w:val="000000" w:themeColor="text1"/>
              </w:rPr>
              <w:t>路输出口，可设置为编组</w:t>
            </w:r>
            <w:r>
              <w:rPr>
                <w:rFonts w:hint="eastAsia" w:eastAsia="等线" w:cs="宋体"/>
                <w:color w:val="000000" w:themeColor="text1"/>
              </w:rPr>
              <w:t>/</w:t>
            </w:r>
            <w:r>
              <w:rPr>
                <w:rFonts w:hint="eastAsia" w:ascii="仿宋_GB2312" w:hAnsi="宋体" w:cs="宋体"/>
                <w:color w:val="000000" w:themeColor="text1"/>
              </w:rPr>
              <w:t>辅助</w:t>
            </w:r>
            <w:r>
              <w:rPr>
                <w:rFonts w:hint="eastAsia" w:eastAsia="等线" w:cs="宋体"/>
                <w:color w:val="000000" w:themeColor="text1"/>
              </w:rPr>
              <w:t>/</w:t>
            </w:r>
            <w:r>
              <w:rPr>
                <w:rFonts w:hint="eastAsia" w:ascii="仿宋_GB2312" w:hAnsi="宋体" w:cs="宋体"/>
                <w:color w:val="000000" w:themeColor="text1"/>
              </w:rPr>
              <w:t>主输出等</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每路输出都有单独的</w:t>
            </w:r>
            <w:r>
              <w:rPr>
                <w:rFonts w:hint="eastAsia" w:eastAsia="等线" w:cs="宋体"/>
                <w:color w:val="000000" w:themeColor="text1"/>
              </w:rPr>
              <w:t>31</w:t>
            </w:r>
            <w:r>
              <w:rPr>
                <w:rFonts w:hint="eastAsia" w:ascii="仿宋_GB2312" w:hAnsi="宋体" w:cs="宋体"/>
                <w:color w:val="000000" w:themeColor="text1"/>
              </w:rPr>
              <w:t>段参量均衡器（辅助</w:t>
            </w:r>
            <w:r>
              <w:rPr>
                <w:rFonts w:hint="eastAsia" w:eastAsia="等线" w:cs="宋体"/>
                <w:color w:val="000000" w:themeColor="text1"/>
              </w:rPr>
              <w:t>/</w:t>
            </w:r>
            <w:r>
              <w:rPr>
                <w:rFonts w:hint="eastAsia" w:ascii="仿宋_GB2312" w:hAnsi="宋体" w:cs="宋体"/>
                <w:color w:val="000000" w:themeColor="text1"/>
              </w:rPr>
              <w:t>编组</w:t>
            </w:r>
            <w:r>
              <w:rPr>
                <w:rFonts w:hint="eastAsia" w:eastAsia="等线" w:cs="宋体"/>
                <w:color w:val="000000" w:themeColor="text1"/>
              </w:rPr>
              <w:t>/</w:t>
            </w:r>
            <w:r>
              <w:rPr>
                <w:rFonts w:hint="eastAsia" w:ascii="仿宋_GB2312" w:hAnsi="宋体" w:cs="宋体"/>
                <w:color w:val="000000" w:themeColor="text1"/>
              </w:rPr>
              <w:t>总输出）</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4</w:t>
            </w:r>
            <w:r>
              <w:rPr>
                <w:rFonts w:hint="eastAsia" w:ascii="仿宋_GB2312" w:cs="宋体"/>
                <w:color w:val="000000" w:themeColor="text1"/>
              </w:rPr>
              <w:t>路可任意调用的</w:t>
            </w:r>
            <w:r>
              <w:rPr>
                <w:rFonts w:hint="eastAsia" w:eastAsia="等线" w:cs="宋体"/>
                <w:color w:val="000000" w:themeColor="text1"/>
              </w:rPr>
              <w:t>Lexicon FX</w:t>
            </w:r>
            <w:r>
              <w:rPr>
                <w:rFonts w:hint="eastAsia" w:ascii="仿宋_GB2312" w:cs="宋体"/>
                <w:color w:val="000000" w:themeColor="text1"/>
              </w:rPr>
              <w:t>效果器</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4</w:t>
            </w:r>
            <w:r>
              <w:rPr>
                <w:rFonts w:hint="eastAsia" w:ascii="仿宋_GB2312" w:cs="宋体"/>
                <w:color w:val="000000" w:themeColor="text1"/>
              </w:rPr>
              <w:t>个静音编组</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可连接</w:t>
            </w:r>
            <w:r>
              <w:rPr>
                <w:rFonts w:hint="eastAsia" w:eastAsia="等线" w:cs="宋体"/>
                <w:color w:val="000000" w:themeColor="text1"/>
              </w:rPr>
              <w:t>Ipad</w:t>
            </w:r>
            <w:r>
              <w:rPr>
                <w:rFonts w:hint="eastAsia" w:ascii="仿宋_GB2312" w:hAnsi="宋体" w:cs="宋体"/>
                <w:color w:val="000000" w:themeColor="text1"/>
              </w:rPr>
              <w:t>扩展，无线连接控制</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每路推子都会根据编组不同有不同颜色</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20</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监听耳机</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类型：动态密闭式设计，</w:t>
            </w:r>
            <w:r>
              <w:rPr>
                <w:rFonts w:hint="eastAsia" w:eastAsia="等线" w:cs="宋体"/>
                <w:color w:val="000000" w:themeColor="text1"/>
              </w:rPr>
              <w:t>±90</w:t>
            </w:r>
            <w:r>
              <w:rPr>
                <w:rFonts w:hint="eastAsia" w:ascii="仿宋_GB2312" w:hAnsi="宋体" w:cs="宋体"/>
                <w:color w:val="000000" w:themeColor="text1"/>
              </w:rPr>
              <w:t>度旋转机制，直径达</w:t>
            </w:r>
            <w:r>
              <w:rPr>
                <w:rFonts w:hint="eastAsia" w:eastAsia="等线" w:cs="宋体"/>
                <w:color w:val="000000" w:themeColor="text1"/>
              </w:rPr>
              <w:t>40mm</w:t>
            </w:r>
            <w:r>
              <w:rPr>
                <w:rFonts w:hint="eastAsia" w:ascii="仿宋_GB2312" w:hAnsi="宋体" w:cs="宋体"/>
                <w:color w:val="000000" w:themeColor="text1"/>
              </w:rPr>
              <w:t>钕磁体驱动单元；阻抗：</w:t>
            </w:r>
            <w:r>
              <w:rPr>
                <w:rFonts w:hint="eastAsia" w:eastAsia="等线" w:cs="宋体"/>
                <w:color w:val="000000" w:themeColor="text1"/>
              </w:rPr>
              <w:t>40ohms</w:t>
            </w:r>
            <w:r>
              <w:rPr>
                <w:rFonts w:hint="eastAsia" w:ascii="仿宋_GB2312" w:hAnsi="宋体" w:cs="宋体"/>
                <w:color w:val="000000" w:themeColor="text1"/>
              </w:rPr>
              <w:t>；频率响应</w:t>
            </w:r>
            <w:r>
              <w:rPr>
                <w:rFonts w:hint="eastAsia" w:eastAsia="等线" w:cs="宋体"/>
                <w:color w:val="000000" w:themeColor="text1"/>
              </w:rPr>
              <w:t>:15-28kHz</w:t>
            </w:r>
            <w:r>
              <w:rPr>
                <w:rFonts w:hint="eastAsia" w:ascii="仿宋_GB2312" w:hAnsi="宋体" w:cs="宋体"/>
                <w:color w:val="000000" w:themeColor="text1"/>
              </w:rPr>
              <w:t>；输出</w:t>
            </w:r>
            <w:r>
              <w:rPr>
                <w:rFonts w:hint="eastAsia" w:eastAsia="等线" w:cs="宋体"/>
                <w:color w:val="000000" w:themeColor="text1"/>
              </w:rPr>
              <w:t>(</w:t>
            </w:r>
            <w:r>
              <w:rPr>
                <w:rFonts w:hint="eastAsia" w:ascii="仿宋_GB2312" w:hAnsi="宋体" w:cs="宋体"/>
                <w:color w:val="000000" w:themeColor="text1"/>
              </w:rPr>
              <w:t>灵敏度</w:t>
            </w:r>
            <w:r>
              <w:rPr>
                <w:rFonts w:hint="eastAsia" w:eastAsia="等线" w:cs="宋体"/>
                <w:color w:val="000000" w:themeColor="text1"/>
              </w:rPr>
              <w:t>):102dB</w:t>
            </w:r>
            <w:r>
              <w:rPr>
                <w:rFonts w:hint="eastAsia" w:ascii="仿宋_GB2312" w:hAnsi="宋体" w:cs="宋体"/>
                <w:color w:val="000000" w:themeColor="text1"/>
              </w:rPr>
              <w:t>；最大输入功率</w:t>
            </w:r>
            <w:r>
              <w:rPr>
                <w:rFonts w:hint="eastAsia" w:eastAsia="等线" w:cs="宋体"/>
                <w:color w:val="000000" w:themeColor="text1"/>
              </w:rPr>
              <w:t>):1,300mW</w:t>
            </w:r>
            <w:r>
              <w:rPr>
                <w:rFonts w:hint="eastAsia" w:ascii="仿宋_GB2312" w:hAnsi="宋体" w:cs="宋体"/>
                <w:color w:val="000000" w:themeColor="text1"/>
              </w:rPr>
              <w:t>；线长</w:t>
            </w:r>
            <w:r>
              <w:rPr>
                <w:rFonts w:hint="eastAsia" w:eastAsia="等线" w:cs="宋体"/>
                <w:color w:val="000000" w:themeColor="text1"/>
              </w:rPr>
              <w:t>:1.2m(</w:t>
            </w:r>
            <w:r>
              <w:rPr>
                <w:rFonts w:hint="eastAsia" w:ascii="仿宋_GB2312" w:hAnsi="宋体" w:cs="宋体"/>
                <w:color w:val="000000" w:themeColor="text1"/>
              </w:rPr>
              <w:t>最长可达</w:t>
            </w:r>
            <w:r>
              <w:rPr>
                <w:rFonts w:hint="eastAsia" w:eastAsia="等线" w:cs="宋体"/>
                <w:color w:val="000000" w:themeColor="text1"/>
              </w:rPr>
              <w:t>3m)</w:t>
            </w:r>
            <w:r>
              <w:rPr>
                <w:rFonts w:hint="eastAsia" w:ascii="仿宋_GB2312" w:hAnsi="宋体" w:cs="宋体"/>
                <w:color w:val="000000" w:themeColor="text1"/>
              </w:rPr>
              <w:t>；</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副</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21</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综合布线接插件</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按需</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22</w:t>
            </w:r>
          </w:p>
        </w:tc>
        <w:tc>
          <w:tcPr>
            <w:tcW w:w="1176"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机房</w:t>
            </w: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电源时序器</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8</w:t>
            </w:r>
            <w:r>
              <w:rPr>
                <w:rFonts w:hint="eastAsia" w:ascii="仿宋_GB2312" w:cs="宋体"/>
                <w:color w:val="000000" w:themeColor="text1"/>
              </w:rPr>
              <w:t>路电源时序控制，每路延时</w:t>
            </w:r>
            <w:r>
              <w:rPr>
                <w:rFonts w:hint="eastAsia" w:eastAsia="等线" w:cs="宋体"/>
                <w:color w:val="000000" w:themeColor="text1"/>
              </w:rPr>
              <w:t>1</w:t>
            </w:r>
            <w:r>
              <w:rPr>
                <w:rFonts w:hint="eastAsia" w:ascii="仿宋_GB2312" w:cs="宋体"/>
                <w:color w:val="000000" w:themeColor="text1"/>
              </w:rPr>
              <w:t>秒。可通过软件设置延时</w:t>
            </w:r>
            <w:r>
              <w:rPr>
                <w:rFonts w:hint="eastAsia" w:eastAsia="等线" w:cs="宋体"/>
                <w:color w:val="000000" w:themeColor="text1"/>
              </w:rPr>
              <w:t>10</w:t>
            </w:r>
            <w:r>
              <w:rPr>
                <w:rFonts w:hint="eastAsia" w:ascii="仿宋_GB2312" w:cs="宋体"/>
                <w:color w:val="000000" w:themeColor="text1"/>
              </w:rPr>
              <w:t>分钟关闭；整机容量</w:t>
            </w:r>
            <w:r>
              <w:rPr>
                <w:rFonts w:hint="eastAsia" w:eastAsia="等线" w:cs="宋体"/>
                <w:color w:val="000000" w:themeColor="text1"/>
              </w:rPr>
              <w:t>50A</w:t>
            </w:r>
            <w:r>
              <w:rPr>
                <w:rFonts w:hint="eastAsia" w:ascii="仿宋_GB2312" w:cs="宋体"/>
                <w:color w:val="000000" w:themeColor="text1"/>
              </w:rPr>
              <w:t>；适用各种类型插头；</w:t>
            </w:r>
            <w:r>
              <w:rPr>
                <w:rFonts w:hint="eastAsia" w:eastAsia="等线" w:cs="宋体"/>
                <w:color w:val="000000" w:themeColor="text1"/>
              </w:rPr>
              <w:t>MCU</w:t>
            </w:r>
            <w:r>
              <w:rPr>
                <w:rFonts w:hint="eastAsia" w:ascii="仿宋_GB2312" w:cs="宋体"/>
                <w:color w:val="000000" w:themeColor="text1"/>
              </w:rPr>
              <w:t>控制的智能化设计，具有标准</w:t>
            </w:r>
            <w:r>
              <w:rPr>
                <w:rFonts w:hint="eastAsia" w:eastAsia="等线" w:cs="宋体"/>
                <w:color w:val="000000" w:themeColor="text1"/>
              </w:rPr>
              <w:t>RS232</w:t>
            </w:r>
            <w:r>
              <w:rPr>
                <w:rFonts w:hint="eastAsia" w:ascii="仿宋_GB2312" w:cs="宋体"/>
                <w:color w:val="000000" w:themeColor="text1"/>
              </w:rPr>
              <w:t>（</w:t>
            </w:r>
            <w:r>
              <w:rPr>
                <w:rFonts w:hint="eastAsia" w:eastAsia="等线" w:cs="宋体"/>
                <w:color w:val="000000" w:themeColor="text1"/>
              </w:rPr>
              <w:t>RS232</w:t>
            </w:r>
            <w:r>
              <w:rPr>
                <w:rFonts w:hint="eastAsia" w:ascii="仿宋_GB2312" w:cs="宋体"/>
                <w:color w:val="000000" w:themeColor="text1"/>
              </w:rPr>
              <w:t>控制可升级为</w:t>
            </w:r>
            <w:r>
              <w:rPr>
                <w:rFonts w:hint="eastAsia" w:eastAsia="等线" w:cs="宋体"/>
                <w:color w:val="000000" w:themeColor="text1"/>
              </w:rPr>
              <w:t>RS485</w:t>
            </w:r>
            <w:r>
              <w:rPr>
                <w:rFonts w:hint="eastAsia" w:ascii="仿宋_GB2312" w:cs="宋体"/>
                <w:color w:val="000000" w:themeColor="text1"/>
              </w:rPr>
              <w:t>控制）串口控制功能，可设置</w:t>
            </w:r>
            <w:r>
              <w:rPr>
                <w:rFonts w:hint="eastAsia" w:eastAsia="等线" w:cs="宋体"/>
                <w:color w:val="000000" w:themeColor="text1"/>
              </w:rPr>
              <w:t>255</w:t>
            </w:r>
            <w:r>
              <w:rPr>
                <w:rFonts w:hint="eastAsia" w:ascii="仿宋_GB2312" w:cs="宋体"/>
                <w:color w:val="000000" w:themeColor="text1"/>
              </w:rPr>
              <w:t>个</w:t>
            </w:r>
            <w:r>
              <w:rPr>
                <w:rFonts w:hint="eastAsia" w:eastAsia="等线" w:cs="宋体"/>
                <w:color w:val="000000" w:themeColor="text1"/>
              </w:rPr>
              <w:t>ID</w:t>
            </w:r>
            <w:r>
              <w:rPr>
                <w:rFonts w:hint="eastAsia" w:ascii="仿宋_GB2312" w:cs="宋体"/>
                <w:color w:val="000000" w:themeColor="text1"/>
              </w:rPr>
              <w:t>地址，最大可支持</w:t>
            </w:r>
            <w:r>
              <w:rPr>
                <w:rFonts w:hint="eastAsia" w:eastAsia="等线" w:cs="宋体"/>
                <w:color w:val="000000" w:themeColor="text1"/>
              </w:rPr>
              <w:t>255</w:t>
            </w:r>
            <w:r>
              <w:rPr>
                <w:rFonts w:hint="eastAsia" w:ascii="仿宋_GB2312" w:cs="宋体"/>
                <w:color w:val="000000" w:themeColor="text1"/>
              </w:rPr>
              <w:t>台同时使用，适合于大规模集中控制。</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3</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23</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视频会议终端</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与消防支队视频会议系统实现无缝对接，视频输入</w:t>
            </w:r>
            <w:r>
              <w:rPr>
                <w:rFonts w:hint="eastAsia" w:eastAsia="等线" w:cs="宋体"/>
                <w:color w:val="000000" w:themeColor="text1"/>
              </w:rPr>
              <w:t>:2</w:t>
            </w:r>
            <w:r>
              <w:rPr>
                <w:rFonts w:hint="eastAsia" w:ascii="仿宋_GB2312" w:hAnsi="宋体" w:cs="宋体"/>
                <w:color w:val="000000" w:themeColor="text1"/>
              </w:rPr>
              <w:t>个最大分辨率达</w:t>
            </w:r>
            <w:r>
              <w:rPr>
                <w:rFonts w:hint="eastAsia" w:eastAsia="等线" w:cs="宋体"/>
                <w:color w:val="000000" w:themeColor="text1"/>
              </w:rPr>
              <w:t>1080P</w:t>
            </w:r>
            <w:r>
              <w:rPr>
                <w:rFonts w:hint="eastAsia" w:ascii="仿宋_GB2312" w:hAnsi="宋体" w:cs="宋体"/>
                <w:color w:val="000000" w:themeColor="text1"/>
              </w:rPr>
              <w:t>的</w:t>
            </w:r>
            <w:r>
              <w:rPr>
                <w:rFonts w:hint="eastAsia" w:eastAsia="等线" w:cs="宋体"/>
                <w:color w:val="000000" w:themeColor="text1"/>
              </w:rPr>
              <w:t>DVI-I</w:t>
            </w:r>
            <w:r>
              <w:rPr>
                <w:rFonts w:hint="eastAsia" w:ascii="仿宋_GB2312" w:hAnsi="宋体" w:cs="宋体"/>
                <w:color w:val="000000" w:themeColor="text1"/>
              </w:rPr>
              <w:t>的全高清输入接口、</w:t>
            </w:r>
            <w:r>
              <w:rPr>
                <w:rFonts w:hint="eastAsia" w:eastAsia="等线" w:cs="宋体"/>
                <w:color w:val="000000" w:themeColor="text1"/>
              </w:rPr>
              <w:t>1</w:t>
            </w:r>
            <w:r>
              <w:rPr>
                <w:rFonts w:hint="eastAsia" w:ascii="仿宋_GB2312" w:hAnsi="宋体" w:cs="宋体"/>
                <w:color w:val="000000" w:themeColor="text1"/>
              </w:rPr>
              <w:t>个标清输入接口和</w:t>
            </w:r>
            <w:r>
              <w:rPr>
                <w:rFonts w:hint="eastAsia" w:eastAsia="等线" w:cs="宋体"/>
                <w:color w:val="000000" w:themeColor="text1"/>
              </w:rPr>
              <w:t>1</w:t>
            </w:r>
            <w:r>
              <w:rPr>
                <w:rFonts w:hint="eastAsia" w:ascii="仿宋_GB2312" w:hAnsi="宋体" w:cs="宋体"/>
                <w:color w:val="000000" w:themeColor="text1"/>
              </w:rPr>
              <w:t>个最大到</w:t>
            </w:r>
            <w:r>
              <w:rPr>
                <w:rFonts w:hint="eastAsia" w:eastAsia="等线" w:cs="宋体"/>
                <w:color w:val="000000" w:themeColor="text1"/>
              </w:rPr>
              <w:t>SXGA</w:t>
            </w:r>
            <w:r>
              <w:rPr>
                <w:rFonts w:hint="eastAsia" w:ascii="仿宋_GB2312" w:hAnsi="宋体" w:cs="宋体"/>
                <w:color w:val="000000" w:themeColor="text1"/>
              </w:rPr>
              <w:t>分辨率的</w:t>
            </w:r>
            <w:r>
              <w:rPr>
                <w:rFonts w:hint="eastAsia" w:eastAsia="等线" w:cs="宋体"/>
                <w:color w:val="000000" w:themeColor="text1"/>
              </w:rPr>
              <w:t>VGA</w:t>
            </w:r>
            <w:r>
              <w:rPr>
                <w:rFonts w:hint="eastAsia" w:ascii="仿宋_GB2312" w:hAnsi="宋体" w:cs="宋体"/>
                <w:color w:val="000000" w:themeColor="text1"/>
              </w:rPr>
              <w:t>输入接口并配独立的音频输入接口；音频输入</w:t>
            </w:r>
            <w:r>
              <w:rPr>
                <w:rFonts w:hint="eastAsia" w:eastAsia="等线" w:cs="宋体"/>
                <w:color w:val="000000" w:themeColor="text1"/>
              </w:rPr>
              <w:t>:2</w:t>
            </w:r>
            <w:r>
              <w:rPr>
                <w:rFonts w:hint="eastAsia" w:ascii="仿宋_GB2312" w:hAnsi="宋体" w:cs="宋体"/>
                <w:color w:val="000000" w:themeColor="text1"/>
              </w:rPr>
              <w:t>个专用的有源</w:t>
            </w:r>
            <w:r>
              <w:rPr>
                <w:rFonts w:hint="eastAsia" w:eastAsia="等线" w:cs="宋体"/>
                <w:color w:val="000000" w:themeColor="text1"/>
              </w:rPr>
              <w:t>MIC</w:t>
            </w:r>
            <w:r>
              <w:rPr>
                <w:rFonts w:hint="eastAsia" w:ascii="仿宋_GB2312" w:hAnsi="宋体" w:cs="宋体"/>
                <w:color w:val="000000" w:themeColor="text1"/>
              </w:rPr>
              <w:t>接口和一组线路音频输入接口；视频编码</w:t>
            </w:r>
            <w:r>
              <w:rPr>
                <w:rFonts w:hint="eastAsia" w:eastAsia="等线" w:cs="宋体"/>
                <w:color w:val="000000" w:themeColor="text1"/>
              </w:rPr>
              <w:t>:</w:t>
            </w:r>
            <w:r>
              <w:rPr>
                <w:rFonts w:hint="eastAsia" w:ascii="仿宋_GB2312" w:hAnsi="宋体" w:cs="宋体"/>
                <w:color w:val="000000" w:themeColor="text1"/>
              </w:rPr>
              <w:t>支持</w:t>
            </w:r>
            <w:r>
              <w:rPr>
                <w:rFonts w:hint="eastAsia" w:eastAsia="等线" w:cs="宋体"/>
                <w:color w:val="000000" w:themeColor="text1"/>
              </w:rPr>
              <w:t>264High-Profile</w:t>
            </w:r>
            <w:r>
              <w:rPr>
                <w:rFonts w:hint="eastAsia" w:ascii="仿宋_GB2312" w:hAnsi="宋体" w:cs="宋体"/>
                <w:color w:val="000000" w:themeColor="text1"/>
              </w:rPr>
              <w:t>编码；视频输出</w:t>
            </w:r>
            <w:r>
              <w:rPr>
                <w:rFonts w:hint="eastAsia" w:eastAsia="等线" w:cs="宋体"/>
                <w:color w:val="000000" w:themeColor="text1"/>
              </w:rPr>
              <w:t>:</w:t>
            </w:r>
            <w:r>
              <w:rPr>
                <w:rFonts w:hint="eastAsia" w:ascii="仿宋_GB2312" w:hAnsi="宋体" w:cs="宋体"/>
                <w:color w:val="000000" w:themeColor="text1"/>
              </w:rPr>
              <w:t>具备</w:t>
            </w:r>
            <w:r>
              <w:rPr>
                <w:rFonts w:hint="eastAsia" w:eastAsia="等线" w:cs="宋体"/>
                <w:color w:val="000000" w:themeColor="text1"/>
              </w:rPr>
              <w:t>HDMI</w:t>
            </w:r>
            <w:r>
              <w:rPr>
                <w:rFonts w:hint="eastAsia" w:ascii="仿宋_GB2312" w:hAnsi="宋体" w:cs="宋体"/>
                <w:color w:val="000000" w:themeColor="text1"/>
              </w:rPr>
              <w:t>、</w:t>
            </w:r>
            <w:r>
              <w:rPr>
                <w:rFonts w:hint="eastAsia" w:eastAsia="等线" w:cs="宋体"/>
                <w:color w:val="000000" w:themeColor="text1"/>
              </w:rPr>
              <w:t>VGA</w:t>
            </w:r>
            <w:r>
              <w:rPr>
                <w:rFonts w:hint="eastAsia" w:ascii="仿宋_GB2312" w:hAnsi="宋体" w:cs="宋体"/>
                <w:color w:val="000000" w:themeColor="text1"/>
              </w:rPr>
              <w:t>、</w:t>
            </w:r>
            <w:r>
              <w:rPr>
                <w:rFonts w:hint="eastAsia" w:eastAsia="等线" w:cs="宋体"/>
                <w:color w:val="000000" w:themeColor="text1"/>
              </w:rPr>
              <w:t>DVI-D</w:t>
            </w:r>
            <w:r>
              <w:rPr>
                <w:rFonts w:hint="eastAsia" w:ascii="仿宋_GB2312" w:hAnsi="宋体" w:cs="宋体"/>
                <w:color w:val="000000" w:themeColor="text1"/>
              </w:rPr>
              <w:t>三个接口，可选择其中两个接口同时输出，输出的最大分辨率达到</w:t>
            </w:r>
            <w:r>
              <w:rPr>
                <w:rFonts w:hint="eastAsia" w:eastAsia="等线" w:cs="宋体"/>
                <w:color w:val="000000" w:themeColor="text1"/>
              </w:rPr>
              <w:t>1080P</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24</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会议高清摄像机</w:t>
            </w: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图像传感器</w:t>
            </w:r>
            <w:r>
              <w:rPr>
                <w:rFonts w:hint="eastAsia" w:eastAsia="等线" w:cs="宋体"/>
                <w:color w:val="000000" w:themeColor="text1"/>
              </w:rPr>
              <w:t xml:space="preserve"> 1/2.3</w:t>
            </w:r>
            <w:r>
              <w:rPr>
                <w:rFonts w:hint="eastAsia" w:ascii="仿宋_GB2312" w:hAnsi="宋体" w:cs="宋体"/>
                <w:color w:val="000000" w:themeColor="text1"/>
              </w:rPr>
              <w:t>英寸</w:t>
            </w:r>
            <w:r>
              <w:rPr>
                <w:rFonts w:hint="eastAsia" w:eastAsia="等线" w:cs="宋体"/>
                <w:color w:val="000000" w:themeColor="text1"/>
              </w:rPr>
              <w:t>MOS</w:t>
            </w:r>
            <w:r>
              <w:rPr>
                <w:rFonts w:hint="eastAsia" w:ascii="仿宋_GB2312" w:hAnsi="宋体" w:cs="宋体"/>
                <w:color w:val="000000" w:themeColor="text1"/>
              </w:rPr>
              <w:t>；镜头</w:t>
            </w:r>
            <w:r>
              <w:rPr>
                <w:rFonts w:hint="eastAsia" w:eastAsia="等线" w:cs="宋体"/>
                <w:color w:val="000000" w:themeColor="text1"/>
              </w:rPr>
              <w:t xml:space="preserve"> 22</w:t>
            </w:r>
            <w:r>
              <w:rPr>
                <w:rFonts w:hint="eastAsia" w:ascii="仿宋_GB2312" w:hAnsi="宋体" w:cs="宋体"/>
                <w:color w:val="000000" w:themeColor="text1"/>
              </w:rPr>
              <w:t>倍光学变焦镜头</w:t>
            </w:r>
            <w:r>
              <w:rPr>
                <w:rFonts w:hint="eastAsia" w:eastAsia="等线" w:cs="宋体"/>
                <w:color w:val="000000" w:themeColor="text1"/>
              </w:rPr>
              <w:t xml:space="preserve"> F1.6</w:t>
            </w:r>
            <w:r>
              <w:rPr>
                <w:rFonts w:hint="eastAsia" w:ascii="仿宋_GB2312" w:hAnsi="宋体" w:cs="宋体"/>
                <w:color w:val="000000" w:themeColor="text1"/>
              </w:rPr>
              <w:t>～</w:t>
            </w:r>
            <w:r>
              <w:rPr>
                <w:rFonts w:hint="eastAsia" w:eastAsia="等线" w:cs="宋体"/>
                <w:color w:val="000000" w:themeColor="text1"/>
              </w:rPr>
              <w:t>F4.3</w:t>
            </w:r>
            <w:r>
              <w:rPr>
                <w:rFonts w:hint="eastAsia" w:ascii="仿宋_GB2312" w:hAnsi="宋体" w:cs="宋体"/>
                <w:color w:val="000000" w:themeColor="text1"/>
              </w:rPr>
              <w:t>（</w:t>
            </w:r>
            <w:r>
              <w:rPr>
                <w:rFonts w:hint="eastAsia" w:eastAsia="等线" w:cs="宋体"/>
                <w:color w:val="000000" w:themeColor="text1"/>
              </w:rPr>
              <w:t>f=4.3mm</w:t>
            </w:r>
            <w:r>
              <w:rPr>
                <w:rFonts w:hint="eastAsia" w:ascii="仿宋_GB2312" w:hAnsi="宋体" w:cs="宋体"/>
                <w:color w:val="000000" w:themeColor="text1"/>
              </w:rPr>
              <w:t>～</w:t>
            </w:r>
            <w:r>
              <w:rPr>
                <w:rFonts w:hint="eastAsia" w:eastAsia="等线" w:cs="宋体"/>
                <w:color w:val="000000" w:themeColor="text1"/>
              </w:rPr>
              <w:t>94.6mm</w:t>
            </w:r>
            <w:r>
              <w:rPr>
                <w:rFonts w:hint="eastAsia" w:ascii="仿宋_GB2312" w:hAnsi="宋体" w:cs="宋体"/>
                <w:color w:val="000000" w:themeColor="text1"/>
              </w:rPr>
              <w:t>；</w:t>
            </w:r>
            <w:r>
              <w:rPr>
                <w:rFonts w:hint="eastAsia" w:eastAsia="等线" w:cs="宋体"/>
                <w:color w:val="000000" w:themeColor="text1"/>
              </w:rPr>
              <w:t>35mm</w:t>
            </w:r>
            <w:r>
              <w:rPr>
                <w:rFonts w:hint="eastAsia" w:ascii="仿宋_GB2312" w:hAnsi="宋体" w:cs="宋体"/>
                <w:color w:val="000000" w:themeColor="text1"/>
              </w:rPr>
              <w:t>等同于：</w:t>
            </w:r>
            <w:r>
              <w:rPr>
                <w:rFonts w:hint="eastAsia" w:eastAsia="等线" w:cs="宋体"/>
                <w:color w:val="000000" w:themeColor="text1"/>
              </w:rPr>
              <w:t>31.6mm</w:t>
            </w:r>
            <w:r>
              <w:rPr>
                <w:rFonts w:hint="eastAsia" w:ascii="仿宋_GB2312" w:hAnsi="宋体" w:cs="宋体"/>
                <w:color w:val="000000" w:themeColor="text1"/>
              </w:rPr>
              <w:t>～</w:t>
            </w:r>
            <w:r>
              <w:rPr>
                <w:rFonts w:hint="eastAsia" w:eastAsia="等线" w:cs="宋体"/>
                <w:color w:val="000000" w:themeColor="text1"/>
              </w:rPr>
              <w:t>705mm</w:t>
            </w:r>
            <w:r>
              <w:rPr>
                <w:rFonts w:hint="eastAsia" w:ascii="仿宋_GB2312" w:hAnsi="宋体" w:cs="宋体"/>
                <w:color w:val="000000" w:themeColor="text1"/>
              </w:rPr>
              <w:t>）；聚焦自动</w:t>
            </w:r>
            <w:r>
              <w:rPr>
                <w:rFonts w:hint="eastAsia" w:eastAsia="等线" w:cs="宋体"/>
                <w:color w:val="000000" w:themeColor="text1"/>
              </w:rPr>
              <w:t>/</w:t>
            </w:r>
            <w:r>
              <w:rPr>
                <w:rFonts w:hint="eastAsia" w:ascii="仿宋_GB2312" w:hAnsi="宋体" w:cs="宋体"/>
                <w:color w:val="000000" w:themeColor="text1"/>
              </w:rPr>
              <w:t>手动；焦距整体变焦范围：</w:t>
            </w:r>
            <w:r>
              <w:rPr>
                <w:rFonts w:hint="eastAsia" w:eastAsia="等线" w:cs="宋体"/>
                <w:color w:val="000000" w:themeColor="text1"/>
              </w:rPr>
              <w:t>1.2m</w:t>
            </w:r>
            <w:r>
              <w:rPr>
                <w:rFonts w:hint="eastAsia" w:ascii="仿宋_GB2312" w:hAnsi="宋体" w:cs="宋体"/>
                <w:color w:val="000000" w:themeColor="text1"/>
              </w:rPr>
              <w:t>、广角端：</w:t>
            </w:r>
            <w:r>
              <w:rPr>
                <w:rFonts w:hint="eastAsia" w:eastAsia="等线" w:cs="宋体"/>
                <w:color w:val="000000" w:themeColor="text1"/>
              </w:rPr>
              <w:t>10cm</w:t>
            </w:r>
            <w:r>
              <w:rPr>
                <w:rFonts w:hint="eastAsia" w:ascii="仿宋_GB2312" w:hAnsi="宋体" w:cs="宋体"/>
                <w:color w:val="000000" w:themeColor="text1"/>
              </w:rPr>
              <w:t>；分色光学系统片内滤色片系统；最低照度</w:t>
            </w:r>
            <w:r>
              <w:rPr>
                <w:rFonts w:hint="eastAsia" w:eastAsia="等线" w:cs="宋体"/>
                <w:color w:val="000000" w:themeColor="text1"/>
              </w:rPr>
              <w:t xml:space="preserve"> 0.7 lx</w:t>
            </w:r>
            <w:r>
              <w:rPr>
                <w:rFonts w:hint="eastAsia" w:ascii="仿宋_GB2312" w:hAnsi="宋体" w:cs="宋体"/>
                <w:color w:val="000000" w:themeColor="text1"/>
              </w:rPr>
              <w:t>（</w:t>
            </w:r>
            <w:r>
              <w:rPr>
                <w:rFonts w:hint="eastAsia" w:eastAsia="等线" w:cs="宋体"/>
                <w:color w:val="000000" w:themeColor="text1"/>
              </w:rPr>
              <w:t>50 IRE</w:t>
            </w:r>
            <w:r>
              <w:rPr>
                <w:rFonts w:hint="eastAsia" w:ascii="仿宋_GB2312" w:hAnsi="宋体" w:cs="宋体"/>
                <w:color w:val="000000" w:themeColor="text1"/>
              </w:rPr>
              <w:t>、</w:t>
            </w:r>
            <w:r>
              <w:rPr>
                <w:rFonts w:hint="eastAsia" w:eastAsia="等线" w:cs="宋体"/>
                <w:color w:val="000000" w:themeColor="text1"/>
              </w:rPr>
              <w:t>F1.6</w:t>
            </w:r>
            <w:r>
              <w:rPr>
                <w:rFonts w:hint="eastAsia" w:ascii="仿宋_GB2312" w:hAnsi="宋体" w:cs="宋体"/>
                <w:color w:val="000000" w:themeColor="text1"/>
              </w:rPr>
              <w:t>、</w:t>
            </w:r>
            <w:r>
              <w:rPr>
                <w:rFonts w:hint="eastAsia" w:eastAsia="等线" w:cs="宋体"/>
                <w:color w:val="000000" w:themeColor="text1"/>
              </w:rPr>
              <w:t>48dB</w:t>
            </w:r>
            <w:r>
              <w:rPr>
                <w:rFonts w:hint="eastAsia" w:ascii="仿宋_GB2312" w:hAnsi="宋体" w:cs="宋体"/>
                <w:color w:val="000000" w:themeColor="text1"/>
              </w:rPr>
              <w:t>、无蓄积</w:t>
            </w:r>
            <w:r>
              <w:rPr>
                <w:rFonts w:hint="eastAsia" w:eastAsia="等线" w:cs="宋体"/>
                <w:color w:val="000000" w:themeColor="text1"/>
              </w:rPr>
              <w:t xml:space="preserve"> 1/60</w:t>
            </w:r>
            <w:r>
              <w:rPr>
                <w:rFonts w:hint="eastAsia" w:ascii="仿宋_GB2312" w:hAnsi="宋体" w:cs="宋体"/>
                <w:color w:val="000000" w:themeColor="text1"/>
              </w:rPr>
              <w:t>或</w:t>
            </w:r>
            <w:r>
              <w:rPr>
                <w:rFonts w:hint="eastAsia" w:eastAsia="等线" w:cs="宋体"/>
                <w:color w:val="000000" w:themeColor="text1"/>
              </w:rPr>
              <w:t>1/50</w:t>
            </w:r>
            <w:r>
              <w:rPr>
                <w:rFonts w:hint="eastAsia" w:ascii="仿宋_GB2312" w:hAnsi="宋体" w:cs="宋体"/>
                <w:color w:val="000000" w:themeColor="text1"/>
              </w:rPr>
              <w:t>）</w:t>
            </w:r>
            <w:r>
              <w:rPr>
                <w:rFonts w:hint="eastAsia" w:eastAsia="等线" w:cs="宋体"/>
                <w:color w:val="000000" w:themeColor="text1"/>
              </w:rPr>
              <w:t>0.35 lx</w:t>
            </w:r>
            <w:r>
              <w:rPr>
                <w:rFonts w:hint="eastAsia" w:ascii="仿宋_GB2312" w:hAnsi="宋体" w:cs="宋体"/>
                <w:color w:val="000000" w:themeColor="text1"/>
              </w:rPr>
              <w:t>（</w:t>
            </w:r>
            <w:r>
              <w:rPr>
                <w:rFonts w:hint="eastAsia" w:eastAsia="等线" w:cs="宋体"/>
                <w:color w:val="000000" w:themeColor="text1"/>
              </w:rPr>
              <w:t>50 IRE</w:t>
            </w:r>
            <w:r>
              <w:rPr>
                <w:rFonts w:hint="eastAsia" w:ascii="仿宋_GB2312" w:hAnsi="宋体" w:cs="宋体"/>
                <w:color w:val="000000" w:themeColor="text1"/>
              </w:rPr>
              <w:t>、</w:t>
            </w:r>
            <w:r>
              <w:rPr>
                <w:rFonts w:hint="eastAsia" w:eastAsia="等线" w:cs="宋体"/>
                <w:color w:val="000000" w:themeColor="text1"/>
              </w:rPr>
              <w:t>F1.6</w:t>
            </w:r>
            <w:r>
              <w:rPr>
                <w:rFonts w:hint="eastAsia" w:ascii="仿宋_GB2312" w:hAnsi="宋体" w:cs="宋体"/>
                <w:color w:val="000000" w:themeColor="text1"/>
              </w:rPr>
              <w:t>、</w:t>
            </w:r>
            <w:r>
              <w:rPr>
                <w:rFonts w:hint="eastAsia" w:eastAsia="等线" w:cs="宋体"/>
                <w:color w:val="000000" w:themeColor="text1"/>
              </w:rPr>
              <w:t>48dB</w:t>
            </w:r>
            <w:r>
              <w:rPr>
                <w:rFonts w:hint="eastAsia" w:ascii="仿宋_GB2312" w:hAnsi="宋体" w:cs="宋体"/>
                <w:color w:val="000000" w:themeColor="text1"/>
              </w:rPr>
              <w:t>、有蓄积</w:t>
            </w:r>
            <w:r>
              <w:rPr>
                <w:rFonts w:hint="eastAsia" w:eastAsia="等线" w:cs="宋体"/>
                <w:color w:val="000000" w:themeColor="text1"/>
              </w:rPr>
              <w:t xml:space="preserve"> 1/30</w:t>
            </w:r>
            <w:r>
              <w:rPr>
                <w:rFonts w:hint="eastAsia" w:ascii="仿宋_GB2312" w:hAnsi="宋体" w:cs="宋体"/>
                <w:color w:val="000000" w:themeColor="text1"/>
              </w:rPr>
              <w:t>或</w:t>
            </w:r>
            <w:r>
              <w:rPr>
                <w:rFonts w:hint="eastAsia" w:eastAsia="等线" w:cs="宋体"/>
                <w:color w:val="000000" w:themeColor="text1"/>
              </w:rPr>
              <w:t>1/25</w:t>
            </w:r>
            <w:r>
              <w:rPr>
                <w:rFonts w:hint="eastAsia" w:ascii="仿宋_GB2312" w:hAnsi="宋体" w:cs="宋体"/>
                <w:color w:val="000000" w:themeColor="text1"/>
              </w:rPr>
              <w:t>（</w:t>
            </w:r>
            <w:r>
              <w:rPr>
                <w:rFonts w:hint="eastAsia" w:eastAsia="等线" w:cs="宋体"/>
                <w:color w:val="000000" w:themeColor="text1"/>
              </w:rPr>
              <w:t>Frame MIX 6dB</w:t>
            </w:r>
            <w:r>
              <w:rPr>
                <w:rFonts w:hint="eastAsia" w:ascii="仿宋_GB2312" w:hAnsi="宋体" w:cs="宋体"/>
                <w:color w:val="000000" w:themeColor="text1"/>
              </w:rPr>
              <w:t>））；水平分辨率</w:t>
            </w:r>
            <w:r>
              <w:rPr>
                <w:rFonts w:hint="eastAsia" w:eastAsia="等线" w:cs="宋体"/>
                <w:color w:val="000000" w:themeColor="text1"/>
              </w:rPr>
              <w:t xml:space="preserve"> 1000</w:t>
            </w:r>
            <w:r>
              <w:rPr>
                <w:rFonts w:hint="eastAsia" w:ascii="仿宋_GB2312" w:hAnsi="宋体" w:cs="宋体"/>
                <w:color w:val="000000" w:themeColor="text1"/>
              </w:rPr>
              <w:t>电视线以上（中心标准）；增益自动、</w:t>
            </w:r>
            <w:r>
              <w:rPr>
                <w:rFonts w:hint="eastAsia" w:eastAsia="等线" w:cs="宋体"/>
                <w:color w:val="000000" w:themeColor="text1"/>
              </w:rPr>
              <w:t>0dB</w:t>
            </w:r>
            <w:r>
              <w:rPr>
                <w:rFonts w:hint="eastAsia" w:ascii="仿宋_GB2312" w:hAnsi="宋体" w:cs="宋体"/>
                <w:color w:val="000000" w:themeColor="text1"/>
              </w:rPr>
              <w:t>～</w:t>
            </w:r>
            <w:r>
              <w:rPr>
                <w:rFonts w:hint="eastAsia" w:eastAsia="等线" w:cs="宋体"/>
                <w:color w:val="000000" w:themeColor="text1"/>
              </w:rPr>
              <w:t>48dB</w:t>
            </w:r>
            <w:r>
              <w:rPr>
                <w:rFonts w:hint="eastAsia" w:ascii="仿宋_GB2312" w:hAnsi="宋体" w:cs="宋体"/>
                <w:color w:val="000000" w:themeColor="text1"/>
              </w:rPr>
              <w:t>（</w:t>
            </w:r>
            <w:r>
              <w:rPr>
                <w:rFonts w:hint="eastAsia" w:eastAsia="等线" w:cs="宋体"/>
                <w:color w:val="000000" w:themeColor="text1"/>
              </w:rPr>
              <w:t>3dB</w:t>
            </w:r>
            <w:r>
              <w:rPr>
                <w:rFonts w:hint="eastAsia" w:ascii="仿宋_GB2312" w:hAnsi="宋体" w:cs="宋体"/>
                <w:color w:val="000000" w:themeColor="text1"/>
              </w:rPr>
              <w:t>步进）；</w:t>
            </w:r>
            <w:r>
              <w:rPr>
                <w:rFonts w:hint="eastAsia" w:eastAsia="等线" w:cs="宋体"/>
                <w:color w:val="000000" w:themeColor="text1"/>
              </w:rPr>
              <w:t xml:space="preserve">Frame MIX </w:t>
            </w:r>
            <w:r>
              <w:rPr>
                <w:rFonts w:hint="eastAsia" w:ascii="仿宋_GB2312" w:hAnsi="宋体" w:cs="宋体"/>
                <w:color w:val="000000" w:themeColor="text1"/>
              </w:rPr>
              <w:t>自动、关闭、</w:t>
            </w:r>
            <w:r>
              <w:rPr>
                <w:rFonts w:hint="eastAsia" w:eastAsia="等线" w:cs="宋体"/>
                <w:color w:val="000000" w:themeColor="text1"/>
              </w:rPr>
              <w:t>6dB</w:t>
            </w:r>
            <w:r>
              <w:rPr>
                <w:rFonts w:hint="eastAsia" w:ascii="仿宋_GB2312" w:hAnsi="宋体" w:cs="宋体"/>
                <w:color w:val="000000" w:themeColor="text1"/>
              </w:rPr>
              <w:t>、</w:t>
            </w:r>
            <w:r>
              <w:rPr>
                <w:rFonts w:hint="eastAsia" w:eastAsia="等线" w:cs="宋体"/>
                <w:color w:val="000000" w:themeColor="text1"/>
              </w:rPr>
              <w:t>12dB</w:t>
            </w:r>
            <w:r>
              <w:rPr>
                <w:rFonts w:hint="eastAsia" w:ascii="仿宋_GB2312" w:hAnsi="宋体" w:cs="宋体"/>
                <w:color w:val="000000" w:themeColor="text1"/>
              </w:rPr>
              <w:t>、</w:t>
            </w:r>
            <w:r>
              <w:rPr>
                <w:rFonts w:hint="eastAsia" w:eastAsia="等线" w:cs="宋体"/>
                <w:color w:val="000000" w:themeColor="text1"/>
              </w:rPr>
              <w:t>18dB</w:t>
            </w:r>
            <w:r>
              <w:rPr>
                <w:rFonts w:hint="eastAsia" w:ascii="仿宋_GB2312" w:hAnsi="宋体" w:cs="宋体"/>
                <w:color w:val="000000" w:themeColor="text1"/>
              </w:rPr>
              <w:t>、</w:t>
            </w:r>
            <w:r>
              <w:rPr>
                <w:rFonts w:hint="eastAsia" w:eastAsia="等线" w:cs="宋体"/>
                <w:color w:val="000000" w:themeColor="text1"/>
              </w:rPr>
              <w:t>24dB</w:t>
            </w:r>
            <w:r>
              <w:rPr>
                <w:rFonts w:hint="eastAsia" w:ascii="仿宋_GB2312" w:hAnsi="宋体" w:cs="宋体"/>
                <w:color w:val="000000" w:themeColor="text1"/>
              </w:rPr>
              <w:t>；电子快门速度全自动时：</w:t>
            </w:r>
            <w:r>
              <w:rPr>
                <w:rFonts w:hint="eastAsia" w:eastAsia="等线" w:cs="宋体"/>
                <w:color w:val="000000" w:themeColor="text1"/>
              </w:rPr>
              <w:t>1/30</w:t>
            </w:r>
            <w:r>
              <w:rPr>
                <w:rFonts w:hint="eastAsia" w:ascii="仿宋_GB2312" w:hAnsi="宋体" w:cs="宋体"/>
                <w:color w:val="000000" w:themeColor="text1"/>
              </w:rPr>
              <w:t>～</w:t>
            </w:r>
            <w:r>
              <w:rPr>
                <w:rFonts w:hint="eastAsia" w:eastAsia="等线" w:cs="宋体"/>
                <w:color w:val="000000" w:themeColor="text1"/>
              </w:rPr>
              <w:t>1/2000</w:t>
            </w:r>
            <w:r>
              <w:rPr>
                <w:rFonts w:hint="eastAsia" w:ascii="仿宋_GB2312" w:hAnsi="宋体" w:cs="宋体"/>
                <w:color w:val="000000" w:themeColor="text1"/>
              </w:rPr>
              <w:t>（</w:t>
            </w:r>
            <w:r>
              <w:rPr>
                <w:rFonts w:hint="eastAsia" w:eastAsia="等线" w:cs="宋体"/>
                <w:color w:val="000000" w:themeColor="text1"/>
              </w:rPr>
              <w:t>59.94Hz</w:t>
            </w:r>
            <w:r>
              <w:rPr>
                <w:rFonts w:hint="eastAsia" w:ascii="仿宋_GB2312" w:hAnsi="宋体" w:cs="宋体"/>
                <w:color w:val="000000" w:themeColor="text1"/>
              </w:rPr>
              <w:t>）、</w:t>
            </w:r>
            <w:r>
              <w:rPr>
                <w:rFonts w:hint="eastAsia" w:eastAsia="等线" w:cs="宋体"/>
                <w:color w:val="000000" w:themeColor="text1"/>
              </w:rPr>
              <w:t>1/25</w:t>
            </w:r>
            <w:r>
              <w:rPr>
                <w:rFonts w:hint="eastAsia" w:ascii="仿宋_GB2312" w:hAnsi="宋体" w:cs="宋体"/>
                <w:color w:val="000000" w:themeColor="text1"/>
              </w:rPr>
              <w:t>～</w:t>
            </w:r>
            <w:r>
              <w:rPr>
                <w:rFonts w:hint="eastAsia" w:eastAsia="等线" w:cs="宋体"/>
                <w:color w:val="000000" w:themeColor="text1"/>
              </w:rPr>
              <w:t>1/2000</w:t>
            </w:r>
            <w:r>
              <w:rPr>
                <w:rFonts w:hint="eastAsia" w:ascii="仿宋_GB2312" w:hAnsi="宋体" w:cs="宋体"/>
                <w:color w:val="000000" w:themeColor="text1"/>
              </w:rPr>
              <w:t>（</w:t>
            </w:r>
            <w:r>
              <w:rPr>
                <w:rFonts w:hint="eastAsia" w:eastAsia="等线" w:cs="宋体"/>
                <w:color w:val="000000" w:themeColor="text1"/>
              </w:rPr>
              <w:t>50Hz</w:t>
            </w:r>
            <w:r>
              <w:rPr>
                <w:rFonts w:hint="eastAsia" w:ascii="仿宋_GB2312" w:hAnsi="宋体" w:cs="宋体"/>
                <w:color w:val="000000" w:themeColor="text1"/>
              </w:rPr>
              <w:t>）；自动时：</w:t>
            </w:r>
            <w:r>
              <w:rPr>
                <w:rFonts w:hint="eastAsia" w:eastAsia="等线" w:cs="宋体"/>
                <w:color w:val="000000" w:themeColor="text1"/>
              </w:rPr>
              <w:t>1/60</w:t>
            </w:r>
            <w:r>
              <w:rPr>
                <w:rFonts w:hint="eastAsia" w:ascii="仿宋_GB2312" w:hAnsi="宋体" w:cs="宋体"/>
                <w:color w:val="000000" w:themeColor="text1"/>
              </w:rPr>
              <w:t>～</w:t>
            </w:r>
            <w:r>
              <w:rPr>
                <w:rFonts w:hint="eastAsia" w:eastAsia="等线" w:cs="宋体"/>
                <w:color w:val="000000" w:themeColor="text1"/>
              </w:rPr>
              <w:t>1/2000</w:t>
            </w:r>
            <w:r>
              <w:rPr>
                <w:rFonts w:hint="eastAsia" w:ascii="仿宋_GB2312" w:hAnsi="宋体" w:cs="宋体"/>
                <w:color w:val="000000" w:themeColor="text1"/>
              </w:rPr>
              <w:t>（</w:t>
            </w:r>
            <w:r>
              <w:rPr>
                <w:rFonts w:hint="eastAsia" w:eastAsia="等线" w:cs="宋体"/>
                <w:color w:val="000000" w:themeColor="text1"/>
              </w:rPr>
              <w:t>59.94Hz</w:t>
            </w:r>
            <w:r>
              <w:rPr>
                <w:rFonts w:hint="eastAsia" w:ascii="仿宋_GB2312" w:hAnsi="宋体" w:cs="宋体"/>
                <w:color w:val="000000" w:themeColor="text1"/>
              </w:rPr>
              <w:t>）、</w:t>
            </w:r>
            <w:r>
              <w:rPr>
                <w:rFonts w:hint="eastAsia" w:eastAsia="等线" w:cs="宋体"/>
                <w:color w:val="000000" w:themeColor="text1"/>
              </w:rPr>
              <w:t>1/50</w:t>
            </w:r>
            <w:r>
              <w:rPr>
                <w:rFonts w:hint="eastAsia" w:ascii="仿宋_GB2312" w:hAnsi="宋体" w:cs="宋体"/>
                <w:color w:val="000000" w:themeColor="text1"/>
              </w:rPr>
              <w:t>～</w:t>
            </w:r>
            <w:r>
              <w:rPr>
                <w:rFonts w:hint="eastAsia" w:eastAsia="等线" w:cs="宋体"/>
                <w:color w:val="000000" w:themeColor="text1"/>
              </w:rPr>
              <w:t>1/2000</w:t>
            </w:r>
            <w:r>
              <w:rPr>
                <w:rFonts w:hint="eastAsia" w:ascii="仿宋_GB2312" w:hAnsi="宋体" w:cs="宋体"/>
                <w:color w:val="000000" w:themeColor="text1"/>
              </w:rPr>
              <w:t>（</w:t>
            </w:r>
            <w:r>
              <w:rPr>
                <w:rFonts w:hint="eastAsia" w:eastAsia="等线" w:cs="宋体"/>
                <w:color w:val="000000" w:themeColor="text1"/>
              </w:rPr>
              <w:t>50Hz</w:t>
            </w:r>
            <w:r>
              <w:rPr>
                <w:rFonts w:hint="eastAsia" w:ascii="仿宋_GB2312" w:hAnsi="宋体" w:cs="宋体"/>
                <w:color w:val="000000" w:themeColor="text1"/>
              </w:rPr>
              <w:t>）；手动时：</w:t>
            </w:r>
            <w:r>
              <w:rPr>
                <w:rFonts w:hint="eastAsia" w:eastAsia="等线" w:cs="宋体"/>
                <w:color w:val="000000" w:themeColor="text1"/>
              </w:rPr>
              <w:t>59.94Hz</w:t>
            </w:r>
            <w:r>
              <w:rPr>
                <w:rFonts w:hint="eastAsia" w:ascii="仿宋_GB2312" w:hAnsi="宋体" w:cs="宋体"/>
                <w:color w:val="000000" w:themeColor="text1"/>
              </w:rPr>
              <w:t>：</w:t>
            </w:r>
            <w:r>
              <w:rPr>
                <w:rFonts w:hint="eastAsia" w:eastAsia="等线" w:cs="宋体"/>
                <w:color w:val="000000" w:themeColor="text1"/>
              </w:rPr>
              <w:t>1/100</w:t>
            </w:r>
            <w:r>
              <w:rPr>
                <w:rFonts w:hint="eastAsia" w:ascii="仿宋_GB2312" w:hAnsi="宋体" w:cs="宋体"/>
                <w:color w:val="000000" w:themeColor="text1"/>
              </w:rPr>
              <w:t>、</w:t>
            </w:r>
            <w:r>
              <w:rPr>
                <w:rFonts w:hint="eastAsia" w:eastAsia="等线" w:cs="宋体"/>
                <w:color w:val="000000" w:themeColor="text1"/>
              </w:rPr>
              <w:t>1/250</w:t>
            </w:r>
            <w:r>
              <w:rPr>
                <w:rFonts w:hint="eastAsia" w:ascii="仿宋_GB2312" w:hAnsi="宋体" w:cs="宋体"/>
                <w:color w:val="000000" w:themeColor="text1"/>
              </w:rPr>
              <w:t>、</w:t>
            </w:r>
            <w:r>
              <w:rPr>
                <w:rFonts w:hint="eastAsia" w:eastAsia="等线" w:cs="宋体"/>
                <w:color w:val="000000" w:themeColor="text1"/>
              </w:rPr>
              <w:t>1/500</w:t>
            </w:r>
            <w:r>
              <w:rPr>
                <w:rFonts w:hint="eastAsia" w:ascii="仿宋_GB2312" w:hAnsi="宋体" w:cs="宋体"/>
                <w:color w:val="000000" w:themeColor="text1"/>
              </w:rPr>
              <w:t>、</w:t>
            </w:r>
            <w:r>
              <w:rPr>
                <w:rFonts w:hint="eastAsia" w:eastAsia="等线" w:cs="宋体"/>
                <w:color w:val="000000" w:themeColor="text1"/>
              </w:rPr>
              <w:t>1/1000</w:t>
            </w:r>
            <w:r>
              <w:rPr>
                <w:rFonts w:hint="eastAsia" w:ascii="仿宋_GB2312" w:hAnsi="宋体" w:cs="宋体"/>
                <w:color w:val="000000" w:themeColor="text1"/>
              </w:rPr>
              <w:t>、</w:t>
            </w:r>
            <w:r>
              <w:rPr>
                <w:rFonts w:hint="eastAsia" w:eastAsia="等线" w:cs="宋体"/>
                <w:color w:val="000000" w:themeColor="text1"/>
              </w:rPr>
              <w:t>1/2000</w:t>
            </w:r>
            <w:r>
              <w:rPr>
                <w:rFonts w:hint="eastAsia" w:ascii="仿宋_GB2312" w:hAnsi="宋体" w:cs="宋体"/>
                <w:color w:val="000000" w:themeColor="text1"/>
              </w:rPr>
              <w:t>、</w:t>
            </w:r>
            <w:r>
              <w:rPr>
                <w:rFonts w:hint="eastAsia" w:eastAsia="等线" w:cs="宋体"/>
                <w:color w:val="000000" w:themeColor="text1"/>
              </w:rPr>
              <w:t>1/4000</w:t>
            </w:r>
            <w:r>
              <w:rPr>
                <w:rFonts w:hint="eastAsia" w:ascii="仿宋_GB2312" w:hAnsi="宋体" w:cs="宋体"/>
                <w:color w:val="000000" w:themeColor="text1"/>
              </w:rPr>
              <w:t>、</w:t>
            </w:r>
            <w:r>
              <w:rPr>
                <w:rFonts w:hint="eastAsia" w:eastAsia="等线" w:cs="宋体"/>
                <w:color w:val="000000" w:themeColor="text1"/>
              </w:rPr>
              <w:t xml:space="preserve">1/10000 </w:t>
            </w:r>
            <w:r>
              <w:rPr>
                <w:rFonts w:hint="eastAsia" w:ascii="仿宋_GB2312" w:hAnsi="宋体" w:cs="宋体"/>
                <w:color w:val="000000" w:themeColor="text1"/>
              </w:rPr>
              <w:t>，</w:t>
            </w:r>
            <w:r>
              <w:rPr>
                <w:rFonts w:hint="eastAsia" w:eastAsia="等线" w:cs="宋体"/>
                <w:color w:val="000000" w:themeColor="text1"/>
              </w:rPr>
              <w:t>50Hz</w:t>
            </w:r>
            <w:r>
              <w:rPr>
                <w:rFonts w:hint="eastAsia" w:ascii="仿宋_GB2312" w:hAnsi="宋体" w:cs="宋体"/>
                <w:color w:val="000000" w:themeColor="text1"/>
              </w:rPr>
              <w:t>：</w:t>
            </w:r>
            <w:r>
              <w:rPr>
                <w:rFonts w:hint="eastAsia" w:eastAsia="等线" w:cs="宋体"/>
                <w:color w:val="000000" w:themeColor="text1"/>
              </w:rPr>
              <w:t>1/120</w:t>
            </w:r>
            <w:r>
              <w:rPr>
                <w:rFonts w:hint="eastAsia" w:ascii="仿宋_GB2312" w:hAnsi="宋体" w:cs="宋体"/>
                <w:color w:val="000000" w:themeColor="text1"/>
              </w:rPr>
              <w:t>、</w:t>
            </w:r>
            <w:r>
              <w:rPr>
                <w:rFonts w:hint="eastAsia" w:eastAsia="等线" w:cs="宋体"/>
                <w:color w:val="000000" w:themeColor="text1"/>
              </w:rPr>
              <w:t>1/250</w:t>
            </w:r>
            <w:r>
              <w:rPr>
                <w:rFonts w:hint="eastAsia" w:ascii="仿宋_GB2312" w:hAnsi="宋体" w:cs="宋体"/>
                <w:color w:val="000000" w:themeColor="text1"/>
              </w:rPr>
              <w:t>、</w:t>
            </w:r>
            <w:r>
              <w:rPr>
                <w:rFonts w:hint="eastAsia" w:eastAsia="等线" w:cs="宋体"/>
                <w:color w:val="000000" w:themeColor="text1"/>
              </w:rPr>
              <w:t>1/500</w:t>
            </w:r>
            <w:r>
              <w:rPr>
                <w:rFonts w:hint="eastAsia" w:ascii="仿宋_GB2312" w:hAnsi="宋体" w:cs="宋体"/>
                <w:color w:val="000000" w:themeColor="text1"/>
              </w:rPr>
              <w:t>、</w:t>
            </w:r>
            <w:r>
              <w:rPr>
                <w:rFonts w:hint="eastAsia" w:eastAsia="等线" w:cs="宋体"/>
                <w:color w:val="000000" w:themeColor="text1"/>
              </w:rPr>
              <w:t>1/1000</w:t>
            </w:r>
            <w:r>
              <w:rPr>
                <w:rFonts w:hint="eastAsia" w:ascii="仿宋_GB2312" w:hAnsi="宋体" w:cs="宋体"/>
                <w:color w:val="000000" w:themeColor="text1"/>
              </w:rPr>
              <w:t>、</w:t>
            </w:r>
            <w:r>
              <w:rPr>
                <w:rFonts w:hint="eastAsia" w:eastAsia="等线" w:cs="宋体"/>
                <w:color w:val="000000" w:themeColor="text1"/>
              </w:rPr>
              <w:t>1/2000</w:t>
            </w:r>
            <w:r>
              <w:rPr>
                <w:rFonts w:hint="eastAsia" w:ascii="仿宋_GB2312" w:hAnsi="宋体" w:cs="宋体"/>
                <w:color w:val="000000" w:themeColor="text1"/>
              </w:rPr>
              <w:t>、</w:t>
            </w:r>
            <w:r>
              <w:rPr>
                <w:rFonts w:hint="eastAsia" w:eastAsia="等线" w:cs="宋体"/>
                <w:color w:val="000000" w:themeColor="text1"/>
              </w:rPr>
              <w:t>1/4000</w:t>
            </w:r>
            <w:r>
              <w:rPr>
                <w:rFonts w:hint="eastAsia" w:ascii="仿宋_GB2312" w:hAnsi="宋体" w:cs="宋体"/>
                <w:color w:val="000000" w:themeColor="text1"/>
              </w:rPr>
              <w:t>、</w:t>
            </w:r>
            <w:r>
              <w:rPr>
                <w:rFonts w:hint="eastAsia" w:eastAsia="等线" w:cs="宋体"/>
                <w:color w:val="000000" w:themeColor="text1"/>
              </w:rPr>
              <w:t>1/10000</w:t>
            </w:r>
            <w:r>
              <w:rPr>
                <w:rFonts w:hint="eastAsia" w:ascii="仿宋_GB2312" w:hAnsi="宋体" w:cs="宋体"/>
                <w:color w:val="000000" w:themeColor="text1"/>
              </w:rPr>
              <w:t>；同步扫描</w:t>
            </w:r>
            <w:r>
              <w:rPr>
                <w:rFonts w:hint="eastAsia" w:eastAsia="等线" w:cs="宋体"/>
                <w:color w:val="000000" w:themeColor="text1"/>
              </w:rPr>
              <w:t xml:space="preserve"> 59.94Hz</w:t>
            </w:r>
            <w:r>
              <w:rPr>
                <w:rFonts w:hint="eastAsia" w:ascii="仿宋_GB2312" w:hAnsi="宋体" w:cs="宋体"/>
                <w:color w:val="000000" w:themeColor="text1"/>
              </w:rPr>
              <w:t>：</w:t>
            </w:r>
            <w:r>
              <w:rPr>
                <w:rFonts w:hint="eastAsia" w:eastAsia="等线" w:cs="宋体"/>
                <w:color w:val="000000" w:themeColor="text1"/>
              </w:rPr>
              <w:t>59.94Hz</w:t>
            </w:r>
            <w:r>
              <w:rPr>
                <w:rFonts w:hint="eastAsia" w:ascii="仿宋_GB2312" w:hAnsi="宋体" w:cs="宋体"/>
                <w:color w:val="000000" w:themeColor="text1"/>
              </w:rPr>
              <w:t>～</w:t>
            </w:r>
            <w:r>
              <w:rPr>
                <w:rFonts w:hint="eastAsia" w:eastAsia="等线" w:cs="宋体"/>
                <w:color w:val="000000" w:themeColor="text1"/>
              </w:rPr>
              <w:t xml:space="preserve">660.09Hz </w:t>
            </w:r>
            <w:r>
              <w:rPr>
                <w:rFonts w:hint="eastAsia" w:ascii="仿宋_GB2312" w:hAnsi="宋体" w:cs="宋体"/>
                <w:color w:val="000000" w:themeColor="text1"/>
              </w:rPr>
              <w:t>；</w:t>
            </w:r>
            <w:r>
              <w:rPr>
                <w:rFonts w:hint="eastAsia" w:eastAsia="等线" w:cs="宋体"/>
                <w:color w:val="000000" w:themeColor="text1"/>
              </w:rPr>
              <w:t>50Hz</w:t>
            </w:r>
            <w:r>
              <w:rPr>
                <w:rFonts w:hint="eastAsia" w:ascii="仿宋_GB2312" w:hAnsi="宋体" w:cs="宋体"/>
                <w:color w:val="000000" w:themeColor="text1"/>
              </w:rPr>
              <w:t>：</w:t>
            </w:r>
            <w:r>
              <w:rPr>
                <w:rFonts w:hint="eastAsia" w:eastAsia="等线" w:cs="宋体"/>
                <w:color w:val="000000" w:themeColor="text1"/>
              </w:rPr>
              <w:t>50.00Hz</w:t>
            </w:r>
            <w:r>
              <w:rPr>
                <w:rFonts w:hint="eastAsia" w:ascii="仿宋_GB2312" w:hAnsi="宋体" w:cs="宋体"/>
                <w:color w:val="000000" w:themeColor="text1"/>
              </w:rPr>
              <w:t>～</w:t>
            </w:r>
            <w:r>
              <w:rPr>
                <w:rFonts w:hint="eastAsia" w:eastAsia="等线" w:cs="宋体"/>
                <w:color w:val="000000" w:themeColor="text1"/>
              </w:rPr>
              <w:t>570.12Hz</w:t>
            </w:r>
            <w:r>
              <w:rPr>
                <w:rFonts w:hint="eastAsia" w:ascii="仿宋_GB2312" w:hAnsi="宋体" w:cs="宋体"/>
                <w:color w:val="000000" w:themeColor="text1"/>
              </w:rPr>
              <w:t>；伽玛关、标准（低、中、高）、电影风格；白平衡</w:t>
            </w:r>
            <w:r>
              <w:rPr>
                <w:rFonts w:hint="eastAsia" w:eastAsia="等线" w:cs="宋体"/>
                <w:color w:val="000000" w:themeColor="text1"/>
              </w:rPr>
              <w:t xml:space="preserve"> AWB A</w:t>
            </w:r>
            <w:r>
              <w:rPr>
                <w:rFonts w:hint="eastAsia" w:ascii="仿宋_GB2312" w:hAnsi="宋体" w:cs="宋体"/>
                <w:color w:val="000000" w:themeColor="text1"/>
              </w:rPr>
              <w:t>、</w:t>
            </w:r>
            <w:r>
              <w:rPr>
                <w:rFonts w:hint="eastAsia" w:eastAsia="等线" w:cs="宋体"/>
                <w:color w:val="000000" w:themeColor="text1"/>
              </w:rPr>
              <w:t>AWB B</w:t>
            </w:r>
            <w:r>
              <w:rPr>
                <w:rFonts w:hint="eastAsia" w:ascii="仿宋_GB2312" w:hAnsi="宋体" w:cs="宋体"/>
                <w:color w:val="000000" w:themeColor="text1"/>
              </w:rPr>
              <w:t>、</w:t>
            </w:r>
            <w:r>
              <w:rPr>
                <w:rFonts w:hint="eastAsia" w:eastAsia="等线" w:cs="宋体"/>
                <w:color w:val="000000" w:themeColor="text1"/>
              </w:rPr>
              <w:t>ATW</w:t>
            </w:r>
            <w:r>
              <w:rPr>
                <w:rFonts w:hint="eastAsia" w:ascii="仿宋_GB2312" w:hAnsi="宋体" w:cs="宋体"/>
                <w:color w:val="000000" w:themeColor="text1"/>
              </w:rPr>
              <w:t>、</w:t>
            </w:r>
            <w:r>
              <w:rPr>
                <w:rFonts w:hint="eastAsia" w:eastAsia="等线" w:cs="宋体"/>
                <w:color w:val="000000" w:themeColor="text1"/>
              </w:rPr>
              <w:t>3200K</w:t>
            </w:r>
            <w:r>
              <w:rPr>
                <w:rFonts w:hint="eastAsia" w:ascii="仿宋_GB2312" w:hAnsi="宋体" w:cs="宋体"/>
                <w:color w:val="000000" w:themeColor="text1"/>
              </w:rPr>
              <w:t>、</w:t>
            </w:r>
            <w:r>
              <w:rPr>
                <w:rFonts w:hint="eastAsia" w:eastAsia="等线" w:cs="宋体"/>
                <w:color w:val="000000" w:themeColor="text1"/>
              </w:rPr>
              <w:t>5600K</w:t>
            </w:r>
            <w:r>
              <w:rPr>
                <w:rFonts w:hint="eastAsia" w:ascii="仿宋_GB2312" w:hAnsi="宋体" w:cs="宋体"/>
                <w:color w:val="000000" w:themeColor="text1"/>
              </w:rPr>
              <w:t>、</w:t>
            </w:r>
            <w:r>
              <w:rPr>
                <w:rFonts w:hint="eastAsia" w:eastAsia="等线" w:cs="宋体"/>
                <w:color w:val="000000" w:themeColor="text1"/>
              </w:rPr>
              <w:t>VAR</w:t>
            </w:r>
            <w:r>
              <w:rPr>
                <w:rFonts w:hint="eastAsia" w:ascii="仿宋_GB2312" w:hAnsi="宋体" w:cs="宋体"/>
                <w:color w:val="000000" w:themeColor="text1"/>
              </w:rPr>
              <w:t>（</w:t>
            </w:r>
            <w:r>
              <w:rPr>
                <w:rFonts w:hint="eastAsia" w:eastAsia="等线" w:cs="宋体"/>
                <w:color w:val="000000" w:themeColor="text1"/>
              </w:rPr>
              <w:t>2400K</w:t>
            </w:r>
            <w:r>
              <w:rPr>
                <w:rFonts w:hint="eastAsia" w:ascii="仿宋_GB2312" w:hAnsi="宋体" w:cs="宋体"/>
                <w:color w:val="000000" w:themeColor="text1"/>
              </w:rPr>
              <w:t>至</w:t>
            </w:r>
            <w:r>
              <w:rPr>
                <w:rFonts w:hint="eastAsia" w:eastAsia="等线" w:cs="宋体"/>
                <w:color w:val="000000" w:themeColor="text1"/>
              </w:rPr>
              <w:t>9900K</w:t>
            </w:r>
            <w:r>
              <w:rPr>
                <w:rFonts w:hint="eastAsia" w:ascii="仿宋_GB2312" w:hAnsi="宋体" w:cs="宋体"/>
                <w:color w:val="000000" w:themeColor="text1"/>
              </w:rPr>
              <w:t>）；色调量可调性±</w:t>
            </w:r>
            <w:r>
              <w:rPr>
                <w:rFonts w:hint="eastAsia" w:eastAsia="等线" w:cs="宋体"/>
                <w:color w:val="000000" w:themeColor="text1"/>
              </w:rPr>
              <w:t>3</w:t>
            </w:r>
            <w:r>
              <w:rPr>
                <w:rFonts w:hint="eastAsia" w:ascii="仿宋_GB2312" w:hAnsi="宋体" w:cs="宋体"/>
                <w:color w:val="000000" w:themeColor="text1"/>
              </w:rPr>
              <w:t>步进；场景模式全自动、手动</w:t>
            </w:r>
            <w:r>
              <w:rPr>
                <w:rFonts w:hint="eastAsia" w:eastAsia="等线" w:cs="宋体"/>
                <w:color w:val="000000" w:themeColor="text1"/>
              </w:rPr>
              <w:t>1</w:t>
            </w:r>
            <w:r>
              <w:rPr>
                <w:rFonts w:hint="eastAsia" w:ascii="仿宋_GB2312" w:hAnsi="宋体" w:cs="宋体"/>
                <w:color w:val="000000" w:themeColor="text1"/>
              </w:rPr>
              <w:t>、手动</w:t>
            </w:r>
            <w:r>
              <w:rPr>
                <w:rFonts w:hint="eastAsia" w:eastAsia="等线" w:cs="宋体"/>
                <w:color w:val="000000" w:themeColor="text1"/>
              </w:rPr>
              <w:t>2</w:t>
            </w:r>
            <w:r>
              <w:rPr>
                <w:rFonts w:hint="eastAsia" w:ascii="仿宋_GB2312" w:hAnsi="宋体" w:cs="宋体"/>
                <w:color w:val="000000" w:themeColor="text1"/>
              </w:rPr>
              <w:t>、手动</w:t>
            </w:r>
            <w:r>
              <w:rPr>
                <w:rFonts w:hint="eastAsia" w:eastAsia="等线" w:cs="宋体"/>
                <w:color w:val="000000" w:themeColor="text1"/>
              </w:rPr>
              <w:t>3</w:t>
            </w:r>
            <w:r>
              <w:rPr>
                <w:rFonts w:hint="eastAsia" w:ascii="仿宋_GB2312" w:hAnsi="宋体" w:cs="宋体"/>
                <w:color w:val="000000" w:themeColor="text1"/>
              </w:rPr>
              <w:t>；输出格式</w:t>
            </w:r>
            <w:r>
              <w:rPr>
                <w:rFonts w:hint="eastAsia" w:eastAsia="等线" w:cs="宋体"/>
                <w:color w:val="000000" w:themeColor="text1"/>
              </w:rPr>
              <w:t>1080/59.94p/50p/29.97p/25p</w:t>
            </w:r>
            <w:r>
              <w:rPr>
                <w:rFonts w:hint="eastAsia" w:ascii="仿宋_GB2312" w:hAnsi="宋体" w:cs="宋体"/>
                <w:color w:val="000000" w:themeColor="text1"/>
              </w:rPr>
              <w:t>、</w:t>
            </w:r>
            <w:r>
              <w:rPr>
                <w:rFonts w:hint="eastAsia" w:eastAsia="等线" w:cs="宋体"/>
                <w:color w:val="000000" w:themeColor="text1"/>
              </w:rPr>
              <w:t>9.94i/50i/29.97PsF/25PsF   720/59.94p/50p</w:t>
            </w:r>
            <w:r>
              <w:rPr>
                <w:rFonts w:hint="eastAsia" w:ascii="仿宋_GB2312" w:hAnsi="宋体" w:cs="宋体"/>
                <w:color w:val="000000" w:themeColor="text1"/>
              </w:rPr>
              <w:t>；</w:t>
            </w:r>
          </w:p>
        </w:tc>
        <w:tc>
          <w:tcPr>
            <w:tcW w:w="775"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vMerge w:val="restart"/>
            <w:tcBorders>
              <w:top w:val="nil"/>
              <w:left w:val="single" w:color="auto" w:sz="8" w:space="0"/>
              <w:bottom w:val="single" w:color="000000"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同步内部同步；视频输出</w:t>
            </w:r>
            <w:r>
              <w:rPr>
                <w:rFonts w:hint="eastAsia" w:eastAsia="等线" w:cs="宋体"/>
                <w:color w:val="000000" w:themeColor="text1"/>
              </w:rPr>
              <w:t xml:space="preserve">  HDMI</w:t>
            </w:r>
            <w:r>
              <w:rPr>
                <w:rFonts w:hint="eastAsia" w:ascii="仿宋_GB2312" w:hAnsi="宋体" w:cs="宋体"/>
                <w:color w:val="000000" w:themeColor="text1"/>
              </w:rPr>
              <w:t>；音频输入Φ</w:t>
            </w:r>
            <w:r>
              <w:rPr>
                <w:rFonts w:hint="eastAsia" w:eastAsia="等线" w:cs="宋体"/>
                <w:color w:val="000000" w:themeColor="text1"/>
              </w:rPr>
              <w:t>3.5mm</w:t>
            </w:r>
            <w:r>
              <w:rPr>
                <w:rFonts w:hint="eastAsia" w:ascii="仿宋_GB2312" w:hAnsi="宋体" w:cs="宋体"/>
                <w:color w:val="000000" w:themeColor="text1"/>
              </w:rPr>
              <w:t>立体声迷你插孔输入阻抗：约</w:t>
            </w:r>
            <w:r>
              <w:rPr>
                <w:rFonts w:hint="eastAsia" w:eastAsia="等线" w:cs="宋体"/>
                <w:color w:val="000000" w:themeColor="text1"/>
              </w:rPr>
              <w:t>2k</w:t>
            </w:r>
            <w:r>
              <w:rPr>
                <w:rFonts w:hint="eastAsia" w:ascii="仿宋_GB2312" w:hAnsi="宋体" w:cs="宋体"/>
                <w:color w:val="000000" w:themeColor="text1"/>
              </w:rPr>
              <w:t>Ω（高阻抗）；输入</w:t>
            </w:r>
            <w:r>
              <w:rPr>
                <w:rFonts w:hint="eastAsia" w:eastAsia="等线" w:cs="宋体"/>
                <w:color w:val="000000" w:themeColor="text1"/>
              </w:rPr>
              <w:t>/</w:t>
            </w:r>
            <w:r>
              <w:rPr>
                <w:rFonts w:hint="eastAsia" w:ascii="仿宋_GB2312" w:hAnsi="宋体" w:cs="宋体"/>
                <w:color w:val="000000" w:themeColor="text1"/>
              </w:rPr>
              <w:t>输出接口</w:t>
            </w:r>
            <w:r>
              <w:rPr>
                <w:rFonts w:hint="eastAsia" w:eastAsia="等线" w:cs="宋体"/>
                <w:color w:val="000000" w:themeColor="text1"/>
              </w:rPr>
              <w:t xml:space="preserve"> LAN</w:t>
            </w:r>
            <w:r>
              <w:rPr>
                <w:rFonts w:hint="eastAsia" w:ascii="仿宋_GB2312" w:hAnsi="宋体" w:cs="宋体"/>
                <w:color w:val="000000" w:themeColor="text1"/>
              </w:rPr>
              <w:t>（用于</w:t>
            </w:r>
            <w:r>
              <w:rPr>
                <w:rFonts w:hint="eastAsia" w:eastAsia="等线" w:cs="宋体"/>
                <w:color w:val="000000" w:themeColor="text1"/>
              </w:rPr>
              <w:t>IP</w:t>
            </w:r>
            <w:r>
              <w:rPr>
                <w:rFonts w:hint="eastAsia" w:ascii="仿宋_GB2312" w:hAnsi="宋体" w:cs="宋体"/>
                <w:color w:val="000000" w:themeColor="text1"/>
              </w:rPr>
              <w:t>控制）、</w:t>
            </w:r>
            <w:r>
              <w:rPr>
                <w:rFonts w:hint="eastAsia" w:eastAsia="等线" w:cs="宋体"/>
                <w:color w:val="000000" w:themeColor="text1"/>
              </w:rPr>
              <w:t>RS-232C</w:t>
            </w:r>
            <w:r>
              <w:rPr>
                <w:rFonts w:hint="eastAsia" w:ascii="仿宋_GB2312" w:hAnsi="宋体" w:cs="宋体"/>
                <w:color w:val="000000" w:themeColor="text1"/>
              </w:rPr>
              <w:t>（</w:t>
            </w:r>
            <w:r>
              <w:rPr>
                <w:rFonts w:hint="eastAsia" w:eastAsia="等线" w:cs="宋体"/>
                <w:color w:val="000000" w:themeColor="text1"/>
              </w:rPr>
              <w:t>IN OUT</w:t>
            </w:r>
            <w:r>
              <w:rPr>
                <w:rFonts w:hint="eastAsia" w:ascii="仿宋_GB2312" w:hAnsi="宋体" w:cs="宋体"/>
                <w:color w:val="000000" w:themeColor="text1"/>
              </w:rPr>
              <w:t>）、</w:t>
            </w:r>
            <w:r>
              <w:rPr>
                <w:rFonts w:hint="eastAsia" w:eastAsia="等线" w:cs="宋体"/>
                <w:color w:val="000000" w:themeColor="text1"/>
              </w:rPr>
              <w:t>RS-422</w:t>
            </w:r>
            <w:r>
              <w:rPr>
                <w:rFonts w:hint="eastAsia" w:ascii="仿宋_GB2312" w:hAnsi="宋体" w:cs="宋体"/>
                <w:color w:val="000000" w:themeColor="text1"/>
              </w:rPr>
              <w:t>、</w:t>
            </w:r>
            <w:r>
              <w:rPr>
                <w:rFonts w:hint="eastAsia" w:eastAsia="等线" w:cs="宋体"/>
                <w:color w:val="000000" w:themeColor="text1"/>
              </w:rPr>
              <w:t>USB</w:t>
            </w:r>
            <w:r>
              <w:rPr>
                <w:rFonts w:hint="eastAsia" w:ascii="仿宋_GB2312" w:hAnsi="宋体" w:cs="宋体"/>
                <w:color w:val="000000" w:themeColor="text1"/>
              </w:rPr>
              <w:t>、</w:t>
            </w:r>
            <w:r>
              <w:rPr>
                <w:rFonts w:hint="eastAsia" w:eastAsia="等线" w:cs="宋体"/>
                <w:color w:val="000000" w:themeColor="text1"/>
              </w:rPr>
              <w:t>micro SD</w:t>
            </w:r>
            <w:r>
              <w:rPr>
                <w:rFonts w:hint="eastAsia" w:ascii="仿宋_GB2312" w:hAnsi="宋体" w:cs="宋体"/>
                <w:color w:val="000000" w:themeColor="text1"/>
              </w:rPr>
              <w:t>存储卡槽；</w:t>
            </w:r>
            <w:r>
              <w:rPr>
                <w:rFonts w:hint="eastAsia" w:eastAsia="等线" w:cs="宋体"/>
                <w:color w:val="000000" w:themeColor="text1"/>
              </w:rPr>
              <w:t>SD</w:t>
            </w:r>
            <w:r>
              <w:rPr>
                <w:rFonts w:hint="eastAsia" w:ascii="仿宋_GB2312" w:hAnsi="宋体" w:cs="宋体"/>
                <w:color w:val="000000" w:themeColor="text1"/>
              </w:rPr>
              <w:t>卡类型</w:t>
            </w:r>
            <w:r>
              <w:rPr>
                <w:rFonts w:hint="eastAsia" w:eastAsia="等线" w:cs="宋体"/>
                <w:color w:val="000000" w:themeColor="text1"/>
              </w:rPr>
              <w:t xml:space="preserve"> micro SDHC</w:t>
            </w:r>
            <w:r>
              <w:rPr>
                <w:rFonts w:hint="eastAsia" w:ascii="仿宋_GB2312" w:hAnsi="宋体" w:cs="宋体"/>
                <w:color w:val="000000" w:themeColor="text1"/>
              </w:rPr>
              <w:t>（</w:t>
            </w:r>
            <w:r>
              <w:rPr>
                <w:rFonts w:hint="eastAsia" w:eastAsia="等线" w:cs="宋体"/>
                <w:color w:val="000000" w:themeColor="text1"/>
              </w:rPr>
              <w:t>4G/32G</w:t>
            </w:r>
            <w:r>
              <w:rPr>
                <w:rFonts w:hint="eastAsia" w:ascii="仿宋_GB2312" w:hAnsi="宋体" w:cs="宋体"/>
                <w:color w:val="000000" w:themeColor="text1"/>
              </w:rPr>
              <w:t>），</w:t>
            </w:r>
            <w:r>
              <w:rPr>
                <w:rFonts w:hint="eastAsia" w:eastAsia="等线" w:cs="宋体"/>
                <w:color w:val="000000" w:themeColor="text1"/>
              </w:rPr>
              <w:t>micro SDXC</w:t>
            </w:r>
            <w:r>
              <w:rPr>
                <w:rFonts w:hint="eastAsia" w:ascii="仿宋_GB2312" w:hAnsi="宋体" w:cs="宋体"/>
                <w:color w:val="000000" w:themeColor="text1"/>
              </w:rPr>
              <w:t>（</w:t>
            </w:r>
            <w:r>
              <w:rPr>
                <w:rFonts w:hint="eastAsia" w:eastAsia="等线" w:cs="宋体"/>
                <w:color w:val="000000" w:themeColor="text1"/>
              </w:rPr>
              <w:t>64G/128G</w:t>
            </w:r>
            <w:r>
              <w:rPr>
                <w:rFonts w:hint="eastAsia" w:ascii="仿宋_GB2312" w:hAnsi="宋体" w:cs="宋体"/>
                <w:color w:val="000000" w:themeColor="text1"/>
              </w:rPr>
              <w:t>），速度为</w:t>
            </w:r>
            <w:r>
              <w:rPr>
                <w:rFonts w:hint="eastAsia" w:eastAsia="等线" w:cs="宋体"/>
                <w:color w:val="000000" w:themeColor="text1"/>
              </w:rPr>
              <w:t>10</w:t>
            </w:r>
            <w:r>
              <w:rPr>
                <w:rFonts w:hint="eastAsia" w:ascii="仿宋_GB2312" w:hAnsi="宋体" w:cs="宋体"/>
                <w:color w:val="000000" w:themeColor="text1"/>
              </w:rPr>
              <w:t>级或更高；</w:t>
            </w:r>
            <w:r>
              <w:rPr>
                <w:rFonts w:hint="eastAsia" w:eastAsia="等线" w:cs="宋体"/>
                <w:color w:val="000000" w:themeColor="text1"/>
              </w:rPr>
              <w:t>USB</w:t>
            </w:r>
            <w:r>
              <w:rPr>
                <w:rFonts w:hint="eastAsia" w:ascii="仿宋_GB2312" w:hAnsi="宋体" w:cs="宋体"/>
                <w:color w:val="000000" w:themeColor="text1"/>
              </w:rPr>
              <w:t>视频输出</w:t>
            </w:r>
            <w:r>
              <w:rPr>
                <w:rFonts w:hint="eastAsia" w:eastAsia="等线" w:cs="宋体"/>
                <w:color w:val="000000" w:themeColor="text1"/>
              </w:rPr>
              <w:t xml:space="preserve"> USB</w:t>
            </w:r>
            <w:r>
              <w:rPr>
                <w:rFonts w:hint="eastAsia" w:ascii="仿宋_GB2312" w:hAnsi="宋体" w:cs="宋体"/>
                <w:color w:val="000000" w:themeColor="text1"/>
              </w:rPr>
              <w:t>视频类型</w:t>
            </w:r>
            <w:r>
              <w:rPr>
                <w:rFonts w:hint="eastAsia" w:eastAsia="等线" w:cs="宋体"/>
                <w:color w:val="000000" w:themeColor="text1"/>
              </w:rPr>
              <w:t xml:space="preserve"> ver1.0</w:t>
            </w:r>
            <w:r>
              <w:rPr>
                <w:rFonts w:hint="eastAsia" w:ascii="仿宋_GB2312" w:hAnsi="宋体" w:cs="宋体"/>
                <w:color w:val="000000" w:themeColor="text1"/>
              </w:rPr>
              <w:t>；视频压缩格式</w:t>
            </w:r>
            <w:r>
              <w:rPr>
                <w:rFonts w:hint="eastAsia" w:eastAsia="等线" w:cs="宋体"/>
                <w:color w:val="000000" w:themeColor="text1"/>
              </w:rPr>
              <w:t xml:space="preserve"> JPEG</w:t>
            </w:r>
            <w:r>
              <w:rPr>
                <w:rFonts w:hint="eastAsia" w:ascii="仿宋_GB2312" w:hAnsi="宋体" w:cs="宋体"/>
                <w:color w:val="000000" w:themeColor="text1"/>
              </w:rPr>
              <w:t>格式；</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分辨率</w:t>
            </w:r>
            <w:r>
              <w:rPr>
                <w:rFonts w:hint="eastAsia" w:eastAsia="等线" w:cs="宋体"/>
                <w:color w:val="000000" w:themeColor="text1"/>
              </w:rPr>
              <w:t xml:space="preserve"> 1920</w:t>
            </w:r>
            <w:r>
              <w:rPr>
                <w:rFonts w:hint="eastAsia" w:ascii="仿宋_GB2312" w:hAnsi="宋体" w:cs="宋体"/>
                <w:color w:val="000000" w:themeColor="text1"/>
              </w:rPr>
              <w:t>×</w:t>
            </w:r>
            <w:r>
              <w:rPr>
                <w:rFonts w:hint="eastAsia" w:eastAsia="等线" w:cs="宋体"/>
                <w:color w:val="000000" w:themeColor="text1"/>
              </w:rPr>
              <w:t>1080</w:t>
            </w:r>
            <w:r>
              <w:rPr>
                <w:rFonts w:hint="eastAsia" w:ascii="仿宋_GB2312" w:hAnsi="宋体" w:cs="宋体"/>
                <w:color w:val="000000" w:themeColor="text1"/>
              </w:rPr>
              <w:t>、</w:t>
            </w:r>
            <w:r>
              <w:rPr>
                <w:rFonts w:hint="eastAsia" w:eastAsia="等线" w:cs="宋体"/>
                <w:color w:val="000000" w:themeColor="text1"/>
              </w:rPr>
              <w:t>1280</w:t>
            </w:r>
            <w:r>
              <w:rPr>
                <w:rFonts w:hint="eastAsia" w:ascii="仿宋_GB2312" w:hAnsi="宋体" w:cs="宋体"/>
                <w:color w:val="000000" w:themeColor="text1"/>
              </w:rPr>
              <w:t>×</w:t>
            </w:r>
            <w:r>
              <w:rPr>
                <w:rFonts w:hint="eastAsia" w:eastAsia="等线" w:cs="宋体"/>
                <w:color w:val="000000" w:themeColor="text1"/>
              </w:rPr>
              <w:t>720</w:t>
            </w:r>
            <w:r>
              <w:rPr>
                <w:rFonts w:hint="eastAsia" w:ascii="仿宋_GB2312" w:hAnsi="宋体" w:cs="宋体"/>
                <w:color w:val="000000" w:themeColor="text1"/>
              </w:rPr>
              <w:t>、</w:t>
            </w:r>
            <w:r>
              <w:rPr>
                <w:rFonts w:hint="eastAsia" w:eastAsia="等线" w:cs="宋体"/>
                <w:color w:val="000000" w:themeColor="text1"/>
              </w:rPr>
              <w:t>640</w:t>
            </w:r>
            <w:r>
              <w:rPr>
                <w:rFonts w:hint="eastAsia" w:ascii="仿宋_GB2312" w:hAnsi="宋体" w:cs="宋体"/>
                <w:color w:val="000000" w:themeColor="text1"/>
              </w:rPr>
              <w:t>×</w:t>
            </w:r>
            <w:r>
              <w:rPr>
                <w:rFonts w:hint="eastAsia" w:eastAsia="等线" w:cs="宋体"/>
                <w:color w:val="000000" w:themeColor="text1"/>
              </w:rPr>
              <w:t>360</w:t>
            </w:r>
            <w:r>
              <w:rPr>
                <w:rFonts w:hint="eastAsia" w:ascii="仿宋_GB2312" w:hAnsi="宋体" w:cs="宋体"/>
                <w:color w:val="000000" w:themeColor="text1"/>
              </w:rPr>
              <w:t>；云台旋转范围水平：±</w:t>
            </w:r>
            <w:r>
              <w:rPr>
                <w:rFonts w:hint="eastAsia" w:eastAsia="等线" w:cs="宋体"/>
                <w:color w:val="000000" w:themeColor="text1"/>
              </w:rPr>
              <w:t>175</w:t>
            </w:r>
            <w:r>
              <w:rPr>
                <w:rFonts w:hint="eastAsia" w:ascii="仿宋_GB2312" w:hAnsi="宋体" w:cs="宋体"/>
                <w:color w:val="000000" w:themeColor="text1"/>
              </w:rPr>
              <w:t>°；俯仰：</w:t>
            </w:r>
            <w:r>
              <w:rPr>
                <w:rFonts w:hint="eastAsia" w:eastAsia="等线" w:cs="宋体"/>
                <w:color w:val="000000" w:themeColor="text1"/>
              </w:rPr>
              <w:t>-30</w:t>
            </w:r>
            <w:r>
              <w:rPr>
                <w:rFonts w:hint="eastAsia" w:ascii="仿宋_GB2312" w:hAnsi="宋体" w:cs="宋体"/>
                <w:color w:val="000000" w:themeColor="text1"/>
              </w:rPr>
              <w:t>°～</w:t>
            </w:r>
            <w:r>
              <w:rPr>
                <w:rFonts w:hint="eastAsia" w:eastAsia="等线" w:cs="宋体"/>
                <w:color w:val="000000" w:themeColor="text1"/>
              </w:rPr>
              <w:t>+90</w:t>
            </w:r>
            <w:r>
              <w:rPr>
                <w:rFonts w:hint="eastAsia" w:ascii="仿宋_GB2312" w:hAnsi="宋体" w:cs="宋体"/>
                <w:color w:val="000000" w:themeColor="text1"/>
              </w:rPr>
              <w:t>°；云台旋转速度调用预置位时</w:t>
            </w:r>
            <w:r>
              <w:rPr>
                <w:rFonts w:hint="eastAsia" w:eastAsia="等线" w:cs="宋体"/>
                <w:color w:val="000000" w:themeColor="text1"/>
              </w:rPr>
              <w:t>: 300</w:t>
            </w:r>
            <w:r>
              <w:rPr>
                <w:rFonts w:hint="eastAsia" w:ascii="仿宋_GB2312" w:hAnsi="宋体" w:cs="宋体"/>
                <w:color w:val="000000" w:themeColor="text1"/>
              </w:rPr>
              <w:t>°</w:t>
            </w:r>
            <w:r>
              <w:rPr>
                <w:rFonts w:hint="eastAsia" w:eastAsia="等线" w:cs="宋体"/>
                <w:color w:val="000000" w:themeColor="text1"/>
              </w:rPr>
              <w:t xml:space="preserve">/s </w:t>
            </w:r>
            <w:r>
              <w:rPr>
                <w:rFonts w:hint="eastAsia" w:ascii="仿宋_GB2312" w:hAnsi="宋体" w:cs="宋体"/>
                <w:color w:val="000000" w:themeColor="text1"/>
              </w:rPr>
              <w:t>最高速度</w:t>
            </w:r>
            <w:r>
              <w:rPr>
                <w:rFonts w:hint="eastAsia" w:eastAsia="等线" w:cs="宋体"/>
                <w:color w:val="000000" w:themeColor="text1"/>
              </w:rPr>
              <w:t>: 90</w:t>
            </w:r>
            <w:r>
              <w:rPr>
                <w:rFonts w:hint="eastAsia" w:ascii="仿宋_GB2312" w:hAnsi="宋体" w:cs="宋体"/>
                <w:color w:val="000000" w:themeColor="text1"/>
              </w:rPr>
              <w:t>°</w:t>
            </w:r>
            <w:r>
              <w:rPr>
                <w:rFonts w:hint="eastAsia" w:eastAsia="等线" w:cs="宋体"/>
                <w:color w:val="000000" w:themeColor="text1"/>
              </w:rPr>
              <w:t>/s</w:t>
            </w:r>
            <w:r>
              <w:rPr>
                <w:rFonts w:hint="eastAsia" w:ascii="仿宋_GB2312" w:hAnsi="宋体" w:cs="宋体"/>
                <w:color w:val="000000" w:themeColor="text1"/>
              </w:rPr>
              <w:t>；安装方式桌面安装或吊装；</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25</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利旧视频会议终端调试</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设备甲供利旧，负责接入，配合音视频调试</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3</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26</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操作台</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 xml:space="preserve">1200*800 </w:t>
            </w:r>
            <w:r>
              <w:rPr>
                <w:rFonts w:hint="eastAsia" w:ascii="仿宋_GB2312" w:cs="宋体"/>
                <w:color w:val="000000" w:themeColor="text1"/>
              </w:rPr>
              <w:t>钢木机柜式</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27</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扩声会议系统管线</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音响线、音频线、网络线、控制线、接插件、音频头、卡农头等等</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8426" w:type="dxa"/>
            <w:gridSpan w:val="6"/>
            <w:tcBorders>
              <w:top w:val="single" w:color="auto" w:sz="8" w:space="0"/>
              <w:left w:val="single" w:color="auto" w:sz="8" w:space="0"/>
              <w:bottom w:val="single" w:color="auto" w:sz="8" w:space="0"/>
              <w:right w:val="nil"/>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四、中控系统</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1176"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中控系统</w:t>
            </w: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会议中控监控软件</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采用标准的</w:t>
            </w:r>
            <w:r>
              <w:rPr>
                <w:rFonts w:hint="eastAsia" w:eastAsia="等线" w:cs="宋体"/>
                <w:color w:val="000000" w:themeColor="text1"/>
              </w:rPr>
              <w:t>TCP/IP</w:t>
            </w:r>
            <w:r>
              <w:rPr>
                <w:rFonts w:hint="eastAsia" w:ascii="仿宋_GB2312" w:hAnsi="宋体" w:cs="宋体"/>
                <w:color w:val="000000" w:themeColor="text1"/>
              </w:rPr>
              <w:t>以太网构成局域网</w:t>
            </w:r>
            <w:r>
              <w:rPr>
                <w:rFonts w:hint="eastAsia" w:eastAsia="等线" w:cs="宋体"/>
                <w:color w:val="000000" w:themeColor="text1"/>
              </w:rPr>
              <w:t>,</w:t>
            </w:r>
            <w:r>
              <w:rPr>
                <w:rFonts w:hint="eastAsia" w:ascii="仿宋_GB2312" w:hAnsi="宋体" w:cs="宋体"/>
                <w:color w:val="000000" w:themeColor="text1"/>
              </w:rPr>
              <w:t>通过以太网及相应的通讯接口实现中央站、控制器、及</w:t>
            </w:r>
            <w:r>
              <w:rPr>
                <w:rFonts w:hint="eastAsia" w:eastAsia="等线" w:cs="宋体"/>
                <w:color w:val="000000" w:themeColor="text1"/>
              </w:rPr>
              <w:t>I/O</w:t>
            </w:r>
            <w:r>
              <w:rPr>
                <w:rFonts w:hint="eastAsia" w:ascii="仿宋_GB2312" w:hAnsi="宋体" w:cs="宋体"/>
                <w:color w:val="000000" w:themeColor="text1"/>
              </w:rPr>
              <w:t>模块数据通信、资源共享和综合管理功能。图形监控软件</w:t>
            </w:r>
            <w:r>
              <w:rPr>
                <w:rFonts w:hint="eastAsia" w:eastAsia="等线" w:cs="宋体"/>
                <w:color w:val="000000" w:themeColor="text1"/>
              </w:rPr>
              <w:t>,</w:t>
            </w:r>
            <w:r>
              <w:rPr>
                <w:rFonts w:hint="eastAsia" w:ascii="仿宋_GB2312" w:hAnsi="宋体" w:cs="宋体"/>
                <w:color w:val="000000" w:themeColor="text1"/>
              </w:rPr>
              <w:t>支持</w:t>
            </w:r>
            <w:r>
              <w:rPr>
                <w:rFonts w:hint="eastAsia" w:eastAsia="等线" w:cs="宋体"/>
                <w:color w:val="000000" w:themeColor="text1"/>
              </w:rPr>
              <w:t>windows7</w:t>
            </w:r>
            <w:r>
              <w:rPr>
                <w:rFonts w:hint="eastAsia" w:ascii="仿宋_GB2312" w:hAnsi="宋体" w:cs="宋体"/>
                <w:color w:val="000000" w:themeColor="text1"/>
              </w:rPr>
              <w:t>等操作系统</w:t>
            </w:r>
            <w:r>
              <w:rPr>
                <w:rFonts w:hint="eastAsia" w:eastAsia="等线" w:cs="宋体"/>
                <w:color w:val="000000" w:themeColor="text1"/>
              </w:rPr>
              <w:t>,</w:t>
            </w:r>
            <w:r>
              <w:rPr>
                <w:rFonts w:hint="eastAsia" w:ascii="仿宋_GB2312" w:hAnsi="宋体" w:cs="宋体"/>
                <w:color w:val="000000" w:themeColor="text1"/>
              </w:rPr>
              <w:t>页面中文化显示</w:t>
            </w:r>
            <w:r>
              <w:rPr>
                <w:rFonts w:hint="eastAsia" w:eastAsia="等线" w:cs="宋体"/>
                <w:color w:val="000000" w:themeColor="text1"/>
              </w:rPr>
              <w:t>,</w:t>
            </w:r>
            <w:r>
              <w:rPr>
                <w:rFonts w:hint="eastAsia" w:ascii="仿宋_GB2312" w:hAnsi="宋体" w:cs="宋体"/>
                <w:color w:val="000000" w:themeColor="text1"/>
              </w:rPr>
              <w:t>日历时间表设置</w:t>
            </w:r>
            <w:r>
              <w:rPr>
                <w:rFonts w:hint="eastAsia" w:eastAsia="等线" w:cs="宋体"/>
                <w:color w:val="000000" w:themeColor="text1"/>
              </w:rPr>
              <w:t>,</w:t>
            </w:r>
            <w:r>
              <w:rPr>
                <w:rFonts w:hint="eastAsia" w:ascii="仿宋_GB2312" w:hAnsi="宋体" w:cs="宋体"/>
                <w:color w:val="000000" w:themeColor="text1"/>
              </w:rPr>
              <w:t>可</w:t>
            </w:r>
            <w:r>
              <w:rPr>
                <w:rFonts w:hint="eastAsia" w:eastAsia="等线" w:cs="宋体"/>
                <w:color w:val="000000" w:themeColor="text1"/>
              </w:rPr>
              <w:t>24</w:t>
            </w:r>
            <w:r>
              <w:rPr>
                <w:rFonts w:hint="eastAsia" w:ascii="仿宋_GB2312" w:hAnsi="宋体" w:cs="宋体"/>
                <w:color w:val="000000" w:themeColor="text1"/>
              </w:rPr>
              <w:t>位彩色</w:t>
            </w:r>
            <w:r>
              <w:rPr>
                <w:rFonts w:hint="eastAsia" w:eastAsia="等线" w:cs="宋体"/>
                <w:color w:val="000000" w:themeColor="text1"/>
              </w:rPr>
              <w:t>3D</w:t>
            </w:r>
            <w:r>
              <w:rPr>
                <w:rFonts w:hint="eastAsia" w:ascii="仿宋_GB2312" w:hAnsi="宋体" w:cs="宋体"/>
                <w:color w:val="000000" w:themeColor="text1"/>
              </w:rPr>
              <w:t>图像界面来操作</w:t>
            </w:r>
            <w:r>
              <w:rPr>
                <w:rFonts w:hint="eastAsia" w:eastAsia="等线" w:cs="宋体"/>
                <w:color w:val="000000" w:themeColor="text1"/>
              </w:rPr>
              <w:t>,</w:t>
            </w:r>
            <w:r>
              <w:rPr>
                <w:rFonts w:hint="eastAsia" w:ascii="仿宋_GB2312" w:hAnsi="宋体" w:cs="宋体"/>
                <w:color w:val="000000" w:themeColor="text1"/>
              </w:rPr>
              <w:t>显示</w:t>
            </w:r>
            <w:r>
              <w:rPr>
                <w:rFonts w:hint="eastAsia" w:eastAsia="等线" w:cs="宋体"/>
                <w:color w:val="000000" w:themeColor="text1"/>
              </w:rPr>
              <w:t>/</w:t>
            </w:r>
            <w:r>
              <w:rPr>
                <w:rFonts w:hint="eastAsia" w:ascii="仿宋_GB2312" w:hAnsi="宋体" w:cs="宋体"/>
                <w:color w:val="000000" w:themeColor="text1"/>
              </w:rPr>
              <w:t>储存设备过载</w:t>
            </w:r>
            <w:r>
              <w:rPr>
                <w:rFonts w:hint="eastAsia" w:eastAsia="等线" w:cs="宋体"/>
                <w:color w:val="000000" w:themeColor="text1"/>
              </w:rPr>
              <w:t>/</w:t>
            </w:r>
            <w:r>
              <w:rPr>
                <w:rFonts w:hint="eastAsia" w:ascii="仿宋_GB2312" w:hAnsi="宋体" w:cs="宋体"/>
                <w:color w:val="000000" w:themeColor="text1"/>
              </w:rPr>
              <w:t>故障等各种报警信息</w:t>
            </w:r>
            <w:r>
              <w:rPr>
                <w:rFonts w:hint="eastAsia" w:eastAsia="等线" w:cs="宋体"/>
                <w:color w:val="000000" w:themeColor="text1"/>
              </w:rPr>
              <w:t>,</w:t>
            </w:r>
            <w:r>
              <w:rPr>
                <w:rFonts w:hint="eastAsia" w:ascii="仿宋_GB2312" w:hAnsi="宋体" w:cs="宋体"/>
                <w:color w:val="000000" w:themeColor="text1"/>
              </w:rPr>
              <w:t>自动启动跳跃报警面板及联动动画系统图</w:t>
            </w:r>
            <w:r>
              <w:rPr>
                <w:rFonts w:hint="eastAsia" w:eastAsia="等线" w:cs="宋体"/>
                <w:color w:val="000000" w:themeColor="text1"/>
              </w:rPr>
              <w:t>,</w:t>
            </w:r>
            <w:r>
              <w:rPr>
                <w:rFonts w:hint="eastAsia" w:ascii="仿宋_GB2312" w:hAnsi="宋体" w:cs="宋体"/>
                <w:color w:val="000000" w:themeColor="text1"/>
              </w:rPr>
              <w:t>使用多级密码管理。</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第三方接口</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会议摄像头云台控制</w:t>
            </w:r>
            <w:r>
              <w:rPr>
                <w:rFonts w:hint="eastAsia" w:eastAsia="等线" w:cs="宋体"/>
                <w:color w:val="000000" w:themeColor="text1"/>
              </w:rPr>
              <w:t>3</w:t>
            </w:r>
            <w:r>
              <w:rPr>
                <w:rFonts w:hint="eastAsia" w:ascii="仿宋_GB2312" w:hAnsi="宋体" w:cs="宋体"/>
                <w:color w:val="000000" w:themeColor="text1"/>
              </w:rPr>
              <w:t>个</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3</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第三方接口</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会议话筒联动</w:t>
            </w:r>
            <w:r>
              <w:rPr>
                <w:rFonts w:hint="eastAsia" w:eastAsia="等线" w:cs="宋体"/>
                <w:color w:val="000000" w:themeColor="text1"/>
              </w:rPr>
              <w:t>1</w:t>
            </w:r>
            <w:r>
              <w:rPr>
                <w:rFonts w:hint="eastAsia" w:ascii="仿宋_GB2312" w:hAnsi="宋体" w:cs="宋体"/>
                <w:color w:val="000000" w:themeColor="text1"/>
              </w:rPr>
              <w:t>套</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4</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4</w:t>
            </w:r>
            <w:r>
              <w:rPr>
                <w:rFonts w:hint="eastAsia" w:ascii="仿宋_GB2312" w:cs="宋体"/>
                <w:color w:val="000000" w:themeColor="text1"/>
              </w:rPr>
              <w:t>路串口扩展模块</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4</w:t>
            </w:r>
            <w:r>
              <w:rPr>
                <w:rFonts w:hint="eastAsia" w:ascii="仿宋_GB2312" w:cs="宋体"/>
                <w:color w:val="000000" w:themeColor="text1"/>
              </w:rPr>
              <w:t>口</w:t>
            </w:r>
            <w:r>
              <w:rPr>
                <w:rFonts w:hint="eastAsia" w:eastAsia="等线" w:cs="宋体"/>
                <w:color w:val="000000" w:themeColor="text1"/>
              </w:rPr>
              <w:t>RS232</w:t>
            </w:r>
            <w:r>
              <w:rPr>
                <w:rFonts w:hint="eastAsia" w:ascii="仿宋_GB2312" w:cs="宋体"/>
                <w:color w:val="000000" w:themeColor="text1"/>
              </w:rPr>
              <w:t>通讯模块</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3</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5</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墙装触摸屏</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7</w:t>
            </w:r>
            <w:r>
              <w:rPr>
                <w:rFonts w:hint="eastAsia" w:ascii="仿宋_GB2312" w:cs="宋体"/>
                <w:color w:val="000000" w:themeColor="text1"/>
              </w:rPr>
              <w:t>英寸宽屏格式墙装触摸屏；</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6</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墙装智能按键面板</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四键面板，可接各种类型的灯具负载</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6</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7</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控制主机</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2</w:t>
            </w:r>
            <w:r>
              <w:rPr>
                <w:rFonts w:hint="eastAsia" w:ascii="仿宋_GB2312" w:cs="宋体"/>
                <w:color w:val="000000" w:themeColor="text1"/>
              </w:rPr>
              <w:t>个内置的</w:t>
            </w:r>
            <w:r>
              <w:rPr>
                <w:rFonts w:hint="eastAsia" w:eastAsia="等线" w:cs="宋体"/>
                <w:color w:val="000000" w:themeColor="text1"/>
              </w:rPr>
              <w:t>COM</w:t>
            </w:r>
            <w:r>
              <w:rPr>
                <w:rFonts w:hint="eastAsia" w:ascii="仿宋_GB2312" w:cs="宋体"/>
                <w:color w:val="000000" w:themeColor="text1"/>
              </w:rPr>
              <w:t>端口、</w:t>
            </w:r>
            <w:r>
              <w:rPr>
                <w:rFonts w:hint="eastAsia" w:eastAsia="等线" w:cs="宋体"/>
                <w:color w:val="000000" w:themeColor="text1"/>
              </w:rPr>
              <w:t>4</w:t>
            </w:r>
            <w:r>
              <w:rPr>
                <w:rFonts w:hint="eastAsia" w:ascii="仿宋_GB2312" w:cs="宋体"/>
                <w:color w:val="000000" w:themeColor="text1"/>
              </w:rPr>
              <w:t>个红外</w:t>
            </w:r>
            <w:r>
              <w:rPr>
                <w:rFonts w:hint="eastAsia" w:eastAsia="等线" w:cs="宋体"/>
                <w:color w:val="000000" w:themeColor="text1"/>
              </w:rPr>
              <w:t>/</w:t>
            </w:r>
            <w:r>
              <w:rPr>
                <w:rFonts w:hint="eastAsia" w:ascii="仿宋_GB2312" w:cs="宋体"/>
                <w:color w:val="000000" w:themeColor="text1"/>
              </w:rPr>
              <w:t>串行输出端口；</w:t>
            </w:r>
            <w:r>
              <w:rPr>
                <w:rFonts w:hint="eastAsia" w:eastAsia="等线" w:cs="宋体"/>
                <w:color w:val="000000" w:themeColor="text1"/>
              </w:rPr>
              <w:t>4</w:t>
            </w:r>
            <w:r>
              <w:rPr>
                <w:rFonts w:hint="eastAsia" w:ascii="仿宋_GB2312" w:cs="宋体"/>
                <w:color w:val="000000" w:themeColor="text1"/>
              </w:rPr>
              <w:t>个</w:t>
            </w:r>
            <w:r>
              <w:rPr>
                <w:rFonts w:hint="eastAsia" w:eastAsia="等线" w:cs="宋体"/>
                <w:color w:val="000000" w:themeColor="text1"/>
              </w:rPr>
              <w:t>I/O</w:t>
            </w:r>
            <w:r>
              <w:rPr>
                <w:rFonts w:hint="eastAsia" w:ascii="仿宋_GB2312" w:cs="宋体"/>
                <w:color w:val="000000" w:themeColor="text1"/>
              </w:rPr>
              <w:t>多用端口；</w:t>
            </w:r>
            <w:r>
              <w:rPr>
                <w:rFonts w:hint="eastAsia" w:eastAsia="等线" w:cs="宋体"/>
                <w:color w:val="000000" w:themeColor="text1"/>
              </w:rPr>
              <w:t>4</w:t>
            </w:r>
            <w:r>
              <w:rPr>
                <w:rFonts w:hint="eastAsia" w:ascii="仿宋_GB2312" w:cs="宋体"/>
                <w:color w:val="000000" w:themeColor="text1"/>
              </w:rPr>
              <w:t>个绝缘继电器；</w:t>
            </w:r>
            <w:r>
              <w:rPr>
                <w:rFonts w:hint="eastAsia" w:eastAsia="等线" w:cs="宋体"/>
                <w:color w:val="000000" w:themeColor="text1"/>
              </w:rPr>
              <w:t>4</w:t>
            </w:r>
            <w:r>
              <w:rPr>
                <w:rFonts w:hint="eastAsia" w:ascii="仿宋_GB2312" w:cs="宋体"/>
                <w:color w:val="000000" w:themeColor="text1"/>
              </w:rPr>
              <w:t>个复合视频输入；</w:t>
            </w:r>
            <w:r>
              <w:rPr>
                <w:rFonts w:hint="eastAsia" w:eastAsia="等线" w:cs="宋体"/>
                <w:color w:val="000000" w:themeColor="text1"/>
              </w:rPr>
              <w:t>2</w:t>
            </w:r>
            <w:r>
              <w:rPr>
                <w:rFonts w:hint="eastAsia" w:ascii="仿宋_GB2312" w:cs="宋体"/>
                <w:color w:val="000000" w:themeColor="text1"/>
              </w:rPr>
              <w:t>个复合视频输出；</w:t>
            </w:r>
            <w:r>
              <w:rPr>
                <w:rFonts w:hint="eastAsia" w:eastAsia="等线" w:cs="宋体"/>
                <w:color w:val="000000" w:themeColor="text1"/>
              </w:rPr>
              <w:t>2</w:t>
            </w:r>
            <w:r>
              <w:rPr>
                <w:rFonts w:hint="eastAsia" w:ascii="仿宋_GB2312" w:cs="宋体"/>
                <w:color w:val="000000" w:themeColor="text1"/>
              </w:rPr>
              <w:t>个平衡麦克风输入；</w:t>
            </w:r>
            <w:r>
              <w:rPr>
                <w:rFonts w:hint="eastAsia" w:eastAsia="等线" w:cs="宋体"/>
                <w:color w:val="000000" w:themeColor="text1"/>
              </w:rPr>
              <w:t>5</w:t>
            </w:r>
            <w:r>
              <w:rPr>
                <w:rFonts w:hint="eastAsia" w:ascii="仿宋_GB2312" w:cs="宋体"/>
                <w:color w:val="000000" w:themeColor="text1"/>
              </w:rPr>
              <w:t>个非平衡性立体声线路级输入；</w:t>
            </w:r>
            <w:r>
              <w:rPr>
                <w:rFonts w:hint="eastAsia" w:eastAsia="等线" w:cs="宋体"/>
                <w:color w:val="000000" w:themeColor="text1"/>
              </w:rPr>
              <w:t>1</w:t>
            </w:r>
            <w:r>
              <w:rPr>
                <w:rFonts w:hint="eastAsia" w:ascii="仿宋_GB2312" w:cs="宋体"/>
                <w:color w:val="000000" w:themeColor="text1"/>
              </w:rPr>
              <w:t>个平衡</w:t>
            </w:r>
            <w:r>
              <w:rPr>
                <w:rFonts w:hint="eastAsia" w:eastAsia="等线" w:cs="宋体"/>
                <w:color w:val="000000" w:themeColor="text1"/>
              </w:rPr>
              <w:t>/</w:t>
            </w:r>
            <w:r>
              <w:rPr>
                <w:rFonts w:hint="eastAsia" w:ascii="仿宋_GB2312" w:cs="宋体"/>
                <w:color w:val="000000" w:themeColor="text1"/>
              </w:rPr>
              <w:t>非平衡立体声线路级输出；</w:t>
            </w:r>
            <w:r>
              <w:rPr>
                <w:rFonts w:hint="eastAsia" w:eastAsia="等线" w:cs="宋体"/>
                <w:color w:val="000000" w:themeColor="text1"/>
              </w:rPr>
              <w:t>10/100</w:t>
            </w:r>
            <w:r>
              <w:rPr>
                <w:rFonts w:hint="eastAsia" w:ascii="仿宋_GB2312" w:cs="宋体"/>
                <w:color w:val="000000" w:themeColor="text1"/>
              </w:rPr>
              <w:t>自适应以太网端口等。</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8</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中控主机网卡</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中控主机适配</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9</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主控制器</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灯光控制主机，</w:t>
            </w:r>
            <w:r>
              <w:rPr>
                <w:rFonts w:hint="eastAsia" w:eastAsia="等线" w:cs="宋体"/>
                <w:color w:val="000000" w:themeColor="text1"/>
              </w:rPr>
              <w:t>CAN</w:t>
            </w:r>
            <w:r>
              <w:rPr>
                <w:rFonts w:hint="eastAsia" w:ascii="仿宋_GB2312" w:hAnsi="宋体" w:cs="宋体"/>
                <w:color w:val="000000" w:themeColor="text1"/>
              </w:rPr>
              <w:t>总线通讯，内置</w:t>
            </w:r>
            <w:r>
              <w:rPr>
                <w:rFonts w:hint="eastAsia" w:eastAsia="等线" w:cs="宋体"/>
                <w:color w:val="000000" w:themeColor="text1"/>
              </w:rPr>
              <w:t>2</w:t>
            </w:r>
            <w:r>
              <w:rPr>
                <w:rFonts w:hint="eastAsia" w:ascii="仿宋_GB2312" w:hAnsi="宋体" w:cs="宋体"/>
                <w:color w:val="000000" w:themeColor="text1"/>
              </w:rPr>
              <w:t>条</w:t>
            </w:r>
            <w:r>
              <w:rPr>
                <w:rFonts w:hint="eastAsia" w:eastAsia="等线" w:cs="宋体"/>
                <w:color w:val="000000" w:themeColor="text1"/>
              </w:rPr>
              <w:t>CAN</w:t>
            </w:r>
            <w:r>
              <w:rPr>
                <w:rFonts w:hint="eastAsia" w:ascii="仿宋_GB2312" w:hAnsi="宋体" w:cs="宋体"/>
                <w:color w:val="000000" w:themeColor="text1"/>
              </w:rPr>
              <w:t>，可带</w:t>
            </w:r>
            <w:r>
              <w:rPr>
                <w:rFonts w:hint="eastAsia" w:eastAsia="等线" w:cs="宋体"/>
                <w:color w:val="000000" w:themeColor="text1"/>
              </w:rPr>
              <w:t>20</w:t>
            </w:r>
            <w:r>
              <w:rPr>
                <w:rFonts w:hint="eastAsia" w:ascii="仿宋_GB2312" w:hAnsi="宋体" w:cs="宋体"/>
                <w:color w:val="000000" w:themeColor="text1"/>
              </w:rPr>
              <w:t>个模块系统；有</w:t>
            </w:r>
            <w:r>
              <w:rPr>
                <w:rFonts w:hint="eastAsia" w:eastAsia="等线" w:cs="宋体"/>
                <w:color w:val="000000" w:themeColor="text1"/>
              </w:rPr>
              <w:t>2</w:t>
            </w:r>
            <w:r>
              <w:rPr>
                <w:rFonts w:hint="eastAsia" w:ascii="仿宋_GB2312" w:hAnsi="宋体" w:cs="宋体"/>
                <w:color w:val="000000" w:themeColor="text1"/>
              </w:rPr>
              <w:t>个双向</w:t>
            </w:r>
            <w:r>
              <w:rPr>
                <w:rFonts w:hint="eastAsia" w:eastAsia="等线" w:cs="宋体"/>
                <w:color w:val="000000" w:themeColor="text1"/>
              </w:rPr>
              <w:t>RS-232</w:t>
            </w:r>
            <w:r>
              <w:rPr>
                <w:rFonts w:hint="eastAsia" w:ascii="仿宋_GB2312" w:hAnsi="宋体" w:cs="宋体"/>
                <w:color w:val="000000" w:themeColor="text1"/>
              </w:rPr>
              <w:t>串口，支持以太网信号传输。</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10</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4</w:t>
            </w:r>
            <w:r>
              <w:rPr>
                <w:rFonts w:hint="eastAsia" w:ascii="仿宋_GB2312" w:cs="宋体"/>
                <w:color w:val="000000" w:themeColor="text1"/>
              </w:rPr>
              <w:t>通道开关模块</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CAN-BUS</w:t>
            </w:r>
            <w:r>
              <w:rPr>
                <w:rFonts w:hint="eastAsia" w:ascii="仿宋_GB2312" w:cs="宋体"/>
                <w:color w:val="000000" w:themeColor="text1"/>
              </w:rPr>
              <w:t>通讯协议；控制</w:t>
            </w:r>
            <w:r>
              <w:rPr>
                <w:rFonts w:hint="eastAsia" w:eastAsia="等线" w:cs="宋体"/>
                <w:color w:val="000000" w:themeColor="text1"/>
              </w:rPr>
              <w:t>4</w:t>
            </w:r>
            <w:r>
              <w:rPr>
                <w:rFonts w:hint="eastAsia" w:ascii="仿宋_GB2312" w:cs="宋体"/>
                <w:color w:val="000000" w:themeColor="text1"/>
              </w:rPr>
              <w:t>路灯光的开关。每路负载</w:t>
            </w:r>
            <w:r>
              <w:rPr>
                <w:rFonts w:hint="eastAsia" w:eastAsia="等线" w:cs="宋体"/>
                <w:color w:val="000000" w:themeColor="text1"/>
              </w:rPr>
              <w:t>10A</w:t>
            </w:r>
            <w:r>
              <w:rPr>
                <w:rFonts w:hint="eastAsia" w:ascii="仿宋_GB2312" w:cs="宋体"/>
                <w:color w:val="000000" w:themeColor="text1"/>
              </w:rPr>
              <w:t>，同时可控制窗帘，升降屏开关。</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12</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11</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16</w:t>
            </w:r>
            <w:r>
              <w:rPr>
                <w:rFonts w:hint="eastAsia" w:ascii="仿宋_GB2312" w:cs="宋体"/>
                <w:color w:val="000000" w:themeColor="text1"/>
              </w:rPr>
              <w:t>路开关量输入模块</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16</w:t>
            </w:r>
            <w:r>
              <w:rPr>
                <w:rFonts w:hint="eastAsia" w:ascii="仿宋_GB2312" w:cs="宋体"/>
                <w:color w:val="000000" w:themeColor="text1"/>
              </w:rPr>
              <w:t>路干触点信号输入模块；可接第三方面板及人体感应器。</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12</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24</w:t>
            </w:r>
            <w:r>
              <w:rPr>
                <w:rFonts w:hint="eastAsia" w:ascii="仿宋_GB2312" w:cs="宋体"/>
                <w:color w:val="000000" w:themeColor="text1"/>
              </w:rPr>
              <w:t>路开关量输入模块</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24</w:t>
            </w:r>
            <w:r>
              <w:rPr>
                <w:rFonts w:hint="eastAsia" w:ascii="仿宋_GB2312" w:cs="宋体"/>
                <w:color w:val="000000" w:themeColor="text1"/>
              </w:rPr>
              <w:t>路干触点信号输入模块；可接第三方面板及人体感应器。</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13</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大功率调光模块</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四路前相调光模块，用于智能照明系统。</w:t>
            </w:r>
            <w:r>
              <w:rPr>
                <w:rFonts w:hint="eastAsia" w:eastAsia="等线" w:cs="宋体"/>
                <w:color w:val="000000" w:themeColor="text1"/>
              </w:rPr>
              <w:t>ELS07A04</w:t>
            </w:r>
            <w:r>
              <w:rPr>
                <w:rFonts w:hint="eastAsia" w:ascii="仿宋_GB2312" w:hAnsi="宋体" w:cs="宋体"/>
                <w:color w:val="000000" w:themeColor="text1"/>
              </w:rPr>
              <w:t>通过连接主控制器来实现对灯具的调光及开关控制，从而实现对光源的智能调光、场景设置和定时控制等功能。同时四路前相调光输出模块设有手动控制开关，以便必要时对灯具的亮度调节及开、关进行手动操作。</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14</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固态调压模块</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全兼容输入自动控制模式，也可用手动控制，输出电压从</w:t>
            </w:r>
            <w:r>
              <w:rPr>
                <w:rFonts w:hint="eastAsia" w:eastAsia="等线" w:cs="宋体"/>
                <w:color w:val="000000" w:themeColor="text1"/>
              </w:rPr>
              <w:t>0V</w:t>
            </w:r>
            <w:r>
              <w:rPr>
                <w:rFonts w:hint="eastAsia" w:ascii="仿宋_GB2312" w:hAnsi="宋体" w:cs="宋体"/>
                <w:color w:val="000000" w:themeColor="text1"/>
              </w:rPr>
              <w:t>到最大值线性可调</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15</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网络串口模块</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串口转以太网模块</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6</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个</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16</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232</w:t>
            </w:r>
            <w:r>
              <w:rPr>
                <w:rFonts w:hint="eastAsia" w:ascii="仿宋_GB2312" w:cs="宋体"/>
                <w:color w:val="000000" w:themeColor="text1"/>
              </w:rPr>
              <w:t>转</w:t>
            </w:r>
            <w:r>
              <w:rPr>
                <w:rFonts w:hint="eastAsia" w:eastAsia="等线" w:cs="宋体"/>
                <w:color w:val="000000" w:themeColor="text1"/>
              </w:rPr>
              <w:t>485</w:t>
            </w:r>
            <w:r>
              <w:rPr>
                <w:rFonts w:hint="eastAsia" w:ascii="仿宋_GB2312" w:cs="宋体"/>
                <w:color w:val="000000" w:themeColor="text1"/>
              </w:rPr>
              <w:t>模块</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232</w:t>
            </w:r>
            <w:r>
              <w:rPr>
                <w:rFonts w:hint="eastAsia" w:ascii="仿宋_GB2312" w:cs="宋体"/>
                <w:color w:val="000000" w:themeColor="text1"/>
              </w:rPr>
              <w:t>转</w:t>
            </w:r>
            <w:r>
              <w:rPr>
                <w:rFonts w:hint="eastAsia" w:eastAsia="等线" w:cs="宋体"/>
                <w:color w:val="000000" w:themeColor="text1"/>
              </w:rPr>
              <w:t>485</w:t>
            </w:r>
            <w:r>
              <w:rPr>
                <w:rFonts w:hint="eastAsia" w:ascii="仿宋_GB2312" w:cs="宋体"/>
                <w:color w:val="000000" w:themeColor="text1"/>
              </w:rPr>
              <w:t>模块</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8</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个</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17</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电源模块</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5V/10A</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6</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个</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18</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开关电源</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导轨式电源模块，</w:t>
            </w:r>
            <w:r>
              <w:rPr>
                <w:rFonts w:hint="eastAsia" w:eastAsia="等线" w:cs="宋体"/>
                <w:color w:val="000000" w:themeColor="text1"/>
              </w:rPr>
              <w:t>DC24V/45W</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19</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DDC</w:t>
            </w:r>
            <w:r>
              <w:rPr>
                <w:rFonts w:hint="eastAsia" w:ascii="仿宋_GB2312" w:cs="宋体"/>
                <w:color w:val="000000" w:themeColor="text1"/>
              </w:rPr>
              <w:t>机箱</w:t>
            </w:r>
            <w:r>
              <w:rPr>
                <w:rFonts w:hint="eastAsia" w:eastAsia="等线" w:cs="宋体"/>
                <w:color w:val="000000" w:themeColor="text1"/>
              </w:rPr>
              <w:t>(</w:t>
            </w:r>
            <w:r>
              <w:rPr>
                <w:rFonts w:hint="eastAsia" w:ascii="仿宋_GB2312" w:cs="宋体"/>
                <w:color w:val="000000" w:themeColor="text1"/>
              </w:rPr>
              <w:t>含内部接线辅材等</w:t>
            </w:r>
            <w:r>
              <w:rPr>
                <w:rFonts w:hint="eastAsia" w:eastAsia="等线" w:cs="宋体"/>
                <w:color w:val="000000" w:themeColor="text1"/>
              </w:rPr>
              <w:t>)</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大小为</w:t>
            </w:r>
            <w:r>
              <w:rPr>
                <w:rFonts w:hint="eastAsia" w:eastAsia="等线" w:cs="宋体"/>
                <w:color w:val="000000" w:themeColor="text1"/>
              </w:rPr>
              <w:t>600*800*200,</w:t>
            </w:r>
            <w:r>
              <w:rPr>
                <w:rFonts w:hint="eastAsia" w:ascii="仿宋_GB2312" w:hAnsi="宋体" w:cs="宋体"/>
                <w:color w:val="000000" w:themeColor="text1"/>
              </w:rPr>
              <w:t>内含变压器</w:t>
            </w:r>
            <w:r>
              <w:rPr>
                <w:rFonts w:hint="eastAsia" w:eastAsia="等线" w:cs="宋体"/>
                <w:color w:val="000000" w:themeColor="text1"/>
              </w:rPr>
              <w:t>,</w:t>
            </w:r>
            <w:r>
              <w:rPr>
                <w:rFonts w:hint="eastAsia" w:ascii="仿宋_GB2312" w:hAnsi="宋体" w:cs="宋体"/>
                <w:color w:val="000000" w:themeColor="text1"/>
              </w:rPr>
              <w:t>端子排</w:t>
            </w:r>
            <w:r>
              <w:rPr>
                <w:rFonts w:hint="eastAsia" w:eastAsia="等线" w:cs="宋体"/>
                <w:color w:val="000000" w:themeColor="text1"/>
              </w:rPr>
              <w:t>,</w:t>
            </w:r>
            <w:r>
              <w:rPr>
                <w:rFonts w:hint="eastAsia" w:ascii="仿宋_GB2312" w:hAnsi="宋体" w:cs="宋体"/>
                <w:color w:val="000000" w:themeColor="text1"/>
              </w:rPr>
              <w:t>内部接线</w:t>
            </w:r>
            <w:r>
              <w:rPr>
                <w:rFonts w:hint="eastAsia" w:eastAsia="等线" w:cs="宋体"/>
                <w:color w:val="000000" w:themeColor="text1"/>
              </w:rPr>
              <w:t>,</w:t>
            </w:r>
            <w:r>
              <w:rPr>
                <w:rFonts w:hint="eastAsia" w:ascii="仿宋_GB2312" w:hAnsi="宋体" w:cs="宋体"/>
                <w:color w:val="000000" w:themeColor="text1"/>
              </w:rPr>
              <w:t>成套箱</w:t>
            </w:r>
            <w:r>
              <w:rPr>
                <w:rFonts w:hint="eastAsia" w:eastAsia="等线" w:cs="宋体"/>
                <w:color w:val="000000" w:themeColor="text1"/>
              </w:rPr>
              <w:t>.</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20</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平板电脑</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应急指挥室大厅、视频会议室各</w:t>
            </w:r>
            <w:r>
              <w:rPr>
                <w:rFonts w:hint="eastAsia" w:eastAsia="等线" w:cs="宋体"/>
                <w:color w:val="000000" w:themeColor="text1"/>
              </w:rPr>
              <w:t>1</w:t>
            </w:r>
            <w:r>
              <w:rPr>
                <w:rFonts w:hint="eastAsia" w:ascii="仿宋_GB2312" w:hAnsi="宋体" w:cs="宋体"/>
                <w:color w:val="000000" w:themeColor="text1"/>
              </w:rPr>
              <w:t>套。</w:t>
            </w:r>
            <w:r>
              <w:rPr>
                <w:rFonts w:hint="eastAsia" w:eastAsia="等线" w:cs="宋体"/>
                <w:color w:val="000000" w:themeColor="text1"/>
              </w:rPr>
              <w:t>A8X</w:t>
            </w:r>
            <w:r>
              <w:rPr>
                <w:rFonts w:hint="eastAsia" w:ascii="仿宋_GB2312" w:hAnsi="宋体" w:cs="宋体"/>
                <w:color w:val="000000" w:themeColor="text1"/>
              </w:rPr>
              <w:t>芯片和</w:t>
            </w:r>
            <w:r>
              <w:rPr>
                <w:rFonts w:hint="eastAsia" w:eastAsia="等线" w:cs="宋体"/>
                <w:color w:val="000000" w:themeColor="text1"/>
              </w:rPr>
              <w:t>M8</w:t>
            </w:r>
            <w:r>
              <w:rPr>
                <w:rFonts w:hint="eastAsia" w:ascii="仿宋_GB2312" w:hAnsi="宋体" w:cs="宋体"/>
                <w:color w:val="000000" w:themeColor="text1"/>
              </w:rPr>
              <w:t>运动协处理器；屏幕不小于</w:t>
            </w:r>
            <w:r>
              <w:rPr>
                <w:rFonts w:hint="eastAsia" w:eastAsia="等线" w:cs="宋体"/>
                <w:color w:val="000000" w:themeColor="text1"/>
              </w:rPr>
              <w:t>9</w:t>
            </w:r>
            <w:r>
              <w:rPr>
                <w:rFonts w:hint="eastAsia" w:ascii="仿宋_GB2312" w:hAnsi="宋体" w:cs="宋体"/>
                <w:color w:val="000000" w:themeColor="text1"/>
              </w:rPr>
              <w:t>英寸，分辨率不小于</w:t>
            </w:r>
            <w:r>
              <w:rPr>
                <w:rFonts w:hint="eastAsia" w:eastAsia="等线" w:cs="宋体"/>
                <w:color w:val="000000" w:themeColor="text1"/>
              </w:rPr>
              <w:t>2048×1536</w:t>
            </w:r>
            <w:r>
              <w:rPr>
                <w:rFonts w:hint="eastAsia" w:ascii="仿宋_GB2312" w:hAnsi="宋体" w:cs="宋体"/>
                <w:color w:val="000000" w:themeColor="text1"/>
              </w:rPr>
              <w:t>；</w:t>
            </w:r>
            <w:r>
              <w:rPr>
                <w:rFonts w:hint="eastAsia" w:eastAsia="等线" w:cs="宋体"/>
                <w:color w:val="000000" w:themeColor="text1"/>
              </w:rPr>
              <w:t>RAM</w:t>
            </w:r>
            <w:r>
              <w:rPr>
                <w:rFonts w:hint="eastAsia" w:ascii="仿宋_GB2312" w:hAnsi="宋体" w:cs="宋体"/>
                <w:color w:val="000000" w:themeColor="text1"/>
              </w:rPr>
              <w:t>不小于</w:t>
            </w:r>
            <w:r>
              <w:rPr>
                <w:rFonts w:hint="eastAsia" w:eastAsia="等线" w:cs="宋体"/>
                <w:color w:val="000000" w:themeColor="text1"/>
              </w:rPr>
              <w:t>2G</w:t>
            </w:r>
            <w:r>
              <w:rPr>
                <w:rFonts w:hint="eastAsia" w:ascii="仿宋_GB2312" w:hAnsi="宋体" w:cs="宋体"/>
                <w:color w:val="000000" w:themeColor="text1"/>
              </w:rPr>
              <w:t>；</w:t>
            </w:r>
            <w:r>
              <w:rPr>
                <w:rFonts w:hint="eastAsia" w:eastAsia="等线" w:cs="宋体"/>
                <w:color w:val="000000" w:themeColor="text1"/>
              </w:rPr>
              <w:t>ROM</w:t>
            </w:r>
            <w:r>
              <w:rPr>
                <w:rFonts w:hint="eastAsia" w:ascii="仿宋_GB2312" w:hAnsi="宋体" w:cs="宋体"/>
                <w:color w:val="000000" w:themeColor="text1"/>
              </w:rPr>
              <w:t>不小于</w:t>
            </w:r>
            <w:r>
              <w:rPr>
                <w:rFonts w:hint="eastAsia" w:eastAsia="等线" w:cs="宋体"/>
                <w:color w:val="000000" w:themeColor="text1"/>
              </w:rPr>
              <w:t>32G</w:t>
            </w:r>
            <w:r>
              <w:rPr>
                <w:rFonts w:hint="eastAsia" w:ascii="仿宋_GB2312" w:hAnsi="宋体" w:cs="宋体"/>
                <w:color w:val="000000" w:themeColor="text1"/>
              </w:rPr>
              <w:t>；支持</w:t>
            </w:r>
            <w:r>
              <w:rPr>
                <w:rFonts w:hint="eastAsia" w:eastAsia="等线" w:cs="宋体"/>
                <w:color w:val="000000" w:themeColor="text1"/>
              </w:rPr>
              <w:t>WLAN</w:t>
            </w:r>
            <w:r>
              <w:rPr>
                <w:rFonts w:hint="eastAsia" w:ascii="仿宋_GB2312" w:hAnsi="宋体" w:cs="宋体"/>
                <w:color w:val="000000" w:themeColor="text1"/>
              </w:rPr>
              <w:t>；</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21</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APP</w:t>
            </w:r>
            <w:r>
              <w:rPr>
                <w:rFonts w:hint="eastAsia" w:ascii="仿宋_GB2312" w:cs="宋体"/>
                <w:color w:val="000000" w:themeColor="text1"/>
              </w:rPr>
              <w:t>授权</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中控软件授权</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22</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POE</w:t>
            </w:r>
            <w:r>
              <w:rPr>
                <w:rFonts w:hint="eastAsia" w:ascii="仿宋_GB2312" w:cs="宋体"/>
                <w:color w:val="000000" w:themeColor="text1"/>
              </w:rPr>
              <w:t>交换机</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24</w:t>
            </w:r>
            <w:r>
              <w:rPr>
                <w:rFonts w:hint="eastAsia" w:ascii="仿宋_GB2312" w:cs="宋体"/>
                <w:color w:val="000000" w:themeColor="text1"/>
              </w:rPr>
              <w:t>口千兆</w:t>
            </w:r>
            <w:r>
              <w:rPr>
                <w:rFonts w:hint="eastAsia" w:eastAsia="等线" w:cs="宋体"/>
                <w:color w:val="000000" w:themeColor="text1"/>
              </w:rPr>
              <w:t>POE</w:t>
            </w:r>
            <w:r>
              <w:rPr>
                <w:rFonts w:hint="eastAsia" w:ascii="仿宋_GB2312" w:cs="宋体"/>
                <w:color w:val="000000" w:themeColor="text1"/>
              </w:rPr>
              <w:t>交换机，支持多台交换机级连</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23</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无线</w:t>
            </w:r>
            <w:r>
              <w:rPr>
                <w:rFonts w:hint="eastAsia" w:eastAsia="等线" w:cs="宋体"/>
                <w:color w:val="000000" w:themeColor="text1"/>
              </w:rPr>
              <w:t>AP</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300M</w:t>
            </w:r>
            <w:r>
              <w:rPr>
                <w:rFonts w:hint="eastAsia" w:ascii="仿宋_GB2312" w:cs="宋体"/>
                <w:color w:val="000000" w:themeColor="text1"/>
              </w:rPr>
              <w:t>单频胖瘦一体无线接入点</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3</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24</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中控系统综合布线</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六类线、电源线、</w:t>
            </w:r>
            <w:r>
              <w:rPr>
                <w:rFonts w:hint="eastAsia" w:eastAsia="等线" w:cs="宋体"/>
                <w:color w:val="000000" w:themeColor="text1"/>
              </w:rPr>
              <w:t>KBG</w:t>
            </w:r>
            <w:r>
              <w:rPr>
                <w:rFonts w:hint="eastAsia" w:ascii="仿宋_GB2312" w:hAnsi="宋体" w:cs="宋体"/>
                <w:color w:val="000000" w:themeColor="text1"/>
              </w:rPr>
              <w:t>管等</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PrEx>
        <w:tc>
          <w:tcPr>
            <w:tcW w:w="8426" w:type="dxa"/>
            <w:gridSpan w:val="6"/>
            <w:tcBorders>
              <w:top w:val="single" w:color="auto" w:sz="8" w:space="0"/>
              <w:left w:val="single" w:color="auto" w:sz="8" w:space="0"/>
              <w:bottom w:val="single" w:color="auto" w:sz="8" w:space="0"/>
              <w:right w:val="nil"/>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五、计算机网络系统</w:t>
            </w:r>
          </w:p>
        </w:tc>
      </w:tr>
      <w:tr>
        <w:tblPrEx>
          <w:tblLayout w:type="fixed"/>
          <w:tblCellMar>
            <w:top w:w="0" w:type="dxa"/>
            <w:left w:w="108" w:type="dxa"/>
            <w:bottom w:w="0" w:type="dxa"/>
            <w:right w:w="108" w:type="dxa"/>
          </w:tblCellMar>
        </w:tblPrEx>
        <w:tc>
          <w:tcPr>
            <w:tcW w:w="469"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1176"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应急指挥室</w:t>
            </w:r>
          </w:p>
        </w:tc>
        <w:tc>
          <w:tcPr>
            <w:tcW w:w="1180"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网络核心交换机</w:t>
            </w: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交换容量≥</w:t>
            </w:r>
            <w:r>
              <w:rPr>
                <w:rFonts w:hint="eastAsia" w:eastAsia="等线" w:cs="宋体"/>
                <w:color w:val="000000" w:themeColor="text1"/>
              </w:rPr>
              <w:t>19.2Tbps</w:t>
            </w:r>
            <w:r>
              <w:rPr>
                <w:rFonts w:hint="eastAsia" w:ascii="仿宋_GB2312" w:hAnsi="宋体" w:cs="宋体"/>
                <w:color w:val="000000" w:themeColor="text1"/>
              </w:rPr>
              <w:t>（以官网参数斜线前数值为准）（提供官网截图）</w:t>
            </w:r>
          </w:p>
        </w:tc>
        <w:tc>
          <w:tcPr>
            <w:tcW w:w="775"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vMerge w:val="restart"/>
            <w:tcBorders>
              <w:top w:val="nil"/>
              <w:left w:val="single" w:color="auto" w:sz="8" w:space="0"/>
              <w:bottom w:val="single" w:color="000000"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包转发率≥</w:t>
            </w:r>
            <w:r>
              <w:rPr>
                <w:rFonts w:hint="eastAsia" w:eastAsia="等线" w:cs="宋体"/>
                <w:color w:val="000000" w:themeColor="text1"/>
              </w:rPr>
              <w:t>2880Mpps</w:t>
            </w:r>
            <w:r>
              <w:rPr>
                <w:rFonts w:hint="eastAsia" w:ascii="仿宋_GB2312" w:hAnsi="宋体" w:cs="宋体"/>
                <w:color w:val="000000" w:themeColor="text1"/>
              </w:rPr>
              <w:t>（以官网参数斜线前数值为准）（提供官网截图）</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业务槽位数≥</w:t>
            </w:r>
            <w:r>
              <w:rPr>
                <w:rFonts w:hint="eastAsia" w:eastAsia="等线" w:cs="宋体"/>
                <w:color w:val="000000" w:themeColor="text1"/>
              </w:rPr>
              <w:t>6</w:t>
            </w:r>
            <w:r>
              <w:rPr>
                <w:rFonts w:hint="eastAsia" w:ascii="仿宋_GB2312" w:hAnsi="宋体" w:cs="宋体"/>
                <w:color w:val="000000" w:themeColor="text1"/>
              </w:rPr>
              <w:t>；</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可支持接口类型：</w:t>
            </w:r>
            <w:r>
              <w:rPr>
                <w:rFonts w:hint="eastAsia" w:eastAsia="等线" w:cs="宋体"/>
                <w:color w:val="000000" w:themeColor="text1"/>
              </w:rPr>
              <w:t>GE</w:t>
            </w:r>
            <w:r>
              <w:rPr>
                <w:rFonts w:hint="eastAsia" w:ascii="仿宋_GB2312" w:hAnsi="宋体" w:cs="宋体"/>
                <w:color w:val="000000" w:themeColor="text1"/>
              </w:rPr>
              <w:t>（光</w:t>
            </w:r>
            <w:r>
              <w:rPr>
                <w:rFonts w:hint="eastAsia" w:eastAsia="等线" w:cs="宋体"/>
                <w:color w:val="000000" w:themeColor="text1"/>
              </w:rPr>
              <w:t>/</w:t>
            </w:r>
            <w:r>
              <w:rPr>
                <w:rFonts w:hint="eastAsia" w:ascii="仿宋_GB2312" w:hAnsi="宋体" w:cs="宋体"/>
                <w:color w:val="000000" w:themeColor="text1"/>
              </w:rPr>
              <w:t>电）、</w:t>
            </w:r>
            <w:r>
              <w:rPr>
                <w:rFonts w:hint="eastAsia" w:eastAsia="等线" w:cs="宋体"/>
                <w:color w:val="000000" w:themeColor="text1"/>
              </w:rPr>
              <w:t>10GE</w:t>
            </w:r>
            <w:r>
              <w:rPr>
                <w:rFonts w:hint="eastAsia" w:ascii="仿宋_GB2312" w:hAnsi="宋体" w:cs="宋体"/>
                <w:color w:val="000000" w:themeColor="text1"/>
              </w:rPr>
              <w:t>（光）；</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端口配置：</w:t>
            </w:r>
            <w:r>
              <w:rPr>
                <w:rFonts w:hint="eastAsia" w:eastAsia="等线" w:cs="宋体"/>
                <w:color w:val="000000" w:themeColor="text1"/>
              </w:rPr>
              <w:t>10GE</w:t>
            </w:r>
            <w:r>
              <w:rPr>
                <w:rFonts w:hint="eastAsia" w:ascii="仿宋_GB2312" w:hAnsi="宋体" w:cs="宋体"/>
                <w:color w:val="000000" w:themeColor="text1"/>
              </w:rPr>
              <w:t>光口</w:t>
            </w:r>
            <w:r>
              <w:rPr>
                <w:rFonts w:hint="eastAsia" w:eastAsia="等线" w:cs="宋体"/>
                <w:color w:val="000000" w:themeColor="text1"/>
              </w:rPr>
              <w:t>24</w:t>
            </w:r>
            <w:r>
              <w:rPr>
                <w:rFonts w:hint="eastAsia" w:ascii="仿宋_GB2312" w:hAnsi="宋体" w:cs="宋体"/>
                <w:color w:val="000000" w:themeColor="text1"/>
              </w:rPr>
              <w:t>个（满配原厂</w:t>
            </w:r>
            <w:r>
              <w:rPr>
                <w:rFonts w:hint="eastAsia" w:eastAsia="等线" w:cs="宋体"/>
                <w:color w:val="000000" w:themeColor="text1"/>
              </w:rPr>
              <w:t>10KM</w:t>
            </w:r>
            <w:r>
              <w:rPr>
                <w:rFonts w:hint="eastAsia" w:ascii="仿宋_GB2312" w:hAnsi="宋体" w:cs="宋体"/>
                <w:color w:val="000000" w:themeColor="text1"/>
              </w:rPr>
              <w:t>光模块），</w:t>
            </w:r>
            <w:r>
              <w:rPr>
                <w:rFonts w:hint="eastAsia" w:eastAsia="等线" w:cs="宋体"/>
                <w:color w:val="000000" w:themeColor="text1"/>
              </w:rPr>
              <w:t>GE</w:t>
            </w:r>
            <w:r>
              <w:rPr>
                <w:rFonts w:hint="eastAsia" w:ascii="仿宋_GB2312" w:hAnsi="宋体" w:cs="宋体"/>
                <w:color w:val="000000" w:themeColor="text1"/>
              </w:rPr>
              <w:t>光口</w:t>
            </w:r>
            <w:r>
              <w:rPr>
                <w:rFonts w:hint="eastAsia" w:eastAsia="等线" w:cs="宋体"/>
                <w:color w:val="000000" w:themeColor="text1"/>
              </w:rPr>
              <w:t>24</w:t>
            </w:r>
            <w:r>
              <w:rPr>
                <w:rFonts w:hint="eastAsia" w:ascii="仿宋_GB2312" w:hAnsi="宋体" w:cs="宋体"/>
                <w:color w:val="000000" w:themeColor="text1"/>
              </w:rPr>
              <w:t>个（满配原厂</w:t>
            </w:r>
            <w:r>
              <w:rPr>
                <w:rFonts w:hint="eastAsia" w:eastAsia="等线" w:cs="宋体"/>
                <w:color w:val="000000" w:themeColor="text1"/>
              </w:rPr>
              <w:t>10KM</w:t>
            </w:r>
            <w:r>
              <w:rPr>
                <w:rFonts w:hint="eastAsia" w:ascii="仿宋_GB2312" w:hAnsi="宋体" w:cs="宋体"/>
                <w:color w:val="000000" w:themeColor="text1"/>
              </w:rPr>
              <w:t>光模块）</w:t>
            </w:r>
            <w:r>
              <w:rPr>
                <w:rFonts w:hint="eastAsia" w:eastAsia="等线" w:cs="宋体"/>
                <w:color w:val="000000" w:themeColor="text1"/>
              </w:rPr>
              <w:t>,GE</w:t>
            </w:r>
            <w:r>
              <w:rPr>
                <w:rFonts w:hint="eastAsia" w:ascii="仿宋_GB2312" w:hAnsi="宋体" w:cs="宋体"/>
                <w:color w:val="000000" w:themeColor="text1"/>
              </w:rPr>
              <w:t>电口</w:t>
            </w:r>
            <w:r>
              <w:rPr>
                <w:rFonts w:hint="eastAsia" w:eastAsia="等线" w:cs="宋体"/>
                <w:color w:val="000000" w:themeColor="text1"/>
              </w:rPr>
              <w:t>96</w:t>
            </w:r>
            <w:r>
              <w:rPr>
                <w:rFonts w:hint="eastAsia" w:ascii="仿宋_GB2312" w:hAnsi="宋体" w:cs="宋体"/>
                <w:color w:val="000000" w:themeColor="text1"/>
              </w:rPr>
              <w:t>个</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路由特性：交换机要求支持静态路由、</w:t>
            </w:r>
            <w:r>
              <w:rPr>
                <w:rFonts w:hint="eastAsia" w:eastAsia="等线" w:cs="宋体"/>
                <w:color w:val="000000" w:themeColor="text1"/>
              </w:rPr>
              <w:t>RIP</w:t>
            </w:r>
            <w:r>
              <w:rPr>
                <w:rFonts w:hint="eastAsia" w:ascii="仿宋_GB2312" w:hAnsi="宋体" w:cs="宋体"/>
                <w:color w:val="000000" w:themeColor="text1"/>
              </w:rPr>
              <w:t>、</w:t>
            </w:r>
            <w:r>
              <w:rPr>
                <w:rFonts w:hint="eastAsia" w:eastAsia="等线" w:cs="宋体"/>
                <w:color w:val="000000" w:themeColor="text1"/>
              </w:rPr>
              <w:t>OSPF</w:t>
            </w:r>
            <w:r>
              <w:rPr>
                <w:rFonts w:hint="eastAsia" w:ascii="仿宋_GB2312" w:hAnsi="宋体" w:cs="宋体"/>
                <w:color w:val="000000" w:themeColor="text1"/>
              </w:rPr>
              <w:t>、</w:t>
            </w:r>
            <w:r>
              <w:rPr>
                <w:rFonts w:hint="eastAsia" w:eastAsia="等线" w:cs="宋体"/>
                <w:color w:val="000000" w:themeColor="text1"/>
              </w:rPr>
              <w:t>IS-IS</w:t>
            </w:r>
            <w:r>
              <w:rPr>
                <w:rFonts w:hint="eastAsia" w:ascii="仿宋_GB2312" w:hAnsi="宋体" w:cs="宋体"/>
                <w:color w:val="000000" w:themeColor="text1"/>
              </w:rPr>
              <w:t>、</w:t>
            </w:r>
            <w:r>
              <w:rPr>
                <w:rFonts w:hint="eastAsia" w:eastAsia="等线" w:cs="宋体"/>
                <w:color w:val="000000" w:themeColor="text1"/>
              </w:rPr>
              <w:t>BGP4</w:t>
            </w:r>
            <w:r>
              <w:rPr>
                <w:rFonts w:hint="eastAsia" w:ascii="仿宋_GB2312" w:hAnsi="宋体" w:cs="宋体"/>
                <w:color w:val="000000" w:themeColor="text1"/>
              </w:rPr>
              <w:t>等路由协议；</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支持</w:t>
            </w:r>
            <w:r>
              <w:rPr>
                <w:rFonts w:hint="eastAsia" w:eastAsia="等线" w:cs="宋体"/>
                <w:color w:val="000000" w:themeColor="text1"/>
              </w:rPr>
              <w:t>IPv4/IPv6</w:t>
            </w:r>
            <w:r>
              <w:rPr>
                <w:rFonts w:hint="eastAsia" w:ascii="仿宋_GB2312" w:hAnsi="宋体" w:cs="宋体"/>
                <w:color w:val="000000" w:themeColor="text1"/>
              </w:rPr>
              <w:t>；支持组播；支持</w:t>
            </w:r>
            <w:r>
              <w:rPr>
                <w:rFonts w:hint="eastAsia" w:eastAsia="等线" w:cs="宋体"/>
                <w:color w:val="000000" w:themeColor="text1"/>
              </w:rPr>
              <w:t>OPENFLOW 1.3</w:t>
            </w:r>
            <w:r>
              <w:rPr>
                <w:rFonts w:hint="eastAsia" w:ascii="仿宋_GB2312" w:hAnsi="宋体" w:cs="宋体"/>
                <w:color w:val="000000" w:themeColor="text1"/>
              </w:rPr>
              <w:t>标准；支持</w:t>
            </w:r>
            <w:r>
              <w:rPr>
                <w:rFonts w:hint="eastAsia" w:eastAsia="等线" w:cs="宋体"/>
                <w:color w:val="000000" w:themeColor="text1"/>
              </w:rPr>
              <w:t>L3 MPLS VPN</w:t>
            </w:r>
            <w:r>
              <w:rPr>
                <w:rFonts w:hint="eastAsia" w:ascii="仿宋_GB2312" w:hAnsi="宋体" w:cs="宋体"/>
                <w:color w:val="000000" w:themeColor="text1"/>
              </w:rPr>
              <w:t>；支持</w:t>
            </w:r>
            <w:r>
              <w:rPr>
                <w:rFonts w:hint="eastAsia" w:eastAsia="等线" w:cs="宋体"/>
                <w:color w:val="000000" w:themeColor="text1"/>
              </w:rPr>
              <w:t>L2 VPN: VLL (Martini, Kompella)</w:t>
            </w:r>
            <w:r>
              <w:rPr>
                <w:rFonts w:hint="eastAsia" w:ascii="仿宋_GB2312" w:hAnsi="宋体" w:cs="宋体"/>
                <w:color w:val="000000" w:themeColor="text1"/>
              </w:rPr>
              <w:t>；支持</w:t>
            </w:r>
            <w:r>
              <w:rPr>
                <w:rFonts w:hint="eastAsia" w:eastAsia="等线" w:cs="宋体"/>
                <w:color w:val="000000" w:themeColor="text1"/>
              </w:rPr>
              <w:t>FTP</w:t>
            </w:r>
            <w:r>
              <w:rPr>
                <w:rFonts w:hint="eastAsia" w:ascii="仿宋_GB2312" w:hAnsi="宋体" w:cs="宋体"/>
                <w:color w:val="000000" w:themeColor="text1"/>
              </w:rPr>
              <w:t>、</w:t>
            </w:r>
            <w:r>
              <w:rPr>
                <w:rFonts w:hint="eastAsia" w:eastAsia="等线" w:cs="宋体"/>
                <w:color w:val="000000" w:themeColor="text1"/>
              </w:rPr>
              <w:t>TFTP</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支持</w:t>
            </w:r>
            <w:r>
              <w:rPr>
                <w:rFonts w:hint="eastAsia" w:eastAsia="等线" w:cs="宋体"/>
                <w:color w:val="000000" w:themeColor="text1"/>
              </w:rPr>
              <w:t>SNMP v1/v2/v3</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互联网接入交换机</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24</w:t>
            </w:r>
            <w:r>
              <w:rPr>
                <w:rFonts w:hint="eastAsia" w:ascii="仿宋_GB2312" w:cs="宋体"/>
                <w:color w:val="000000" w:themeColor="text1"/>
              </w:rPr>
              <w:t>口千兆二层网管交换机，整机交换容量</w:t>
            </w:r>
            <w:r>
              <w:rPr>
                <w:rFonts w:hint="eastAsia" w:eastAsia="等线" w:cs="宋体"/>
                <w:color w:val="000000" w:themeColor="text1"/>
              </w:rPr>
              <w:t>≥240Gbps</w:t>
            </w:r>
            <w:r>
              <w:rPr>
                <w:rFonts w:hint="eastAsia" w:ascii="仿宋_GB2312" w:cs="宋体"/>
                <w:color w:val="000000" w:themeColor="text1"/>
              </w:rPr>
              <w:t>，支持</w:t>
            </w:r>
            <w:r>
              <w:rPr>
                <w:rFonts w:hint="eastAsia" w:eastAsia="等线" w:cs="宋体"/>
                <w:color w:val="000000" w:themeColor="text1"/>
              </w:rPr>
              <w:t>24</w:t>
            </w:r>
            <w:r>
              <w:rPr>
                <w:rFonts w:hint="eastAsia" w:ascii="仿宋_GB2312" w:cs="宋体"/>
                <w:color w:val="000000" w:themeColor="text1"/>
              </w:rPr>
              <w:t>个</w:t>
            </w:r>
            <w:r>
              <w:rPr>
                <w:rFonts w:hint="eastAsia" w:eastAsia="等线" w:cs="宋体"/>
                <w:color w:val="000000" w:themeColor="text1"/>
              </w:rPr>
              <w:t>10/100/1000BASE-T</w:t>
            </w:r>
            <w:r>
              <w:rPr>
                <w:rFonts w:hint="eastAsia" w:ascii="仿宋_GB2312" w:cs="宋体"/>
                <w:color w:val="000000" w:themeColor="text1"/>
              </w:rPr>
              <w:t>端口</w:t>
            </w:r>
            <w:r>
              <w:rPr>
                <w:rFonts w:hint="eastAsia" w:eastAsia="等线" w:cs="宋体"/>
                <w:color w:val="000000" w:themeColor="text1"/>
              </w:rPr>
              <w:t>,</w:t>
            </w:r>
            <w:r>
              <w:rPr>
                <w:rFonts w:hint="eastAsia" w:ascii="仿宋_GB2312" w:cs="宋体"/>
                <w:color w:val="000000" w:themeColor="text1"/>
              </w:rPr>
              <w:t>支持</w:t>
            </w:r>
            <w:r>
              <w:rPr>
                <w:rFonts w:hint="eastAsia" w:eastAsia="等线" w:cs="宋体"/>
                <w:color w:val="000000" w:themeColor="text1"/>
              </w:rPr>
              <w:t>4</w:t>
            </w:r>
            <w:r>
              <w:rPr>
                <w:rFonts w:hint="eastAsia" w:ascii="仿宋_GB2312" w:cs="宋体"/>
                <w:color w:val="000000" w:themeColor="text1"/>
              </w:rPr>
              <w:t>个</w:t>
            </w:r>
            <w:r>
              <w:rPr>
                <w:rFonts w:hint="eastAsia" w:eastAsia="等线" w:cs="宋体"/>
                <w:color w:val="000000" w:themeColor="text1"/>
              </w:rPr>
              <w:t>1000BASE-X SFP</w:t>
            </w:r>
            <w:r>
              <w:rPr>
                <w:rFonts w:hint="eastAsia" w:ascii="仿宋_GB2312" w:cs="宋体"/>
                <w:color w:val="000000" w:themeColor="text1"/>
              </w:rPr>
              <w:t>端口，单电源</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3</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指挥调度网接入交换机</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48</w:t>
            </w:r>
            <w:r>
              <w:rPr>
                <w:rFonts w:hint="eastAsia" w:ascii="仿宋_GB2312" w:cs="宋体"/>
                <w:color w:val="000000" w:themeColor="text1"/>
              </w:rPr>
              <w:t>口千兆二层网管交换机，整机交换容量</w:t>
            </w:r>
            <w:r>
              <w:rPr>
                <w:rFonts w:hint="eastAsia" w:eastAsia="等线" w:cs="宋体"/>
                <w:color w:val="000000" w:themeColor="text1"/>
              </w:rPr>
              <w:t>≥240Gbps</w:t>
            </w:r>
            <w:r>
              <w:rPr>
                <w:rFonts w:hint="eastAsia" w:ascii="仿宋_GB2312" w:cs="宋体"/>
                <w:color w:val="000000" w:themeColor="text1"/>
              </w:rPr>
              <w:t>，支持</w:t>
            </w:r>
            <w:r>
              <w:rPr>
                <w:rFonts w:hint="eastAsia" w:eastAsia="等线" w:cs="宋体"/>
                <w:color w:val="000000" w:themeColor="text1"/>
              </w:rPr>
              <w:t>48</w:t>
            </w:r>
            <w:r>
              <w:rPr>
                <w:rFonts w:hint="eastAsia" w:ascii="仿宋_GB2312" w:cs="宋体"/>
                <w:color w:val="000000" w:themeColor="text1"/>
              </w:rPr>
              <w:t>个</w:t>
            </w:r>
            <w:r>
              <w:rPr>
                <w:rFonts w:hint="eastAsia" w:eastAsia="等线" w:cs="宋体"/>
                <w:color w:val="000000" w:themeColor="text1"/>
              </w:rPr>
              <w:t>10/100/1000BASE-T</w:t>
            </w:r>
            <w:r>
              <w:rPr>
                <w:rFonts w:hint="eastAsia" w:ascii="仿宋_GB2312" w:cs="宋体"/>
                <w:color w:val="000000" w:themeColor="text1"/>
              </w:rPr>
              <w:t>端口</w:t>
            </w:r>
            <w:r>
              <w:rPr>
                <w:rFonts w:hint="eastAsia" w:eastAsia="等线" w:cs="宋体"/>
                <w:color w:val="000000" w:themeColor="text1"/>
              </w:rPr>
              <w:t>,</w:t>
            </w:r>
            <w:r>
              <w:rPr>
                <w:rFonts w:hint="eastAsia" w:ascii="仿宋_GB2312" w:cs="宋体"/>
                <w:color w:val="000000" w:themeColor="text1"/>
              </w:rPr>
              <w:t>支持</w:t>
            </w:r>
            <w:r>
              <w:rPr>
                <w:rFonts w:hint="eastAsia" w:eastAsia="等线" w:cs="宋体"/>
                <w:color w:val="000000" w:themeColor="text1"/>
              </w:rPr>
              <w:t>4</w:t>
            </w:r>
            <w:r>
              <w:rPr>
                <w:rFonts w:hint="eastAsia" w:ascii="仿宋_GB2312" w:cs="宋体"/>
                <w:color w:val="000000" w:themeColor="text1"/>
              </w:rPr>
              <w:t>个</w:t>
            </w:r>
            <w:r>
              <w:rPr>
                <w:rFonts w:hint="eastAsia" w:eastAsia="等线" w:cs="宋体"/>
                <w:color w:val="000000" w:themeColor="text1"/>
              </w:rPr>
              <w:t>1000BASE-X SFP</w:t>
            </w:r>
            <w:r>
              <w:rPr>
                <w:rFonts w:hint="eastAsia" w:ascii="仿宋_GB2312" w:cs="宋体"/>
                <w:color w:val="000000" w:themeColor="text1"/>
              </w:rPr>
              <w:t>端口，单电源</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4</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设备网交换机</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24</w:t>
            </w:r>
            <w:r>
              <w:rPr>
                <w:rFonts w:hint="eastAsia" w:ascii="仿宋_GB2312" w:cs="宋体"/>
                <w:color w:val="000000" w:themeColor="text1"/>
              </w:rPr>
              <w:t>口千兆二层网管交换机，整机交换容量</w:t>
            </w:r>
            <w:r>
              <w:rPr>
                <w:rFonts w:hint="eastAsia" w:eastAsia="等线" w:cs="宋体"/>
                <w:color w:val="000000" w:themeColor="text1"/>
              </w:rPr>
              <w:t>≥240Gbps</w:t>
            </w:r>
            <w:r>
              <w:rPr>
                <w:rFonts w:hint="eastAsia" w:ascii="仿宋_GB2312" w:cs="宋体"/>
                <w:color w:val="000000" w:themeColor="text1"/>
              </w:rPr>
              <w:t>，支持</w:t>
            </w:r>
            <w:r>
              <w:rPr>
                <w:rFonts w:hint="eastAsia" w:eastAsia="等线" w:cs="宋体"/>
                <w:color w:val="000000" w:themeColor="text1"/>
              </w:rPr>
              <w:t>24</w:t>
            </w:r>
            <w:r>
              <w:rPr>
                <w:rFonts w:hint="eastAsia" w:ascii="仿宋_GB2312" w:cs="宋体"/>
                <w:color w:val="000000" w:themeColor="text1"/>
              </w:rPr>
              <w:t>个</w:t>
            </w:r>
            <w:r>
              <w:rPr>
                <w:rFonts w:hint="eastAsia" w:eastAsia="等线" w:cs="宋体"/>
                <w:color w:val="000000" w:themeColor="text1"/>
              </w:rPr>
              <w:t>10/100/1000BASE-T</w:t>
            </w:r>
            <w:r>
              <w:rPr>
                <w:rFonts w:hint="eastAsia" w:ascii="仿宋_GB2312" w:cs="宋体"/>
                <w:color w:val="000000" w:themeColor="text1"/>
              </w:rPr>
              <w:t>端口</w:t>
            </w:r>
            <w:r>
              <w:rPr>
                <w:rFonts w:hint="eastAsia" w:eastAsia="等线" w:cs="宋体"/>
                <w:color w:val="000000" w:themeColor="text1"/>
              </w:rPr>
              <w:t>,</w:t>
            </w:r>
            <w:r>
              <w:rPr>
                <w:rFonts w:hint="eastAsia" w:ascii="仿宋_GB2312" w:cs="宋体"/>
                <w:color w:val="000000" w:themeColor="text1"/>
              </w:rPr>
              <w:t>支持</w:t>
            </w:r>
            <w:r>
              <w:rPr>
                <w:rFonts w:hint="eastAsia" w:eastAsia="等线" w:cs="宋体"/>
                <w:color w:val="000000" w:themeColor="text1"/>
              </w:rPr>
              <w:t>4</w:t>
            </w:r>
            <w:r>
              <w:rPr>
                <w:rFonts w:hint="eastAsia" w:ascii="仿宋_GB2312" w:cs="宋体"/>
                <w:color w:val="000000" w:themeColor="text1"/>
              </w:rPr>
              <w:t>个</w:t>
            </w:r>
            <w:r>
              <w:rPr>
                <w:rFonts w:hint="eastAsia" w:eastAsia="等线" w:cs="宋体"/>
                <w:color w:val="000000" w:themeColor="text1"/>
              </w:rPr>
              <w:t>1000BASE-X SFP</w:t>
            </w:r>
            <w:r>
              <w:rPr>
                <w:rFonts w:hint="eastAsia" w:ascii="仿宋_GB2312" w:cs="宋体"/>
                <w:color w:val="000000" w:themeColor="text1"/>
              </w:rPr>
              <w:t>端口，单电源</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5</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光模块</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千兆多模</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8</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个</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6</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软光纤</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各种规格</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8</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条</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7</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noWrap/>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专网链路租赁</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指挥中心到公安视频专网链路租赁，万兆，</w:t>
            </w:r>
            <w:r>
              <w:rPr>
                <w:rFonts w:hint="eastAsia" w:eastAsia="等线" w:cs="宋体"/>
                <w:color w:val="000000" w:themeColor="text1"/>
              </w:rPr>
              <w:t>5</w:t>
            </w:r>
            <w:r>
              <w:rPr>
                <w:rFonts w:hint="eastAsia" w:ascii="仿宋_GB2312" w:hAnsi="宋体" w:cs="宋体"/>
                <w:color w:val="000000" w:themeColor="text1"/>
              </w:rPr>
              <w:t>年</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条</w:t>
            </w:r>
          </w:p>
        </w:tc>
      </w:tr>
      <w:tr>
        <w:tblPrEx>
          <w:tblLayout w:type="fixed"/>
          <w:tblCellMar>
            <w:top w:w="0" w:type="dxa"/>
            <w:left w:w="108" w:type="dxa"/>
            <w:bottom w:w="0" w:type="dxa"/>
            <w:right w:w="108" w:type="dxa"/>
          </w:tblCellMar>
        </w:tblPrEx>
        <w:tc>
          <w:tcPr>
            <w:tcW w:w="8426" w:type="dxa"/>
            <w:gridSpan w:val="6"/>
            <w:tcBorders>
              <w:top w:val="single" w:color="auto" w:sz="8" w:space="0"/>
              <w:left w:val="single" w:color="auto" w:sz="8" w:space="0"/>
              <w:bottom w:val="single" w:color="auto" w:sz="8" w:space="0"/>
              <w:right w:val="nil"/>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六、综合布线系统</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1176"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应急指挥室综合布线</w:t>
            </w: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86</w:t>
            </w:r>
            <w:r>
              <w:rPr>
                <w:rFonts w:hint="eastAsia" w:ascii="仿宋_GB2312" w:cs="宋体"/>
                <w:color w:val="000000" w:themeColor="text1"/>
              </w:rPr>
              <w:t>型</w:t>
            </w:r>
            <w:r>
              <w:rPr>
                <w:rFonts w:hint="eastAsia" w:eastAsia="等线" w:cs="宋体"/>
                <w:color w:val="000000" w:themeColor="text1"/>
              </w:rPr>
              <w:t>RJ45</w:t>
            </w:r>
            <w:r>
              <w:rPr>
                <w:rFonts w:hint="eastAsia" w:ascii="仿宋_GB2312" w:cs="宋体"/>
                <w:color w:val="000000" w:themeColor="text1"/>
              </w:rPr>
              <w:t>双口面板白色</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双口与</w:t>
            </w:r>
            <w:r>
              <w:rPr>
                <w:rFonts w:hint="eastAsia" w:eastAsia="等线" w:cs="宋体"/>
                <w:color w:val="000000" w:themeColor="text1"/>
              </w:rPr>
              <w:t>86</w:t>
            </w:r>
            <w:r>
              <w:rPr>
                <w:rFonts w:hint="eastAsia" w:ascii="仿宋_GB2312" w:hAnsi="宋体" w:cs="宋体"/>
                <w:color w:val="000000" w:themeColor="text1"/>
              </w:rPr>
              <w:t>型底盒配套使用。组合式结构，前后双层面板设计，外形美观，避免固定螺丝孔外露。带有防尘盖，防止灰尘侵入接口。带有标识条或应用标识。面板尺寸：</w:t>
            </w:r>
            <w:r>
              <w:rPr>
                <w:rFonts w:hint="eastAsia" w:eastAsia="等线" w:cs="宋体"/>
                <w:color w:val="000000" w:themeColor="text1"/>
              </w:rPr>
              <w:t>86×86</w:t>
            </w:r>
            <w:r>
              <w:rPr>
                <w:rFonts w:hint="eastAsia" w:ascii="仿宋_GB2312" w:hAnsi="宋体" w:cs="宋体"/>
                <w:color w:val="000000" w:themeColor="text1"/>
              </w:rPr>
              <w:t>。材料：</w:t>
            </w:r>
            <w:r>
              <w:rPr>
                <w:rFonts w:hint="eastAsia" w:eastAsia="等线" w:cs="宋体"/>
                <w:color w:val="000000" w:themeColor="text1"/>
              </w:rPr>
              <w:t>PC</w:t>
            </w:r>
            <w:r>
              <w:rPr>
                <w:rFonts w:hint="eastAsia" w:ascii="仿宋_GB2312" w:hAnsi="宋体" w:cs="宋体"/>
                <w:color w:val="000000" w:themeColor="text1"/>
              </w:rPr>
              <w:t>或</w:t>
            </w:r>
            <w:r>
              <w:rPr>
                <w:rFonts w:hint="eastAsia" w:eastAsia="等线" w:cs="宋体"/>
                <w:color w:val="000000" w:themeColor="text1"/>
              </w:rPr>
              <w:t>ABS</w:t>
            </w:r>
            <w:r>
              <w:rPr>
                <w:rFonts w:hint="eastAsia" w:ascii="仿宋_GB2312" w:hAnsi="宋体" w:cs="宋体"/>
                <w:color w:val="000000" w:themeColor="text1"/>
              </w:rPr>
              <w:t>。</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30</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个</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六类非屏蔽信息模块</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符合标准：</w:t>
            </w:r>
            <w:r>
              <w:rPr>
                <w:rFonts w:hint="eastAsia" w:eastAsia="等线" w:cs="宋体"/>
                <w:color w:val="000000" w:themeColor="text1"/>
              </w:rPr>
              <w:t>ISO/IEC 11801:2008</w:t>
            </w:r>
            <w:r>
              <w:rPr>
                <w:rFonts w:hint="eastAsia" w:ascii="仿宋_GB2312" w:hAnsi="宋体" w:cs="宋体"/>
                <w:color w:val="000000" w:themeColor="text1"/>
              </w:rPr>
              <w:t>；</w:t>
            </w:r>
            <w:r>
              <w:rPr>
                <w:rFonts w:hint="eastAsia" w:eastAsia="等线" w:cs="宋体"/>
                <w:color w:val="000000" w:themeColor="text1"/>
              </w:rPr>
              <w:t>YD/T 926.3-2009</w:t>
            </w:r>
            <w:r>
              <w:rPr>
                <w:rFonts w:hint="eastAsia" w:ascii="仿宋_GB2312" w:hAnsi="宋体" w:cs="宋体"/>
                <w:color w:val="000000" w:themeColor="text1"/>
              </w:rPr>
              <w:t>；</w:t>
            </w:r>
            <w:r>
              <w:rPr>
                <w:rFonts w:hint="eastAsia" w:eastAsia="等线" w:cs="宋体"/>
                <w:color w:val="000000" w:themeColor="text1"/>
              </w:rPr>
              <w:t>TIA /EIA- 568-C.2</w:t>
            </w:r>
            <w:r>
              <w:rPr>
                <w:rFonts w:hint="eastAsia" w:ascii="仿宋_GB2312" w:hAnsi="宋体" w:cs="宋体"/>
                <w:color w:val="000000" w:themeColor="text1"/>
              </w:rPr>
              <w:t>。</w:t>
            </w:r>
            <w:r>
              <w:rPr>
                <w:rFonts w:hint="eastAsia" w:eastAsia="等线" w:cs="宋体"/>
                <w:color w:val="000000" w:themeColor="text1"/>
              </w:rPr>
              <w:t xml:space="preserve">IDC </w:t>
            </w:r>
            <w:r>
              <w:rPr>
                <w:rFonts w:hint="eastAsia" w:ascii="仿宋_GB2312" w:hAnsi="宋体" w:cs="宋体"/>
                <w:color w:val="000000" w:themeColor="text1"/>
              </w:rPr>
              <w:t>采用</w:t>
            </w:r>
            <w:r>
              <w:rPr>
                <w:rFonts w:hint="eastAsia" w:eastAsia="等线" w:cs="宋体"/>
                <w:color w:val="000000" w:themeColor="text1"/>
              </w:rPr>
              <w:t>45</w:t>
            </w:r>
            <w:r>
              <w:rPr>
                <w:rFonts w:hint="eastAsia" w:ascii="仿宋_GB2312" w:hAnsi="宋体" w:cs="宋体"/>
                <w:color w:val="000000" w:themeColor="text1"/>
              </w:rPr>
              <w:t>度自锁式结构交叉设计。</w:t>
            </w:r>
            <w:r>
              <w:rPr>
                <w:rFonts w:hint="eastAsia" w:eastAsia="等线" w:cs="宋体"/>
                <w:color w:val="000000" w:themeColor="text1"/>
              </w:rPr>
              <w:t>IDC</w:t>
            </w:r>
            <w:r>
              <w:rPr>
                <w:rFonts w:hint="eastAsia" w:ascii="仿宋_GB2312" w:hAnsi="宋体" w:cs="宋体"/>
                <w:color w:val="000000" w:themeColor="text1"/>
              </w:rPr>
              <w:t>材料：磷青铜。金针：磷青铜表面镀金。防尘盖：透明</w:t>
            </w:r>
            <w:r>
              <w:rPr>
                <w:rFonts w:hint="eastAsia" w:eastAsia="等线" w:cs="宋体"/>
                <w:color w:val="000000" w:themeColor="text1"/>
              </w:rPr>
              <w:t>PC</w:t>
            </w:r>
            <w:r>
              <w:rPr>
                <w:rFonts w:hint="eastAsia" w:ascii="仿宋_GB2312" w:hAnsi="宋体" w:cs="宋体"/>
                <w:color w:val="000000" w:themeColor="text1"/>
              </w:rPr>
              <w:t>材料。插头与插座插合次数：</w:t>
            </w:r>
            <w:r>
              <w:rPr>
                <w:rFonts w:hint="eastAsia" w:eastAsia="等线" w:cs="宋体"/>
                <w:color w:val="000000" w:themeColor="text1"/>
              </w:rPr>
              <w:t>≥1000</w:t>
            </w:r>
            <w:r>
              <w:rPr>
                <w:rFonts w:hint="eastAsia" w:ascii="仿宋_GB2312" w:hAnsi="宋体" w:cs="宋体"/>
                <w:color w:val="000000" w:themeColor="text1"/>
              </w:rPr>
              <w:t>次。导线端接次数：</w:t>
            </w:r>
            <w:r>
              <w:rPr>
                <w:rFonts w:hint="eastAsia" w:eastAsia="等线" w:cs="宋体"/>
                <w:color w:val="000000" w:themeColor="text1"/>
              </w:rPr>
              <w:t>≥250</w:t>
            </w:r>
            <w:r>
              <w:rPr>
                <w:rFonts w:hint="eastAsia" w:ascii="仿宋_GB2312" w:hAnsi="宋体" w:cs="宋体"/>
                <w:color w:val="000000" w:themeColor="text1"/>
              </w:rPr>
              <w:t>次。打线方式：</w:t>
            </w:r>
            <w:r>
              <w:rPr>
                <w:rFonts w:hint="eastAsia" w:eastAsia="等线" w:cs="宋体"/>
                <w:color w:val="000000" w:themeColor="text1"/>
              </w:rPr>
              <w:t>110</w:t>
            </w:r>
            <w:r>
              <w:rPr>
                <w:rFonts w:hint="eastAsia" w:ascii="仿宋_GB2312" w:hAnsi="宋体" w:cs="宋体"/>
                <w:color w:val="000000" w:themeColor="text1"/>
              </w:rPr>
              <w:t>工具端接方式，兼容</w:t>
            </w:r>
            <w:r>
              <w:rPr>
                <w:rFonts w:hint="eastAsia" w:eastAsia="等线" w:cs="宋体"/>
                <w:color w:val="000000" w:themeColor="text1"/>
              </w:rPr>
              <w:t>T568A/B</w:t>
            </w:r>
            <w:r>
              <w:rPr>
                <w:rFonts w:hint="eastAsia" w:ascii="仿宋_GB2312" w:hAnsi="宋体" w:cs="宋体"/>
                <w:color w:val="000000" w:themeColor="text1"/>
              </w:rPr>
              <w:t>两种端接方式。卡接导体线规：</w:t>
            </w:r>
            <w:r>
              <w:rPr>
                <w:rFonts w:hint="eastAsia" w:eastAsia="等线" w:cs="宋体"/>
                <w:color w:val="000000" w:themeColor="text1"/>
              </w:rPr>
              <w:t>22~26AWG</w:t>
            </w:r>
            <w:r>
              <w:rPr>
                <w:rFonts w:hint="eastAsia" w:ascii="仿宋_GB2312" w:hAnsi="宋体" w:cs="宋体"/>
                <w:color w:val="000000" w:themeColor="text1"/>
              </w:rPr>
              <w:t>。工作温度：</w:t>
            </w:r>
            <w:r>
              <w:rPr>
                <w:rFonts w:hint="eastAsia" w:eastAsia="等线" w:cs="宋体"/>
                <w:color w:val="000000" w:themeColor="text1"/>
              </w:rPr>
              <w:t>-25</w:t>
            </w:r>
            <w:r>
              <w:rPr>
                <w:rFonts w:hint="eastAsia" w:ascii="仿宋_GB2312" w:hAnsi="宋体" w:cs="宋体"/>
                <w:color w:val="000000" w:themeColor="text1"/>
              </w:rPr>
              <w:t>～</w:t>
            </w:r>
            <w:r>
              <w:rPr>
                <w:rFonts w:hint="eastAsia" w:eastAsia="等线" w:cs="宋体"/>
                <w:color w:val="000000" w:themeColor="text1"/>
              </w:rPr>
              <w:t>60</w:t>
            </w:r>
            <w:r>
              <w:rPr>
                <w:rFonts w:hint="eastAsia" w:ascii="仿宋_GB2312" w:hAnsi="宋体" w:cs="宋体"/>
                <w:color w:val="000000" w:themeColor="text1"/>
              </w:rPr>
              <w:t>℃。</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50</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个</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3</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六类</w:t>
            </w:r>
            <w:r>
              <w:rPr>
                <w:rFonts w:hint="eastAsia" w:eastAsia="等线" w:cs="宋体"/>
                <w:color w:val="000000" w:themeColor="text1"/>
              </w:rPr>
              <w:t>4</w:t>
            </w:r>
            <w:r>
              <w:rPr>
                <w:rFonts w:hint="eastAsia" w:ascii="仿宋_GB2312" w:hAnsi="宋体" w:cs="宋体"/>
                <w:color w:val="000000" w:themeColor="text1"/>
              </w:rPr>
              <w:t>对</w:t>
            </w:r>
            <w:r>
              <w:rPr>
                <w:rFonts w:hint="eastAsia" w:eastAsia="等线" w:cs="宋体"/>
                <w:color w:val="000000" w:themeColor="text1"/>
              </w:rPr>
              <w:t>UTP</w:t>
            </w:r>
            <w:r>
              <w:rPr>
                <w:rFonts w:hint="eastAsia" w:ascii="仿宋_GB2312" w:hAnsi="宋体" w:cs="宋体"/>
                <w:color w:val="000000" w:themeColor="text1"/>
              </w:rPr>
              <w:t>非屏蔽跳线，</w:t>
            </w:r>
            <w:r>
              <w:rPr>
                <w:rFonts w:hint="eastAsia" w:eastAsia="等线" w:cs="宋体"/>
                <w:color w:val="000000" w:themeColor="text1"/>
              </w:rPr>
              <w:t>2</w:t>
            </w:r>
            <w:r>
              <w:rPr>
                <w:rFonts w:hint="eastAsia" w:ascii="仿宋_GB2312" w:hAnsi="宋体" w:cs="宋体"/>
                <w:color w:val="000000" w:themeColor="text1"/>
              </w:rPr>
              <w:t>米</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符合标准：</w:t>
            </w:r>
            <w:r>
              <w:rPr>
                <w:rFonts w:hint="eastAsia" w:eastAsia="等线" w:cs="宋体"/>
                <w:color w:val="000000" w:themeColor="text1"/>
              </w:rPr>
              <w:t>ISO/IEC 11801:2008</w:t>
            </w:r>
            <w:r>
              <w:rPr>
                <w:rFonts w:hint="eastAsia" w:ascii="仿宋_GB2312" w:hAnsi="宋体" w:cs="宋体"/>
                <w:color w:val="000000" w:themeColor="text1"/>
              </w:rPr>
              <w:t>；</w:t>
            </w:r>
            <w:r>
              <w:rPr>
                <w:rFonts w:hint="eastAsia" w:eastAsia="等线" w:cs="宋体"/>
                <w:color w:val="000000" w:themeColor="text1"/>
              </w:rPr>
              <w:t>YD/T 926.3-2009</w:t>
            </w:r>
            <w:r>
              <w:rPr>
                <w:rFonts w:hint="eastAsia" w:ascii="仿宋_GB2312" w:hAnsi="宋体" w:cs="宋体"/>
                <w:color w:val="000000" w:themeColor="text1"/>
              </w:rPr>
              <w:t>；</w:t>
            </w:r>
            <w:r>
              <w:rPr>
                <w:rFonts w:hint="eastAsia" w:eastAsia="等线" w:cs="宋体"/>
                <w:color w:val="000000" w:themeColor="text1"/>
              </w:rPr>
              <w:t>TIA /EIA- 568-C.2</w:t>
            </w:r>
            <w:r>
              <w:rPr>
                <w:rFonts w:hint="eastAsia" w:ascii="仿宋_GB2312" w:hAnsi="宋体" w:cs="宋体"/>
                <w:color w:val="000000" w:themeColor="text1"/>
              </w:rPr>
              <w:t>。导体结构</w:t>
            </w:r>
            <w:r>
              <w:rPr>
                <w:rFonts w:hint="eastAsia" w:eastAsia="等线" w:cs="宋体"/>
                <w:color w:val="000000" w:themeColor="text1"/>
              </w:rPr>
              <w:t xml:space="preserve">: </w:t>
            </w:r>
            <w:r>
              <w:rPr>
                <w:rFonts w:hint="eastAsia" w:ascii="仿宋_GB2312" w:hAnsi="宋体" w:cs="宋体"/>
                <w:color w:val="000000" w:themeColor="text1"/>
              </w:rPr>
              <w:t>多股绞合。跳线长度：</w:t>
            </w:r>
            <w:r>
              <w:rPr>
                <w:rFonts w:hint="eastAsia" w:eastAsia="等线" w:cs="宋体"/>
                <w:color w:val="000000" w:themeColor="text1"/>
              </w:rPr>
              <w:t>0.5M</w:t>
            </w:r>
            <w:r>
              <w:rPr>
                <w:rFonts w:hint="eastAsia" w:ascii="仿宋_GB2312" w:hAnsi="宋体" w:cs="宋体"/>
                <w:color w:val="000000" w:themeColor="text1"/>
              </w:rPr>
              <w:t>，</w:t>
            </w:r>
            <w:r>
              <w:rPr>
                <w:rFonts w:hint="eastAsia" w:eastAsia="等线" w:cs="宋体"/>
                <w:color w:val="000000" w:themeColor="text1"/>
              </w:rPr>
              <w:t>1M</w:t>
            </w:r>
            <w:r>
              <w:rPr>
                <w:rFonts w:hint="eastAsia" w:ascii="仿宋_GB2312" w:hAnsi="宋体" w:cs="宋体"/>
                <w:color w:val="000000" w:themeColor="text1"/>
              </w:rPr>
              <w:t>，</w:t>
            </w:r>
            <w:r>
              <w:rPr>
                <w:rFonts w:hint="eastAsia" w:eastAsia="等线" w:cs="宋体"/>
                <w:color w:val="000000" w:themeColor="text1"/>
              </w:rPr>
              <w:t>2M</w:t>
            </w:r>
            <w:r>
              <w:rPr>
                <w:rFonts w:hint="eastAsia" w:ascii="仿宋_GB2312" w:hAnsi="宋体" w:cs="宋体"/>
                <w:color w:val="000000" w:themeColor="text1"/>
              </w:rPr>
              <w:t>，</w:t>
            </w:r>
            <w:r>
              <w:rPr>
                <w:rFonts w:hint="eastAsia" w:eastAsia="等线" w:cs="宋体"/>
                <w:color w:val="000000" w:themeColor="text1"/>
              </w:rPr>
              <w:t>3M</w:t>
            </w:r>
            <w:r>
              <w:rPr>
                <w:rFonts w:hint="eastAsia" w:ascii="仿宋_GB2312" w:hAnsi="宋体" w:cs="宋体"/>
                <w:color w:val="000000" w:themeColor="text1"/>
              </w:rPr>
              <w:t>，</w:t>
            </w:r>
            <w:r>
              <w:rPr>
                <w:rFonts w:hint="eastAsia" w:eastAsia="等线" w:cs="宋体"/>
                <w:color w:val="000000" w:themeColor="text1"/>
              </w:rPr>
              <w:t>5M</w:t>
            </w:r>
            <w:r>
              <w:rPr>
                <w:rFonts w:hint="eastAsia" w:ascii="仿宋_GB2312" w:hAnsi="宋体" w:cs="宋体"/>
                <w:color w:val="000000" w:themeColor="text1"/>
              </w:rPr>
              <w:t>。导体材料：无氧圆铜</w:t>
            </w:r>
            <w:r>
              <w:rPr>
                <w:rFonts w:hint="eastAsia" w:eastAsia="等线" w:cs="宋体"/>
                <w:color w:val="000000" w:themeColor="text1"/>
              </w:rPr>
              <w:t>(</w:t>
            </w:r>
            <w:r>
              <w:rPr>
                <w:rFonts w:hint="eastAsia" w:ascii="仿宋_GB2312" w:hAnsi="宋体" w:cs="宋体"/>
                <w:color w:val="000000" w:themeColor="text1"/>
              </w:rPr>
              <w:t>纯度</w:t>
            </w:r>
            <w:r>
              <w:rPr>
                <w:rFonts w:hint="eastAsia" w:eastAsia="等线" w:cs="宋体"/>
                <w:color w:val="000000" w:themeColor="text1"/>
              </w:rPr>
              <w:t>99.99%)</w:t>
            </w:r>
            <w:r>
              <w:rPr>
                <w:rFonts w:hint="eastAsia" w:ascii="仿宋_GB2312" w:hAnsi="宋体" w:cs="宋体"/>
                <w:color w:val="000000" w:themeColor="text1"/>
              </w:rPr>
              <w:t>。</w:t>
            </w:r>
            <w:r>
              <w:rPr>
                <w:rFonts w:hint="eastAsia" w:eastAsia="等线" w:cs="宋体"/>
                <w:color w:val="000000" w:themeColor="text1"/>
              </w:rPr>
              <w:t>RJ45</w:t>
            </w:r>
            <w:r>
              <w:rPr>
                <w:rFonts w:hint="eastAsia" w:ascii="仿宋_GB2312" w:hAnsi="宋体" w:cs="宋体"/>
                <w:color w:val="000000" w:themeColor="text1"/>
              </w:rPr>
              <w:t>接口</w:t>
            </w:r>
            <w:r>
              <w:rPr>
                <w:rFonts w:hint="eastAsia" w:eastAsia="等线" w:cs="宋体"/>
                <w:color w:val="000000" w:themeColor="text1"/>
              </w:rPr>
              <w:t>: 8P8C</w:t>
            </w:r>
            <w:r>
              <w:rPr>
                <w:rFonts w:hint="eastAsia" w:ascii="仿宋_GB2312" w:hAnsi="宋体" w:cs="宋体"/>
                <w:color w:val="000000" w:themeColor="text1"/>
              </w:rPr>
              <w:t>。</w:t>
            </w:r>
            <w:r>
              <w:rPr>
                <w:rFonts w:hint="eastAsia" w:eastAsia="等线" w:cs="宋体"/>
                <w:color w:val="000000" w:themeColor="text1"/>
              </w:rPr>
              <w:t>RJ45</w:t>
            </w:r>
            <w:r>
              <w:rPr>
                <w:rFonts w:hint="eastAsia" w:ascii="仿宋_GB2312" w:hAnsi="宋体" w:cs="宋体"/>
                <w:color w:val="000000" w:themeColor="text1"/>
              </w:rPr>
              <w:t>簧片材料：磷青铜表面镀金。导体线规：</w:t>
            </w:r>
            <w:r>
              <w:rPr>
                <w:rFonts w:hint="eastAsia" w:eastAsia="等线" w:cs="宋体"/>
                <w:color w:val="000000" w:themeColor="text1"/>
              </w:rPr>
              <w:t>23AWG</w:t>
            </w:r>
            <w:r>
              <w:rPr>
                <w:rFonts w:hint="eastAsia" w:ascii="仿宋_GB2312" w:hAnsi="宋体" w:cs="宋体"/>
                <w:color w:val="000000" w:themeColor="text1"/>
              </w:rPr>
              <w:t>。</w:t>
            </w:r>
            <w:r>
              <w:rPr>
                <w:rFonts w:hint="eastAsia" w:eastAsia="等线" w:cs="宋体"/>
                <w:color w:val="000000" w:themeColor="text1"/>
              </w:rPr>
              <w:t>RJ45</w:t>
            </w:r>
            <w:r>
              <w:rPr>
                <w:rFonts w:hint="eastAsia" w:ascii="仿宋_GB2312" w:hAnsi="宋体" w:cs="宋体"/>
                <w:color w:val="000000" w:themeColor="text1"/>
              </w:rPr>
              <w:t>接口插拔次数</w:t>
            </w:r>
            <w:r>
              <w:rPr>
                <w:rFonts w:hint="eastAsia" w:eastAsia="等线" w:cs="宋体"/>
                <w:color w:val="000000" w:themeColor="text1"/>
              </w:rPr>
              <w:t>≥1000</w:t>
            </w:r>
            <w:r>
              <w:rPr>
                <w:rFonts w:hint="eastAsia" w:ascii="仿宋_GB2312" w:hAnsi="宋体" w:cs="宋体"/>
                <w:color w:val="000000" w:themeColor="text1"/>
              </w:rPr>
              <w:t>次。插头护套：聚氯乙烯</w:t>
            </w:r>
            <w:r>
              <w:rPr>
                <w:rFonts w:hint="eastAsia" w:eastAsia="等线" w:cs="宋体"/>
                <w:color w:val="000000" w:themeColor="text1"/>
              </w:rPr>
              <w:t>(PVC)</w:t>
            </w:r>
            <w:r>
              <w:rPr>
                <w:rFonts w:hint="eastAsia" w:ascii="仿宋_GB2312" w:hAnsi="宋体" w:cs="宋体"/>
                <w:color w:val="000000" w:themeColor="text1"/>
              </w:rPr>
              <w:t>。跳线包装方式：</w:t>
            </w:r>
            <w:r>
              <w:rPr>
                <w:rFonts w:hint="eastAsia" w:eastAsia="等线" w:cs="宋体"/>
                <w:color w:val="000000" w:themeColor="text1"/>
              </w:rPr>
              <w:t>1</w:t>
            </w:r>
            <w:r>
              <w:rPr>
                <w:rFonts w:hint="eastAsia" w:ascii="仿宋_GB2312" w:hAnsi="宋体" w:cs="宋体"/>
                <w:color w:val="000000" w:themeColor="text1"/>
              </w:rPr>
              <w:t>根</w:t>
            </w:r>
            <w:r>
              <w:rPr>
                <w:rFonts w:hint="eastAsia" w:eastAsia="等线" w:cs="宋体"/>
                <w:color w:val="000000" w:themeColor="text1"/>
              </w:rPr>
              <w:t>/</w:t>
            </w:r>
            <w:r>
              <w:rPr>
                <w:rFonts w:hint="eastAsia" w:ascii="仿宋_GB2312" w:hAnsi="宋体" w:cs="宋体"/>
                <w:color w:val="000000" w:themeColor="text1"/>
              </w:rPr>
              <w:t>袋（</w:t>
            </w:r>
            <w:r>
              <w:rPr>
                <w:rFonts w:hint="eastAsia" w:eastAsia="等线" w:cs="宋体"/>
                <w:color w:val="000000" w:themeColor="text1"/>
              </w:rPr>
              <w:t>PE</w:t>
            </w:r>
            <w:r>
              <w:rPr>
                <w:rFonts w:hint="eastAsia" w:ascii="仿宋_GB2312" w:hAnsi="宋体" w:cs="宋体"/>
                <w:color w:val="000000" w:themeColor="text1"/>
              </w:rPr>
              <w:t>彩袋）。使用温度：</w:t>
            </w:r>
            <w:r>
              <w:rPr>
                <w:rFonts w:hint="eastAsia" w:eastAsia="等线" w:cs="宋体"/>
                <w:color w:val="000000" w:themeColor="text1"/>
              </w:rPr>
              <w:t>-20</w:t>
            </w:r>
            <w:r>
              <w:rPr>
                <w:rFonts w:hint="eastAsia" w:ascii="仿宋_GB2312" w:hAnsi="宋体" w:cs="宋体"/>
                <w:color w:val="000000" w:themeColor="text1"/>
              </w:rPr>
              <w:t>℃～</w:t>
            </w:r>
            <w:r>
              <w:rPr>
                <w:rFonts w:hint="eastAsia" w:eastAsia="等线" w:cs="宋体"/>
                <w:color w:val="000000" w:themeColor="text1"/>
              </w:rPr>
              <w:t>+60</w:t>
            </w:r>
            <w:r>
              <w:rPr>
                <w:rFonts w:hint="eastAsia" w:ascii="仿宋_GB2312" w:hAnsi="宋体" w:cs="宋体"/>
                <w:color w:val="000000" w:themeColor="text1"/>
              </w:rPr>
              <w:t>℃。护套颜色：</w:t>
            </w:r>
            <w:r>
              <w:rPr>
                <w:rFonts w:hint="eastAsia" w:eastAsia="等线" w:cs="宋体"/>
                <w:color w:val="000000" w:themeColor="text1"/>
              </w:rPr>
              <w:t>GY-</w:t>
            </w:r>
            <w:r>
              <w:rPr>
                <w:rFonts w:hint="eastAsia" w:ascii="仿宋_GB2312" w:hAnsi="宋体" w:cs="宋体"/>
                <w:color w:val="000000" w:themeColor="text1"/>
              </w:rPr>
              <w:t>灰、</w:t>
            </w:r>
            <w:r>
              <w:rPr>
                <w:rFonts w:hint="eastAsia" w:eastAsia="等线" w:cs="宋体"/>
                <w:color w:val="000000" w:themeColor="text1"/>
              </w:rPr>
              <w:t>BL-</w:t>
            </w:r>
            <w:r>
              <w:rPr>
                <w:rFonts w:hint="eastAsia" w:ascii="仿宋_GB2312" w:hAnsi="宋体" w:cs="宋体"/>
                <w:color w:val="000000" w:themeColor="text1"/>
              </w:rPr>
              <w:t>蓝、</w:t>
            </w:r>
            <w:r>
              <w:rPr>
                <w:rFonts w:hint="eastAsia" w:eastAsia="等线" w:cs="宋体"/>
                <w:color w:val="000000" w:themeColor="text1"/>
              </w:rPr>
              <w:t>RE-</w:t>
            </w:r>
            <w:r>
              <w:rPr>
                <w:rFonts w:hint="eastAsia" w:ascii="仿宋_GB2312" w:hAnsi="宋体" w:cs="宋体"/>
                <w:color w:val="000000" w:themeColor="text1"/>
              </w:rPr>
              <w:t>红、</w:t>
            </w:r>
            <w:r>
              <w:rPr>
                <w:rFonts w:hint="eastAsia" w:eastAsia="等线" w:cs="宋体"/>
                <w:color w:val="000000" w:themeColor="text1"/>
              </w:rPr>
              <w:t>YE-</w:t>
            </w:r>
            <w:r>
              <w:rPr>
                <w:rFonts w:hint="eastAsia" w:ascii="仿宋_GB2312" w:hAnsi="宋体" w:cs="宋体"/>
                <w:color w:val="000000" w:themeColor="text1"/>
              </w:rPr>
              <w:t>黄、</w:t>
            </w:r>
            <w:r>
              <w:rPr>
                <w:rFonts w:hint="eastAsia" w:eastAsia="等线" w:cs="宋体"/>
                <w:color w:val="000000" w:themeColor="text1"/>
              </w:rPr>
              <w:t>GR-</w:t>
            </w:r>
            <w:r>
              <w:rPr>
                <w:rFonts w:hint="eastAsia" w:ascii="仿宋_GB2312" w:hAnsi="宋体" w:cs="宋体"/>
                <w:color w:val="000000" w:themeColor="text1"/>
              </w:rPr>
              <w:t>绿、其它长度的跳线均可定做。</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50</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4</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六类</w:t>
            </w:r>
            <w:r>
              <w:rPr>
                <w:rFonts w:hint="eastAsia" w:eastAsia="等线" w:cs="宋体"/>
                <w:color w:val="000000" w:themeColor="text1"/>
              </w:rPr>
              <w:t>4</w:t>
            </w:r>
            <w:r>
              <w:rPr>
                <w:rFonts w:hint="eastAsia" w:ascii="仿宋_GB2312" w:hAnsi="宋体" w:cs="宋体"/>
                <w:color w:val="000000" w:themeColor="text1"/>
              </w:rPr>
              <w:t>对非屏蔽双绞线</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符合标准：</w:t>
            </w:r>
            <w:r>
              <w:rPr>
                <w:rFonts w:hint="eastAsia" w:eastAsia="等线" w:cs="宋体"/>
                <w:color w:val="000000" w:themeColor="text1"/>
              </w:rPr>
              <w:t>ISO/IEC 11801</w:t>
            </w:r>
            <w:r>
              <w:rPr>
                <w:rFonts w:hint="eastAsia" w:ascii="仿宋_GB2312" w:hAnsi="宋体" w:cs="宋体"/>
                <w:color w:val="000000" w:themeColor="text1"/>
              </w:rPr>
              <w:t>：</w:t>
            </w:r>
            <w:r>
              <w:rPr>
                <w:rFonts w:hint="eastAsia" w:eastAsia="等线" w:cs="宋体"/>
                <w:color w:val="000000" w:themeColor="text1"/>
              </w:rPr>
              <w:t>2008</w:t>
            </w:r>
            <w:r>
              <w:rPr>
                <w:rFonts w:hint="eastAsia" w:ascii="仿宋_GB2312" w:hAnsi="宋体" w:cs="宋体"/>
                <w:color w:val="000000" w:themeColor="text1"/>
              </w:rPr>
              <w:t>；</w:t>
            </w:r>
            <w:r>
              <w:rPr>
                <w:rFonts w:hint="eastAsia" w:eastAsia="等线" w:cs="宋体"/>
                <w:color w:val="000000" w:themeColor="text1"/>
              </w:rPr>
              <w:t>IEC 61156-5-2009</w:t>
            </w:r>
            <w:r>
              <w:rPr>
                <w:rFonts w:hint="eastAsia" w:ascii="仿宋_GB2312" w:hAnsi="宋体" w:cs="宋体"/>
                <w:color w:val="000000" w:themeColor="text1"/>
              </w:rPr>
              <w:t>；</w:t>
            </w:r>
            <w:r>
              <w:rPr>
                <w:rFonts w:hint="eastAsia" w:eastAsia="等线" w:cs="宋体"/>
                <w:color w:val="000000" w:themeColor="text1"/>
              </w:rPr>
              <w:t>TIA /EIA- 568-C.2</w:t>
            </w:r>
            <w:r>
              <w:rPr>
                <w:rFonts w:hint="eastAsia" w:ascii="仿宋_GB2312" w:hAnsi="宋体" w:cs="宋体"/>
                <w:color w:val="000000" w:themeColor="text1"/>
              </w:rPr>
              <w:t>。通过标准</w:t>
            </w:r>
            <w:r>
              <w:rPr>
                <w:rFonts w:hint="eastAsia" w:eastAsia="等线" w:cs="宋体"/>
                <w:color w:val="000000" w:themeColor="text1"/>
              </w:rPr>
              <w:t>250MHz</w:t>
            </w:r>
            <w:r>
              <w:rPr>
                <w:rFonts w:hint="eastAsia" w:ascii="仿宋_GB2312" w:hAnsi="宋体" w:cs="宋体"/>
                <w:color w:val="000000" w:themeColor="text1"/>
              </w:rPr>
              <w:t>带宽测试要求可扩展到</w:t>
            </w:r>
            <w:r>
              <w:rPr>
                <w:rFonts w:hint="eastAsia" w:eastAsia="等线" w:cs="宋体"/>
                <w:color w:val="000000" w:themeColor="text1"/>
              </w:rPr>
              <w:t>550MHz</w:t>
            </w:r>
            <w:r>
              <w:rPr>
                <w:rFonts w:hint="eastAsia" w:ascii="仿宋_GB2312" w:hAnsi="宋体" w:cs="宋体"/>
                <w:color w:val="000000" w:themeColor="text1"/>
              </w:rPr>
              <w:t>带宽。单根导体直流电阻：</w:t>
            </w:r>
            <w:r>
              <w:rPr>
                <w:rFonts w:hint="eastAsia" w:eastAsia="等线" w:cs="宋体"/>
                <w:color w:val="000000" w:themeColor="text1"/>
              </w:rPr>
              <w:t>≤9.0Ω/100m</w:t>
            </w:r>
            <w:r>
              <w:rPr>
                <w:rFonts w:hint="eastAsia" w:ascii="仿宋_GB2312" w:hAnsi="宋体" w:cs="宋体"/>
                <w:color w:val="000000" w:themeColor="text1"/>
              </w:rPr>
              <w:t>。额定传输速率</w:t>
            </w:r>
            <w:r>
              <w:rPr>
                <w:rFonts w:hint="eastAsia" w:eastAsia="等线" w:cs="宋体"/>
                <w:color w:val="000000" w:themeColor="text1"/>
              </w:rPr>
              <w:t>(NVP)</w:t>
            </w:r>
            <w:r>
              <w:rPr>
                <w:rFonts w:hint="eastAsia" w:ascii="仿宋_GB2312" w:hAnsi="宋体" w:cs="宋体"/>
                <w:color w:val="000000" w:themeColor="text1"/>
              </w:rPr>
              <w:t>：</w:t>
            </w:r>
            <w:r>
              <w:rPr>
                <w:rFonts w:hint="eastAsia" w:eastAsia="等线" w:cs="宋体"/>
                <w:color w:val="000000" w:themeColor="text1"/>
              </w:rPr>
              <w:t>68%</w:t>
            </w:r>
            <w:r>
              <w:rPr>
                <w:rFonts w:hint="eastAsia" w:ascii="仿宋_GB2312" w:hAnsi="宋体" w:cs="宋体"/>
                <w:color w:val="000000" w:themeColor="text1"/>
              </w:rPr>
              <w:t>。电缆对数：</w:t>
            </w:r>
            <w:r>
              <w:rPr>
                <w:rFonts w:hint="eastAsia" w:eastAsia="等线" w:cs="宋体"/>
                <w:color w:val="000000" w:themeColor="text1"/>
              </w:rPr>
              <w:t>4</w:t>
            </w:r>
            <w:r>
              <w:rPr>
                <w:rFonts w:hint="eastAsia" w:ascii="仿宋_GB2312" w:hAnsi="宋体" w:cs="宋体"/>
                <w:color w:val="000000" w:themeColor="text1"/>
              </w:rPr>
              <w:t>对。十字骨架材料：</w:t>
            </w:r>
            <w:r>
              <w:rPr>
                <w:rFonts w:hint="eastAsia" w:eastAsia="等线" w:cs="宋体"/>
                <w:color w:val="000000" w:themeColor="text1"/>
              </w:rPr>
              <w:t>PE</w:t>
            </w:r>
            <w:r>
              <w:rPr>
                <w:rFonts w:hint="eastAsia" w:ascii="仿宋_GB2312" w:hAnsi="宋体" w:cs="宋体"/>
                <w:color w:val="000000" w:themeColor="text1"/>
              </w:rPr>
              <w:t>混合物。导体材料：无氧圆铜（纯度</w:t>
            </w:r>
            <w:r>
              <w:rPr>
                <w:rFonts w:hint="eastAsia" w:eastAsia="等线" w:cs="宋体"/>
                <w:color w:val="000000" w:themeColor="text1"/>
              </w:rPr>
              <w:t>99.99%</w:t>
            </w:r>
            <w:r>
              <w:rPr>
                <w:rFonts w:hint="eastAsia" w:ascii="仿宋_GB2312" w:hAnsi="宋体" w:cs="宋体"/>
                <w:color w:val="000000" w:themeColor="text1"/>
              </w:rPr>
              <w:t>）。导体线规：</w:t>
            </w:r>
            <w:r>
              <w:rPr>
                <w:rFonts w:hint="eastAsia" w:eastAsia="等线" w:cs="宋体"/>
                <w:color w:val="000000" w:themeColor="text1"/>
              </w:rPr>
              <w:t>23AWG</w:t>
            </w:r>
            <w:r>
              <w:rPr>
                <w:rFonts w:hint="eastAsia" w:ascii="仿宋_GB2312" w:hAnsi="宋体" w:cs="宋体"/>
                <w:color w:val="000000" w:themeColor="text1"/>
              </w:rPr>
              <w:t>。绝缘材料：</w:t>
            </w:r>
            <w:r>
              <w:rPr>
                <w:rFonts w:hint="eastAsia" w:eastAsia="等线" w:cs="宋体"/>
                <w:color w:val="000000" w:themeColor="text1"/>
              </w:rPr>
              <w:t>HDPE</w:t>
            </w:r>
            <w:r>
              <w:rPr>
                <w:rFonts w:hint="eastAsia" w:ascii="仿宋_GB2312" w:hAnsi="宋体" w:cs="宋体"/>
                <w:color w:val="000000" w:themeColor="text1"/>
              </w:rPr>
              <w:t>。屏蔽方式：</w:t>
            </w:r>
            <w:r>
              <w:rPr>
                <w:rFonts w:hint="eastAsia" w:eastAsia="等线" w:cs="宋体"/>
                <w:color w:val="000000" w:themeColor="text1"/>
              </w:rPr>
              <w:t>U/UTP</w:t>
            </w:r>
            <w:r>
              <w:rPr>
                <w:rFonts w:hint="eastAsia" w:ascii="仿宋_GB2312" w:hAnsi="宋体" w:cs="宋体"/>
                <w:color w:val="000000" w:themeColor="text1"/>
              </w:rPr>
              <w:t>。电缆外径：</w:t>
            </w:r>
            <w:r>
              <w:rPr>
                <w:rFonts w:hint="eastAsia" w:eastAsia="等线" w:cs="宋体"/>
                <w:color w:val="000000" w:themeColor="text1"/>
              </w:rPr>
              <w:t>6.3±0.3mm</w:t>
            </w:r>
            <w:r>
              <w:rPr>
                <w:rFonts w:hint="eastAsia" w:ascii="仿宋_GB2312" w:hAnsi="宋体" w:cs="宋体"/>
                <w:color w:val="000000" w:themeColor="text1"/>
              </w:rPr>
              <w:t>。外护套材料：</w:t>
            </w:r>
            <w:r>
              <w:rPr>
                <w:rFonts w:hint="eastAsia" w:eastAsia="等线" w:cs="宋体"/>
                <w:color w:val="000000" w:themeColor="text1"/>
              </w:rPr>
              <w:t>LSZH</w:t>
            </w:r>
            <w:r>
              <w:rPr>
                <w:rFonts w:hint="eastAsia" w:ascii="仿宋_GB2312" w:hAnsi="宋体" w:cs="宋体"/>
                <w:color w:val="000000" w:themeColor="text1"/>
              </w:rPr>
              <w:t>低烟无卤阻燃。工作温度：</w:t>
            </w:r>
            <w:r>
              <w:rPr>
                <w:rFonts w:hint="eastAsia" w:eastAsia="等线" w:cs="宋体"/>
                <w:color w:val="000000" w:themeColor="text1"/>
              </w:rPr>
              <w:t>-20</w:t>
            </w:r>
            <w:r>
              <w:rPr>
                <w:rFonts w:hint="eastAsia" w:ascii="仿宋_GB2312" w:hAnsi="宋体" w:cs="宋体"/>
                <w:color w:val="000000" w:themeColor="text1"/>
              </w:rPr>
              <w:t>℃～</w:t>
            </w:r>
            <w:r>
              <w:rPr>
                <w:rFonts w:hint="eastAsia" w:eastAsia="等线" w:cs="宋体"/>
                <w:color w:val="000000" w:themeColor="text1"/>
              </w:rPr>
              <w:t>+60</w:t>
            </w:r>
            <w:r>
              <w:rPr>
                <w:rFonts w:hint="eastAsia" w:ascii="仿宋_GB2312" w:hAnsi="宋体" w:cs="宋体"/>
                <w:color w:val="000000" w:themeColor="text1"/>
              </w:rPr>
              <w:t>℃。交货长度（米</w:t>
            </w:r>
            <w:r>
              <w:rPr>
                <w:rFonts w:hint="eastAsia" w:eastAsia="等线" w:cs="宋体"/>
                <w:color w:val="000000" w:themeColor="text1"/>
              </w:rPr>
              <w:t>/</w:t>
            </w:r>
            <w:r>
              <w:rPr>
                <w:rFonts w:hint="eastAsia" w:ascii="仿宋_GB2312" w:hAnsi="宋体" w:cs="宋体"/>
                <w:color w:val="000000" w:themeColor="text1"/>
              </w:rPr>
              <w:t>盘）：</w:t>
            </w:r>
            <w:r>
              <w:rPr>
                <w:rFonts w:hint="eastAsia" w:eastAsia="等线" w:cs="宋体"/>
                <w:color w:val="000000" w:themeColor="text1"/>
              </w:rPr>
              <w:t>305</w:t>
            </w:r>
            <w:r>
              <w:rPr>
                <w:rFonts w:hint="eastAsia" w:ascii="仿宋_GB2312" w:hAnsi="宋体" w:cs="宋体"/>
                <w:color w:val="000000" w:themeColor="text1"/>
              </w:rPr>
              <w:t>米</w:t>
            </w:r>
            <w:r>
              <w:rPr>
                <w:rFonts w:hint="eastAsia" w:eastAsia="等线" w:cs="宋体"/>
                <w:color w:val="000000" w:themeColor="text1"/>
              </w:rPr>
              <w:t>/</w:t>
            </w:r>
            <w:r>
              <w:rPr>
                <w:rFonts w:hint="eastAsia" w:ascii="仿宋_GB2312" w:hAnsi="宋体" w:cs="宋体"/>
                <w:color w:val="000000" w:themeColor="text1"/>
              </w:rPr>
              <w:t>箱。包装方式</w:t>
            </w:r>
            <w:r>
              <w:rPr>
                <w:rFonts w:hint="eastAsia" w:eastAsia="等线" w:cs="宋体"/>
                <w:color w:val="000000" w:themeColor="text1"/>
              </w:rPr>
              <w:t xml:space="preserve">: </w:t>
            </w:r>
            <w:r>
              <w:rPr>
                <w:rFonts w:hint="eastAsia" w:ascii="仿宋_GB2312" w:hAnsi="宋体" w:cs="宋体"/>
                <w:color w:val="000000" w:themeColor="text1"/>
              </w:rPr>
              <w:t>箱装。最小弯曲半径：</w:t>
            </w:r>
            <w:r>
              <w:rPr>
                <w:rFonts w:hint="eastAsia" w:eastAsia="等线" w:cs="宋体"/>
                <w:color w:val="000000" w:themeColor="text1"/>
              </w:rPr>
              <w:t>10</w:t>
            </w:r>
            <w:r>
              <w:rPr>
                <w:rFonts w:hint="eastAsia" w:ascii="仿宋_GB2312" w:hAnsi="宋体" w:cs="宋体"/>
                <w:color w:val="000000" w:themeColor="text1"/>
              </w:rPr>
              <w:t>倍电缆外径。外护套颜色：根据点位类型配置颜色。</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5000</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米</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5</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六类</w:t>
            </w:r>
            <w:r>
              <w:rPr>
                <w:rFonts w:hint="eastAsia" w:eastAsia="等线" w:cs="宋体"/>
                <w:color w:val="000000" w:themeColor="text1"/>
              </w:rPr>
              <w:t>24</w:t>
            </w:r>
            <w:r>
              <w:rPr>
                <w:rFonts w:hint="eastAsia" w:ascii="仿宋_GB2312" w:hAnsi="宋体" w:cs="宋体"/>
                <w:color w:val="000000" w:themeColor="text1"/>
              </w:rPr>
              <w:t>口非屏蔽配线架</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1U</w:t>
            </w:r>
            <w:r>
              <w:rPr>
                <w:rFonts w:hint="eastAsia" w:ascii="仿宋_GB2312" w:cs="宋体"/>
                <w:color w:val="000000" w:themeColor="text1"/>
              </w:rPr>
              <w:t>六类</w:t>
            </w:r>
            <w:r>
              <w:rPr>
                <w:rFonts w:hint="eastAsia" w:eastAsia="等线" w:cs="宋体"/>
                <w:color w:val="000000" w:themeColor="text1"/>
              </w:rPr>
              <w:t>24</w:t>
            </w:r>
            <w:r>
              <w:rPr>
                <w:rFonts w:hint="eastAsia" w:ascii="仿宋_GB2312" w:cs="宋体"/>
                <w:color w:val="000000" w:themeColor="text1"/>
              </w:rPr>
              <w:t>口非屏蔽配线架：材料：配线架采用冷轧钢制成，厚度大于</w:t>
            </w:r>
            <w:r>
              <w:rPr>
                <w:rFonts w:hint="eastAsia" w:eastAsia="等线" w:cs="宋体"/>
                <w:color w:val="000000" w:themeColor="text1"/>
              </w:rPr>
              <w:t>1.5</w:t>
            </w:r>
            <w:r>
              <w:rPr>
                <w:rFonts w:hint="eastAsia" w:ascii="仿宋_GB2312" w:cs="宋体"/>
                <w:color w:val="000000" w:themeColor="text1"/>
              </w:rPr>
              <w:t>毫米，外覆石墨灰色粉末，符合</w:t>
            </w:r>
            <w:r>
              <w:rPr>
                <w:rFonts w:hint="eastAsia" w:eastAsia="等线" w:cs="宋体"/>
                <w:color w:val="000000" w:themeColor="text1"/>
              </w:rPr>
              <w:t>ANSI/TIA 568.C</w:t>
            </w:r>
            <w:r>
              <w:rPr>
                <w:rFonts w:hint="eastAsia" w:ascii="仿宋_GB2312" w:cs="宋体"/>
                <w:color w:val="000000" w:themeColor="text1"/>
              </w:rPr>
              <w:t>标准，并提供测试报告。结构：模块化或</w:t>
            </w:r>
            <w:r>
              <w:rPr>
                <w:rFonts w:hint="eastAsia" w:eastAsia="等线" w:cs="宋体"/>
                <w:color w:val="000000" w:themeColor="text1"/>
              </w:rPr>
              <w:t>IDC</w:t>
            </w:r>
            <w:r>
              <w:rPr>
                <w:rFonts w:hint="eastAsia" w:ascii="仿宋_GB2312" w:cs="宋体"/>
                <w:color w:val="000000" w:themeColor="text1"/>
              </w:rPr>
              <w:t>式，正面必须带防尘盖，防止冗余口的日后污染，背面带金属后理线器，后理线器表面光滑，预留扎带孔洞，可以轻松承拖六类线缆重量，并可保证线缆管理符合弯曲半径要求，令安装效果美观统一。模块：</w:t>
            </w:r>
            <w:r>
              <w:rPr>
                <w:rFonts w:hint="eastAsia" w:eastAsia="等线" w:cs="宋体"/>
                <w:color w:val="000000" w:themeColor="text1"/>
              </w:rPr>
              <w:t xml:space="preserve"> RJ45</w:t>
            </w:r>
            <w:r>
              <w:rPr>
                <w:rFonts w:hint="eastAsia" w:ascii="仿宋_GB2312" w:cs="宋体"/>
                <w:color w:val="000000" w:themeColor="text1"/>
              </w:rPr>
              <w:t>（满配）磷青铜，电镀</w:t>
            </w:r>
            <w:r>
              <w:rPr>
                <w:rFonts w:hint="eastAsia" w:eastAsia="等线" w:cs="宋体"/>
                <w:color w:val="000000" w:themeColor="text1"/>
              </w:rPr>
              <w:t>100μm</w:t>
            </w:r>
            <w:r>
              <w:rPr>
                <w:rFonts w:hint="eastAsia" w:ascii="仿宋_GB2312" w:cs="宋体"/>
                <w:color w:val="000000" w:themeColor="text1"/>
              </w:rPr>
              <w:t>镍</w:t>
            </w:r>
            <w:r>
              <w:rPr>
                <w:rFonts w:hint="eastAsia" w:eastAsia="等线" w:cs="宋体"/>
                <w:color w:val="000000" w:themeColor="text1"/>
              </w:rPr>
              <w:t>50μm</w:t>
            </w:r>
            <w:r>
              <w:rPr>
                <w:rFonts w:hint="eastAsia" w:ascii="仿宋_GB2312" w:cs="宋体"/>
                <w:color w:val="000000" w:themeColor="text1"/>
              </w:rPr>
              <w:t>镀金，端接口采用双色码，支持</w:t>
            </w:r>
            <w:r>
              <w:rPr>
                <w:rFonts w:hint="eastAsia" w:eastAsia="等线" w:cs="宋体"/>
                <w:color w:val="000000" w:themeColor="text1"/>
              </w:rPr>
              <w:t>568 A/B</w:t>
            </w:r>
            <w:r>
              <w:rPr>
                <w:rFonts w:hint="eastAsia" w:ascii="仿宋_GB2312" w:cs="宋体"/>
                <w:color w:val="000000" w:themeColor="text1"/>
              </w:rPr>
              <w:t>线序。</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4</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6</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1U</w:t>
            </w:r>
            <w:r>
              <w:rPr>
                <w:rFonts w:hint="eastAsia" w:ascii="仿宋_GB2312" w:cs="宋体"/>
                <w:color w:val="000000" w:themeColor="text1"/>
              </w:rPr>
              <w:t>带盖板金属理线器</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线缆管理架（带盖板）</w:t>
            </w:r>
            <w:r>
              <w:rPr>
                <w:rFonts w:hint="eastAsia" w:eastAsia="等线" w:cs="宋体"/>
                <w:color w:val="000000" w:themeColor="text1"/>
              </w:rPr>
              <w:t>1U</w:t>
            </w:r>
            <w:r>
              <w:rPr>
                <w:rFonts w:hint="eastAsia" w:ascii="仿宋_GB2312" w:hAnsi="宋体" w:cs="宋体"/>
                <w:color w:val="000000" w:themeColor="text1"/>
              </w:rPr>
              <w:t>。材料：</w:t>
            </w:r>
            <w:r>
              <w:rPr>
                <w:rFonts w:hint="eastAsia" w:eastAsia="等线" w:cs="宋体"/>
                <w:color w:val="000000" w:themeColor="text1"/>
              </w:rPr>
              <w:t>SPCC</w:t>
            </w:r>
            <w:r>
              <w:rPr>
                <w:rFonts w:hint="eastAsia" w:ascii="仿宋_GB2312" w:hAnsi="宋体" w:cs="宋体"/>
                <w:color w:val="000000" w:themeColor="text1"/>
              </w:rPr>
              <w:t>冷轧钢板。厚度：</w:t>
            </w:r>
            <w:r>
              <w:rPr>
                <w:rFonts w:hint="eastAsia" w:eastAsia="等线" w:cs="宋体"/>
                <w:color w:val="000000" w:themeColor="text1"/>
              </w:rPr>
              <w:t>1.0/1.2MM</w:t>
            </w:r>
            <w:r>
              <w:rPr>
                <w:rFonts w:hint="eastAsia" w:ascii="仿宋_GB2312" w:hAnsi="宋体" w:cs="宋体"/>
                <w:color w:val="000000" w:themeColor="text1"/>
              </w:rPr>
              <w:t>。理线口位：</w:t>
            </w:r>
            <w:r>
              <w:rPr>
                <w:rFonts w:hint="eastAsia" w:eastAsia="等线" w:cs="宋体"/>
                <w:color w:val="000000" w:themeColor="text1"/>
              </w:rPr>
              <w:t>24</w:t>
            </w:r>
            <w:r>
              <w:rPr>
                <w:rFonts w:hint="eastAsia" w:ascii="仿宋_GB2312" w:hAnsi="宋体" w:cs="宋体"/>
                <w:color w:val="000000" w:themeColor="text1"/>
              </w:rPr>
              <w:t>位</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8</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个</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7</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110</w:t>
            </w:r>
            <w:r>
              <w:rPr>
                <w:rFonts w:hint="eastAsia" w:ascii="仿宋_GB2312" w:cs="宋体"/>
                <w:color w:val="000000" w:themeColor="text1"/>
              </w:rPr>
              <w:t>型</w:t>
            </w:r>
            <w:r>
              <w:rPr>
                <w:rFonts w:hint="eastAsia" w:eastAsia="等线" w:cs="宋体"/>
                <w:color w:val="000000" w:themeColor="text1"/>
              </w:rPr>
              <w:t>100</w:t>
            </w:r>
            <w:r>
              <w:rPr>
                <w:rFonts w:hint="eastAsia" w:ascii="仿宋_GB2312" w:cs="宋体"/>
                <w:color w:val="000000" w:themeColor="text1"/>
              </w:rPr>
              <w:t>对电话配线架</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机架式含模块，无需背板</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8</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标签制作</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线缆标签制作</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9</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钢制线槽</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200*100</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50</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米</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10</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钢制线槽</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100*50</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200</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米</w:t>
            </w:r>
          </w:p>
        </w:tc>
      </w:tr>
      <w:tr>
        <w:tblPrEx>
          <w:tblLayout w:type="fixed"/>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11</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JDG</w:t>
            </w:r>
            <w:r>
              <w:rPr>
                <w:rFonts w:hint="eastAsia" w:ascii="仿宋_GB2312" w:cs="宋体"/>
                <w:color w:val="000000" w:themeColor="text1"/>
              </w:rPr>
              <w:t>管</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20/25</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200</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米</w:t>
            </w:r>
          </w:p>
        </w:tc>
      </w:tr>
      <w:tr>
        <w:tblPrEx>
          <w:tblLayout w:type="fixed"/>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12</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零星材料</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水晶头、扎带、膨胀螺栓、支架等</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13</w:t>
            </w:r>
          </w:p>
        </w:tc>
        <w:tc>
          <w:tcPr>
            <w:tcW w:w="1176"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UPS</w:t>
            </w:r>
            <w:r>
              <w:rPr>
                <w:rFonts w:hint="eastAsia" w:ascii="仿宋_GB2312" w:cs="宋体"/>
                <w:color w:val="000000" w:themeColor="text1"/>
              </w:rPr>
              <w:t>电缆</w:t>
            </w:r>
            <w:r>
              <w:rPr>
                <w:rFonts w:hint="eastAsia" w:eastAsia="等线" w:cs="宋体"/>
                <w:color w:val="000000" w:themeColor="text1"/>
              </w:rPr>
              <w:t>&amp;</w:t>
            </w:r>
            <w:r>
              <w:rPr>
                <w:rFonts w:hint="eastAsia" w:ascii="仿宋_GB2312" w:cs="宋体"/>
                <w:color w:val="000000" w:themeColor="text1"/>
              </w:rPr>
              <w:t>应急指挥室接地</w:t>
            </w: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交流电缆</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ZA-RVV3*2.5mm2</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200</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米</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14</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交流电缆</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ZA-RVV3*1.5mm2</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200</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米</w:t>
            </w:r>
          </w:p>
        </w:tc>
      </w:tr>
      <w:tr>
        <w:tblPrEx>
          <w:tblLayout w:type="fixed"/>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15</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接地引入</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从大楼接地体引入至应急指挥室大厅等电位接地环</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16</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机房等电位铜排</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30×3</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50</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米</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17</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静电释放线</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ZA-RVV1*4mm2</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100</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米</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18</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接地用附材</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铜牌绝缘子、接地铜鼻子等</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19</w:t>
            </w:r>
          </w:p>
        </w:tc>
        <w:tc>
          <w:tcPr>
            <w:tcW w:w="1176"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门禁系统</w:t>
            </w: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指纹门禁一体机</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采集器：小光学指纹读头；指纹容量：</w:t>
            </w:r>
            <w:r>
              <w:rPr>
                <w:rFonts w:hint="eastAsia" w:eastAsia="等线" w:cs="宋体"/>
                <w:color w:val="000000" w:themeColor="text1"/>
              </w:rPr>
              <w:t>3000</w:t>
            </w:r>
            <w:r>
              <w:rPr>
                <w:rFonts w:hint="eastAsia" w:ascii="仿宋_GB2312" w:hAnsi="宋体" w:cs="宋体"/>
                <w:color w:val="000000" w:themeColor="text1"/>
              </w:rPr>
              <w:t>；记录容量：</w:t>
            </w:r>
            <w:r>
              <w:rPr>
                <w:rFonts w:hint="eastAsia" w:eastAsia="等线" w:cs="宋体"/>
                <w:color w:val="000000" w:themeColor="text1"/>
              </w:rPr>
              <w:t>10000</w:t>
            </w:r>
            <w:r>
              <w:rPr>
                <w:rFonts w:hint="eastAsia" w:ascii="仿宋_GB2312" w:hAnsi="宋体" w:cs="宋体"/>
                <w:color w:val="000000" w:themeColor="text1"/>
              </w:rPr>
              <w:t>条；键盘：微动开关键盘；通讯接口：</w:t>
            </w:r>
            <w:r>
              <w:rPr>
                <w:rFonts w:hint="eastAsia" w:eastAsia="等线" w:cs="宋体"/>
                <w:color w:val="000000" w:themeColor="text1"/>
              </w:rPr>
              <w:t>TCP/IP,RS485;LCD</w:t>
            </w:r>
            <w:r>
              <w:rPr>
                <w:rFonts w:hint="eastAsia" w:ascii="仿宋_GB2312" w:hAnsi="宋体" w:cs="宋体"/>
                <w:color w:val="000000" w:themeColor="text1"/>
              </w:rPr>
              <w:t>：</w:t>
            </w:r>
            <w:r>
              <w:rPr>
                <w:rFonts w:hint="eastAsia" w:eastAsia="等线" w:cs="宋体"/>
                <w:color w:val="000000" w:themeColor="text1"/>
              </w:rPr>
              <w:t>2.4</w:t>
            </w:r>
            <w:r>
              <w:rPr>
                <w:rFonts w:hint="eastAsia" w:ascii="仿宋_GB2312" w:hAnsi="宋体" w:cs="宋体"/>
                <w:color w:val="000000" w:themeColor="text1"/>
              </w:rPr>
              <w:t>英寸彩屏</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3</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20</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双门磁力锁</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DC12V</w:t>
            </w:r>
            <w:r>
              <w:rPr>
                <w:rFonts w:hint="eastAsia" w:ascii="仿宋_GB2312" w:cs="宋体"/>
                <w:color w:val="000000" w:themeColor="text1"/>
              </w:rPr>
              <w:t>输入，工作电流：</w:t>
            </w:r>
            <w:r>
              <w:rPr>
                <w:rFonts w:hint="eastAsia" w:eastAsia="等线" w:cs="宋体"/>
                <w:color w:val="000000" w:themeColor="text1"/>
              </w:rPr>
              <w:t>500mA/250mA</w:t>
            </w:r>
            <w:r>
              <w:rPr>
                <w:rFonts w:hint="eastAsia" w:ascii="仿宋_GB2312" w:cs="宋体"/>
                <w:color w:val="000000" w:themeColor="text1"/>
              </w:rPr>
              <w:t>，抗拉力：</w:t>
            </w:r>
            <w:r>
              <w:rPr>
                <w:rFonts w:hint="eastAsia" w:eastAsia="等线" w:cs="宋体"/>
                <w:color w:val="000000" w:themeColor="text1"/>
              </w:rPr>
              <w:t>280kg</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3</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21</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磁力锁</w:t>
            </w:r>
            <w:r>
              <w:rPr>
                <w:rFonts w:hint="eastAsia" w:eastAsia="等线" w:cs="宋体"/>
                <w:color w:val="000000" w:themeColor="text1"/>
              </w:rPr>
              <w:t>LZ</w:t>
            </w:r>
            <w:r>
              <w:rPr>
                <w:rFonts w:hint="eastAsia" w:ascii="仿宋_GB2312" w:hAnsi="宋体" w:cs="宋体"/>
                <w:color w:val="000000" w:themeColor="text1"/>
              </w:rPr>
              <w:t>型支架</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DS-K4H250</w:t>
            </w:r>
            <w:r>
              <w:rPr>
                <w:rFonts w:hint="eastAsia" w:ascii="仿宋_GB2312" w:cs="宋体"/>
                <w:color w:val="000000" w:themeColor="text1"/>
              </w:rPr>
              <w:t>专用支架；适用于</w:t>
            </w:r>
            <w:r>
              <w:rPr>
                <w:rFonts w:hint="eastAsia" w:eastAsia="等线" w:cs="宋体"/>
                <w:color w:val="000000" w:themeColor="text1"/>
              </w:rPr>
              <w:t>90</w:t>
            </w:r>
            <w:r>
              <w:rPr>
                <w:rFonts w:hint="eastAsia" w:ascii="仿宋_GB2312" w:cs="宋体"/>
                <w:color w:val="000000" w:themeColor="text1"/>
              </w:rPr>
              <w:t>度开的木门、铁门；产品材料：铝合金；</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3</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22</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闭门器</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适用于</w:t>
            </w:r>
            <w:r>
              <w:rPr>
                <w:rFonts w:hint="eastAsia" w:eastAsia="等线" w:cs="宋体"/>
                <w:color w:val="000000" w:themeColor="text1"/>
              </w:rPr>
              <w:t>55~75</w:t>
            </w:r>
            <w:r>
              <w:rPr>
                <w:rFonts w:hint="eastAsia" w:ascii="仿宋_GB2312" w:hAnsi="宋体" w:cs="宋体"/>
                <w:color w:val="000000" w:themeColor="text1"/>
              </w:rPr>
              <w:t>公斤门扇</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3</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23</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出门开关</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50</w:t>
            </w:r>
            <w:r>
              <w:rPr>
                <w:rFonts w:hint="eastAsia" w:ascii="仿宋_GB2312" w:cs="宋体"/>
                <w:color w:val="000000" w:themeColor="text1"/>
              </w:rPr>
              <w:t>万次机械使用寿命</w:t>
            </w:r>
            <w:r>
              <w:rPr>
                <w:rFonts w:hint="eastAsia" w:eastAsia="等线" w:cs="宋体"/>
                <w:color w:val="000000" w:themeColor="text1"/>
              </w:rPr>
              <w:t xml:space="preserve">, </w:t>
            </w:r>
            <w:r>
              <w:rPr>
                <w:rFonts w:hint="eastAsia" w:ascii="仿宋_GB2312" w:cs="宋体"/>
                <w:color w:val="000000" w:themeColor="text1"/>
              </w:rPr>
              <w:t>适用空心门框及埋入式电器盒使用</w:t>
            </w:r>
            <w:r>
              <w:rPr>
                <w:rFonts w:hint="eastAsia" w:eastAsia="等线" w:cs="宋体"/>
                <w:color w:val="000000" w:themeColor="text1"/>
              </w:rPr>
              <w:t>,PC</w:t>
            </w:r>
            <w:r>
              <w:rPr>
                <w:rFonts w:hint="eastAsia" w:ascii="仿宋_GB2312" w:cs="宋体"/>
                <w:color w:val="000000" w:themeColor="text1"/>
              </w:rPr>
              <w:t>防火材料</w:t>
            </w:r>
            <w:r>
              <w:rPr>
                <w:rFonts w:hint="eastAsia" w:eastAsia="等线" w:cs="宋体"/>
                <w:color w:val="000000" w:themeColor="text1"/>
              </w:rPr>
              <w:t xml:space="preserve">, </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5</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个</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24</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指纹采集器</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光学指纹传感器；</w:t>
            </w:r>
            <w:r>
              <w:rPr>
                <w:rFonts w:hint="eastAsia" w:eastAsia="等线" w:cs="宋体"/>
                <w:color w:val="000000" w:themeColor="text1"/>
              </w:rPr>
              <w:t>USB</w:t>
            </w:r>
            <w:r>
              <w:rPr>
                <w:rFonts w:hint="eastAsia" w:ascii="仿宋_GB2312" w:hAnsi="宋体" w:cs="宋体"/>
                <w:color w:val="000000" w:themeColor="text1"/>
              </w:rPr>
              <w:t>接口；可用于</w:t>
            </w:r>
            <w:r>
              <w:rPr>
                <w:rFonts w:hint="eastAsia" w:eastAsia="等线" w:cs="宋体"/>
                <w:color w:val="000000" w:themeColor="text1"/>
              </w:rPr>
              <w:t>SDK</w:t>
            </w:r>
            <w:r>
              <w:rPr>
                <w:rFonts w:hint="eastAsia" w:ascii="仿宋_GB2312" w:hAnsi="宋体" w:cs="宋体"/>
                <w:color w:val="000000" w:themeColor="text1"/>
              </w:rPr>
              <w:t>的二次开发；分辨率</w:t>
            </w:r>
            <w:r>
              <w:rPr>
                <w:rFonts w:hint="eastAsia" w:eastAsia="等线" w:cs="宋体"/>
                <w:color w:val="000000" w:themeColor="text1"/>
              </w:rPr>
              <w:t>500DPI</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个</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25</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门禁软件</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门禁控制软件，身份认证、出入记录等</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26</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管线材料</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六类线、电源线、</w:t>
            </w:r>
            <w:r>
              <w:rPr>
                <w:rFonts w:hint="eastAsia" w:eastAsia="等线" w:cs="宋体"/>
                <w:color w:val="000000" w:themeColor="text1"/>
              </w:rPr>
              <w:t>KBG</w:t>
            </w:r>
            <w:r>
              <w:rPr>
                <w:rFonts w:hint="eastAsia" w:ascii="仿宋_GB2312" w:hAnsi="宋体" w:cs="宋体"/>
                <w:color w:val="000000" w:themeColor="text1"/>
              </w:rPr>
              <w:t>管等</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项</w:t>
            </w:r>
          </w:p>
        </w:tc>
      </w:tr>
      <w:tr>
        <w:tblPrEx>
          <w:tblLayout w:type="fixed"/>
          <w:tblCellMar>
            <w:top w:w="0" w:type="dxa"/>
            <w:left w:w="108" w:type="dxa"/>
            <w:bottom w:w="0" w:type="dxa"/>
            <w:right w:w="108" w:type="dxa"/>
          </w:tblCellMar>
        </w:tblPrEx>
        <w:tc>
          <w:tcPr>
            <w:tcW w:w="8426" w:type="dxa"/>
            <w:gridSpan w:val="6"/>
            <w:tcBorders>
              <w:top w:val="single" w:color="auto" w:sz="8" w:space="0"/>
              <w:left w:val="single" w:color="auto" w:sz="8" w:space="0"/>
              <w:bottom w:val="single" w:color="auto" w:sz="8" w:space="0"/>
              <w:right w:val="nil"/>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七、操作控制台</w:t>
            </w:r>
          </w:p>
        </w:tc>
      </w:tr>
      <w:tr>
        <w:tblPrEx>
          <w:tblLayout w:type="fixed"/>
          <w:tblCellMar>
            <w:top w:w="0" w:type="dxa"/>
            <w:left w:w="108" w:type="dxa"/>
            <w:bottom w:w="0" w:type="dxa"/>
            <w:right w:w="108" w:type="dxa"/>
          </w:tblCellMar>
        </w:tblPrEx>
        <w:tc>
          <w:tcPr>
            <w:tcW w:w="469"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1176"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应急指挥室</w:t>
            </w:r>
          </w:p>
        </w:tc>
        <w:tc>
          <w:tcPr>
            <w:tcW w:w="1180"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接处警席位</w:t>
            </w: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3</w:t>
            </w:r>
            <w:r>
              <w:rPr>
                <w:rFonts w:hint="eastAsia" w:ascii="仿宋_GB2312" w:cs="宋体"/>
                <w:color w:val="000000" w:themeColor="text1"/>
              </w:rPr>
              <w:t>个席位一组，每组控制台长度</w:t>
            </w:r>
            <w:r>
              <w:rPr>
                <w:rFonts w:hint="eastAsia" w:eastAsia="等线" w:cs="宋体"/>
                <w:color w:val="000000" w:themeColor="text1"/>
              </w:rPr>
              <w:t>4682mm</w:t>
            </w:r>
            <w:r>
              <w:rPr>
                <w:rFonts w:hint="eastAsia" w:ascii="仿宋_GB2312" w:cs="宋体"/>
                <w:color w:val="000000" w:themeColor="text1"/>
              </w:rPr>
              <w:t>，深度</w:t>
            </w:r>
            <w:r>
              <w:rPr>
                <w:rFonts w:hint="eastAsia" w:eastAsia="等线" w:cs="宋体"/>
                <w:color w:val="000000" w:themeColor="text1"/>
              </w:rPr>
              <w:t>1000mm</w:t>
            </w:r>
            <w:r>
              <w:rPr>
                <w:rFonts w:hint="eastAsia" w:ascii="仿宋_GB2312" w:cs="宋体"/>
                <w:color w:val="000000" w:themeColor="text1"/>
              </w:rPr>
              <w:t>，高度</w:t>
            </w:r>
            <w:r>
              <w:rPr>
                <w:rFonts w:hint="eastAsia" w:eastAsia="等线" w:cs="宋体"/>
                <w:color w:val="000000" w:themeColor="text1"/>
              </w:rPr>
              <w:t>740mm</w:t>
            </w:r>
            <w:r>
              <w:rPr>
                <w:rFonts w:hint="eastAsia" w:ascii="仿宋_GB2312" w:cs="宋体"/>
                <w:color w:val="000000" w:themeColor="text1"/>
              </w:rPr>
              <w:t>；</w:t>
            </w:r>
          </w:p>
        </w:tc>
        <w:tc>
          <w:tcPr>
            <w:tcW w:w="775"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3</w:t>
            </w:r>
          </w:p>
        </w:tc>
        <w:tc>
          <w:tcPr>
            <w:tcW w:w="456" w:type="dxa"/>
            <w:vMerge w:val="restart"/>
            <w:tcBorders>
              <w:top w:val="nil"/>
              <w:left w:val="single" w:color="auto" w:sz="8" w:space="0"/>
              <w:bottom w:val="single" w:color="000000"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组</w:t>
            </w: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1</w:t>
            </w:r>
            <w:r>
              <w:rPr>
                <w:rFonts w:hint="eastAsia" w:ascii="仿宋_GB2312" w:cs="宋体"/>
                <w:color w:val="000000" w:themeColor="text1"/>
              </w:rPr>
              <w:t>、工作台面板：表面覆盖层应采用具有耐热、耐烟灼、耐撞击、耐潮湿、防水、耐腐蚀的高强度高压耐磨板（</w:t>
            </w:r>
            <w:r>
              <w:rPr>
                <w:rFonts w:hint="eastAsia" w:eastAsia="等线" w:cs="宋体"/>
                <w:color w:val="000000" w:themeColor="text1"/>
              </w:rPr>
              <w:t>HPL</w:t>
            </w:r>
            <w:r>
              <w:rPr>
                <w:rFonts w:hint="eastAsia" w:ascii="仿宋_GB2312" w:cs="宋体"/>
                <w:color w:val="000000" w:themeColor="text1"/>
              </w:rPr>
              <w:t>），整体厚度不低于</w:t>
            </w:r>
            <w:r>
              <w:rPr>
                <w:rFonts w:hint="eastAsia" w:eastAsia="等线" w:cs="宋体"/>
                <w:color w:val="000000" w:themeColor="text1"/>
              </w:rPr>
              <w:t>27mm</w:t>
            </w:r>
            <w:r>
              <w:rPr>
                <w:rFonts w:hint="eastAsia" w:ascii="仿宋_GB2312" w:cs="宋体"/>
                <w:color w:val="000000" w:themeColor="text1"/>
              </w:rPr>
              <w:t>。</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2</w:t>
            </w:r>
            <w:r>
              <w:rPr>
                <w:rFonts w:hint="eastAsia" w:ascii="仿宋_GB2312" w:cs="宋体"/>
                <w:color w:val="000000" w:themeColor="text1"/>
              </w:rPr>
              <w:t>、大面板封边：大面板前端采用与人体接触部位使用不小于</w:t>
            </w:r>
            <w:r>
              <w:rPr>
                <w:rFonts w:hint="eastAsia" w:eastAsia="等线" w:cs="宋体"/>
                <w:color w:val="000000" w:themeColor="text1"/>
              </w:rPr>
              <w:t>30mm</w:t>
            </w:r>
            <w:r>
              <w:rPr>
                <w:rFonts w:hint="eastAsia" w:ascii="仿宋_GB2312" w:cs="宋体"/>
                <w:color w:val="000000" w:themeColor="text1"/>
              </w:rPr>
              <w:t>宽的软聚氨酯鸭嘴边弧形封边条。</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3</w:t>
            </w:r>
            <w:r>
              <w:rPr>
                <w:rFonts w:hint="eastAsia" w:ascii="仿宋_GB2312" w:cs="宋体"/>
                <w:color w:val="000000" w:themeColor="text1"/>
              </w:rPr>
              <w:t>、框架结构中各部件使用一级冷轧钢板冲压折弯成型、主体框架使用不低于</w:t>
            </w:r>
            <w:r>
              <w:rPr>
                <w:rFonts w:hint="eastAsia" w:eastAsia="等线" w:cs="宋体"/>
                <w:color w:val="000000" w:themeColor="text1"/>
              </w:rPr>
              <w:t>2mm</w:t>
            </w:r>
            <w:r>
              <w:rPr>
                <w:rFonts w:hint="eastAsia" w:ascii="仿宋_GB2312" w:cs="宋体"/>
                <w:color w:val="000000" w:themeColor="text1"/>
              </w:rPr>
              <w:t>厚的一级冷轧钢板加工、承重梁部件使用不低于</w:t>
            </w:r>
            <w:r>
              <w:rPr>
                <w:rFonts w:hint="eastAsia" w:eastAsia="等线" w:cs="宋体"/>
                <w:color w:val="000000" w:themeColor="text1"/>
              </w:rPr>
              <w:t>3mm</w:t>
            </w:r>
            <w:r>
              <w:rPr>
                <w:rFonts w:hint="eastAsia" w:ascii="仿宋_GB2312" w:cs="宋体"/>
                <w:color w:val="000000" w:themeColor="text1"/>
              </w:rPr>
              <w:t>厚的一级冷轧钢板加工，外表面静电塑粉喷涂。</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4</w:t>
            </w:r>
            <w:r>
              <w:rPr>
                <w:rFonts w:hint="eastAsia" w:ascii="仿宋_GB2312" w:cs="宋体"/>
                <w:color w:val="000000" w:themeColor="text1"/>
              </w:rPr>
              <w:t>、前后门板：使用实木颗粒板双贴防火板加工（不使用金属门板及门板开散热孔的方式），整体厚度不低于</w:t>
            </w:r>
            <w:r>
              <w:rPr>
                <w:rFonts w:hint="eastAsia" w:eastAsia="等线" w:cs="宋体"/>
                <w:color w:val="000000" w:themeColor="text1"/>
              </w:rPr>
              <w:t>20mm</w:t>
            </w:r>
            <w:r>
              <w:rPr>
                <w:rFonts w:hint="eastAsia" w:ascii="仿宋_GB2312" w:cs="宋体"/>
                <w:color w:val="000000" w:themeColor="text1"/>
              </w:rPr>
              <w:t>，连接铰链使用高档的无声缓冲铰链安装，应具有质轻，手感好，开关门噪音小等优点，保证其</w:t>
            </w:r>
            <w:r>
              <w:rPr>
                <w:rFonts w:hint="eastAsia" w:eastAsia="等线" w:cs="宋体"/>
                <w:color w:val="000000" w:themeColor="text1"/>
              </w:rPr>
              <w:t>10</w:t>
            </w:r>
            <w:r>
              <w:rPr>
                <w:rFonts w:hint="eastAsia" w:ascii="仿宋_GB2312" w:cs="宋体"/>
                <w:color w:val="000000" w:themeColor="text1"/>
              </w:rPr>
              <w:t>万次无障碍开启。同时铰链安装方式必须为快装式、方便安装和拆卸。</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5</w:t>
            </w:r>
            <w:r>
              <w:rPr>
                <w:rFonts w:hint="eastAsia" w:ascii="仿宋_GB2312" w:cs="宋体"/>
                <w:color w:val="000000" w:themeColor="text1"/>
              </w:rPr>
              <w:t>、侧板：表面覆盖层均需采用高质量的具有耐热、耐烟灼、耐撞击、耐潮湿、防水、耐腐蚀的高强度防火板，基材为</w:t>
            </w:r>
            <w:r>
              <w:rPr>
                <w:rFonts w:hint="eastAsia" w:eastAsia="等线" w:cs="宋体"/>
                <w:color w:val="000000" w:themeColor="text1"/>
              </w:rPr>
              <w:t>18mm</w:t>
            </w:r>
            <w:r>
              <w:rPr>
                <w:rFonts w:hint="eastAsia" w:ascii="仿宋_GB2312" w:cs="宋体"/>
                <w:color w:val="000000" w:themeColor="text1"/>
              </w:rPr>
              <w:t>实木颗粒板，板材甲醛释放量均需达到</w:t>
            </w:r>
            <w:r>
              <w:rPr>
                <w:rFonts w:hint="eastAsia" w:eastAsia="等线" w:cs="宋体"/>
                <w:color w:val="000000" w:themeColor="text1"/>
              </w:rPr>
              <w:t>E1</w:t>
            </w:r>
            <w:r>
              <w:rPr>
                <w:rFonts w:hint="eastAsia" w:ascii="仿宋_GB2312" w:cs="宋体"/>
                <w:color w:val="000000" w:themeColor="text1"/>
              </w:rPr>
              <w:t>级国际标准（需提供正规检测机构出具的</w:t>
            </w:r>
            <w:r>
              <w:rPr>
                <w:rFonts w:hint="eastAsia" w:eastAsia="等线" w:cs="宋体"/>
                <w:color w:val="000000" w:themeColor="text1"/>
              </w:rPr>
              <w:t>E1</w:t>
            </w:r>
            <w:r>
              <w:rPr>
                <w:rFonts w:hint="eastAsia" w:ascii="仿宋_GB2312" w:cs="宋体"/>
                <w:color w:val="000000" w:themeColor="text1"/>
              </w:rPr>
              <w:t>级检测报告）。</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6</w:t>
            </w:r>
            <w:r>
              <w:rPr>
                <w:rFonts w:hint="eastAsia" w:ascii="仿宋_GB2312" w:cs="宋体"/>
                <w:color w:val="000000" w:themeColor="text1"/>
              </w:rPr>
              <w:t>、预留足够的强弱电插口，并隐藏于小型检修面板之下，可方便快速检修维护接插强弱电信息点。</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7</w:t>
            </w:r>
            <w:r>
              <w:rPr>
                <w:rFonts w:hint="eastAsia" w:ascii="仿宋_GB2312" w:cs="宋体"/>
                <w:color w:val="000000" w:themeColor="text1"/>
              </w:rPr>
              <w:t>、控制台产品所使用的粘合剂应符合国家环保要求。</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8</w:t>
            </w:r>
            <w:r>
              <w:rPr>
                <w:rFonts w:hint="eastAsia" w:ascii="仿宋_GB2312" w:cs="宋体"/>
                <w:color w:val="000000" w:themeColor="text1"/>
              </w:rPr>
              <w:t>、控制台产品所使用的涂漆材料应无</w:t>
            </w:r>
            <w:r>
              <w:rPr>
                <w:rFonts w:hint="eastAsia" w:eastAsia="等线" w:cs="宋体"/>
                <w:color w:val="000000" w:themeColor="text1"/>
              </w:rPr>
              <w:t>VOC</w:t>
            </w:r>
            <w:r>
              <w:rPr>
                <w:rFonts w:hint="eastAsia" w:ascii="仿宋_GB2312" w:cs="宋体"/>
                <w:color w:val="000000" w:themeColor="text1"/>
              </w:rPr>
              <w:t>（挥发性有机化合物）排放。</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9</w:t>
            </w:r>
            <w:r>
              <w:rPr>
                <w:rFonts w:hint="eastAsia" w:ascii="仿宋_GB2312" w:cs="宋体"/>
                <w:color w:val="000000" w:themeColor="text1"/>
              </w:rPr>
              <w:t>、控制台产品应有国家家具及室内环境质量监督检验中心出具的检验合格</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领导指挥席位</w:t>
            </w: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5</w:t>
            </w:r>
            <w:r>
              <w:rPr>
                <w:rFonts w:hint="eastAsia" w:ascii="仿宋_GB2312" w:cs="宋体"/>
                <w:color w:val="000000" w:themeColor="text1"/>
              </w:rPr>
              <w:t>个席位一组，每组控制台长度</w:t>
            </w:r>
            <w:r>
              <w:rPr>
                <w:rFonts w:hint="eastAsia" w:eastAsia="等线" w:cs="宋体"/>
                <w:color w:val="000000" w:themeColor="text1"/>
              </w:rPr>
              <w:t>4835mm</w:t>
            </w:r>
            <w:r>
              <w:rPr>
                <w:rFonts w:hint="eastAsia" w:ascii="仿宋_GB2312" w:cs="宋体"/>
                <w:color w:val="000000" w:themeColor="text1"/>
              </w:rPr>
              <w:t>，深度</w:t>
            </w:r>
            <w:r>
              <w:rPr>
                <w:rFonts w:hint="eastAsia" w:eastAsia="等线" w:cs="宋体"/>
                <w:color w:val="000000" w:themeColor="text1"/>
              </w:rPr>
              <w:t>1000mm</w:t>
            </w:r>
            <w:r>
              <w:rPr>
                <w:rFonts w:hint="eastAsia" w:ascii="仿宋_GB2312" w:cs="宋体"/>
                <w:color w:val="000000" w:themeColor="text1"/>
              </w:rPr>
              <w:t>，高度</w:t>
            </w:r>
            <w:r>
              <w:rPr>
                <w:rFonts w:hint="eastAsia" w:eastAsia="等线" w:cs="宋体"/>
                <w:color w:val="000000" w:themeColor="text1"/>
              </w:rPr>
              <w:t>740mm</w:t>
            </w:r>
            <w:r>
              <w:rPr>
                <w:rFonts w:hint="eastAsia" w:ascii="仿宋_GB2312" w:cs="宋体"/>
                <w:color w:val="000000" w:themeColor="text1"/>
              </w:rPr>
              <w:t>；</w:t>
            </w:r>
          </w:p>
        </w:tc>
        <w:tc>
          <w:tcPr>
            <w:tcW w:w="775"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vMerge w:val="restart"/>
            <w:tcBorders>
              <w:top w:val="nil"/>
              <w:left w:val="single" w:color="auto" w:sz="8" w:space="0"/>
              <w:bottom w:val="single" w:color="000000"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组</w:t>
            </w: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1</w:t>
            </w:r>
            <w:r>
              <w:rPr>
                <w:rFonts w:hint="eastAsia" w:ascii="仿宋_GB2312" w:cs="宋体"/>
                <w:color w:val="000000" w:themeColor="text1"/>
              </w:rPr>
              <w:t>、工作台面板：表面覆盖层应采用具有耐热、耐烟灼、耐撞击、耐潮湿、防水、耐腐蚀的高强度高压耐磨板（</w:t>
            </w:r>
            <w:r>
              <w:rPr>
                <w:rFonts w:hint="eastAsia" w:eastAsia="等线" w:cs="宋体"/>
                <w:color w:val="000000" w:themeColor="text1"/>
              </w:rPr>
              <w:t>HPL</w:t>
            </w:r>
            <w:r>
              <w:rPr>
                <w:rFonts w:hint="eastAsia" w:ascii="仿宋_GB2312" w:cs="宋体"/>
                <w:color w:val="000000" w:themeColor="text1"/>
              </w:rPr>
              <w:t>），整体厚度不低于</w:t>
            </w:r>
            <w:r>
              <w:rPr>
                <w:rFonts w:hint="eastAsia" w:eastAsia="等线" w:cs="宋体"/>
                <w:color w:val="000000" w:themeColor="text1"/>
              </w:rPr>
              <w:t>27mm</w:t>
            </w:r>
            <w:r>
              <w:rPr>
                <w:rFonts w:hint="eastAsia" w:ascii="仿宋_GB2312" w:cs="宋体"/>
                <w:color w:val="000000" w:themeColor="text1"/>
              </w:rPr>
              <w:t>。</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2</w:t>
            </w:r>
            <w:r>
              <w:rPr>
                <w:rFonts w:hint="eastAsia" w:ascii="仿宋_GB2312" w:cs="宋体"/>
                <w:color w:val="000000" w:themeColor="text1"/>
              </w:rPr>
              <w:t>、大面板封边：大面板前端采用与人体接触部位使用不小于</w:t>
            </w:r>
            <w:r>
              <w:rPr>
                <w:rFonts w:hint="eastAsia" w:eastAsia="等线" w:cs="宋体"/>
                <w:color w:val="000000" w:themeColor="text1"/>
              </w:rPr>
              <w:t>30mm</w:t>
            </w:r>
            <w:r>
              <w:rPr>
                <w:rFonts w:hint="eastAsia" w:ascii="仿宋_GB2312" w:cs="宋体"/>
                <w:color w:val="000000" w:themeColor="text1"/>
              </w:rPr>
              <w:t>宽的软聚氨酯鸭嘴边弧形封边条。</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3</w:t>
            </w:r>
            <w:r>
              <w:rPr>
                <w:rFonts w:hint="eastAsia" w:ascii="仿宋_GB2312" w:cs="宋体"/>
                <w:color w:val="000000" w:themeColor="text1"/>
              </w:rPr>
              <w:t>、框架结构中各部件使用一级冷轧钢板冲压折弯成型、主体框架使用不低于</w:t>
            </w:r>
            <w:r>
              <w:rPr>
                <w:rFonts w:hint="eastAsia" w:eastAsia="等线" w:cs="宋体"/>
                <w:color w:val="000000" w:themeColor="text1"/>
              </w:rPr>
              <w:t>2mm</w:t>
            </w:r>
            <w:r>
              <w:rPr>
                <w:rFonts w:hint="eastAsia" w:ascii="仿宋_GB2312" w:cs="宋体"/>
                <w:color w:val="000000" w:themeColor="text1"/>
              </w:rPr>
              <w:t>厚的一级冷轧钢板加工、承重梁部件使用不低于</w:t>
            </w:r>
            <w:r>
              <w:rPr>
                <w:rFonts w:hint="eastAsia" w:eastAsia="等线" w:cs="宋体"/>
                <w:color w:val="000000" w:themeColor="text1"/>
              </w:rPr>
              <w:t>3mm</w:t>
            </w:r>
            <w:r>
              <w:rPr>
                <w:rFonts w:hint="eastAsia" w:ascii="仿宋_GB2312" w:cs="宋体"/>
                <w:color w:val="000000" w:themeColor="text1"/>
              </w:rPr>
              <w:t>厚的一级冷轧钢板加工，外表面静电塑粉喷涂。</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4</w:t>
            </w:r>
            <w:r>
              <w:rPr>
                <w:rFonts w:hint="eastAsia" w:ascii="仿宋_GB2312" w:cs="宋体"/>
                <w:color w:val="000000" w:themeColor="text1"/>
              </w:rPr>
              <w:t>、前后门板：使用实木颗粒板双贴防火板加工（不使用金属门板及门板开散热孔的方式），整体厚度不低于</w:t>
            </w:r>
            <w:r>
              <w:rPr>
                <w:rFonts w:hint="eastAsia" w:eastAsia="等线" w:cs="宋体"/>
                <w:color w:val="000000" w:themeColor="text1"/>
              </w:rPr>
              <w:t>20mm</w:t>
            </w:r>
            <w:r>
              <w:rPr>
                <w:rFonts w:hint="eastAsia" w:ascii="仿宋_GB2312" w:cs="宋体"/>
                <w:color w:val="000000" w:themeColor="text1"/>
              </w:rPr>
              <w:t>，连接铰链使用高档的无声缓冲铰链安装，应具有质轻，手感好，开关门噪音小等优点，保证其</w:t>
            </w:r>
            <w:r>
              <w:rPr>
                <w:rFonts w:hint="eastAsia" w:eastAsia="等线" w:cs="宋体"/>
                <w:color w:val="000000" w:themeColor="text1"/>
              </w:rPr>
              <w:t>10</w:t>
            </w:r>
            <w:r>
              <w:rPr>
                <w:rFonts w:hint="eastAsia" w:ascii="仿宋_GB2312" w:cs="宋体"/>
                <w:color w:val="000000" w:themeColor="text1"/>
              </w:rPr>
              <w:t>万次无障碍开启。同时铰链安装方式必须为快装式、方便安装和拆卸。</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5</w:t>
            </w:r>
            <w:r>
              <w:rPr>
                <w:rFonts w:hint="eastAsia" w:ascii="仿宋_GB2312" w:cs="宋体"/>
                <w:color w:val="000000" w:themeColor="text1"/>
              </w:rPr>
              <w:t>、侧板：表面覆盖层均需采用高质量的具有耐热、耐烟灼、耐撞击、耐潮湿、防水、耐腐蚀的高强度防火板，基材为</w:t>
            </w:r>
            <w:r>
              <w:rPr>
                <w:rFonts w:hint="eastAsia" w:eastAsia="等线" w:cs="宋体"/>
                <w:color w:val="000000" w:themeColor="text1"/>
              </w:rPr>
              <w:t>18mm</w:t>
            </w:r>
            <w:r>
              <w:rPr>
                <w:rFonts w:hint="eastAsia" w:ascii="仿宋_GB2312" w:cs="宋体"/>
                <w:color w:val="000000" w:themeColor="text1"/>
              </w:rPr>
              <w:t>实木颗粒板，板材甲醛释放量均需达到</w:t>
            </w:r>
            <w:r>
              <w:rPr>
                <w:rFonts w:hint="eastAsia" w:eastAsia="等线" w:cs="宋体"/>
                <w:color w:val="000000" w:themeColor="text1"/>
              </w:rPr>
              <w:t>E1</w:t>
            </w:r>
            <w:r>
              <w:rPr>
                <w:rFonts w:hint="eastAsia" w:ascii="仿宋_GB2312" w:cs="宋体"/>
                <w:color w:val="000000" w:themeColor="text1"/>
              </w:rPr>
              <w:t>级国际标准（需提供正规检测机构出具的</w:t>
            </w:r>
            <w:r>
              <w:rPr>
                <w:rFonts w:hint="eastAsia" w:eastAsia="等线" w:cs="宋体"/>
                <w:color w:val="000000" w:themeColor="text1"/>
              </w:rPr>
              <w:t>E1</w:t>
            </w:r>
            <w:r>
              <w:rPr>
                <w:rFonts w:hint="eastAsia" w:ascii="仿宋_GB2312" w:cs="宋体"/>
                <w:color w:val="000000" w:themeColor="text1"/>
              </w:rPr>
              <w:t>级检测报告）。</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6</w:t>
            </w:r>
            <w:r>
              <w:rPr>
                <w:rFonts w:hint="eastAsia" w:ascii="仿宋_GB2312" w:cs="宋体"/>
                <w:color w:val="000000" w:themeColor="text1"/>
              </w:rPr>
              <w:t>、预留足够的强弱电插口，并隐藏于小型检修面板之下，可方便快速检修维护接插强弱电信息点。</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7</w:t>
            </w:r>
            <w:r>
              <w:rPr>
                <w:rFonts w:hint="eastAsia" w:ascii="仿宋_GB2312" w:cs="宋体"/>
                <w:color w:val="000000" w:themeColor="text1"/>
              </w:rPr>
              <w:t>、控制台产品所使用的粘合剂应符合国家环保要求。</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nil"/>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8</w:t>
            </w:r>
            <w:r>
              <w:rPr>
                <w:rFonts w:hint="eastAsia" w:ascii="仿宋_GB2312" w:cs="宋体"/>
                <w:color w:val="000000" w:themeColor="text1"/>
              </w:rPr>
              <w:t>、控制台产品所使用的涂漆材料应无</w:t>
            </w:r>
            <w:r>
              <w:rPr>
                <w:rFonts w:hint="eastAsia" w:eastAsia="等线" w:cs="宋体"/>
                <w:color w:val="000000" w:themeColor="text1"/>
              </w:rPr>
              <w:t>VOC</w:t>
            </w:r>
            <w:r>
              <w:rPr>
                <w:rFonts w:hint="eastAsia" w:ascii="仿宋_GB2312" w:cs="宋体"/>
                <w:color w:val="000000" w:themeColor="text1"/>
              </w:rPr>
              <w:t>（挥发性有机化合物）排放。</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9</w:t>
            </w:r>
            <w:r>
              <w:rPr>
                <w:rFonts w:hint="eastAsia" w:ascii="仿宋_GB2312" w:cs="宋体"/>
                <w:color w:val="000000" w:themeColor="text1"/>
              </w:rPr>
              <w:t>、控制台产品应有国家家具及室内环境质量监督检验中心出具的检验合格</w:t>
            </w:r>
          </w:p>
        </w:tc>
        <w:tc>
          <w:tcPr>
            <w:tcW w:w="775" w:type="dxa"/>
            <w:vMerge w:val="continue"/>
            <w:tcBorders>
              <w:top w:val="nil"/>
              <w:left w:val="single" w:color="auto" w:sz="8" w:space="0"/>
              <w:bottom w:val="single" w:color="000000" w:sz="8" w:space="0"/>
              <w:right w:val="single" w:color="auto" w:sz="8" w:space="0"/>
            </w:tcBorders>
            <w:vAlign w:val="center"/>
          </w:tcPr>
          <w:p>
            <w:pPr>
              <w:spacing w:line="300" w:lineRule="exact"/>
              <w:rPr>
                <w:rFonts w:eastAsia="等线" w:cs="宋体"/>
                <w:color w:val="000000" w:themeColor="text1"/>
              </w:rPr>
            </w:pPr>
          </w:p>
        </w:tc>
        <w:tc>
          <w:tcPr>
            <w:tcW w:w="456" w:type="dxa"/>
            <w:vMerge w:val="continue"/>
            <w:tcBorders>
              <w:top w:val="nil"/>
              <w:left w:val="single" w:color="auto" w:sz="8" w:space="0"/>
              <w:bottom w:val="single" w:color="000000" w:sz="8" w:space="0"/>
              <w:right w:val="single" w:color="auto" w:sz="4" w:space="0"/>
            </w:tcBorders>
            <w:vAlign w:val="center"/>
          </w:tcPr>
          <w:p>
            <w:pPr>
              <w:spacing w:line="300" w:lineRule="exact"/>
              <w:rPr>
                <w:rFonts w:ascii="仿宋_GB2312" w:hAnsi="宋体" w:cs="宋体"/>
                <w:color w:val="000000" w:themeColor="text1"/>
              </w:rPr>
            </w:pP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3</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显示器支臂</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单层液压显示器支臂</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36</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4</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键盘托盘</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台下键盘托盘</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12</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5</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PDU</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6</w:t>
            </w:r>
            <w:r>
              <w:rPr>
                <w:rFonts w:hint="eastAsia" w:ascii="仿宋_GB2312" w:cs="宋体"/>
                <w:color w:val="000000" w:themeColor="text1"/>
              </w:rPr>
              <w:t>位</w:t>
            </w:r>
            <w:r>
              <w:rPr>
                <w:rFonts w:hint="eastAsia" w:eastAsia="等线" w:cs="宋体"/>
                <w:color w:val="000000" w:themeColor="text1"/>
              </w:rPr>
              <w:t>3</w:t>
            </w:r>
            <w:r>
              <w:rPr>
                <w:rFonts w:hint="eastAsia" w:ascii="仿宋_GB2312" w:cs="宋体"/>
                <w:color w:val="000000" w:themeColor="text1"/>
              </w:rPr>
              <w:t>孔</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24</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6</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调度椅</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多功能调度工作椅，椅座可升降调整、椅背可倾斜调整、带头枕且可调节、带扶手且可调节、结实耐用</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12</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张</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7</w:t>
            </w:r>
          </w:p>
        </w:tc>
        <w:tc>
          <w:tcPr>
            <w:tcW w:w="1176"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会商作战区</w:t>
            </w: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会商室会议桌</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规格</w:t>
            </w:r>
            <w:r>
              <w:rPr>
                <w:rFonts w:hint="eastAsia" w:eastAsia="等线" w:cs="宋体"/>
                <w:color w:val="000000" w:themeColor="text1"/>
              </w:rPr>
              <w:t>3600mm*1400mm</w:t>
            </w:r>
            <w:r>
              <w:rPr>
                <w:rFonts w:hint="eastAsia" w:ascii="仿宋_GB2312" w:hAnsi="宋体" w:cs="宋体"/>
                <w:color w:val="000000" w:themeColor="text1"/>
              </w:rPr>
              <w:t>，台面实木板材处理，压贴面和喷漆处理；桌角需倒角，避免磕碰；预留弱电设备嵌入位置</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张</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8</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会议椅</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背、座为优质真皮，其余部分采用实木结构。固定四脚落地，不可滑动。</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10</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张</w:t>
            </w:r>
          </w:p>
        </w:tc>
      </w:tr>
      <w:tr>
        <w:tblPrEx>
          <w:tblLayout w:type="fixed"/>
          <w:tblCellMar>
            <w:top w:w="0" w:type="dxa"/>
            <w:left w:w="108" w:type="dxa"/>
            <w:bottom w:w="0" w:type="dxa"/>
            <w:right w:w="108" w:type="dxa"/>
          </w:tblCellMar>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9</w:t>
            </w:r>
          </w:p>
        </w:tc>
        <w:tc>
          <w:tcPr>
            <w:tcW w:w="1176"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视频会议室</w:t>
            </w: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视频会议席位</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eastAsia="等线" w:cs="宋体"/>
                <w:color w:val="000000" w:themeColor="text1"/>
              </w:rPr>
            </w:pPr>
            <w:r>
              <w:rPr>
                <w:rFonts w:hint="eastAsia" w:eastAsia="等线" w:cs="宋体"/>
                <w:color w:val="000000" w:themeColor="text1"/>
              </w:rPr>
              <w:t>5</w:t>
            </w:r>
            <w:r>
              <w:rPr>
                <w:rFonts w:hint="eastAsia" w:ascii="仿宋_GB2312" w:cs="宋体"/>
                <w:color w:val="000000" w:themeColor="text1"/>
              </w:rPr>
              <w:t>个席位，长</w:t>
            </w:r>
            <w:r>
              <w:rPr>
                <w:rFonts w:hint="eastAsia" w:eastAsia="等线" w:cs="宋体"/>
                <w:color w:val="000000" w:themeColor="text1"/>
              </w:rPr>
              <w:t>4500mm</w:t>
            </w:r>
            <w:r>
              <w:rPr>
                <w:rFonts w:hint="eastAsia" w:ascii="仿宋_GB2312" w:cs="宋体"/>
                <w:color w:val="000000" w:themeColor="text1"/>
              </w:rPr>
              <w:t>，深</w:t>
            </w:r>
            <w:r>
              <w:rPr>
                <w:rFonts w:hint="eastAsia" w:eastAsia="等线" w:cs="宋体"/>
                <w:color w:val="000000" w:themeColor="text1"/>
              </w:rPr>
              <w:t>600mm</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3</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套</w:t>
            </w:r>
          </w:p>
        </w:tc>
      </w:tr>
      <w:tr>
        <w:tblPrEx>
          <w:tblLayout w:type="fixed"/>
        </w:tblPrEx>
        <w:tc>
          <w:tcPr>
            <w:tcW w:w="469" w:type="dxa"/>
            <w:tcBorders>
              <w:top w:val="nil"/>
              <w:left w:val="single" w:color="auto" w:sz="8" w:space="0"/>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10</w:t>
            </w:r>
          </w:p>
        </w:tc>
        <w:tc>
          <w:tcPr>
            <w:tcW w:w="117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rPr>
            </w:pPr>
          </w:p>
        </w:tc>
        <w:tc>
          <w:tcPr>
            <w:tcW w:w="118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会议椅</w:t>
            </w:r>
          </w:p>
        </w:tc>
        <w:tc>
          <w:tcPr>
            <w:tcW w:w="4370"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背、座为优质真皮，其余部分采用实木结构。固定四脚落地，不可滑动。</w:t>
            </w:r>
          </w:p>
        </w:tc>
        <w:tc>
          <w:tcPr>
            <w:tcW w:w="775" w:type="dxa"/>
            <w:tcBorders>
              <w:top w:val="nil"/>
              <w:left w:val="nil"/>
              <w:bottom w:val="single" w:color="auto" w:sz="8" w:space="0"/>
              <w:right w:val="single" w:color="auto" w:sz="8" w:space="0"/>
            </w:tcBorders>
            <w:shd w:val="clear" w:color="auto" w:fill="auto"/>
            <w:vAlign w:val="center"/>
          </w:tcPr>
          <w:p>
            <w:pPr>
              <w:spacing w:line="300" w:lineRule="exact"/>
              <w:jc w:val="right"/>
              <w:rPr>
                <w:rFonts w:eastAsia="等线" w:cs="宋体"/>
                <w:color w:val="000000" w:themeColor="text1"/>
              </w:rPr>
            </w:pPr>
            <w:r>
              <w:rPr>
                <w:rFonts w:hint="eastAsia" w:eastAsia="等线" w:cs="宋体"/>
                <w:color w:val="000000" w:themeColor="text1"/>
              </w:rPr>
              <w:t>15</w:t>
            </w:r>
          </w:p>
        </w:tc>
        <w:tc>
          <w:tcPr>
            <w:tcW w:w="456" w:type="dxa"/>
            <w:tcBorders>
              <w:top w:val="nil"/>
              <w:left w:val="nil"/>
              <w:bottom w:val="single" w:color="auto" w:sz="8" w:space="0"/>
              <w:right w:val="single" w:color="auto" w:sz="4" w:space="0"/>
            </w:tcBorders>
            <w:shd w:val="clear" w:color="auto" w:fill="auto"/>
            <w:vAlign w:val="center"/>
          </w:tcPr>
          <w:p>
            <w:pPr>
              <w:spacing w:line="300" w:lineRule="exact"/>
              <w:rPr>
                <w:rFonts w:ascii="仿宋_GB2312" w:hAnsi="宋体" w:cs="宋体"/>
                <w:color w:val="000000" w:themeColor="text1"/>
              </w:rPr>
            </w:pPr>
            <w:r>
              <w:rPr>
                <w:rFonts w:hint="eastAsia" w:ascii="仿宋_GB2312" w:hAnsi="宋体" w:cs="宋体"/>
                <w:color w:val="000000" w:themeColor="text1"/>
              </w:rPr>
              <w:t>张</w:t>
            </w:r>
          </w:p>
        </w:tc>
      </w:tr>
    </w:tbl>
    <w:p>
      <w:pPr>
        <w:snapToGrid w:val="0"/>
        <w:rPr>
          <w:rFonts w:ascii="宋体" w:hAnsi="宋体"/>
          <w:b/>
          <w:color w:val="000000" w:themeColor="text1"/>
        </w:rPr>
      </w:pPr>
    </w:p>
    <w:p>
      <w:pPr>
        <w:snapToGrid w:val="0"/>
        <w:ind w:firstLine="482"/>
        <w:rPr>
          <w:rFonts w:ascii="宋体" w:hAnsi="宋体"/>
          <w:b/>
          <w:color w:val="000000" w:themeColor="text1"/>
        </w:rPr>
      </w:pPr>
      <w:r>
        <w:rPr>
          <w:rFonts w:hint="eastAsia" w:ascii="宋体" w:hAnsi="宋体"/>
          <w:b/>
          <w:color w:val="000000" w:themeColor="text1"/>
        </w:rPr>
        <w:t>附表1：指挥大厅装修工程量清单</w:t>
      </w:r>
    </w:p>
    <w:tbl>
      <w:tblPr>
        <w:tblStyle w:val="53"/>
        <w:tblW w:w="8420" w:type="dxa"/>
        <w:tblInd w:w="108" w:type="dxa"/>
        <w:tblLayout w:type="fixed"/>
        <w:tblCellMar>
          <w:top w:w="0" w:type="dxa"/>
          <w:left w:w="108" w:type="dxa"/>
          <w:bottom w:w="0" w:type="dxa"/>
          <w:right w:w="108" w:type="dxa"/>
        </w:tblCellMar>
      </w:tblPr>
      <w:tblGrid>
        <w:gridCol w:w="427"/>
        <w:gridCol w:w="427"/>
        <w:gridCol w:w="1944"/>
        <w:gridCol w:w="4547"/>
        <w:gridCol w:w="616"/>
        <w:gridCol w:w="459"/>
      </w:tblGrid>
      <w:tr>
        <w:tblPrEx>
          <w:tblLayout w:type="fixed"/>
          <w:tblCellMar>
            <w:top w:w="0" w:type="dxa"/>
            <w:left w:w="108" w:type="dxa"/>
            <w:bottom w:w="0" w:type="dxa"/>
            <w:right w:w="108" w:type="dxa"/>
          </w:tblCellMar>
        </w:tblPrEx>
        <w:trPr>
          <w:trHeight w:val="585" w:hRule="atLeast"/>
        </w:trPr>
        <w:tc>
          <w:tcPr>
            <w:tcW w:w="427" w:type="dxa"/>
            <w:tcBorders>
              <w:top w:val="single" w:color="auto" w:sz="8" w:space="0"/>
              <w:left w:val="single" w:color="auto" w:sz="8" w:space="0"/>
              <w:bottom w:val="single" w:color="auto" w:sz="8" w:space="0"/>
              <w:right w:val="single" w:color="auto" w:sz="8" w:space="0"/>
            </w:tcBorders>
            <w:shd w:val="clear" w:color="000000" w:fill="C5D9F1"/>
            <w:vAlign w:val="center"/>
          </w:tcPr>
          <w:p>
            <w:pPr>
              <w:spacing w:line="300" w:lineRule="exact"/>
              <w:rPr>
                <w:rFonts w:ascii="仿宋_GB2312" w:hAnsi="宋体" w:cs="宋体"/>
                <w:b/>
                <w:bCs/>
                <w:color w:val="000000" w:themeColor="text1"/>
              </w:rPr>
            </w:pPr>
            <w:r>
              <w:rPr>
                <w:rFonts w:hint="eastAsia" w:ascii="仿宋_GB2312" w:hAnsi="宋体" w:cs="宋体"/>
                <w:b/>
                <w:bCs/>
                <w:color w:val="000000" w:themeColor="text1"/>
              </w:rPr>
              <w:t>序号</w:t>
            </w:r>
          </w:p>
        </w:tc>
        <w:tc>
          <w:tcPr>
            <w:tcW w:w="427" w:type="dxa"/>
            <w:tcBorders>
              <w:top w:val="single" w:color="auto" w:sz="8" w:space="0"/>
              <w:left w:val="nil"/>
              <w:bottom w:val="single" w:color="auto" w:sz="8" w:space="0"/>
              <w:right w:val="single" w:color="auto" w:sz="8" w:space="0"/>
            </w:tcBorders>
            <w:shd w:val="clear" w:color="000000" w:fill="C5D9F1"/>
            <w:vAlign w:val="center"/>
          </w:tcPr>
          <w:p>
            <w:pPr>
              <w:spacing w:line="300" w:lineRule="exact"/>
              <w:jc w:val="center"/>
              <w:rPr>
                <w:rFonts w:ascii="仿宋_GB2312" w:hAnsi="宋体" w:cs="宋体"/>
                <w:b/>
                <w:bCs/>
                <w:color w:val="000000" w:themeColor="text1"/>
              </w:rPr>
            </w:pPr>
            <w:r>
              <w:rPr>
                <w:rFonts w:hint="eastAsia" w:ascii="仿宋_GB2312" w:hAnsi="宋体" w:cs="宋体"/>
                <w:b/>
                <w:bCs/>
                <w:color w:val="000000" w:themeColor="text1"/>
              </w:rPr>
              <w:t>项目</w:t>
            </w:r>
          </w:p>
        </w:tc>
        <w:tc>
          <w:tcPr>
            <w:tcW w:w="1944" w:type="dxa"/>
            <w:tcBorders>
              <w:top w:val="single" w:color="auto" w:sz="8" w:space="0"/>
              <w:left w:val="nil"/>
              <w:bottom w:val="single" w:color="auto" w:sz="8" w:space="0"/>
              <w:right w:val="single" w:color="auto" w:sz="8" w:space="0"/>
            </w:tcBorders>
            <w:shd w:val="clear" w:color="000000" w:fill="C5D9F1"/>
            <w:vAlign w:val="center"/>
          </w:tcPr>
          <w:p>
            <w:pPr>
              <w:spacing w:line="300" w:lineRule="exact"/>
              <w:jc w:val="center"/>
              <w:rPr>
                <w:rFonts w:ascii="仿宋_GB2312" w:hAnsi="宋体" w:cs="宋体"/>
                <w:b/>
                <w:bCs/>
                <w:color w:val="000000" w:themeColor="text1"/>
              </w:rPr>
            </w:pPr>
            <w:r>
              <w:rPr>
                <w:rFonts w:hint="eastAsia" w:ascii="仿宋_GB2312" w:hAnsi="宋体" w:cs="宋体"/>
                <w:b/>
                <w:bCs/>
                <w:color w:val="000000" w:themeColor="text1"/>
              </w:rPr>
              <w:t>子项目</w:t>
            </w:r>
          </w:p>
        </w:tc>
        <w:tc>
          <w:tcPr>
            <w:tcW w:w="4547" w:type="dxa"/>
            <w:tcBorders>
              <w:top w:val="single" w:color="auto" w:sz="8" w:space="0"/>
              <w:left w:val="nil"/>
              <w:bottom w:val="single" w:color="auto" w:sz="8" w:space="0"/>
              <w:right w:val="single" w:color="auto" w:sz="8" w:space="0"/>
            </w:tcBorders>
            <w:shd w:val="clear" w:color="000000" w:fill="C5D9F1"/>
            <w:vAlign w:val="center"/>
          </w:tcPr>
          <w:p>
            <w:pPr>
              <w:spacing w:line="300" w:lineRule="exact"/>
              <w:jc w:val="center"/>
              <w:rPr>
                <w:rFonts w:ascii="仿宋_GB2312" w:hAnsi="宋体" w:cs="宋体"/>
                <w:b/>
                <w:bCs/>
                <w:color w:val="000000" w:themeColor="text1"/>
              </w:rPr>
            </w:pPr>
            <w:r>
              <w:rPr>
                <w:rFonts w:hint="eastAsia" w:ascii="仿宋_GB2312" w:hAnsi="宋体" w:cs="宋体"/>
                <w:b/>
                <w:bCs/>
                <w:color w:val="000000" w:themeColor="text1"/>
              </w:rPr>
              <w:t>技术参数要求</w:t>
            </w:r>
          </w:p>
        </w:tc>
        <w:tc>
          <w:tcPr>
            <w:tcW w:w="616" w:type="dxa"/>
            <w:tcBorders>
              <w:top w:val="single" w:color="auto" w:sz="8" w:space="0"/>
              <w:left w:val="nil"/>
              <w:bottom w:val="single" w:color="auto" w:sz="8" w:space="0"/>
              <w:right w:val="single" w:color="auto" w:sz="8" w:space="0"/>
            </w:tcBorders>
            <w:shd w:val="clear" w:color="000000" w:fill="C5D9F1"/>
            <w:vAlign w:val="center"/>
          </w:tcPr>
          <w:p>
            <w:pPr>
              <w:spacing w:line="300" w:lineRule="exact"/>
              <w:jc w:val="center"/>
              <w:rPr>
                <w:rFonts w:ascii="仿宋_GB2312" w:hAnsi="宋体" w:cs="宋体"/>
                <w:b/>
                <w:bCs/>
                <w:color w:val="000000" w:themeColor="text1"/>
              </w:rPr>
            </w:pPr>
            <w:r>
              <w:rPr>
                <w:rFonts w:hint="eastAsia" w:ascii="仿宋_GB2312" w:hAnsi="宋体" w:cs="宋体"/>
                <w:b/>
                <w:bCs/>
                <w:color w:val="000000" w:themeColor="text1"/>
              </w:rPr>
              <w:t>数量</w:t>
            </w:r>
          </w:p>
        </w:tc>
        <w:tc>
          <w:tcPr>
            <w:tcW w:w="459" w:type="dxa"/>
            <w:tcBorders>
              <w:top w:val="single" w:color="auto" w:sz="8" w:space="0"/>
              <w:left w:val="nil"/>
              <w:bottom w:val="single" w:color="auto" w:sz="8" w:space="0"/>
              <w:right w:val="single" w:color="auto" w:sz="8" w:space="0"/>
            </w:tcBorders>
            <w:shd w:val="clear" w:color="000000" w:fill="C5D9F1"/>
            <w:vAlign w:val="center"/>
          </w:tcPr>
          <w:p>
            <w:pPr>
              <w:spacing w:line="300" w:lineRule="exact"/>
              <w:jc w:val="center"/>
              <w:rPr>
                <w:rFonts w:ascii="仿宋_GB2312" w:hAnsi="宋体" w:cs="宋体"/>
                <w:b/>
                <w:bCs/>
                <w:color w:val="000000" w:themeColor="text1"/>
              </w:rPr>
            </w:pPr>
            <w:r>
              <w:rPr>
                <w:rFonts w:hint="eastAsia" w:ascii="仿宋_GB2312" w:hAnsi="宋体" w:cs="宋体"/>
                <w:b/>
                <w:bCs/>
                <w:color w:val="000000" w:themeColor="text1"/>
              </w:rPr>
              <w:t>单位</w:t>
            </w:r>
          </w:p>
        </w:tc>
      </w:tr>
      <w:tr>
        <w:tblPrEx>
          <w:tblLayout w:type="fixed"/>
          <w:tblCellMar>
            <w:top w:w="0" w:type="dxa"/>
            <w:left w:w="108" w:type="dxa"/>
            <w:bottom w:w="0" w:type="dxa"/>
            <w:right w:w="108" w:type="dxa"/>
          </w:tblCellMar>
        </w:tblPrEx>
        <w:trPr>
          <w:trHeight w:val="300" w:hRule="atLeast"/>
        </w:trPr>
        <w:tc>
          <w:tcPr>
            <w:tcW w:w="8420" w:type="dxa"/>
            <w:gridSpan w:val="6"/>
            <w:tcBorders>
              <w:top w:val="single" w:color="auto" w:sz="8" w:space="0"/>
              <w:left w:val="single" w:color="auto" w:sz="8" w:space="0"/>
              <w:bottom w:val="single" w:color="auto" w:sz="8" w:space="0"/>
              <w:right w:val="nil"/>
            </w:tcBorders>
            <w:shd w:val="clear" w:color="000000" w:fill="FDE9D9"/>
            <w:vAlign w:val="center"/>
          </w:tcPr>
          <w:p>
            <w:pPr>
              <w:spacing w:line="300" w:lineRule="exact"/>
              <w:jc w:val="center"/>
              <w:rPr>
                <w:rFonts w:ascii="仿宋_GB2312" w:hAnsi="宋体" w:cs="宋体"/>
                <w:b/>
                <w:bCs/>
                <w:color w:val="000000" w:themeColor="text1"/>
              </w:rPr>
            </w:pPr>
            <w:r>
              <w:rPr>
                <w:rFonts w:hint="eastAsia" w:ascii="仿宋_GB2312" w:hAnsi="宋体" w:cs="宋体"/>
                <w:b/>
                <w:bCs/>
                <w:color w:val="000000" w:themeColor="text1"/>
              </w:rPr>
              <w:t>指挥大厅装饰装修系统</w:t>
            </w:r>
          </w:p>
        </w:tc>
      </w:tr>
      <w:tr>
        <w:tblPrEx>
          <w:tblLayout w:type="fixed"/>
          <w:tblCellMar>
            <w:top w:w="0" w:type="dxa"/>
            <w:left w:w="108" w:type="dxa"/>
            <w:bottom w:w="0" w:type="dxa"/>
            <w:right w:w="108" w:type="dxa"/>
          </w:tblCellMar>
        </w:tblPrEx>
        <w:trPr>
          <w:trHeight w:val="735" w:hRule="atLeast"/>
        </w:trPr>
        <w:tc>
          <w:tcPr>
            <w:tcW w:w="427" w:type="dxa"/>
            <w:tcBorders>
              <w:top w:val="nil"/>
              <w:left w:val="single" w:color="auto" w:sz="8" w:space="0"/>
              <w:bottom w:val="single" w:color="auto" w:sz="8" w:space="0"/>
              <w:right w:val="single" w:color="auto" w:sz="8" w:space="0"/>
            </w:tcBorders>
            <w:shd w:val="clear" w:color="000000" w:fill="FFFFFF"/>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1</w:t>
            </w:r>
          </w:p>
        </w:tc>
        <w:tc>
          <w:tcPr>
            <w:tcW w:w="427"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天棚工程</w:t>
            </w:r>
          </w:p>
        </w:tc>
        <w:tc>
          <w:tcPr>
            <w:tcW w:w="1944"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石膏板造型顶</w:t>
            </w:r>
          </w:p>
        </w:tc>
        <w:tc>
          <w:tcPr>
            <w:tcW w:w="4547"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sz w:val="20"/>
                <w:szCs w:val="20"/>
              </w:rPr>
            </w:pPr>
            <w:r>
              <w:rPr>
                <w:rFonts w:hint="eastAsia" w:ascii="仿宋_GB2312" w:hAnsi="宋体" w:cs="宋体"/>
                <w:color w:val="000000" w:themeColor="text1"/>
                <w:sz w:val="20"/>
                <w:szCs w:val="20"/>
              </w:rPr>
              <w:t>石膏板造型吊顶，根据用户需求</w:t>
            </w:r>
          </w:p>
        </w:tc>
        <w:tc>
          <w:tcPr>
            <w:tcW w:w="616"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300</w:t>
            </w:r>
          </w:p>
        </w:tc>
        <w:tc>
          <w:tcPr>
            <w:tcW w:w="459" w:type="dxa"/>
            <w:tcBorders>
              <w:top w:val="nil"/>
              <w:left w:val="nil"/>
              <w:bottom w:val="single" w:color="auto" w:sz="8" w:space="0"/>
              <w:right w:val="single" w:color="auto" w:sz="8" w:space="0"/>
            </w:tcBorders>
            <w:shd w:val="clear" w:color="auto" w:fill="auto"/>
            <w:vAlign w:val="center"/>
          </w:tcPr>
          <w:p>
            <w:pPr>
              <w:spacing w:line="300" w:lineRule="exact"/>
              <w:jc w:val="center"/>
              <w:rPr>
                <w:rFonts w:eastAsia="等线" w:cs="宋体"/>
                <w:color w:val="000000" w:themeColor="text1"/>
                <w:sz w:val="20"/>
                <w:szCs w:val="20"/>
              </w:rPr>
            </w:pPr>
            <w:r>
              <w:rPr>
                <w:rFonts w:hint="eastAsia" w:eastAsia="等线" w:cs="宋体"/>
                <w:color w:val="000000" w:themeColor="text1"/>
                <w:sz w:val="20"/>
                <w:szCs w:val="20"/>
              </w:rPr>
              <w:t>M</w:t>
            </w:r>
            <w:r>
              <w:rPr>
                <w:rFonts w:hint="eastAsia" w:eastAsia="等线" w:cs="宋体"/>
                <w:color w:val="000000" w:themeColor="text1"/>
                <w:sz w:val="20"/>
                <w:szCs w:val="20"/>
                <w:vertAlign w:val="superscript"/>
              </w:rPr>
              <w:t>2</w:t>
            </w:r>
          </w:p>
        </w:tc>
      </w:tr>
      <w:tr>
        <w:tblPrEx>
          <w:tblLayout w:type="fixed"/>
          <w:tblCellMar>
            <w:top w:w="0" w:type="dxa"/>
            <w:left w:w="108" w:type="dxa"/>
            <w:bottom w:w="0" w:type="dxa"/>
            <w:right w:w="108" w:type="dxa"/>
          </w:tblCellMar>
        </w:tblPrEx>
        <w:trPr>
          <w:trHeight w:val="495" w:hRule="atLeast"/>
        </w:trPr>
        <w:tc>
          <w:tcPr>
            <w:tcW w:w="427" w:type="dxa"/>
            <w:tcBorders>
              <w:top w:val="nil"/>
              <w:left w:val="single" w:color="auto" w:sz="8" w:space="0"/>
              <w:bottom w:val="single" w:color="auto" w:sz="8" w:space="0"/>
              <w:right w:val="single" w:color="auto" w:sz="8" w:space="0"/>
            </w:tcBorders>
            <w:shd w:val="clear" w:color="000000" w:fill="FFFFFF"/>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427"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c>
          <w:tcPr>
            <w:tcW w:w="1944"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灯光带（暖色）</w:t>
            </w:r>
          </w:p>
        </w:tc>
        <w:tc>
          <w:tcPr>
            <w:tcW w:w="4547"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sz w:val="20"/>
                <w:szCs w:val="20"/>
              </w:rPr>
            </w:pPr>
            <w:r>
              <w:rPr>
                <w:rFonts w:hint="eastAsia" w:ascii="仿宋_GB2312" w:hAnsi="宋体" w:cs="宋体"/>
                <w:color w:val="000000" w:themeColor="text1"/>
                <w:sz w:val="20"/>
                <w:szCs w:val="20"/>
              </w:rPr>
              <w:t>顶面灯光带</w:t>
            </w:r>
          </w:p>
        </w:tc>
        <w:tc>
          <w:tcPr>
            <w:tcW w:w="616"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300</w:t>
            </w:r>
          </w:p>
        </w:tc>
        <w:tc>
          <w:tcPr>
            <w:tcW w:w="459" w:type="dxa"/>
            <w:tcBorders>
              <w:top w:val="nil"/>
              <w:left w:val="nil"/>
              <w:bottom w:val="single" w:color="auto" w:sz="8" w:space="0"/>
              <w:right w:val="single" w:color="auto" w:sz="8" w:space="0"/>
            </w:tcBorders>
            <w:shd w:val="clear" w:color="auto" w:fill="auto"/>
            <w:vAlign w:val="center"/>
          </w:tcPr>
          <w:p>
            <w:pPr>
              <w:spacing w:line="300" w:lineRule="exact"/>
              <w:jc w:val="center"/>
              <w:rPr>
                <w:rFonts w:eastAsia="等线" w:cs="宋体"/>
                <w:color w:val="000000" w:themeColor="text1"/>
                <w:sz w:val="20"/>
                <w:szCs w:val="20"/>
              </w:rPr>
            </w:pPr>
            <w:r>
              <w:rPr>
                <w:rFonts w:hint="eastAsia" w:eastAsia="等线" w:cs="宋体"/>
                <w:color w:val="000000" w:themeColor="text1"/>
                <w:sz w:val="20"/>
                <w:szCs w:val="20"/>
              </w:rPr>
              <w:t>M</w:t>
            </w:r>
            <w:r>
              <w:rPr>
                <w:rFonts w:hint="eastAsia" w:eastAsia="等线" w:cs="宋体"/>
                <w:color w:val="000000" w:themeColor="text1"/>
                <w:sz w:val="20"/>
                <w:szCs w:val="20"/>
                <w:vertAlign w:val="superscript"/>
              </w:rPr>
              <w:t>2</w:t>
            </w:r>
          </w:p>
        </w:tc>
      </w:tr>
      <w:tr>
        <w:tblPrEx>
          <w:tblLayout w:type="fixed"/>
          <w:tblCellMar>
            <w:top w:w="0" w:type="dxa"/>
            <w:left w:w="108" w:type="dxa"/>
            <w:bottom w:w="0" w:type="dxa"/>
            <w:right w:w="108" w:type="dxa"/>
          </w:tblCellMar>
        </w:tblPrEx>
        <w:trPr>
          <w:trHeight w:val="285" w:hRule="atLeast"/>
        </w:trPr>
        <w:tc>
          <w:tcPr>
            <w:tcW w:w="427" w:type="dxa"/>
            <w:tcBorders>
              <w:top w:val="nil"/>
              <w:left w:val="single" w:color="auto" w:sz="8" w:space="0"/>
              <w:bottom w:val="single" w:color="auto" w:sz="8" w:space="0"/>
              <w:right w:val="single" w:color="auto" w:sz="8" w:space="0"/>
            </w:tcBorders>
            <w:shd w:val="clear" w:color="000000" w:fill="FFFFFF"/>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3</w:t>
            </w:r>
          </w:p>
        </w:tc>
        <w:tc>
          <w:tcPr>
            <w:tcW w:w="427"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c>
          <w:tcPr>
            <w:tcW w:w="1944"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吸顶筒灯</w:t>
            </w:r>
          </w:p>
        </w:tc>
        <w:tc>
          <w:tcPr>
            <w:tcW w:w="4547" w:type="dxa"/>
            <w:tcBorders>
              <w:top w:val="nil"/>
              <w:left w:val="nil"/>
              <w:bottom w:val="single" w:color="auto" w:sz="8" w:space="0"/>
              <w:right w:val="single" w:color="auto" w:sz="8" w:space="0"/>
            </w:tcBorders>
            <w:shd w:val="clear" w:color="auto" w:fill="auto"/>
            <w:vAlign w:val="center"/>
          </w:tcPr>
          <w:p>
            <w:pPr>
              <w:spacing w:line="300" w:lineRule="exact"/>
              <w:rPr>
                <w:rFonts w:ascii="宋体" w:hAnsi="宋体" w:cs="宋体"/>
                <w:color w:val="000000" w:themeColor="text1"/>
                <w:sz w:val="20"/>
                <w:szCs w:val="20"/>
              </w:rPr>
            </w:pPr>
            <w:r>
              <w:rPr>
                <w:rFonts w:hint="eastAsia" w:ascii="宋体" w:hAnsi="宋体" w:cs="宋体"/>
                <w:color w:val="000000" w:themeColor="text1"/>
                <w:sz w:val="20"/>
                <w:szCs w:val="20"/>
              </w:rPr>
              <w:t>LED</w:t>
            </w:r>
            <w:r>
              <w:rPr>
                <w:rFonts w:hint="eastAsia" w:ascii="仿宋_GB2312" w:hAnsi="宋体" w:cs="宋体"/>
                <w:color w:val="000000" w:themeColor="text1"/>
                <w:sz w:val="20"/>
                <w:szCs w:val="20"/>
              </w:rPr>
              <w:t>筒灯</w:t>
            </w:r>
          </w:p>
        </w:tc>
        <w:tc>
          <w:tcPr>
            <w:tcW w:w="616"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600</w:t>
            </w:r>
          </w:p>
        </w:tc>
        <w:tc>
          <w:tcPr>
            <w:tcW w:w="459"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个</w:t>
            </w:r>
          </w:p>
        </w:tc>
      </w:tr>
      <w:tr>
        <w:tblPrEx>
          <w:tblLayout w:type="fixed"/>
          <w:tblCellMar>
            <w:top w:w="0" w:type="dxa"/>
            <w:left w:w="108" w:type="dxa"/>
            <w:bottom w:w="0" w:type="dxa"/>
            <w:right w:w="108" w:type="dxa"/>
          </w:tblCellMar>
        </w:tblPrEx>
        <w:trPr>
          <w:trHeight w:val="495" w:hRule="atLeast"/>
        </w:trPr>
        <w:tc>
          <w:tcPr>
            <w:tcW w:w="427" w:type="dxa"/>
            <w:tcBorders>
              <w:top w:val="nil"/>
              <w:left w:val="single" w:color="auto" w:sz="8" w:space="0"/>
              <w:bottom w:val="single" w:color="auto" w:sz="8" w:space="0"/>
              <w:right w:val="single" w:color="auto" w:sz="8" w:space="0"/>
            </w:tcBorders>
            <w:shd w:val="clear" w:color="000000" w:fill="FFFFFF"/>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4</w:t>
            </w:r>
          </w:p>
        </w:tc>
        <w:tc>
          <w:tcPr>
            <w:tcW w:w="427"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c>
          <w:tcPr>
            <w:tcW w:w="1944"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铝扣板吊顶</w:t>
            </w:r>
          </w:p>
        </w:tc>
        <w:tc>
          <w:tcPr>
            <w:tcW w:w="4547"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sz w:val="20"/>
                <w:szCs w:val="20"/>
              </w:rPr>
            </w:pPr>
            <w:r>
              <w:rPr>
                <w:rFonts w:hint="eastAsia" w:ascii="仿宋_GB2312" w:hAnsi="宋体" w:cs="宋体"/>
                <w:color w:val="000000" w:themeColor="text1"/>
                <w:sz w:val="20"/>
                <w:szCs w:val="20"/>
              </w:rPr>
              <w:t>维修通道</w:t>
            </w:r>
            <w:r>
              <w:rPr>
                <w:rFonts w:hint="eastAsia" w:ascii="宋体" w:hAnsi="宋体" w:cs="宋体"/>
                <w:color w:val="000000" w:themeColor="text1"/>
                <w:sz w:val="20"/>
                <w:szCs w:val="20"/>
              </w:rPr>
              <w:t>600*600</w:t>
            </w:r>
            <w:r>
              <w:rPr>
                <w:rFonts w:hint="eastAsia" w:ascii="仿宋_GB2312" w:hAnsi="宋体" w:cs="宋体"/>
                <w:color w:val="000000" w:themeColor="text1"/>
                <w:sz w:val="20"/>
                <w:szCs w:val="20"/>
              </w:rPr>
              <w:t>铝扣板</w:t>
            </w:r>
          </w:p>
        </w:tc>
        <w:tc>
          <w:tcPr>
            <w:tcW w:w="616"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21</w:t>
            </w:r>
          </w:p>
        </w:tc>
        <w:tc>
          <w:tcPr>
            <w:tcW w:w="459" w:type="dxa"/>
            <w:tcBorders>
              <w:top w:val="nil"/>
              <w:left w:val="nil"/>
              <w:bottom w:val="single" w:color="auto" w:sz="8" w:space="0"/>
              <w:right w:val="single" w:color="auto" w:sz="8" w:space="0"/>
            </w:tcBorders>
            <w:shd w:val="clear" w:color="auto" w:fill="auto"/>
            <w:vAlign w:val="center"/>
          </w:tcPr>
          <w:p>
            <w:pPr>
              <w:spacing w:line="300" w:lineRule="exact"/>
              <w:jc w:val="center"/>
              <w:rPr>
                <w:rFonts w:eastAsia="等线" w:cs="宋体"/>
                <w:color w:val="000000" w:themeColor="text1"/>
                <w:sz w:val="20"/>
                <w:szCs w:val="20"/>
              </w:rPr>
            </w:pPr>
            <w:r>
              <w:rPr>
                <w:rFonts w:hint="eastAsia" w:eastAsia="等线" w:cs="宋体"/>
                <w:color w:val="000000" w:themeColor="text1"/>
                <w:sz w:val="20"/>
                <w:szCs w:val="20"/>
              </w:rPr>
              <w:t>M</w:t>
            </w:r>
            <w:r>
              <w:rPr>
                <w:rFonts w:hint="eastAsia" w:eastAsia="等线" w:cs="宋体"/>
                <w:color w:val="000000" w:themeColor="text1"/>
                <w:sz w:val="20"/>
                <w:szCs w:val="20"/>
                <w:vertAlign w:val="superscript"/>
              </w:rPr>
              <w:t>2</w:t>
            </w:r>
          </w:p>
        </w:tc>
      </w:tr>
      <w:tr>
        <w:tblPrEx>
          <w:tblLayout w:type="fixed"/>
          <w:tblCellMar>
            <w:top w:w="0" w:type="dxa"/>
            <w:left w:w="108" w:type="dxa"/>
            <w:bottom w:w="0" w:type="dxa"/>
            <w:right w:w="108" w:type="dxa"/>
          </w:tblCellMar>
        </w:tblPrEx>
        <w:trPr>
          <w:trHeight w:val="495" w:hRule="atLeast"/>
        </w:trPr>
        <w:tc>
          <w:tcPr>
            <w:tcW w:w="427" w:type="dxa"/>
            <w:tcBorders>
              <w:top w:val="nil"/>
              <w:left w:val="single" w:color="auto" w:sz="8" w:space="0"/>
              <w:bottom w:val="single" w:color="auto" w:sz="8" w:space="0"/>
              <w:right w:val="single" w:color="auto" w:sz="8" w:space="0"/>
            </w:tcBorders>
            <w:shd w:val="clear" w:color="000000" w:fill="FFFFFF"/>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5</w:t>
            </w:r>
          </w:p>
        </w:tc>
        <w:tc>
          <w:tcPr>
            <w:tcW w:w="427"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c>
          <w:tcPr>
            <w:tcW w:w="1944"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格栅灯</w:t>
            </w:r>
          </w:p>
        </w:tc>
        <w:tc>
          <w:tcPr>
            <w:tcW w:w="4547"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sz w:val="20"/>
                <w:szCs w:val="20"/>
              </w:rPr>
            </w:pPr>
            <w:r>
              <w:rPr>
                <w:rFonts w:hint="eastAsia" w:ascii="仿宋_GB2312" w:hAnsi="宋体" w:cs="宋体"/>
                <w:color w:val="000000" w:themeColor="text1"/>
                <w:sz w:val="20"/>
                <w:szCs w:val="20"/>
              </w:rPr>
              <w:t>维修通道</w:t>
            </w:r>
            <w:r>
              <w:rPr>
                <w:rFonts w:hint="eastAsia" w:ascii="宋体" w:hAnsi="宋体" w:cs="宋体"/>
                <w:color w:val="000000" w:themeColor="text1"/>
                <w:sz w:val="20"/>
                <w:szCs w:val="20"/>
              </w:rPr>
              <w:t>36W</w:t>
            </w:r>
            <w:r>
              <w:rPr>
                <w:rFonts w:hint="eastAsia" w:ascii="仿宋_GB2312" w:hAnsi="宋体" w:cs="宋体"/>
                <w:color w:val="000000" w:themeColor="text1"/>
                <w:sz w:val="20"/>
                <w:szCs w:val="20"/>
              </w:rPr>
              <w:t>格栅灯，</w:t>
            </w:r>
            <w:r>
              <w:rPr>
                <w:rFonts w:hint="eastAsia" w:ascii="宋体" w:hAnsi="宋体" w:cs="宋体"/>
                <w:color w:val="000000" w:themeColor="text1"/>
                <w:sz w:val="20"/>
                <w:szCs w:val="20"/>
              </w:rPr>
              <w:t>600*600</w:t>
            </w:r>
          </w:p>
        </w:tc>
        <w:tc>
          <w:tcPr>
            <w:tcW w:w="616"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10</w:t>
            </w:r>
          </w:p>
        </w:tc>
        <w:tc>
          <w:tcPr>
            <w:tcW w:w="459"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套</w:t>
            </w:r>
          </w:p>
        </w:tc>
      </w:tr>
      <w:tr>
        <w:tblPrEx>
          <w:tblLayout w:type="fixed"/>
          <w:tblCellMar>
            <w:top w:w="0" w:type="dxa"/>
            <w:left w:w="108" w:type="dxa"/>
            <w:bottom w:w="0" w:type="dxa"/>
            <w:right w:w="108" w:type="dxa"/>
          </w:tblCellMar>
        </w:tblPrEx>
        <w:trPr>
          <w:trHeight w:val="735" w:hRule="atLeast"/>
        </w:trPr>
        <w:tc>
          <w:tcPr>
            <w:tcW w:w="427" w:type="dxa"/>
            <w:tcBorders>
              <w:top w:val="nil"/>
              <w:left w:val="single" w:color="auto" w:sz="8" w:space="0"/>
              <w:bottom w:val="single" w:color="auto" w:sz="8" w:space="0"/>
              <w:right w:val="single" w:color="auto" w:sz="8" w:space="0"/>
            </w:tcBorders>
            <w:shd w:val="clear" w:color="000000" w:fill="FFFFFF"/>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6</w:t>
            </w:r>
          </w:p>
        </w:tc>
        <w:tc>
          <w:tcPr>
            <w:tcW w:w="427"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地面工程</w:t>
            </w:r>
          </w:p>
        </w:tc>
        <w:tc>
          <w:tcPr>
            <w:tcW w:w="1944"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静电地板</w:t>
            </w:r>
          </w:p>
        </w:tc>
        <w:tc>
          <w:tcPr>
            <w:tcW w:w="4547"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sz w:val="20"/>
                <w:szCs w:val="20"/>
              </w:rPr>
            </w:pPr>
            <w:r>
              <w:rPr>
                <w:rFonts w:hint="eastAsia" w:ascii="仿宋_GB2312" w:hAnsi="宋体" w:cs="宋体"/>
                <w:color w:val="000000" w:themeColor="text1"/>
                <w:sz w:val="20"/>
                <w:szCs w:val="20"/>
              </w:rPr>
              <w:t>维修通道静电地板，陶瓷面静电地板</w:t>
            </w:r>
          </w:p>
        </w:tc>
        <w:tc>
          <w:tcPr>
            <w:tcW w:w="616"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21</w:t>
            </w:r>
          </w:p>
        </w:tc>
        <w:tc>
          <w:tcPr>
            <w:tcW w:w="459" w:type="dxa"/>
            <w:tcBorders>
              <w:top w:val="nil"/>
              <w:left w:val="nil"/>
              <w:bottom w:val="single" w:color="auto" w:sz="8" w:space="0"/>
              <w:right w:val="single" w:color="auto" w:sz="8" w:space="0"/>
            </w:tcBorders>
            <w:shd w:val="clear" w:color="auto" w:fill="auto"/>
            <w:vAlign w:val="center"/>
          </w:tcPr>
          <w:p>
            <w:pPr>
              <w:spacing w:line="300" w:lineRule="exact"/>
              <w:jc w:val="center"/>
              <w:rPr>
                <w:rFonts w:eastAsia="等线" w:cs="宋体"/>
                <w:color w:val="000000" w:themeColor="text1"/>
                <w:sz w:val="20"/>
                <w:szCs w:val="20"/>
              </w:rPr>
            </w:pPr>
            <w:r>
              <w:rPr>
                <w:rFonts w:hint="eastAsia" w:eastAsia="等线" w:cs="宋体"/>
                <w:color w:val="000000" w:themeColor="text1"/>
                <w:sz w:val="20"/>
                <w:szCs w:val="20"/>
              </w:rPr>
              <w:t>M</w:t>
            </w:r>
            <w:r>
              <w:rPr>
                <w:rFonts w:hint="eastAsia" w:eastAsia="等线" w:cs="宋体"/>
                <w:color w:val="000000" w:themeColor="text1"/>
                <w:sz w:val="20"/>
                <w:szCs w:val="20"/>
                <w:vertAlign w:val="superscript"/>
              </w:rPr>
              <w:t>2</w:t>
            </w:r>
          </w:p>
        </w:tc>
      </w:tr>
      <w:tr>
        <w:tblPrEx>
          <w:tblLayout w:type="fixed"/>
          <w:tblCellMar>
            <w:top w:w="0" w:type="dxa"/>
            <w:left w:w="108" w:type="dxa"/>
            <w:bottom w:w="0" w:type="dxa"/>
            <w:right w:w="108" w:type="dxa"/>
          </w:tblCellMar>
        </w:tblPrEx>
        <w:trPr>
          <w:trHeight w:val="1455" w:hRule="atLeast"/>
        </w:trPr>
        <w:tc>
          <w:tcPr>
            <w:tcW w:w="427" w:type="dxa"/>
            <w:tcBorders>
              <w:top w:val="nil"/>
              <w:left w:val="single" w:color="auto" w:sz="8" w:space="0"/>
              <w:bottom w:val="single" w:color="auto" w:sz="8" w:space="0"/>
              <w:right w:val="single" w:color="auto" w:sz="8" w:space="0"/>
            </w:tcBorders>
            <w:shd w:val="clear" w:color="000000" w:fill="FFFFFF"/>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7</w:t>
            </w:r>
          </w:p>
        </w:tc>
        <w:tc>
          <w:tcPr>
            <w:tcW w:w="427"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c>
          <w:tcPr>
            <w:tcW w:w="1944"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地面实木地板</w:t>
            </w:r>
          </w:p>
        </w:tc>
        <w:tc>
          <w:tcPr>
            <w:tcW w:w="4547"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sz w:val="20"/>
                <w:szCs w:val="20"/>
              </w:rPr>
            </w:pPr>
            <w:r>
              <w:rPr>
                <w:rFonts w:hint="eastAsia" w:ascii="仿宋_GB2312" w:hAnsi="宋体" w:cs="宋体"/>
                <w:color w:val="000000" w:themeColor="text1"/>
                <w:sz w:val="20"/>
                <w:szCs w:val="20"/>
              </w:rPr>
              <w:t>指挥中心大厅实木地板，含地面抬高。会商区抬高</w:t>
            </w:r>
            <w:r>
              <w:rPr>
                <w:rFonts w:hint="eastAsia" w:ascii="宋体" w:hAnsi="宋体" w:cs="宋体"/>
                <w:color w:val="000000" w:themeColor="text1"/>
                <w:sz w:val="20"/>
                <w:szCs w:val="20"/>
              </w:rPr>
              <w:t>30cm</w:t>
            </w:r>
            <w:r>
              <w:rPr>
                <w:rFonts w:hint="eastAsia" w:ascii="仿宋_GB2312" w:hAnsi="宋体" w:cs="宋体"/>
                <w:color w:val="000000" w:themeColor="text1"/>
                <w:sz w:val="20"/>
                <w:szCs w:val="20"/>
              </w:rPr>
              <w:t>，坐席区抬高</w:t>
            </w:r>
            <w:r>
              <w:rPr>
                <w:rFonts w:hint="eastAsia" w:ascii="宋体" w:hAnsi="宋体" w:cs="宋体"/>
                <w:color w:val="000000" w:themeColor="text1"/>
                <w:sz w:val="20"/>
                <w:szCs w:val="20"/>
              </w:rPr>
              <w:t>60cm</w:t>
            </w:r>
            <w:r>
              <w:rPr>
                <w:rFonts w:hint="eastAsia" w:ascii="仿宋_GB2312" w:hAnsi="宋体" w:cs="宋体"/>
                <w:color w:val="000000" w:themeColor="text1"/>
                <w:sz w:val="20"/>
                <w:szCs w:val="20"/>
              </w:rPr>
              <w:t>，并做坡度连接。</w:t>
            </w:r>
          </w:p>
        </w:tc>
        <w:tc>
          <w:tcPr>
            <w:tcW w:w="616"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360</w:t>
            </w:r>
          </w:p>
        </w:tc>
        <w:tc>
          <w:tcPr>
            <w:tcW w:w="459" w:type="dxa"/>
            <w:tcBorders>
              <w:top w:val="nil"/>
              <w:left w:val="nil"/>
              <w:bottom w:val="single" w:color="auto" w:sz="8" w:space="0"/>
              <w:right w:val="single" w:color="auto" w:sz="8" w:space="0"/>
            </w:tcBorders>
            <w:shd w:val="clear" w:color="auto" w:fill="auto"/>
            <w:vAlign w:val="center"/>
          </w:tcPr>
          <w:p>
            <w:pPr>
              <w:spacing w:line="300" w:lineRule="exact"/>
              <w:jc w:val="center"/>
              <w:rPr>
                <w:rFonts w:eastAsia="等线" w:cs="宋体"/>
                <w:color w:val="000000" w:themeColor="text1"/>
                <w:sz w:val="20"/>
                <w:szCs w:val="20"/>
              </w:rPr>
            </w:pPr>
            <w:r>
              <w:rPr>
                <w:rFonts w:hint="eastAsia" w:eastAsia="等线" w:cs="宋体"/>
                <w:color w:val="000000" w:themeColor="text1"/>
                <w:sz w:val="20"/>
                <w:szCs w:val="20"/>
              </w:rPr>
              <w:t>M</w:t>
            </w:r>
            <w:r>
              <w:rPr>
                <w:rFonts w:hint="eastAsia" w:eastAsia="等线" w:cs="宋体"/>
                <w:color w:val="000000" w:themeColor="text1"/>
                <w:sz w:val="20"/>
                <w:szCs w:val="20"/>
                <w:vertAlign w:val="superscript"/>
              </w:rPr>
              <w:t>2</w:t>
            </w:r>
          </w:p>
        </w:tc>
      </w:tr>
      <w:tr>
        <w:tblPrEx>
          <w:tblLayout w:type="fixed"/>
          <w:tblCellMar>
            <w:top w:w="0" w:type="dxa"/>
            <w:left w:w="108" w:type="dxa"/>
            <w:bottom w:w="0" w:type="dxa"/>
            <w:right w:w="108" w:type="dxa"/>
          </w:tblCellMar>
        </w:tblPrEx>
        <w:trPr>
          <w:trHeight w:val="285" w:hRule="atLeast"/>
        </w:trPr>
        <w:tc>
          <w:tcPr>
            <w:tcW w:w="427" w:type="dxa"/>
            <w:tcBorders>
              <w:top w:val="nil"/>
              <w:left w:val="single" w:color="auto" w:sz="8" w:space="0"/>
              <w:bottom w:val="single" w:color="auto" w:sz="8" w:space="0"/>
              <w:right w:val="single" w:color="auto" w:sz="8" w:space="0"/>
            </w:tcBorders>
            <w:shd w:val="clear" w:color="000000" w:fill="FFFFFF"/>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8</w:t>
            </w:r>
          </w:p>
        </w:tc>
        <w:tc>
          <w:tcPr>
            <w:tcW w:w="427"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c>
          <w:tcPr>
            <w:tcW w:w="1944"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踢脚线</w:t>
            </w:r>
          </w:p>
        </w:tc>
        <w:tc>
          <w:tcPr>
            <w:tcW w:w="4547"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sz w:val="20"/>
                <w:szCs w:val="20"/>
              </w:rPr>
            </w:pPr>
            <w:r>
              <w:rPr>
                <w:rFonts w:hint="eastAsia" w:ascii="仿宋_GB2312" w:hAnsi="宋体" w:cs="宋体"/>
                <w:color w:val="000000" w:themeColor="text1"/>
                <w:sz w:val="20"/>
                <w:szCs w:val="20"/>
              </w:rPr>
              <w:t>配套踢脚线</w:t>
            </w:r>
          </w:p>
        </w:tc>
        <w:tc>
          <w:tcPr>
            <w:tcW w:w="616"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300</w:t>
            </w:r>
          </w:p>
        </w:tc>
        <w:tc>
          <w:tcPr>
            <w:tcW w:w="459" w:type="dxa"/>
            <w:tcBorders>
              <w:top w:val="nil"/>
              <w:left w:val="nil"/>
              <w:bottom w:val="single" w:color="auto" w:sz="8" w:space="0"/>
              <w:right w:val="single" w:color="auto" w:sz="8" w:space="0"/>
            </w:tcBorders>
            <w:shd w:val="clear" w:color="auto" w:fill="auto"/>
            <w:vAlign w:val="center"/>
          </w:tcPr>
          <w:p>
            <w:pPr>
              <w:spacing w:line="300" w:lineRule="exact"/>
              <w:jc w:val="center"/>
              <w:rPr>
                <w:rFonts w:eastAsia="等线" w:cs="宋体"/>
                <w:color w:val="000000" w:themeColor="text1"/>
                <w:sz w:val="20"/>
                <w:szCs w:val="20"/>
              </w:rPr>
            </w:pPr>
            <w:r>
              <w:rPr>
                <w:rFonts w:hint="eastAsia" w:eastAsia="等线" w:cs="宋体"/>
                <w:color w:val="000000" w:themeColor="text1"/>
                <w:sz w:val="20"/>
                <w:szCs w:val="20"/>
              </w:rPr>
              <w:t>M</w:t>
            </w:r>
          </w:p>
        </w:tc>
      </w:tr>
      <w:tr>
        <w:tblPrEx>
          <w:tblLayout w:type="fixed"/>
          <w:tblCellMar>
            <w:top w:w="0" w:type="dxa"/>
            <w:left w:w="108" w:type="dxa"/>
            <w:bottom w:w="0" w:type="dxa"/>
            <w:right w:w="108" w:type="dxa"/>
          </w:tblCellMar>
        </w:tblPrEx>
        <w:trPr>
          <w:trHeight w:val="495" w:hRule="atLeast"/>
        </w:trPr>
        <w:tc>
          <w:tcPr>
            <w:tcW w:w="427" w:type="dxa"/>
            <w:tcBorders>
              <w:top w:val="nil"/>
              <w:left w:val="single" w:color="auto" w:sz="8" w:space="0"/>
              <w:bottom w:val="single" w:color="auto" w:sz="8" w:space="0"/>
              <w:right w:val="single" w:color="auto" w:sz="8" w:space="0"/>
            </w:tcBorders>
            <w:shd w:val="clear" w:color="000000" w:fill="FFFFFF"/>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9</w:t>
            </w:r>
          </w:p>
        </w:tc>
        <w:tc>
          <w:tcPr>
            <w:tcW w:w="427"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墙面工程</w:t>
            </w:r>
          </w:p>
        </w:tc>
        <w:tc>
          <w:tcPr>
            <w:tcW w:w="1944"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墙面细木工板基层</w:t>
            </w:r>
          </w:p>
        </w:tc>
        <w:tc>
          <w:tcPr>
            <w:tcW w:w="4547"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sz w:val="20"/>
                <w:szCs w:val="20"/>
              </w:rPr>
            </w:pPr>
            <w:r>
              <w:rPr>
                <w:rFonts w:hint="eastAsia" w:ascii="仿宋_GB2312" w:hAnsi="宋体" w:cs="宋体"/>
                <w:color w:val="000000" w:themeColor="text1"/>
                <w:sz w:val="20"/>
                <w:szCs w:val="20"/>
              </w:rPr>
              <w:t>细木工板基层</w:t>
            </w:r>
          </w:p>
        </w:tc>
        <w:tc>
          <w:tcPr>
            <w:tcW w:w="616"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420</w:t>
            </w:r>
          </w:p>
        </w:tc>
        <w:tc>
          <w:tcPr>
            <w:tcW w:w="459" w:type="dxa"/>
            <w:tcBorders>
              <w:top w:val="nil"/>
              <w:left w:val="nil"/>
              <w:bottom w:val="single" w:color="auto" w:sz="8" w:space="0"/>
              <w:right w:val="single" w:color="auto" w:sz="8" w:space="0"/>
            </w:tcBorders>
            <w:shd w:val="clear" w:color="auto" w:fill="auto"/>
            <w:vAlign w:val="center"/>
          </w:tcPr>
          <w:p>
            <w:pPr>
              <w:spacing w:line="300" w:lineRule="exact"/>
              <w:jc w:val="center"/>
              <w:rPr>
                <w:rFonts w:eastAsia="等线" w:cs="宋体"/>
                <w:color w:val="000000" w:themeColor="text1"/>
                <w:sz w:val="20"/>
                <w:szCs w:val="20"/>
              </w:rPr>
            </w:pPr>
            <w:r>
              <w:rPr>
                <w:rFonts w:hint="eastAsia" w:eastAsia="等线" w:cs="宋体"/>
                <w:color w:val="000000" w:themeColor="text1"/>
                <w:sz w:val="20"/>
                <w:szCs w:val="20"/>
              </w:rPr>
              <w:t>M</w:t>
            </w:r>
            <w:r>
              <w:rPr>
                <w:rFonts w:hint="eastAsia" w:eastAsia="等线" w:cs="宋体"/>
                <w:color w:val="000000" w:themeColor="text1"/>
                <w:sz w:val="20"/>
                <w:szCs w:val="20"/>
                <w:vertAlign w:val="superscript"/>
              </w:rPr>
              <w:t>2</w:t>
            </w:r>
          </w:p>
        </w:tc>
      </w:tr>
      <w:tr>
        <w:tblPrEx>
          <w:tblLayout w:type="fixed"/>
          <w:tblCellMar>
            <w:top w:w="0" w:type="dxa"/>
            <w:left w:w="108" w:type="dxa"/>
            <w:bottom w:w="0" w:type="dxa"/>
            <w:right w:w="108" w:type="dxa"/>
          </w:tblCellMar>
        </w:tblPrEx>
        <w:trPr>
          <w:trHeight w:val="495" w:hRule="atLeast"/>
        </w:trPr>
        <w:tc>
          <w:tcPr>
            <w:tcW w:w="427" w:type="dxa"/>
            <w:tcBorders>
              <w:top w:val="nil"/>
              <w:left w:val="single" w:color="auto" w:sz="8" w:space="0"/>
              <w:bottom w:val="single" w:color="auto" w:sz="8" w:space="0"/>
              <w:right w:val="single" w:color="auto" w:sz="8" w:space="0"/>
            </w:tcBorders>
            <w:shd w:val="clear" w:color="000000" w:fill="FFFFFF"/>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10</w:t>
            </w:r>
          </w:p>
        </w:tc>
        <w:tc>
          <w:tcPr>
            <w:tcW w:w="427"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c>
          <w:tcPr>
            <w:tcW w:w="1944"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墙面饰面</w:t>
            </w:r>
          </w:p>
        </w:tc>
        <w:tc>
          <w:tcPr>
            <w:tcW w:w="4547"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sz w:val="20"/>
                <w:szCs w:val="20"/>
              </w:rPr>
            </w:pPr>
            <w:r>
              <w:rPr>
                <w:rFonts w:hint="eastAsia" w:ascii="仿宋_GB2312" w:hAnsi="宋体" w:cs="宋体"/>
                <w:color w:val="000000" w:themeColor="text1"/>
                <w:sz w:val="20"/>
                <w:szCs w:val="20"/>
              </w:rPr>
              <w:t>吸音板或硬包饰面</w:t>
            </w:r>
          </w:p>
        </w:tc>
        <w:tc>
          <w:tcPr>
            <w:tcW w:w="616"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420</w:t>
            </w:r>
          </w:p>
        </w:tc>
        <w:tc>
          <w:tcPr>
            <w:tcW w:w="459" w:type="dxa"/>
            <w:tcBorders>
              <w:top w:val="nil"/>
              <w:left w:val="nil"/>
              <w:bottom w:val="single" w:color="auto" w:sz="8" w:space="0"/>
              <w:right w:val="single" w:color="auto" w:sz="8" w:space="0"/>
            </w:tcBorders>
            <w:shd w:val="clear" w:color="auto" w:fill="auto"/>
            <w:vAlign w:val="center"/>
          </w:tcPr>
          <w:p>
            <w:pPr>
              <w:spacing w:line="300" w:lineRule="exact"/>
              <w:jc w:val="center"/>
              <w:rPr>
                <w:rFonts w:eastAsia="等线" w:cs="宋体"/>
                <w:color w:val="000000" w:themeColor="text1"/>
                <w:sz w:val="20"/>
                <w:szCs w:val="20"/>
              </w:rPr>
            </w:pPr>
            <w:r>
              <w:rPr>
                <w:rFonts w:hint="eastAsia" w:eastAsia="等线" w:cs="宋体"/>
                <w:color w:val="000000" w:themeColor="text1"/>
                <w:sz w:val="20"/>
                <w:szCs w:val="20"/>
              </w:rPr>
              <w:t>M</w:t>
            </w:r>
            <w:r>
              <w:rPr>
                <w:rFonts w:hint="eastAsia" w:eastAsia="等线" w:cs="宋体"/>
                <w:color w:val="000000" w:themeColor="text1"/>
                <w:sz w:val="20"/>
                <w:szCs w:val="20"/>
                <w:vertAlign w:val="superscript"/>
              </w:rPr>
              <w:t>2</w:t>
            </w:r>
          </w:p>
        </w:tc>
      </w:tr>
      <w:tr>
        <w:tblPrEx>
          <w:tblLayout w:type="fixed"/>
          <w:tblCellMar>
            <w:top w:w="0" w:type="dxa"/>
            <w:left w:w="108" w:type="dxa"/>
            <w:bottom w:w="0" w:type="dxa"/>
            <w:right w:w="108" w:type="dxa"/>
          </w:tblCellMar>
        </w:tblPrEx>
        <w:trPr>
          <w:trHeight w:val="495" w:hRule="atLeast"/>
        </w:trPr>
        <w:tc>
          <w:tcPr>
            <w:tcW w:w="427" w:type="dxa"/>
            <w:tcBorders>
              <w:top w:val="nil"/>
              <w:left w:val="single" w:color="auto" w:sz="8" w:space="0"/>
              <w:bottom w:val="single" w:color="auto" w:sz="8" w:space="0"/>
              <w:right w:val="single" w:color="auto" w:sz="8" w:space="0"/>
            </w:tcBorders>
            <w:shd w:val="clear" w:color="000000" w:fill="FFFFFF"/>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11</w:t>
            </w:r>
          </w:p>
        </w:tc>
        <w:tc>
          <w:tcPr>
            <w:tcW w:w="427"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c>
          <w:tcPr>
            <w:tcW w:w="1944"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柱面大理石</w:t>
            </w:r>
          </w:p>
        </w:tc>
        <w:tc>
          <w:tcPr>
            <w:tcW w:w="4547"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sz w:val="20"/>
                <w:szCs w:val="20"/>
              </w:rPr>
            </w:pPr>
            <w:r>
              <w:rPr>
                <w:rFonts w:hint="eastAsia" w:ascii="仿宋_GB2312" w:hAnsi="宋体" w:cs="宋体"/>
                <w:color w:val="000000" w:themeColor="text1"/>
                <w:sz w:val="20"/>
                <w:szCs w:val="20"/>
              </w:rPr>
              <w:t>立柱四周大理石包柱</w:t>
            </w:r>
          </w:p>
        </w:tc>
        <w:tc>
          <w:tcPr>
            <w:tcW w:w="616"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20</w:t>
            </w:r>
          </w:p>
        </w:tc>
        <w:tc>
          <w:tcPr>
            <w:tcW w:w="459" w:type="dxa"/>
            <w:tcBorders>
              <w:top w:val="nil"/>
              <w:left w:val="nil"/>
              <w:bottom w:val="single" w:color="auto" w:sz="8" w:space="0"/>
              <w:right w:val="single" w:color="auto" w:sz="8" w:space="0"/>
            </w:tcBorders>
            <w:shd w:val="clear" w:color="auto" w:fill="auto"/>
            <w:vAlign w:val="center"/>
          </w:tcPr>
          <w:p>
            <w:pPr>
              <w:spacing w:line="300" w:lineRule="exact"/>
              <w:jc w:val="center"/>
              <w:rPr>
                <w:rFonts w:eastAsia="等线" w:cs="宋体"/>
                <w:color w:val="000000" w:themeColor="text1"/>
                <w:sz w:val="20"/>
                <w:szCs w:val="20"/>
              </w:rPr>
            </w:pPr>
            <w:r>
              <w:rPr>
                <w:rFonts w:hint="eastAsia" w:eastAsia="等线" w:cs="宋体"/>
                <w:color w:val="000000" w:themeColor="text1"/>
                <w:sz w:val="20"/>
                <w:szCs w:val="20"/>
              </w:rPr>
              <w:t>M</w:t>
            </w:r>
            <w:r>
              <w:rPr>
                <w:rFonts w:hint="eastAsia" w:eastAsia="等线" w:cs="宋体"/>
                <w:color w:val="000000" w:themeColor="text1"/>
                <w:sz w:val="20"/>
                <w:szCs w:val="20"/>
                <w:vertAlign w:val="superscript"/>
              </w:rPr>
              <w:t>2</w:t>
            </w:r>
          </w:p>
        </w:tc>
      </w:tr>
      <w:tr>
        <w:tblPrEx>
          <w:tblLayout w:type="fixed"/>
          <w:tblCellMar>
            <w:top w:w="0" w:type="dxa"/>
            <w:left w:w="108" w:type="dxa"/>
            <w:bottom w:w="0" w:type="dxa"/>
            <w:right w:w="108" w:type="dxa"/>
          </w:tblCellMar>
        </w:tblPrEx>
        <w:trPr>
          <w:trHeight w:val="285" w:hRule="atLeast"/>
        </w:trPr>
        <w:tc>
          <w:tcPr>
            <w:tcW w:w="427" w:type="dxa"/>
            <w:tcBorders>
              <w:top w:val="nil"/>
              <w:left w:val="single" w:color="auto" w:sz="8" w:space="0"/>
              <w:bottom w:val="single" w:color="auto" w:sz="8" w:space="0"/>
              <w:right w:val="single" w:color="auto" w:sz="8" w:space="0"/>
            </w:tcBorders>
            <w:shd w:val="clear" w:color="000000" w:fill="FFFFFF"/>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12</w:t>
            </w:r>
          </w:p>
        </w:tc>
        <w:tc>
          <w:tcPr>
            <w:tcW w:w="427"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c>
          <w:tcPr>
            <w:tcW w:w="1944"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墙面封堵</w:t>
            </w:r>
          </w:p>
        </w:tc>
        <w:tc>
          <w:tcPr>
            <w:tcW w:w="4547"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sz w:val="20"/>
                <w:szCs w:val="20"/>
              </w:rPr>
            </w:pPr>
            <w:r>
              <w:rPr>
                <w:rFonts w:hint="eastAsia" w:ascii="仿宋_GB2312" w:hAnsi="宋体" w:cs="宋体"/>
                <w:color w:val="000000" w:themeColor="text1"/>
                <w:sz w:val="20"/>
                <w:szCs w:val="20"/>
              </w:rPr>
              <w:t>部分玻璃窗封堵</w:t>
            </w:r>
          </w:p>
        </w:tc>
        <w:tc>
          <w:tcPr>
            <w:tcW w:w="616"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1</w:t>
            </w:r>
          </w:p>
        </w:tc>
        <w:tc>
          <w:tcPr>
            <w:tcW w:w="459"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套</w:t>
            </w:r>
          </w:p>
        </w:tc>
      </w:tr>
      <w:tr>
        <w:tblPrEx>
          <w:tblLayout w:type="fixed"/>
          <w:tblCellMar>
            <w:top w:w="0" w:type="dxa"/>
            <w:left w:w="108" w:type="dxa"/>
            <w:bottom w:w="0" w:type="dxa"/>
            <w:right w:w="108" w:type="dxa"/>
          </w:tblCellMar>
        </w:tblPrEx>
        <w:trPr>
          <w:trHeight w:val="735" w:hRule="atLeast"/>
        </w:trPr>
        <w:tc>
          <w:tcPr>
            <w:tcW w:w="427" w:type="dxa"/>
            <w:tcBorders>
              <w:top w:val="nil"/>
              <w:left w:val="single" w:color="auto" w:sz="8" w:space="0"/>
              <w:bottom w:val="single" w:color="auto" w:sz="8" w:space="0"/>
              <w:right w:val="single" w:color="auto" w:sz="8" w:space="0"/>
            </w:tcBorders>
            <w:shd w:val="clear" w:color="000000" w:fill="FFFFFF"/>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13</w:t>
            </w:r>
          </w:p>
        </w:tc>
        <w:tc>
          <w:tcPr>
            <w:tcW w:w="427"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c>
          <w:tcPr>
            <w:tcW w:w="1944"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指挥中心</w:t>
            </w:r>
            <w:r>
              <w:rPr>
                <w:rFonts w:hint="eastAsia" w:ascii="宋体" w:hAnsi="宋体" w:cs="宋体"/>
                <w:color w:val="000000" w:themeColor="text1"/>
                <w:sz w:val="20"/>
                <w:szCs w:val="20"/>
              </w:rPr>
              <w:t>LOGO</w:t>
            </w:r>
            <w:r>
              <w:rPr>
                <w:rFonts w:hint="eastAsia" w:ascii="仿宋_GB2312" w:hAnsi="宋体" w:cs="宋体"/>
                <w:color w:val="000000" w:themeColor="text1"/>
                <w:sz w:val="20"/>
                <w:szCs w:val="20"/>
              </w:rPr>
              <w:t>背景墙装饰</w:t>
            </w:r>
          </w:p>
        </w:tc>
        <w:tc>
          <w:tcPr>
            <w:tcW w:w="4547"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sz w:val="20"/>
                <w:szCs w:val="20"/>
              </w:rPr>
            </w:pPr>
            <w:r>
              <w:rPr>
                <w:rFonts w:hint="eastAsia" w:ascii="仿宋_GB2312" w:hAnsi="宋体" w:cs="宋体"/>
                <w:color w:val="000000" w:themeColor="text1"/>
                <w:sz w:val="20"/>
                <w:szCs w:val="20"/>
              </w:rPr>
              <w:t>根据用户需求定制，正面、背面各一套</w:t>
            </w:r>
          </w:p>
        </w:tc>
        <w:tc>
          <w:tcPr>
            <w:tcW w:w="616"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459"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套</w:t>
            </w:r>
          </w:p>
        </w:tc>
      </w:tr>
      <w:tr>
        <w:tblPrEx>
          <w:tblLayout w:type="fixed"/>
          <w:tblCellMar>
            <w:top w:w="0" w:type="dxa"/>
            <w:left w:w="108" w:type="dxa"/>
            <w:bottom w:w="0" w:type="dxa"/>
            <w:right w:w="108" w:type="dxa"/>
          </w:tblCellMar>
        </w:tblPrEx>
        <w:trPr>
          <w:trHeight w:val="495" w:hRule="atLeast"/>
        </w:trPr>
        <w:tc>
          <w:tcPr>
            <w:tcW w:w="427" w:type="dxa"/>
            <w:tcBorders>
              <w:top w:val="nil"/>
              <w:left w:val="single" w:color="auto" w:sz="8" w:space="0"/>
              <w:bottom w:val="single" w:color="auto" w:sz="8" w:space="0"/>
              <w:right w:val="single" w:color="auto" w:sz="8" w:space="0"/>
            </w:tcBorders>
            <w:shd w:val="clear" w:color="000000" w:fill="FFFFFF"/>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14</w:t>
            </w:r>
          </w:p>
        </w:tc>
        <w:tc>
          <w:tcPr>
            <w:tcW w:w="427"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c>
          <w:tcPr>
            <w:tcW w:w="1944"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接待区展示墙</w:t>
            </w:r>
          </w:p>
        </w:tc>
        <w:tc>
          <w:tcPr>
            <w:tcW w:w="4547"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sz w:val="20"/>
                <w:szCs w:val="20"/>
              </w:rPr>
            </w:pPr>
            <w:r>
              <w:rPr>
                <w:rFonts w:hint="eastAsia" w:ascii="仿宋_GB2312" w:hAnsi="宋体" w:cs="宋体"/>
                <w:color w:val="000000" w:themeColor="text1"/>
                <w:sz w:val="20"/>
                <w:szCs w:val="20"/>
              </w:rPr>
              <w:t>根据用户需求定制</w:t>
            </w:r>
          </w:p>
        </w:tc>
        <w:tc>
          <w:tcPr>
            <w:tcW w:w="616"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1</w:t>
            </w:r>
          </w:p>
        </w:tc>
        <w:tc>
          <w:tcPr>
            <w:tcW w:w="459"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套</w:t>
            </w:r>
          </w:p>
        </w:tc>
      </w:tr>
      <w:tr>
        <w:tblPrEx>
          <w:tblLayout w:type="fixed"/>
          <w:tblCellMar>
            <w:top w:w="0" w:type="dxa"/>
            <w:left w:w="108" w:type="dxa"/>
            <w:bottom w:w="0" w:type="dxa"/>
            <w:right w:w="108" w:type="dxa"/>
          </w:tblCellMar>
        </w:tblPrEx>
        <w:trPr>
          <w:trHeight w:val="495" w:hRule="atLeast"/>
        </w:trPr>
        <w:tc>
          <w:tcPr>
            <w:tcW w:w="427" w:type="dxa"/>
            <w:tcBorders>
              <w:top w:val="nil"/>
              <w:left w:val="single" w:color="auto" w:sz="8" w:space="0"/>
              <w:bottom w:val="single" w:color="auto" w:sz="8" w:space="0"/>
              <w:right w:val="single" w:color="auto" w:sz="8" w:space="0"/>
            </w:tcBorders>
            <w:shd w:val="clear" w:color="000000" w:fill="FFFFFF"/>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15</w:t>
            </w:r>
          </w:p>
        </w:tc>
        <w:tc>
          <w:tcPr>
            <w:tcW w:w="427"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c>
          <w:tcPr>
            <w:tcW w:w="1944"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成品套装门</w:t>
            </w:r>
          </w:p>
        </w:tc>
        <w:tc>
          <w:tcPr>
            <w:tcW w:w="4547"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sz w:val="20"/>
                <w:szCs w:val="20"/>
              </w:rPr>
            </w:pPr>
            <w:r>
              <w:rPr>
                <w:rFonts w:hint="eastAsia" w:ascii="仿宋_GB2312" w:hAnsi="宋体" w:cs="宋体"/>
                <w:color w:val="000000" w:themeColor="text1"/>
                <w:sz w:val="20"/>
                <w:szCs w:val="20"/>
              </w:rPr>
              <w:t>甲级双开防火门</w:t>
            </w:r>
          </w:p>
        </w:tc>
        <w:tc>
          <w:tcPr>
            <w:tcW w:w="616"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459"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套</w:t>
            </w:r>
          </w:p>
        </w:tc>
      </w:tr>
      <w:tr>
        <w:tblPrEx>
          <w:tblLayout w:type="fixed"/>
          <w:tblCellMar>
            <w:top w:w="0" w:type="dxa"/>
            <w:left w:w="108" w:type="dxa"/>
            <w:bottom w:w="0" w:type="dxa"/>
            <w:right w:w="108" w:type="dxa"/>
          </w:tblCellMar>
        </w:tblPrEx>
        <w:trPr>
          <w:trHeight w:val="495" w:hRule="atLeast"/>
        </w:trPr>
        <w:tc>
          <w:tcPr>
            <w:tcW w:w="427" w:type="dxa"/>
            <w:tcBorders>
              <w:top w:val="nil"/>
              <w:left w:val="single" w:color="auto" w:sz="8" w:space="0"/>
              <w:bottom w:val="single" w:color="auto" w:sz="8" w:space="0"/>
              <w:right w:val="single" w:color="auto" w:sz="8" w:space="0"/>
            </w:tcBorders>
            <w:shd w:val="clear" w:color="000000" w:fill="FFFFFF"/>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16</w:t>
            </w:r>
          </w:p>
        </w:tc>
        <w:tc>
          <w:tcPr>
            <w:tcW w:w="427"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c>
          <w:tcPr>
            <w:tcW w:w="1944"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成品套装门</w:t>
            </w:r>
          </w:p>
        </w:tc>
        <w:tc>
          <w:tcPr>
            <w:tcW w:w="4547"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sz w:val="20"/>
                <w:szCs w:val="20"/>
              </w:rPr>
            </w:pPr>
            <w:r>
              <w:rPr>
                <w:rFonts w:hint="eastAsia" w:ascii="仿宋_GB2312" w:hAnsi="宋体" w:cs="宋体"/>
                <w:color w:val="000000" w:themeColor="text1"/>
                <w:sz w:val="20"/>
                <w:szCs w:val="20"/>
              </w:rPr>
              <w:t>甲级单开防火门</w:t>
            </w:r>
          </w:p>
        </w:tc>
        <w:tc>
          <w:tcPr>
            <w:tcW w:w="616"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1</w:t>
            </w:r>
          </w:p>
        </w:tc>
        <w:tc>
          <w:tcPr>
            <w:tcW w:w="459"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套</w:t>
            </w:r>
          </w:p>
        </w:tc>
      </w:tr>
      <w:tr>
        <w:tblPrEx>
          <w:tblLayout w:type="fixed"/>
          <w:tblCellMar>
            <w:top w:w="0" w:type="dxa"/>
            <w:left w:w="108" w:type="dxa"/>
            <w:bottom w:w="0" w:type="dxa"/>
            <w:right w:w="108" w:type="dxa"/>
          </w:tblCellMar>
        </w:tblPrEx>
        <w:trPr>
          <w:trHeight w:val="495" w:hRule="atLeast"/>
        </w:trPr>
        <w:tc>
          <w:tcPr>
            <w:tcW w:w="427" w:type="dxa"/>
            <w:tcBorders>
              <w:top w:val="nil"/>
              <w:left w:val="single" w:color="auto" w:sz="8" w:space="0"/>
              <w:bottom w:val="single" w:color="auto" w:sz="8" w:space="0"/>
              <w:right w:val="single" w:color="auto" w:sz="8" w:space="0"/>
            </w:tcBorders>
            <w:shd w:val="clear" w:color="000000" w:fill="FFFFFF"/>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17</w:t>
            </w:r>
          </w:p>
        </w:tc>
        <w:tc>
          <w:tcPr>
            <w:tcW w:w="427"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c>
          <w:tcPr>
            <w:tcW w:w="1944"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窗帘</w:t>
            </w:r>
          </w:p>
        </w:tc>
        <w:tc>
          <w:tcPr>
            <w:tcW w:w="4547"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sz w:val="20"/>
                <w:szCs w:val="20"/>
              </w:rPr>
            </w:pPr>
            <w:r>
              <w:rPr>
                <w:rFonts w:hint="eastAsia" w:ascii="仿宋_GB2312" w:hAnsi="宋体" w:cs="宋体"/>
                <w:color w:val="000000" w:themeColor="text1"/>
                <w:sz w:val="20"/>
                <w:szCs w:val="20"/>
              </w:rPr>
              <w:t>定制窗帘，风格根据用户需求</w:t>
            </w:r>
          </w:p>
        </w:tc>
        <w:tc>
          <w:tcPr>
            <w:tcW w:w="616"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1</w:t>
            </w:r>
          </w:p>
        </w:tc>
        <w:tc>
          <w:tcPr>
            <w:tcW w:w="459"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项</w:t>
            </w:r>
          </w:p>
        </w:tc>
      </w:tr>
      <w:tr>
        <w:tblPrEx>
          <w:tblLayout w:type="fixed"/>
          <w:tblCellMar>
            <w:top w:w="0" w:type="dxa"/>
            <w:left w:w="108" w:type="dxa"/>
            <w:bottom w:w="0" w:type="dxa"/>
            <w:right w:w="108" w:type="dxa"/>
          </w:tblCellMar>
        </w:tblPrEx>
        <w:trPr>
          <w:trHeight w:val="495" w:hRule="atLeast"/>
        </w:trPr>
        <w:tc>
          <w:tcPr>
            <w:tcW w:w="427" w:type="dxa"/>
            <w:tcBorders>
              <w:top w:val="nil"/>
              <w:left w:val="single" w:color="auto" w:sz="8" w:space="0"/>
              <w:bottom w:val="single" w:color="auto" w:sz="8" w:space="0"/>
              <w:right w:val="single" w:color="auto" w:sz="8" w:space="0"/>
            </w:tcBorders>
            <w:shd w:val="clear" w:color="000000" w:fill="FFFFFF"/>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18</w:t>
            </w:r>
          </w:p>
        </w:tc>
        <w:tc>
          <w:tcPr>
            <w:tcW w:w="427"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电气工程</w:t>
            </w:r>
          </w:p>
        </w:tc>
        <w:tc>
          <w:tcPr>
            <w:tcW w:w="1944"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市电总配电箱</w:t>
            </w:r>
          </w:p>
        </w:tc>
        <w:tc>
          <w:tcPr>
            <w:tcW w:w="4547"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sz w:val="20"/>
                <w:szCs w:val="20"/>
              </w:rPr>
            </w:pPr>
            <w:r>
              <w:rPr>
                <w:rFonts w:hint="eastAsia" w:ascii="仿宋_GB2312" w:hAnsi="宋体" w:cs="宋体"/>
                <w:color w:val="000000" w:themeColor="text1"/>
                <w:sz w:val="20"/>
                <w:szCs w:val="20"/>
              </w:rPr>
              <w:t>含空开、防雷保护等配套设备</w:t>
            </w:r>
          </w:p>
        </w:tc>
        <w:tc>
          <w:tcPr>
            <w:tcW w:w="616"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1</w:t>
            </w:r>
          </w:p>
        </w:tc>
        <w:tc>
          <w:tcPr>
            <w:tcW w:w="459"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套</w:t>
            </w:r>
          </w:p>
        </w:tc>
      </w:tr>
      <w:tr>
        <w:tblPrEx>
          <w:tblLayout w:type="fixed"/>
          <w:tblCellMar>
            <w:top w:w="0" w:type="dxa"/>
            <w:left w:w="108" w:type="dxa"/>
            <w:bottom w:w="0" w:type="dxa"/>
            <w:right w:w="108" w:type="dxa"/>
          </w:tblCellMar>
        </w:tblPrEx>
        <w:trPr>
          <w:trHeight w:val="495" w:hRule="atLeast"/>
        </w:trPr>
        <w:tc>
          <w:tcPr>
            <w:tcW w:w="427" w:type="dxa"/>
            <w:tcBorders>
              <w:top w:val="nil"/>
              <w:left w:val="single" w:color="auto" w:sz="8" w:space="0"/>
              <w:bottom w:val="single" w:color="auto" w:sz="8" w:space="0"/>
              <w:right w:val="single" w:color="auto" w:sz="8" w:space="0"/>
            </w:tcBorders>
            <w:shd w:val="clear" w:color="000000" w:fill="FFFFFF"/>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19</w:t>
            </w:r>
          </w:p>
        </w:tc>
        <w:tc>
          <w:tcPr>
            <w:tcW w:w="427"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c>
          <w:tcPr>
            <w:tcW w:w="1944"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UPS</w:t>
            </w:r>
            <w:r>
              <w:rPr>
                <w:rFonts w:hint="eastAsia" w:ascii="仿宋_GB2312" w:hAnsi="宋体" w:cs="宋体"/>
                <w:color w:val="000000" w:themeColor="text1"/>
                <w:sz w:val="20"/>
                <w:szCs w:val="20"/>
              </w:rPr>
              <w:t>配电柜</w:t>
            </w:r>
          </w:p>
        </w:tc>
        <w:tc>
          <w:tcPr>
            <w:tcW w:w="4547"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sz w:val="20"/>
                <w:szCs w:val="20"/>
              </w:rPr>
            </w:pPr>
            <w:r>
              <w:rPr>
                <w:rFonts w:hint="eastAsia" w:ascii="仿宋_GB2312" w:hAnsi="宋体" w:cs="宋体"/>
                <w:color w:val="000000" w:themeColor="text1"/>
                <w:sz w:val="20"/>
                <w:szCs w:val="20"/>
              </w:rPr>
              <w:t>含空开、防雷保护等配套设备</w:t>
            </w:r>
          </w:p>
        </w:tc>
        <w:tc>
          <w:tcPr>
            <w:tcW w:w="616"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1</w:t>
            </w:r>
          </w:p>
        </w:tc>
        <w:tc>
          <w:tcPr>
            <w:tcW w:w="459"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套</w:t>
            </w:r>
          </w:p>
        </w:tc>
      </w:tr>
      <w:tr>
        <w:tblPrEx>
          <w:tblLayout w:type="fixed"/>
          <w:tblCellMar>
            <w:top w:w="0" w:type="dxa"/>
            <w:left w:w="108" w:type="dxa"/>
            <w:bottom w:w="0" w:type="dxa"/>
            <w:right w:w="108" w:type="dxa"/>
          </w:tblCellMar>
        </w:tblPrEx>
        <w:trPr>
          <w:trHeight w:val="495" w:hRule="atLeast"/>
        </w:trPr>
        <w:tc>
          <w:tcPr>
            <w:tcW w:w="427" w:type="dxa"/>
            <w:tcBorders>
              <w:top w:val="nil"/>
              <w:left w:val="single" w:color="auto" w:sz="8" w:space="0"/>
              <w:bottom w:val="single" w:color="auto" w:sz="8" w:space="0"/>
              <w:right w:val="single" w:color="auto" w:sz="8" w:space="0"/>
            </w:tcBorders>
            <w:shd w:val="clear" w:color="000000" w:fill="FFFFFF"/>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20</w:t>
            </w:r>
          </w:p>
        </w:tc>
        <w:tc>
          <w:tcPr>
            <w:tcW w:w="427"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c>
          <w:tcPr>
            <w:tcW w:w="1944"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照明插座配电箱</w:t>
            </w:r>
          </w:p>
        </w:tc>
        <w:tc>
          <w:tcPr>
            <w:tcW w:w="4547"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sz w:val="20"/>
                <w:szCs w:val="20"/>
              </w:rPr>
            </w:pPr>
            <w:r>
              <w:rPr>
                <w:rFonts w:hint="eastAsia" w:ascii="仿宋_GB2312" w:hAnsi="宋体" w:cs="宋体"/>
                <w:color w:val="000000" w:themeColor="text1"/>
                <w:sz w:val="20"/>
                <w:szCs w:val="20"/>
              </w:rPr>
              <w:t>含空开、防雷保护等配套设备</w:t>
            </w:r>
          </w:p>
        </w:tc>
        <w:tc>
          <w:tcPr>
            <w:tcW w:w="616"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1</w:t>
            </w:r>
          </w:p>
        </w:tc>
        <w:tc>
          <w:tcPr>
            <w:tcW w:w="459"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套</w:t>
            </w:r>
          </w:p>
        </w:tc>
      </w:tr>
      <w:tr>
        <w:tblPrEx>
          <w:tblLayout w:type="fixed"/>
          <w:tblCellMar>
            <w:top w:w="0" w:type="dxa"/>
            <w:left w:w="108" w:type="dxa"/>
            <w:bottom w:w="0" w:type="dxa"/>
            <w:right w:w="108" w:type="dxa"/>
          </w:tblCellMar>
        </w:tblPrEx>
        <w:trPr>
          <w:trHeight w:val="735" w:hRule="atLeast"/>
        </w:trPr>
        <w:tc>
          <w:tcPr>
            <w:tcW w:w="427" w:type="dxa"/>
            <w:tcBorders>
              <w:top w:val="nil"/>
              <w:left w:val="single" w:color="auto" w:sz="8" w:space="0"/>
              <w:bottom w:val="single" w:color="auto" w:sz="8" w:space="0"/>
              <w:right w:val="single" w:color="auto" w:sz="8" w:space="0"/>
            </w:tcBorders>
            <w:shd w:val="clear" w:color="000000" w:fill="FFFFFF"/>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21</w:t>
            </w:r>
          </w:p>
        </w:tc>
        <w:tc>
          <w:tcPr>
            <w:tcW w:w="427"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c>
          <w:tcPr>
            <w:tcW w:w="1944"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UPS</w:t>
            </w:r>
            <w:r>
              <w:rPr>
                <w:rFonts w:hint="eastAsia" w:ascii="仿宋_GB2312" w:hAnsi="宋体" w:cs="宋体"/>
                <w:color w:val="000000" w:themeColor="text1"/>
                <w:sz w:val="20"/>
                <w:szCs w:val="20"/>
              </w:rPr>
              <w:t>输入输出线</w:t>
            </w:r>
          </w:p>
        </w:tc>
        <w:tc>
          <w:tcPr>
            <w:tcW w:w="4547" w:type="dxa"/>
            <w:tcBorders>
              <w:top w:val="nil"/>
              <w:left w:val="nil"/>
              <w:bottom w:val="single" w:color="auto" w:sz="8" w:space="0"/>
              <w:right w:val="single" w:color="auto" w:sz="8" w:space="0"/>
            </w:tcBorders>
            <w:shd w:val="clear" w:color="auto" w:fill="auto"/>
            <w:vAlign w:val="center"/>
          </w:tcPr>
          <w:p>
            <w:pPr>
              <w:spacing w:line="300" w:lineRule="exact"/>
              <w:rPr>
                <w:rFonts w:ascii="宋体" w:hAnsi="宋体" w:cs="宋体"/>
                <w:color w:val="000000" w:themeColor="text1"/>
                <w:sz w:val="20"/>
                <w:szCs w:val="20"/>
              </w:rPr>
            </w:pPr>
            <w:r>
              <w:rPr>
                <w:rFonts w:hint="eastAsia" w:ascii="宋体" w:hAnsi="宋体" w:cs="宋体"/>
                <w:color w:val="000000" w:themeColor="text1"/>
                <w:sz w:val="20"/>
                <w:szCs w:val="20"/>
              </w:rPr>
              <w:t>ZR-YJV4*50mm2+1*25mm2</w:t>
            </w:r>
          </w:p>
        </w:tc>
        <w:tc>
          <w:tcPr>
            <w:tcW w:w="616"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100</w:t>
            </w:r>
          </w:p>
        </w:tc>
        <w:tc>
          <w:tcPr>
            <w:tcW w:w="459" w:type="dxa"/>
            <w:tcBorders>
              <w:top w:val="nil"/>
              <w:left w:val="nil"/>
              <w:bottom w:val="single" w:color="auto" w:sz="8" w:space="0"/>
              <w:right w:val="single" w:color="auto" w:sz="8" w:space="0"/>
            </w:tcBorders>
            <w:shd w:val="clear" w:color="auto" w:fill="auto"/>
            <w:vAlign w:val="center"/>
          </w:tcPr>
          <w:p>
            <w:pPr>
              <w:spacing w:line="300" w:lineRule="exact"/>
              <w:jc w:val="center"/>
              <w:rPr>
                <w:rFonts w:eastAsia="等线" w:cs="宋体"/>
                <w:color w:val="000000" w:themeColor="text1"/>
                <w:sz w:val="20"/>
                <w:szCs w:val="20"/>
              </w:rPr>
            </w:pPr>
            <w:r>
              <w:rPr>
                <w:rFonts w:hint="eastAsia" w:eastAsia="等线" w:cs="宋体"/>
                <w:color w:val="000000" w:themeColor="text1"/>
                <w:sz w:val="20"/>
                <w:szCs w:val="20"/>
              </w:rPr>
              <w:t>M</w:t>
            </w:r>
          </w:p>
        </w:tc>
      </w:tr>
      <w:tr>
        <w:tblPrEx>
          <w:tblLayout w:type="fixed"/>
          <w:tblCellMar>
            <w:top w:w="0" w:type="dxa"/>
            <w:left w:w="108" w:type="dxa"/>
            <w:bottom w:w="0" w:type="dxa"/>
            <w:right w:w="108" w:type="dxa"/>
          </w:tblCellMar>
        </w:tblPrEx>
        <w:trPr>
          <w:trHeight w:val="495" w:hRule="atLeast"/>
        </w:trPr>
        <w:tc>
          <w:tcPr>
            <w:tcW w:w="427" w:type="dxa"/>
            <w:tcBorders>
              <w:top w:val="nil"/>
              <w:left w:val="single" w:color="auto" w:sz="8" w:space="0"/>
              <w:bottom w:val="single" w:color="auto" w:sz="8" w:space="0"/>
              <w:right w:val="single" w:color="auto" w:sz="8" w:space="0"/>
            </w:tcBorders>
            <w:shd w:val="clear" w:color="000000" w:fill="FFFFFF"/>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22</w:t>
            </w:r>
          </w:p>
        </w:tc>
        <w:tc>
          <w:tcPr>
            <w:tcW w:w="427"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c>
          <w:tcPr>
            <w:tcW w:w="1944"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中央空调用电线</w:t>
            </w:r>
          </w:p>
        </w:tc>
        <w:tc>
          <w:tcPr>
            <w:tcW w:w="4547" w:type="dxa"/>
            <w:tcBorders>
              <w:top w:val="nil"/>
              <w:left w:val="nil"/>
              <w:bottom w:val="single" w:color="auto" w:sz="8" w:space="0"/>
              <w:right w:val="single" w:color="auto" w:sz="8" w:space="0"/>
            </w:tcBorders>
            <w:shd w:val="clear" w:color="auto" w:fill="auto"/>
            <w:vAlign w:val="center"/>
          </w:tcPr>
          <w:p>
            <w:pPr>
              <w:spacing w:line="300" w:lineRule="exact"/>
              <w:rPr>
                <w:rFonts w:ascii="宋体" w:hAnsi="宋体" w:cs="宋体"/>
                <w:color w:val="000000" w:themeColor="text1"/>
                <w:sz w:val="20"/>
                <w:szCs w:val="20"/>
              </w:rPr>
            </w:pPr>
            <w:r>
              <w:rPr>
                <w:rFonts w:hint="eastAsia" w:ascii="宋体" w:hAnsi="宋体" w:cs="宋体"/>
                <w:color w:val="000000" w:themeColor="text1"/>
                <w:sz w:val="20"/>
                <w:szCs w:val="20"/>
              </w:rPr>
              <w:t>ZR-YJV5*6mm2</w:t>
            </w:r>
          </w:p>
        </w:tc>
        <w:tc>
          <w:tcPr>
            <w:tcW w:w="616"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200</w:t>
            </w:r>
          </w:p>
        </w:tc>
        <w:tc>
          <w:tcPr>
            <w:tcW w:w="459" w:type="dxa"/>
            <w:tcBorders>
              <w:top w:val="nil"/>
              <w:left w:val="nil"/>
              <w:bottom w:val="single" w:color="auto" w:sz="8" w:space="0"/>
              <w:right w:val="single" w:color="auto" w:sz="8" w:space="0"/>
            </w:tcBorders>
            <w:shd w:val="clear" w:color="auto" w:fill="auto"/>
            <w:vAlign w:val="center"/>
          </w:tcPr>
          <w:p>
            <w:pPr>
              <w:spacing w:line="300" w:lineRule="exact"/>
              <w:jc w:val="center"/>
              <w:rPr>
                <w:rFonts w:eastAsia="等线" w:cs="宋体"/>
                <w:color w:val="000000" w:themeColor="text1"/>
                <w:sz w:val="20"/>
                <w:szCs w:val="20"/>
              </w:rPr>
            </w:pPr>
            <w:r>
              <w:rPr>
                <w:rFonts w:hint="eastAsia" w:eastAsia="等线" w:cs="宋体"/>
                <w:color w:val="000000" w:themeColor="text1"/>
                <w:sz w:val="20"/>
                <w:szCs w:val="20"/>
              </w:rPr>
              <w:t>M</w:t>
            </w:r>
          </w:p>
        </w:tc>
      </w:tr>
      <w:tr>
        <w:tblPrEx>
          <w:tblLayout w:type="fixed"/>
          <w:tblCellMar>
            <w:top w:w="0" w:type="dxa"/>
            <w:left w:w="108" w:type="dxa"/>
            <w:bottom w:w="0" w:type="dxa"/>
            <w:right w:w="108" w:type="dxa"/>
          </w:tblCellMar>
        </w:tblPrEx>
        <w:trPr>
          <w:trHeight w:val="495" w:hRule="atLeast"/>
        </w:trPr>
        <w:tc>
          <w:tcPr>
            <w:tcW w:w="427" w:type="dxa"/>
            <w:tcBorders>
              <w:top w:val="nil"/>
              <w:left w:val="single" w:color="auto" w:sz="8" w:space="0"/>
              <w:bottom w:val="single" w:color="auto" w:sz="8" w:space="0"/>
              <w:right w:val="single" w:color="auto" w:sz="8" w:space="0"/>
            </w:tcBorders>
            <w:shd w:val="clear" w:color="000000" w:fill="FFFFFF"/>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23</w:t>
            </w:r>
          </w:p>
        </w:tc>
        <w:tc>
          <w:tcPr>
            <w:tcW w:w="427"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c>
          <w:tcPr>
            <w:tcW w:w="1944"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照明插座线缆</w:t>
            </w:r>
          </w:p>
        </w:tc>
        <w:tc>
          <w:tcPr>
            <w:tcW w:w="4547" w:type="dxa"/>
            <w:tcBorders>
              <w:top w:val="nil"/>
              <w:left w:val="nil"/>
              <w:bottom w:val="single" w:color="auto" w:sz="8" w:space="0"/>
              <w:right w:val="single" w:color="auto" w:sz="8" w:space="0"/>
            </w:tcBorders>
            <w:shd w:val="clear" w:color="auto" w:fill="auto"/>
            <w:vAlign w:val="center"/>
          </w:tcPr>
          <w:p>
            <w:pPr>
              <w:spacing w:line="300" w:lineRule="exact"/>
              <w:rPr>
                <w:rFonts w:ascii="宋体" w:hAnsi="宋体" w:cs="宋体"/>
                <w:color w:val="000000" w:themeColor="text1"/>
                <w:sz w:val="20"/>
                <w:szCs w:val="20"/>
              </w:rPr>
            </w:pPr>
            <w:r>
              <w:rPr>
                <w:rFonts w:hint="eastAsia" w:ascii="宋体" w:hAnsi="宋体" w:cs="宋体"/>
                <w:color w:val="000000" w:themeColor="text1"/>
                <w:sz w:val="20"/>
                <w:szCs w:val="20"/>
              </w:rPr>
              <w:t>BV2.5mm2</w:t>
            </w:r>
          </w:p>
        </w:tc>
        <w:tc>
          <w:tcPr>
            <w:tcW w:w="616"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2000</w:t>
            </w:r>
          </w:p>
        </w:tc>
        <w:tc>
          <w:tcPr>
            <w:tcW w:w="459" w:type="dxa"/>
            <w:tcBorders>
              <w:top w:val="nil"/>
              <w:left w:val="nil"/>
              <w:bottom w:val="single" w:color="auto" w:sz="8" w:space="0"/>
              <w:right w:val="single" w:color="auto" w:sz="8" w:space="0"/>
            </w:tcBorders>
            <w:shd w:val="clear" w:color="auto" w:fill="auto"/>
            <w:vAlign w:val="center"/>
          </w:tcPr>
          <w:p>
            <w:pPr>
              <w:spacing w:line="300" w:lineRule="exact"/>
              <w:jc w:val="center"/>
              <w:rPr>
                <w:rFonts w:eastAsia="等线" w:cs="宋体"/>
                <w:color w:val="000000" w:themeColor="text1"/>
                <w:sz w:val="20"/>
                <w:szCs w:val="20"/>
              </w:rPr>
            </w:pPr>
            <w:r>
              <w:rPr>
                <w:rFonts w:hint="eastAsia" w:eastAsia="等线" w:cs="宋体"/>
                <w:color w:val="000000" w:themeColor="text1"/>
                <w:sz w:val="20"/>
                <w:szCs w:val="20"/>
              </w:rPr>
              <w:t>M</w:t>
            </w:r>
          </w:p>
        </w:tc>
      </w:tr>
      <w:tr>
        <w:tblPrEx>
          <w:tblLayout w:type="fixed"/>
          <w:tblCellMar>
            <w:top w:w="0" w:type="dxa"/>
            <w:left w:w="108" w:type="dxa"/>
            <w:bottom w:w="0" w:type="dxa"/>
            <w:right w:w="108" w:type="dxa"/>
          </w:tblCellMar>
        </w:tblPrEx>
        <w:trPr>
          <w:trHeight w:val="285" w:hRule="atLeast"/>
        </w:trPr>
        <w:tc>
          <w:tcPr>
            <w:tcW w:w="427" w:type="dxa"/>
            <w:tcBorders>
              <w:top w:val="nil"/>
              <w:left w:val="single" w:color="auto" w:sz="8" w:space="0"/>
              <w:bottom w:val="single" w:color="auto" w:sz="8" w:space="0"/>
              <w:right w:val="single" w:color="auto" w:sz="8" w:space="0"/>
            </w:tcBorders>
            <w:shd w:val="clear" w:color="000000" w:fill="FFFFFF"/>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24</w:t>
            </w:r>
          </w:p>
        </w:tc>
        <w:tc>
          <w:tcPr>
            <w:tcW w:w="427"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c>
          <w:tcPr>
            <w:tcW w:w="1944"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KBG</w:t>
            </w:r>
            <w:r>
              <w:rPr>
                <w:rFonts w:hint="eastAsia" w:ascii="仿宋_GB2312" w:hAnsi="宋体" w:cs="宋体"/>
                <w:color w:val="000000" w:themeColor="text1"/>
                <w:sz w:val="20"/>
                <w:szCs w:val="20"/>
              </w:rPr>
              <w:t>管</w:t>
            </w:r>
          </w:p>
        </w:tc>
        <w:tc>
          <w:tcPr>
            <w:tcW w:w="4547"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sz w:val="20"/>
                <w:szCs w:val="20"/>
              </w:rPr>
            </w:pPr>
            <w:r>
              <w:rPr>
                <w:rFonts w:hint="eastAsia" w:ascii="仿宋_GB2312" w:hAnsi="宋体" w:cs="宋体"/>
                <w:color w:val="000000" w:themeColor="text1"/>
                <w:sz w:val="20"/>
                <w:szCs w:val="20"/>
              </w:rPr>
              <w:t>直径</w:t>
            </w:r>
            <w:r>
              <w:rPr>
                <w:rFonts w:hint="eastAsia" w:ascii="宋体" w:hAnsi="宋体" w:cs="宋体"/>
                <w:color w:val="000000" w:themeColor="text1"/>
                <w:sz w:val="20"/>
                <w:szCs w:val="20"/>
              </w:rPr>
              <w:t>25/30</w:t>
            </w:r>
          </w:p>
        </w:tc>
        <w:tc>
          <w:tcPr>
            <w:tcW w:w="616"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2000</w:t>
            </w:r>
          </w:p>
        </w:tc>
        <w:tc>
          <w:tcPr>
            <w:tcW w:w="459"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米</w:t>
            </w:r>
          </w:p>
        </w:tc>
      </w:tr>
      <w:tr>
        <w:tblPrEx>
          <w:tblLayout w:type="fixed"/>
          <w:tblCellMar>
            <w:top w:w="0" w:type="dxa"/>
            <w:left w:w="108" w:type="dxa"/>
            <w:bottom w:w="0" w:type="dxa"/>
            <w:right w:w="108" w:type="dxa"/>
          </w:tblCellMar>
        </w:tblPrEx>
        <w:trPr>
          <w:trHeight w:val="285" w:hRule="atLeast"/>
        </w:trPr>
        <w:tc>
          <w:tcPr>
            <w:tcW w:w="427" w:type="dxa"/>
            <w:tcBorders>
              <w:top w:val="nil"/>
              <w:left w:val="single" w:color="auto" w:sz="8" w:space="0"/>
              <w:bottom w:val="single" w:color="auto" w:sz="8" w:space="0"/>
              <w:right w:val="single" w:color="auto" w:sz="8" w:space="0"/>
            </w:tcBorders>
            <w:shd w:val="clear" w:color="000000" w:fill="FFFFFF"/>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25</w:t>
            </w:r>
          </w:p>
        </w:tc>
        <w:tc>
          <w:tcPr>
            <w:tcW w:w="427"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c>
          <w:tcPr>
            <w:tcW w:w="1944"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开关</w:t>
            </w:r>
            <w:r>
              <w:rPr>
                <w:rFonts w:hint="eastAsia" w:ascii="宋体" w:hAnsi="宋体" w:cs="宋体"/>
                <w:color w:val="000000" w:themeColor="text1"/>
                <w:sz w:val="20"/>
                <w:szCs w:val="20"/>
              </w:rPr>
              <w:t>\</w:t>
            </w:r>
            <w:r>
              <w:rPr>
                <w:rFonts w:hint="eastAsia" w:ascii="仿宋_GB2312" w:hAnsi="宋体" w:cs="宋体"/>
                <w:color w:val="000000" w:themeColor="text1"/>
                <w:sz w:val="20"/>
                <w:szCs w:val="20"/>
              </w:rPr>
              <w:t>插座</w:t>
            </w:r>
          </w:p>
        </w:tc>
        <w:tc>
          <w:tcPr>
            <w:tcW w:w="4547"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sz w:val="20"/>
                <w:szCs w:val="20"/>
              </w:rPr>
            </w:pPr>
            <w:r>
              <w:rPr>
                <w:rFonts w:hint="eastAsia" w:ascii="仿宋_GB2312" w:hAnsi="宋体" w:cs="宋体"/>
                <w:color w:val="000000" w:themeColor="text1"/>
                <w:sz w:val="20"/>
                <w:szCs w:val="20"/>
              </w:rPr>
              <w:t>五孔插、开关等</w:t>
            </w:r>
          </w:p>
        </w:tc>
        <w:tc>
          <w:tcPr>
            <w:tcW w:w="616"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1</w:t>
            </w:r>
          </w:p>
        </w:tc>
        <w:tc>
          <w:tcPr>
            <w:tcW w:w="459"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项</w:t>
            </w:r>
          </w:p>
        </w:tc>
      </w:tr>
      <w:tr>
        <w:tblPrEx>
          <w:tblLayout w:type="fixed"/>
          <w:tblCellMar>
            <w:top w:w="0" w:type="dxa"/>
            <w:left w:w="108" w:type="dxa"/>
            <w:bottom w:w="0" w:type="dxa"/>
            <w:right w:w="108" w:type="dxa"/>
          </w:tblCellMar>
        </w:tblPrEx>
        <w:trPr>
          <w:trHeight w:val="975" w:hRule="atLeast"/>
        </w:trPr>
        <w:tc>
          <w:tcPr>
            <w:tcW w:w="427" w:type="dxa"/>
            <w:tcBorders>
              <w:top w:val="nil"/>
              <w:left w:val="single" w:color="auto" w:sz="8" w:space="0"/>
              <w:bottom w:val="single" w:color="auto" w:sz="8" w:space="0"/>
              <w:right w:val="single" w:color="auto" w:sz="8" w:space="0"/>
            </w:tcBorders>
            <w:shd w:val="clear" w:color="000000" w:fill="FFFFFF"/>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26</w:t>
            </w:r>
          </w:p>
        </w:tc>
        <w:tc>
          <w:tcPr>
            <w:tcW w:w="427"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c>
          <w:tcPr>
            <w:tcW w:w="1944"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中央空调</w:t>
            </w:r>
          </w:p>
        </w:tc>
        <w:tc>
          <w:tcPr>
            <w:tcW w:w="4547" w:type="dxa"/>
            <w:tcBorders>
              <w:top w:val="nil"/>
              <w:left w:val="nil"/>
              <w:bottom w:val="single" w:color="auto" w:sz="8" w:space="0"/>
              <w:right w:val="single" w:color="auto" w:sz="8" w:space="0"/>
            </w:tcBorders>
            <w:shd w:val="clear" w:color="auto" w:fill="auto"/>
            <w:vAlign w:val="center"/>
          </w:tcPr>
          <w:p>
            <w:pPr>
              <w:spacing w:line="300" w:lineRule="exact"/>
              <w:rPr>
                <w:rFonts w:ascii="宋体" w:hAnsi="宋体" w:cs="宋体"/>
                <w:color w:val="000000" w:themeColor="text1"/>
                <w:sz w:val="20"/>
                <w:szCs w:val="20"/>
              </w:rPr>
            </w:pPr>
            <w:r>
              <w:rPr>
                <w:rFonts w:hint="eastAsia" w:ascii="宋体" w:hAnsi="宋体" w:cs="宋体"/>
                <w:color w:val="000000" w:themeColor="text1"/>
                <w:sz w:val="20"/>
                <w:szCs w:val="20"/>
              </w:rPr>
              <w:t>6</w:t>
            </w:r>
            <w:r>
              <w:rPr>
                <w:rFonts w:hint="eastAsia" w:ascii="仿宋_GB2312" w:hAnsi="宋体" w:cs="宋体"/>
                <w:color w:val="000000" w:themeColor="text1"/>
                <w:sz w:val="20"/>
                <w:szCs w:val="20"/>
              </w:rPr>
              <w:t>匹中央空调，制冷量：</w:t>
            </w:r>
            <w:r>
              <w:rPr>
                <w:rFonts w:hint="eastAsia" w:ascii="宋体" w:hAnsi="宋体" w:cs="宋体"/>
                <w:color w:val="000000" w:themeColor="text1"/>
                <w:sz w:val="20"/>
                <w:szCs w:val="20"/>
              </w:rPr>
              <w:t>14000W</w:t>
            </w:r>
            <w:r>
              <w:rPr>
                <w:rFonts w:hint="eastAsia" w:ascii="仿宋_GB2312" w:hAnsi="宋体" w:cs="宋体"/>
                <w:color w:val="000000" w:themeColor="text1"/>
                <w:sz w:val="20"/>
                <w:szCs w:val="20"/>
              </w:rPr>
              <w:t>，制热量：</w:t>
            </w:r>
            <w:r>
              <w:rPr>
                <w:rFonts w:hint="eastAsia" w:ascii="宋体" w:hAnsi="宋体" w:cs="宋体"/>
                <w:color w:val="000000" w:themeColor="text1"/>
                <w:sz w:val="20"/>
                <w:szCs w:val="20"/>
              </w:rPr>
              <w:t>15400W</w:t>
            </w:r>
            <w:r>
              <w:rPr>
                <w:rFonts w:hint="eastAsia" w:ascii="仿宋_GB2312" w:hAnsi="宋体" w:cs="宋体"/>
                <w:color w:val="000000" w:themeColor="text1"/>
                <w:sz w:val="20"/>
                <w:szCs w:val="20"/>
              </w:rPr>
              <w:t>，</w:t>
            </w:r>
            <w:r>
              <w:rPr>
                <w:rFonts w:hint="eastAsia" w:ascii="宋体" w:hAnsi="宋体" w:cs="宋体"/>
                <w:color w:val="000000" w:themeColor="text1"/>
                <w:sz w:val="20"/>
                <w:szCs w:val="20"/>
              </w:rPr>
              <w:t>4</w:t>
            </w:r>
            <w:r>
              <w:rPr>
                <w:rFonts w:hint="eastAsia" w:ascii="仿宋_GB2312" w:hAnsi="宋体" w:cs="宋体"/>
                <w:color w:val="000000" w:themeColor="text1"/>
                <w:sz w:val="20"/>
                <w:szCs w:val="20"/>
              </w:rPr>
              <w:t>级能效</w:t>
            </w:r>
          </w:p>
        </w:tc>
        <w:tc>
          <w:tcPr>
            <w:tcW w:w="616"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4</w:t>
            </w:r>
          </w:p>
        </w:tc>
        <w:tc>
          <w:tcPr>
            <w:tcW w:w="459"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套</w:t>
            </w:r>
          </w:p>
        </w:tc>
      </w:tr>
      <w:tr>
        <w:tblPrEx>
          <w:tblLayout w:type="fixed"/>
          <w:tblCellMar>
            <w:top w:w="0" w:type="dxa"/>
            <w:left w:w="108" w:type="dxa"/>
            <w:bottom w:w="0" w:type="dxa"/>
            <w:right w:w="108" w:type="dxa"/>
          </w:tblCellMar>
        </w:tblPrEx>
        <w:trPr>
          <w:trHeight w:val="285" w:hRule="atLeast"/>
        </w:trPr>
        <w:tc>
          <w:tcPr>
            <w:tcW w:w="427" w:type="dxa"/>
            <w:tcBorders>
              <w:top w:val="nil"/>
              <w:left w:val="single" w:color="auto" w:sz="8" w:space="0"/>
              <w:bottom w:val="single" w:color="auto" w:sz="8" w:space="0"/>
              <w:right w:val="single" w:color="auto" w:sz="8" w:space="0"/>
            </w:tcBorders>
            <w:shd w:val="clear" w:color="000000" w:fill="FFFFFF"/>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27</w:t>
            </w:r>
          </w:p>
        </w:tc>
        <w:tc>
          <w:tcPr>
            <w:tcW w:w="427"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c>
          <w:tcPr>
            <w:tcW w:w="1944"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壁挂空调</w:t>
            </w:r>
          </w:p>
        </w:tc>
        <w:tc>
          <w:tcPr>
            <w:tcW w:w="4547" w:type="dxa"/>
            <w:tcBorders>
              <w:top w:val="nil"/>
              <w:left w:val="nil"/>
              <w:bottom w:val="single" w:color="auto" w:sz="8" w:space="0"/>
              <w:right w:val="single" w:color="auto" w:sz="8" w:space="0"/>
            </w:tcBorders>
            <w:shd w:val="clear" w:color="auto" w:fill="auto"/>
            <w:vAlign w:val="center"/>
          </w:tcPr>
          <w:p>
            <w:pPr>
              <w:spacing w:line="300" w:lineRule="exact"/>
              <w:rPr>
                <w:rFonts w:ascii="宋体" w:hAnsi="宋体" w:cs="宋体"/>
                <w:color w:val="000000" w:themeColor="text1"/>
                <w:sz w:val="20"/>
                <w:szCs w:val="20"/>
              </w:rPr>
            </w:pPr>
            <w:r>
              <w:rPr>
                <w:rFonts w:hint="eastAsia" w:ascii="宋体" w:hAnsi="宋体" w:cs="宋体"/>
                <w:color w:val="000000" w:themeColor="text1"/>
                <w:sz w:val="20"/>
                <w:szCs w:val="20"/>
              </w:rPr>
              <w:t>1.5</w:t>
            </w:r>
            <w:r>
              <w:rPr>
                <w:rFonts w:hint="eastAsia" w:ascii="仿宋_GB2312" w:hAnsi="宋体" w:cs="宋体"/>
                <w:color w:val="000000" w:themeColor="text1"/>
                <w:sz w:val="20"/>
                <w:szCs w:val="20"/>
              </w:rPr>
              <w:t>匹空调</w:t>
            </w:r>
          </w:p>
        </w:tc>
        <w:tc>
          <w:tcPr>
            <w:tcW w:w="616"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1</w:t>
            </w:r>
          </w:p>
        </w:tc>
        <w:tc>
          <w:tcPr>
            <w:tcW w:w="459"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套</w:t>
            </w:r>
          </w:p>
        </w:tc>
      </w:tr>
      <w:tr>
        <w:tblPrEx>
          <w:tblLayout w:type="fixed"/>
          <w:tblCellMar>
            <w:top w:w="0" w:type="dxa"/>
            <w:left w:w="108" w:type="dxa"/>
            <w:bottom w:w="0" w:type="dxa"/>
            <w:right w:w="108" w:type="dxa"/>
          </w:tblCellMar>
        </w:tblPrEx>
        <w:trPr>
          <w:trHeight w:val="1215" w:hRule="atLeast"/>
        </w:trPr>
        <w:tc>
          <w:tcPr>
            <w:tcW w:w="427" w:type="dxa"/>
            <w:tcBorders>
              <w:top w:val="nil"/>
              <w:left w:val="single" w:color="auto" w:sz="8" w:space="0"/>
              <w:bottom w:val="single" w:color="auto" w:sz="8" w:space="0"/>
              <w:right w:val="single" w:color="auto" w:sz="8" w:space="0"/>
            </w:tcBorders>
            <w:shd w:val="clear" w:color="000000" w:fill="FFFFFF"/>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28</w:t>
            </w:r>
          </w:p>
        </w:tc>
        <w:tc>
          <w:tcPr>
            <w:tcW w:w="427"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油漆工程</w:t>
            </w:r>
          </w:p>
        </w:tc>
        <w:tc>
          <w:tcPr>
            <w:tcW w:w="1944"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墙面乳胶漆</w:t>
            </w:r>
          </w:p>
        </w:tc>
        <w:tc>
          <w:tcPr>
            <w:tcW w:w="4547"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sz w:val="20"/>
                <w:szCs w:val="20"/>
              </w:rPr>
            </w:pPr>
            <w:r>
              <w:rPr>
                <w:rFonts w:hint="eastAsia" w:ascii="仿宋_GB2312" w:hAnsi="宋体" w:cs="宋体"/>
                <w:color w:val="000000" w:themeColor="text1"/>
                <w:sz w:val="20"/>
                <w:szCs w:val="20"/>
              </w:rPr>
              <w:t>墙面层处理，批腻子乳胶漆一底二面，研讨区，指挥大厅以及电梯口接待区</w:t>
            </w:r>
          </w:p>
        </w:tc>
        <w:tc>
          <w:tcPr>
            <w:tcW w:w="616"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500</w:t>
            </w:r>
          </w:p>
        </w:tc>
        <w:tc>
          <w:tcPr>
            <w:tcW w:w="459" w:type="dxa"/>
            <w:tcBorders>
              <w:top w:val="nil"/>
              <w:left w:val="nil"/>
              <w:bottom w:val="single" w:color="auto" w:sz="8" w:space="0"/>
              <w:right w:val="single" w:color="auto" w:sz="8" w:space="0"/>
            </w:tcBorders>
            <w:shd w:val="clear" w:color="auto" w:fill="auto"/>
            <w:vAlign w:val="center"/>
          </w:tcPr>
          <w:p>
            <w:pPr>
              <w:spacing w:line="300" w:lineRule="exact"/>
              <w:jc w:val="center"/>
              <w:rPr>
                <w:rFonts w:eastAsia="等线" w:cs="宋体"/>
                <w:color w:val="000000" w:themeColor="text1"/>
                <w:sz w:val="20"/>
                <w:szCs w:val="20"/>
              </w:rPr>
            </w:pPr>
            <w:r>
              <w:rPr>
                <w:rFonts w:hint="eastAsia" w:eastAsia="等线" w:cs="宋体"/>
                <w:color w:val="000000" w:themeColor="text1"/>
                <w:sz w:val="20"/>
                <w:szCs w:val="20"/>
              </w:rPr>
              <w:t>M</w:t>
            </w:r>
            <w:r>
              <w:rPr>
                <w:rFonts w:hint="eastAsia" w:eastAsia="等线" w:cs="宋体"/>
                <w:color w:val="000000" w:themeColor="text1"/>
                <w:sz w:val="20"/>
                <w:szCs w:val="20"/>
                <w:vertAlign w:val="superscript"/>
              </w:rPr>
              <w:t>2</w:t>
            </w:r>
          </w:p>
        </w:tc>
      </w:tr>
      <w:tr>
        <w:tblPrEx>
          <w:tblLayout w:type="fixed"/>
          <w:tblCellMar>
            <w:top w:w="0" w:type="dxa"/>
            <w:left w:w="108" w:type="dxa"/>
            <w:bottom w:w="0" w:type="dxa"/>
            <w:right w:w="108" w:type="dxa"/>
          </w:tblCellMar>
        </w:tblPrEx>
        <w:trPr>
          <w:trHeight w:val="300" w:hRule="atLeast"/>
        </w:trPr>
        <w:tc>
          <w:tcPr>
            <w:tcW w:w="427" w:type="dxa"/>
            <w:tcBorders>
              <w:top w:val="nil"/>
              <w:left w:val="single" w:color="auto" w:sz="8" w:space="0"/>
              <w:bottom w:val="single" w:color="auto" w:sz="8" w:space="0"/>
              <w:right w:val="single" w:color="auto" w:sz="8" w:space="0"/>
            </w:tcBorders>
            <w:shd w:val="clear" w:color="000000" w:fill="FFFFFF"/>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29</w:t>
            </w:r>
          </w:p>
        </w:tc>
        <w:tc>
          <w:tcPr>
            <w:tcW w:w="427"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其他工程</w:t>
            </w:r>
          </w:p>
        </w:tc>
        <w:tc>
          <w:tcPr>
            <w:tcW w:w="1944"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成品保护</w:t>
            </w:r>
          </w:p>
        </w:tc>
        <w:tc>
          <w:tcPr>
            <w:tcW w:w="4547"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sz w:val="20"/>
                <w:szCs w:val="20"/>
              </w:rPr>
            </w:pPr>
            <w:r>
              <w:rPr>
                <w:rFonts w:hint="eastAsia" w:ascii="仿宋_GB2312" w:hAnsi="宋体" w:cs="宋体"/>
                <w:color w:val="000000" w:themeColor="text1"/>
                <w:sz w:val="20"/>
                <w:szCs w:val="20"/>
              </w:rPr>
              <w:t>　</w:t>
            </w:r>
          </w:p>
        </w:tc>
        <w:tc>
          <w:tcPr>
            <w:tcW w:w="616"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360</w:t>
            </w:r>
          </w:p>
        </w:tc>
        <w:tc>
          <w:tcPr>
            <w:tcW w:w="459" w:type="dxa"/>
            <w:tcBorders>
              <w:top w:val="nil"/>
              <w:left w:val="nil"/>
              <w:bottom w:val="single" w:color="auto" w:sz="8" w:space="0"/>
              <w:right w:val="single" w:color="auto" w:sz="8" w:space="0"/>
            </w:tcBorders>
            <w:shd w:val="clear" w:color="auto" w:fill="auto"/>
            <w:vAlign w:val="center"/>
          </w:tcPr>
          <w:p>
            <w:pPr>
              <w:spacing w:line="300" w:lineRule="exact"/>
              <w:jc w:val="center"/>
              <w:rPr>
                <w:rFonts w:eastAsia="等线" w:cs="宋体"/>
                <w:color w:val="000000" w:themeColor="text1"/>
                <w:sz w:val="20"/>
                <w:szCs w:val="20"/>
              </w:rPr>
            </w:pPr>
            <w:r>
              <w:rPr>
                <w:rFonts w:hint="eastAsia" w:eastAsia="等线" w:cs="宋体"/>
                <w:color w:val="000000" w:themeColor="text1"/>
                <w:sz w:val="20"/>
                <w:szCs w:val="20"/>
              </w:rPr>
              <w:t>M</w:t>
            </w:r>
            <w:r>
              <w:rPr>
                <w:rFonts w:hint="eastAsia" w:eastAsia="等线" w:cs="宋体"/>
                <w:color w:val="000000" w:themeColor="text1"/>
                <w:sz w:val="20"/>
                <w:szCs w:val="20"/>
                <w:vertAlign w:val="superscript"/>
              </w:rPr>
              <w:t>2</w:t>
            </w:r>
          </w:p>
        </w:tc>
      </w:tr>
      <w:tr>
        <w:tblPrEx>
          <w:tblLayout w:type="fixed"/>
          <w:tblCellMar>
            <w:top w:w="0" w:type="dxa"/>
            <w:left w:w="108" w:type="dxa"/>
            <w:bottom w:w="0" w:type="dxa"/>
            <w:right w:w="108" w:type="dxa"/>
          </w:tblCellMar>
        </w:tblPrEx>
        <w:trPr>
          <w:trHeight w:val="300" w:hRule="atLeast"/>
        </w:trPr>
        <w:tc>
          <w:tcPr>
            <w:tcW w:w="427" w:type="dxa"/>
            <w:tcBorders>
              <w:top w:val="nil"/>
              <w:left w:val="single" w:color="auto" w:sz="8" w:space="0"/>
              <w:bottom w:val="single" w:color="auto" w:sz="8" w:space="0"/>
              <w:right w:val="single" w:color="auto" w:sz="8" w:space="0"/>
            </w:tcBorders>
            <w:shd w:val="clear" w:color="000000" w:fill="FFFFFF"/>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30</w:t>
            </w:r>
          </w:p>
        </w:tc>
        <w:tc>
          <w:tcPr>
            <w:tcW w:w="427"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c>
          <w:tcPr>
            <w:tcW w:w="1944"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卫生清理</w:t>
            </w:r>
          </w:p>
        </w:tc>
        <w:tc>
          <w:tcPr>
            <w:tcW w:w="4547"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sz w:val="20"/>
                <w:szCs w:val="20"/>
              </w:rPr>
            </w:pPr>
            <w:r>
              <w:rPr>
                <w:rFonts w:hint="eastAsia" w:ascii="仿宋_GB2312" w:hAnsi="宋体" w:cs="宋体"/>
                <w:color w:val="000000" w:themeColor="text1"/>
                <w:sz w:val="20"/>
                <w:szCs w:val="20"/>
              </w:rPr>
              <w:t>　</w:t>
            </w:r>
          </w:p>
        </w:tc>
        <w:tc>
          <w:tcPr>
            <w:tcW w:w="616"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360</w:t>
            </w:r>
          </w:p>
        </w:tc>
        <w:tc>
          <w:tcPr>
            <w:tcW w:w="459" w:type="dxa"/>
            <w:tcBorders>
              <w:top w:val="nil"/>
              <w:left w:val="nil"/>
              <w:bottom w:val="single" w:color="auto" w:sz="8" w:space="0"/>
              <w:right w:val="single" w:color="auto" w:sz="8" w:space="0"/>
            </w:tcBorders>
            <w:shd w:val="clear" w:color="auto" w:fill="auto"/>
            <w:vAlign w:val="center"/>
          </w:tcPr>
          <w:p>
            <w:pPr>
              <w:spacing w:line="300" w:lineRule="exact"/>
              <w:jc w:val="center"/>
              <w:rPr>
                <w:rFonts w:eastAsia="等线" w:cs="宋体"/>
                <w:color w:val="000000" w:themeColor="text1"/>
                <w:sz w:val="20"/>
                <w:szCs w:val="20"/>
              </w:rPr>
            </w:pPr>
            <w:r>
              <w:rPr>
                <w:rFonts w:hint="eastAsia" w:eastAsia="等线" w:cs="宋体"/>
                <w:color w:val="000000" w:themeColor="text1"/>
                <w:sz w:val="20"/>
                <w:szCs w:val="20"/>
              </w:rPr>
              <w:t>M</w:t>
            </w:r>
            <w:r>
              <w:rPr>
                <w:rFonts w:hint="eastAsia" w:eastAsia="等线" w:cs="宋体"/>
                <w:color w:val="000000" w:themeColor="text1"/>
                <w:sz w:val="20"/>
                <w:szCs w:val="20"/>
                <w:vertAlign w:val="superscript"/>
              </w:rPr>
              <w:t>2</w:t>
            </w:r>
          </w:p>
        </w:tc>
      </w:tr>
      <w:tr>
        <w:tblPrEx>
          <w:tblLayout w:type="fixed"/>
          <w:tblCellMar>
            <w:top w:w="0" w:type="dxa"/>
            <w:left w:w="108" w:type="dxa"/>
            <w:bottom w:w="0" w:type="dxa"/>
            <w:right w:w="108" w:type="dxa"/>
          </w:tblCellMar>
        </w:tblPrEx>
        <w:trPr>
          <w:trHeight w:val="495" w:hRule="atLeast"/>
        </w:trPr>
        <w:tc>
          <w:tcPr>
            <w:tcW w:w="427" w:type="dxa"/>
            <w:tcBorders>
              <w:top w:val="nil"/>
              <w:left w:val="single" w:color="auto" w:sz="8" w:space="0"/>
              <w:bottom w:val="single" w:color="auto" w:sz="8" w:space="0"/>
              <w:right w:val="single" w:color="auto" w:sz="8" w:space="0"/>
            </w:tcBorders>
            <w:shd w:val="clear" w:color="000000" w:fill="FFFFFF"/>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31</w:t>
            </w:r>
          </w:p>
        </w:tc>
        <w:tc>
          <w:tcPr>
            <w:tcW w:w="427"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c>
          <w:tcPr>
            <w:tcW w:w="1944"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原有装修拆除</w:t>
            </w:r>
          </w:p>
        </w:tc>
        <w:tc>
          <w:tcPr>
            <w:tcW w:w="4547"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sz w:val="20"/>
                <w:szCs w:val="20"/>
              </w:rPr>
            </w:pPr>
            <w:r>
              <w:rPr>
                <w:rFonts w:hint="eastAsia" w:ascii="仿宋_GB2312" w:hAnsi="宋体" w:cs="宋体"/>
                <w:color w:val="000000" w:themeColor="text1"/>
                <w:sz w:val="20"/>
                <w:szCs w:val="20"/>
              </w:rPr>
              <w:t>　</w:t>
            </w:r>
          </w:p>
        </w:tc>
        <w:tc>
          <w:tcPr>
            <w:tcW w:w="616"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360</w:t>
            </w:r>
          </w:p>
        </w:tc>
        <w:tc>
          <w:tcPr>
            <w:tcW w:w="459" w:type="dxa"/>
            <w:tcBorders>
              <w:top w:val="nil"/>
              <w:left w:val="nil"/>
              <w:bottom w:val="single" w:color="auto" w:sz="8" w:space="0"/>
              <w:right w:val="single" w:color="auto" w:sz="8" w:space="0"/>
            </w:tcBorders>
            <w:shd w:val="clear" w:color="auto" w:fill="auto"/>
            <w:vAlign w:val="center"/>
          </w:tcPr>
          <w:p>
            <w:pPr>
              <w:spacing w:line="300" w:lineRule="exact"/>
              <w:jc w:val="center"/>
              <w:rPr>
                <w:rFonts w:eastAsia="等线" w:cs="宋体"/>
                <w:color w:val="000000" w:themeColor="text1"/>
                <w:sz w:val="20"/>
                <w:szCs w:val="20"/>
              </w:rPr>
            </w:pPr>
            <w:r>
              <w:rPr>
                <w:rFonts w:hint="eastAsia" w:eastAsia="等线" w:cs="宋体"/>
                <w:color w:val="000000" w:themeColor="text1"/>
                <w:sz w:val="20"/>
                <w:szCs w:val="20"/>
              </w:rPr>
              <w:t>M</w:t>
            </w:r>
            <w:r>
              <w:rPr>
                <w:rFonts w:hint="eastAsia" w:eastAsia="等线" w:cs="宋体"/>
                <w:color w:val="000000" w:themeColor="text1"/>
                <w:sz w:val="20"/>
                <w:szCs w:val="20"/>
                <w:vertAlign w:val="superscript"/>
              </w:rPr>
              <w:t>2</w:t>
            </w:r>
          </w:p>
        </w:tc>
      </w:tr>
      <w:tr>
        <w:tblPrEx>
          <w:tblLayout w:type="fixed"/>
          <w:tblCellMar>
            <w:top w:w="0" w:type="dxa"/>
            <w:left w:w="108" w:type="dxa"/>
            <w:bottom w:w="0" w:type="dxa"/>
            <w:right w:w="108" w:type="dxa"/>
          </w:tblCellMar>
        </w:tblPrEx>
        <w:trPr>
          <w:trHeight w:val="4095" w:hRule="atLeast"/>
        </w:trPr>
        <w:tc>
          <w:tcPr>
            <w:tcW w:w="427" w:type="dxa"/>
            <w:tcBorders>
              <w:top w:val="nil"/>
              <w:left w:val="single" w:color="auto" w:sz="8" w:space="0"/>
              <w:bottom w:val="single" w:color="auto" w:sz="8" w:space="0"/>
              <w:right w:val="single" w:color="auto" w:sz="8" w:space="0"/>
            </w:tcBorders>
            <w:shd w:val="clear" w:color="000000" w:fill="FFFFFF"/>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32</w:t>
            </w:r>
          </w:p>
        </w:tc>
        <w:tc>
          <w:tcPr>
            <w:tcW w:w="427"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会议桌椅及操作台</w:t>
            </w:r>
          </w:p>
        </w:tc>
        <w:tc>
          <w:tcPr>
            <w:tcW w:w="1944"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指挥中心大会议桌</w:t>
            </w:r>
          </w:p>
        </w:tc>
        <w:tc>
          <w:tcPr>
            <w:tcW w:w="4547" w:type="dxa"/>
            <w:tcBorders>
              <w:top w:val="nil"/>
              <w:left w:val="nil"/>
              <w:bottom w:val="single" w:color="auto" w:sz="8" w:space="0"/>
              <w:right w:val="single" w:color="auto" w:sz="8" w:space="0"/>
            </w:tcBorders>
            <w:shd w:val="clear" w:color="auto" w:fill="auto"/>
            <w:vAlign w:val="center"/>
          </w:tcPr>
          <w:p>
            <w:pPr>
              <w:spacing w:line="300" w:lineRule="exact"/>
              <w:rPr>
                <w:rFonts w:ascii="宋体" w:hAnsi="宋体" w:cs="宋体"/>
                <w:color w:val="000000" w:themeColor="text1"/>
                <w:sz w:val="20"/>
                <w:szCs w:val="20"/>
              </w:rPr>
            </w:pPr>
            <w:r>
              <w:rPr>
                <w:rFonts w:hint="eastAsia" w:ascii="宋体" w:hAnsi="宋体" w:cs="宋体"/>
                <w:color w:val="000000" w:themeColor="text1"/>
                <w:sz w:val="20"/>
                <w:szCs w:val="20"/>
              </w:rPr>
              <w:t>U</w:t>
            </w:r>
            <w:r>
              <w:rPr>
                <w:rFonts w:hint="eastAsia" w:ascii="仿宋_GB2312" w:hAnsi="宋体" w:cs="宋体"/>
                <w:color w:val="000000" w:themeColor="text1"/>
                <w:sz w:val="20"/>
                <w:szCs w:val="20"/>
              </w:rPr>
              <w:t>形会议桌，面材：优质</w:t>
            </w:r>
            <w:r>
              <w:rPr>
                <w:rFonts w:hint="eastAsia" w:ascii="宋体" w:hAnsi="宋体" w:cs="宋体"/>
                <w:color w:val="000000" w:themeColor="text1"/>
                <w:sz w:val="20"/>
                <w:szCs w:val="20"/>
              </w:rPr>
              <w:t>0.6mm</w:t>
            </w:r>
            <w:r>
              <w:rPr>
                <w:rFonts w:hint="eastAsia" w:ascii="仿宋_GB2312" w:hAnsi="宋体" w:cs="宋体"/>
                <w:color w:val="000000" w:themeColor="text1"/>
                <w:sz w:val="20"/>
                <w:szCs w:val="20"/>
              </w:rPr>
              <w:t>胡桃木木皮贴面。基材：采用符合欧洲</w:t>
            </w:r>
            <w:r>
              <w:rPr>
                <w:rFonts w:hint="eastAsia" w:ascii="宋体" w:hAnsi="宋体" w:cs="宋体"/>
                <w:color w:val="000000" w:themeColor="text1"/>
                <w:sz w:val="20"/>
                <w:szCs w:val="20"/>
              </w:rPr>
              <w:t>E1</w:t>
            </w:r>
            <w:r>
              <w:rPr>
                <w:rFonts w:hint="eastAsia" w:ascii="仿宋_GB2312" w:hAnsi="宋体" w:cs="宋体"/>
                <w:color w:val="000000" w:themeColor="text1"/>
                <w:sz w:val="20"/>
                <w:szCs w:val="20"/>
              </w:rPr>
              <w:t>级标准的优质环保型密度板。油漆：引用意大利先进</w:t>
            </w:r>
            <w:r>
              <w:rPr>
                <w:rFonts w:hint="eastAsia" w:ascii="宋体" w:hAnsi="宋体" w:cs="宋体"/>
                <w:color w:val="000000" w:themeColor="text1"/>
                <w:sz w:val="20"/>
                <w:szCs w:val="20"/>
              </w:rPr>
              <w:t>UV</w:t>
            </w:r>
            <w:r>
              <w:rPr>
                <w:rFonts w:hint="eastAsia" w:ascii="仿宋_GB2312" w:hAnsi="宋体" w:cs="宋体"/>
                <w:color w:val="000000" w:themeColor="text1"/>
                <w:sz w:val="20"/>
                <w:szCs w:val="20"/>
              </w:rPr>
              <w:t>生产线，采用“五底三面”油漆工艺制作。面漆采用国内知名品牌，达到色泽美观、不变色、光滑耐磨、手感好。五金件：优质连接件。</w:t>
            </w:r>
          </w:p>
        </w:tc>
        <w:tc>
          <w:tcPr>
            <w:tcW w:w="616"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17</w:t>
            </w:r>
          </w:p>
        </w:tc>
        <w:tc>
          <w:tcPr>
            <w:tcW w:w="459"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工位</w:t>
            </w:r>
          </w:p>
        </w:tc>
      </w:tr>
      <w:tr>
        <w:tblPrEx>
          <w:tblLayout w:type="fixed"/>
          <w:tblCellMar>
            <w:top w:w="0" w:type="dxa"/>
            <w:left w:w="108" w:type="dxa"/>
            <w:bottom w:w="0" w:type="dxa"/>
            <w:right w:w="108" w:type="dxa"/>
          </w:tblCellMar>
        </w:tblPrEx>
        <w:trPr>
          <w:trHeight w:val="1215" w:hRule="atLeast"/>
        </w:trPr>
        <w:tc>
          <w:tcPr>
            <w:tcW w:w="427" w:type="dxa"/>
            <w:tcBorders>
              <w:top w:val="nil"/>
              <w:left w:val="single" w:color="auto" w:sz="8" w:space="0"/>
              <w:bottom w:val="single" w:color="auto" w:sz="8" w:space="0"/>
              <w:right w:val="single" w:color="auto" w:sz="8" w:space="0"/>
            </w:tcBorders>
            <w:shd w:val="clear" w:color="000000" w:fill="FFFFFF"/>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33</w:t>
            </w:r>
          </w:p>
        </w:tc>
        <w:tc>
          <w:tcPr>
            <w:tcW w:w="427"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c>
          <w:tcPr>
            <w:tcW w:w="1944"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配套会议椅</w:t>
            </w:r>
          </w:p>
        </w:tc>
        <w:tc>
          <w:tcPr>
            <w:tcW w:w="4547"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sz w:val="20"/>
                <w:szCs w:val="20"/>
              </w:rPr>
            </w:pPr>
            <w:r>
              <w:rPr>
                <w:rFonts w:hint="eastAsia" w:ascii="仿宋_GB2312" w:hAnsi="宋体" w:cs="宋体"/>
                <w:color w:val="000000" w:themeColor="text1"/>
                <w:sz w:val="20"/>
                <w:szCs w:val="20"/>
              </w:rPr>
              <w:t>背、座为优质真皮，其余部分采用实木结构。固定四脚落地，不可滑动。</w:t>
            </w:r>
          </w:p>
        </w:tc>
        <w:tc>
          <w:tcPr>
            <w:tcW w:w="616"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17</w:t>
            </w:r>
          </w:p>
        </w:tc>
        <w:tc>
          <w:tcPr>
            <w:tcW w:w="459"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张</w:t>
            </w:r>
          </w:p>
        </w:tc>
      </w:tr>
      <w:tr>
        <w:tblPrEx>
          <w:tblLayout w:type="fixed"/>
          <w:tblCellMar>
            <w:top w:w="0" w:type="dxa"/>
            <w:left w:w="108" w:type="dxa"/>
            <w:bottom w:w="0" w:type="dxa"/>
            <w:right w:w="108" w:type="dxa"/>
          </w:tblCellMar>
        </w:tblPrEx>
        <w:trPr>
          <w:trHeight w:val="4560" w:hRule="atLeast"/>
        </w:trPr>
        <w:tc>
          <w:tcPr>
            <w:tcW w:w="427" w:type="dxa"/>
            <w:vMerge w:val="restart"/>
            <w:tcBorders>
              <w:top w:val="nil"/>
              <w:left w:val="single" w:color="auto" w:sz="8" w:space="0"/>
              <w:bottom w:val="single" w:color="000000" w:sz="8" w:space="0"/>
              <w:right w:val="single" w:color="auto" w:sz="8" w:space="0"/>
            </w:tcBorders>
            <w:shd w:val="clear" w:color="000000" w:fill="FFFFFF"/>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34</w:t>
            </w:r>
          </w:p>
        </w:tc>
        <w:tc>
          <w:tcPr>
            <w:tcW w:w="427"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c>
          <w:tcPr>
            <w:tcW w:w="1944"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操作控制台</w:t>
            </w:r>
          </w:p>
        </w:tc>
        <w:tc>
          <w:tcPr>
            <w:tcW w:w="4547" w:type="dxa"/>
            <w:tcBorders>
              <w:top w:val="nil"/>
              <w:left w:val="nil"/>
              <w:bottom w:val="nil"/>
              <w:right w:val="single" w:color="auto" w:sz="8" w:space="0"/>
            </w:tcBorders>
            <w:shd w:val="clear" w:color="auto" w:fill="auto"/>
            <w:vAlign w:val="center"/>
          </w:tcPr>
          <w:p>
            <w:pPr>
              <w:spacing w:line="300" w:lineRule="exact"/>
              <w:rPr>
                <w:rFonts w:ascii="宋体" w:hAnsi="宋体" w:cs="宋体"/>
                <w:color w:val="000000" w:themeColor="text1"/>
                <w:sz w:val="20"/>
                <w:szCs w:val="20"/>
              </w:rPr>
            </w:pPr>
            <w:r>
              <w:rPr>
                <w:rFonts w:hint="eastAsia" w:ascii="宋体" w:hAnsi="宋体" w:cs="宋体"/>
                <w:color w:val="000000" w:themeColor="text1"/>
                <w:sz w:val="20"/>
                <w:szCs w:val="20"/>
              </w:rPr>
              <w:t>1</w:t>
            </w:r>
            <w:r>
              <w:rPr>
                <w:rFonts w:hint="eastAsia" w:ascii="仿宋_GB2312" w:hAnsi="宋体" w:cs="宋体"/>
                <w:color w:val="000000" w:themeColor="text1"/>
                <w:sz w:val="20"/>
                <w:szCs w:val="20"/>
              </w:rPr>
              <w:t>、控制台台板采用防火、防潮、防刻划、绝缘、耐磨、强度高的抗培特板制作，并通过环保标准的</w:t>
            </w:r>
            <w:r>
              <w:rPr>
                <w:rFonts w:hint="eastAsia" w:ascii="宋体" w:hAnsi="宋体" w:cs="宋体"/>
                <w:color w:val="000000" w:themeColor="text1"/>
                <w:sz w:val="20"/>
                <w:szCs w:val="20"/>
              </w:rPr>
              <w:t>FIRA</w:t>
            </w:r>
            <w:r>
              <w:rPr>
                <w:rFonts w:hint="eastAsia" w:ascii="仿宋_GB2312" w:hAnsi="宋体" w:cs="宋体"/>
                <w:color w:val="000000" w:themeColor="text1"/>
                <w:sz w:val="20"/>
                <w:szCs w:val="20"/>
              </w:rPr>
              <w:t>、</w:t>
            </w:r>
            <w:r>
              <w:rPr>
                <w:rFonts w:hint="eastAsia" w:ascii="宋体" w:hAnsi="宋体" w:cs="宋体"/>
                <w:color w:val="000000" w:themeColor="text1"/>
                <w:sz w:val="20"/>
                <w:szCs w:val="20"/>
              </w:rPr>
              <w:t>SGS</w:t>
            </w:r>
            <w:r>
              <w:rPr>
                <w:rFonts w:hint="eastAsia" w:ascii="仿宋_GB2312" w:hAnsi="宋体" w:cs="宋体"/>
                <w:color w:val="000000" w:themeColor="text1"/>
                <w:sz w:val="20"/>
                <w:szCs w:val="20"/>
              </w:rPr>
              <w:t>、</w:t>
            </w:r>
            <w:r>
              <w:rPr>
                <w:rFonts w:hint="eastAsia" w:ascii="宋体" w:hAnsi="宋体" w:cs="宋体"/>
                <w:color w:val="000000" w:themeColor="text1"/>
                <w:sz w:val="20"/>
                <w:szCs w:val="20"/>
              </w:rPr>
              <w:t>CCS</w:t>
            </w:r>
            <w:r>
              <w:rPr>
                <w:rFonts w:hint="eastAsia" w:ascii="仿宋_GB2312" w:hAnsi="宋体" w:cs="宋体"/>
                <w:color w:val="000000" w:themeColor="text1"/>
                <w:sz w:val="20"/>
                <w:szCs w:val="20"/>
              </w:rPr>
              <w:t>专业的行业认证，抗震等级不小于</w:t>
            </w:r>
            <w:r>
              <w:rPr>
                <w:rFonts w:hint="eastAsia" w:ascii="宋体" w:hAnsi="宋体" w:cs="宋体"/>
                <w:color w:val="000000" w:themeColor="text1"/>
                <w:sz w:val="20"/>
                <w:szCs w:val="20"/>
              </w:rPr>
              <w:t>8</w:t>
            </w:r>
            <w:r>
              <w:rPr>
                <w:rFonts w:hint="eastAsia" w:ascii="仿宋_GB2312" w:hAnsi="宋体" w:cs="宋体"/>
                <w:color w:val="000000" w:themeColor="text1"/>
                <w:sz w:val="20"/>
                <w:szCs w:val="20"/>
              </w:rPr>
              <w:t>烈度。深度</w:t>
            </w:r>
            <w:r>
              <w:rPr>
                <w:rFonts w:hint="eastAsia" w:ascii="宋体" w:hAnsi="宋体" w:cs="宋体"/>
                <w:color w:val="000000" w:themeColor="text1"/>
                <w:sz w:val="20"/>
                <w:szCs w:val="20"/>
              </w:rPr>
              <w:t>1050mm</w:t>
            </w:r>
            <w:r>
              <w:rPr>
                <w:rFonts w:hint="eastAsia" w:ascii="仿宋_GB2312" w:hAnsi="宋体" w:cs="宋体"/>
                <w:color w:val="000000" w:themeColor="text1"/>
                <w:sz w:val="20"/>
                <w:szCs w:val="20"/>
              </w:rPr>
              <w:t>，台面距地面高</w:t>
            </w:r>
            <w:r>
              <w:rPr>
                <w:rFonts w:hint="eastAsia" w:ascii="宋体" w:hAnsi="宋体" w:cs="宋体"/>
                <w:color w:val="000000" w:themeColor="text1"/>
                <w:sz w:val="20"/>
                <w:szCs w:val="20"/>
              </w:rPr>
              <w:t>760mm</w:t>
            </w:r>
            <w:r>
              <w:rPr>
                <w:rFonts w:hint="eastAsia" w:ascii="仿宋_GB2312" w:hAnsi="宋体" w:cs="宋体"/>
                <w:color w:val="000000" w:themeColor="text1"/>
                <w:sz w:val="20"/>
                <w:szCs w:val="20"/>
              </w:rPr>
              <w:t>，容膝空间不少于</w:t>
            </w:r>
            <w:r>
              <w:rPr>
                <w:rFonts w:hint="eastAsia" w:ascii="宋体" w:hAnsi="宋体" w:cs="宋体"/>
                <w:color w:val="000000" w:themeColor="text1"/>
                <w:sz w:val="20"/>
                <w:szCs w:val="20"/>
              </w:rPr>
              <w:t>450mm</w:t>
            </w:r>
            <w:r>
              <w:rPr>
                <w:rFonts w:hint="eastAsia" w:ascii="仿宋_GB2312" w:hAnsi="宋体" w:cs="宋体"/>
                <w:color w:val="000000" w:themeColor="text1"/>
                <w:sz w:val="20"/>
                <w:szCs w:val="20"/>
              </w:rPr>
              <w:t>，底脚可微调，侧板为艺术造型，构造为电解钢板，前后门板为带网孔一级冷轧钢板。</w:t>
            </w:r>
          </w:p>
        </w:tc>
        <w:tc>
          <w:tcPr>
            <w:tcW w:w="616"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14</w:t>
            </w:r>
          </w:p>
        </w:tc>
        <w:tc>
          <w:tcPr>
            <w:tcW w:w="459"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工位</w:t>
            </w:r>
          </w:p>
        </w:tc>
      </w:tr>
      <w:tr>
        <w:tblPrEx>
          <w:tblLayout w:type="fixed"/>
          <w:tblCellMar>
            <w:top w:w="0" w:type="dxa"/>
            <w:left w:w="108" w:type="dxa"/>
            <w:bottom w:w="0" w:type="dxa"/>
            <w:right w:w="108" w:type="dxa"/>
          </w:tblCellMar>
        </w:tblPrEx>
        <w:trPr>
          <w:trHeight w:val="4800" w:hRule="atLeast"/>
        </w:trPr>
        <w:tc>
          <w:tcPr>
            <w:tcW w:w="427" w:type="dxa"/>
            <w:vMerge w:val="continue"/>
            <w:tcBorders>
              <w:top w:val="nil"/>
              <w:left w:val="single" w:color="auto" w:sz="8" w:space="0"/>
              <w:bottom w:val="single" w:color="000000" w:sz="8" w:space="0"/>
              <w:right w:val="single" w:color="auto" w:sz="8" w:space="0"/>
            </w:tcBorders>
            <w:vAlign w:val="center"/>
          </w:tcPr>
          <w:p>
            <w:pPr>
              <w:spacing w:line="300" w:lineRule="exact"/>
              <w:rPr>
                <w:rFonts w:ascii="宋体" w:hAnsi="宋体" w:cs="宋体"/>
                <w:color w:val="000000" w:themeColor="text1"/>
                <w:sz w:val="20"/>
                <w:szCs w:val="20"/>
              </w:rPr>
            </w:pPr>
          </w:p>
        </w:tc>
        <w:tc>
          <w:tcPr>
            <w:tcW w:w="427"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c>
          <w:tcPr>
            <w:tcW w:w="1944"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c>
          <w:tcPr>
            <w:tcW w:w="4547" w:type="dxa"/>
            <w:tcBorders>
              <w:top w:val="nil"/>
              <w:left w:val="nil"/>
              <w:bottom w:val="nil"/>
              <w:right w:val="single" w:color="auto" w:sz="8" w:space="0"/>
            </w:tcBorders>
            <w:shd w:val="clear" w:color="auto" w:fill="auto"/>
            <w:vAlign w:val="center"/>
          </w:tcPr>
          <w:p>
            <w:pPr>
              <w:spacing w:line="300" w:lineRule="exact"/>
              <w:rPr>
                <w:rFonts w:ascii="宋体" w:hAnsi="宋体" w:cs="宋体"/>
                <w:color w:val="000000" w:themeColor="text1"/>
                <w:sz w:val="20"/>
                <w:szCs w:val="20"/>
              </w:rPr>
            </w:pPr>
            <w:r>
              <w:rPr>
                <w:rFonts w:hint="eastAsia" w:ascii="宋体" w:hAnsi="宋体" w:cs="宋体"/>
                <w:color w:val="000000" w:themeColor="text1"/>
                <w:sz w:val="20"/>
                <w:szCs w:val="20"/>
              </w:rPr>
              <w:t>2</w:t>
            </w:r>
            <w:r>
              <w:rPr>
                <w:rFonts w:hint="eastAsia" w:ascii="仿宋_GB2312" w:hAnsi="宋体" w:cs="宋体"/>
                <w:color w:val="000000" w:themeColor="text1"/>
                <w:sz w:val="20"/>
                <w:szCs w:val="20"/>
              </w:rPr>
              <w:t>、控制台主体采用组合式设计，拆装便捷并满足未来扩展改造需求；内部结构具有可调整性，辅有专业的各式设备承托架及内配件，安装与调整方便。操作台设置前门转门，打开角度</w:t>
            </w:r>
            <w:r>
              <w:rPr>
                <w:rFonts w:hint="eastAsia" w:ascii="宋体" w:hAnsi="宋体" w:cs="宋体"/>
                <w:color w:val="000000" w:themeColor="text1"/>
                <w:sz w:val="20"/>
                <w:szCs w:val="20"/>
              </w:rPr>
              <w:t>110</w:t>
            </w:r>
            <w:r>
              <w:rPr>
                <w:rFonts w:hint="eastAsia" w:ascii="仿宋_GB2312" w:hAnsi="宋体" w:cs="宋体"/>
                <w:color w:val="000000" w:themeColor="text1"/>
                <w:sz w:val="20"/>
                <w:szCs w:val="20"/>
              </w:rPr>
              <w:t>度以上，设备承托件配置专业托盆，方便维修设备和维护工作的灵活性，整体防护等级不小于</w:t>
            </w:r>
            <w:r>
              <w:rPr>
                <w:rFonts w:hint="eastAsia" w:ascii="宋体" w:hAnsi="宋体" w:cs="宋体"/>
                <w:color w:val="000000" w:themeColor="text1"/>
                <w:sz w:val="20"/>
                <w:szCs w:val="20"/>
              </w:rPr>
              <w:t>IP2X</w:t>
            </w:r>
            <w:r>
              <w:rPr>
                <w:rFonts w:hint="eastAsia" w:ascii="仿宋_GB2312" w:hAnsi="宋体" w:cs="宋体"/>
                <w:color w:val="000000" w:themeColor="text1"/>
                <w:sz w:val="20"/>
                <w:szCs w:val="20"/>
              </w:rPr>
              <w:t>，防浸泡等级达到</w:t>
            </w:r>
            <w:r>
              <w:rPr>
                <w:rFonts w:hint="eastAsia" w:ascii="宋体" w:hAnsi="宋体" w:cs="宋体"/>
                <w:color w:val="000000" w:themeColor="text1"/>
                <w:sz w:val="20"/>
                <w:szCs w:val="20"/>
              </w:rPr>
              <w:t>5</w:t>
            </w:r>
            <w:r>
              <w:rPr>
                <w:rFonts w:hint="eastAsia" w:ascii="仿宋_GB2312" w:hAnsi="宋体" w:cs="宋体"/>
                <w:color w:val="000000" w:themeColor="text1"/>
                <w:sz w:val="20"/>
                <w:szCs w:val="20"/>
              </w:rPr>
              <w:t>级。</w:t>
            </w:r>
          </w:p>
        </w:tc>
        <w:tc>
          <w:tcPr>
            <w:tcW w:w="61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宋体" w:hAnsi="宋体" w:cs="宋体"/>
                <w:color w:val="000000" w:themeColor="text1"/>
                <w:sz w:val="20"/>
                <w:szCs w:val="20"/>
              </w:rPr>
            </w:pPr>
          </w:p>
        </w:tc>
        <w:tc>
          <w:tcPr>
            <w:tcW w:w="459"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r>
      <w:tr>
        <w:tblPrEx>
          <w:tblLayout w:type="fixed"/>
          <w:tblCellMar>
            <w:top w:w="0" w:type="dxa"/>
            <w:left w:w="108" w:type="dxa"/>
            <w:bottom w:w="0" w:type="dxa"/>
            <w:right w:w="108" w:type="dxa"/>
          </w:tblCellMar>
        </w:tblPrEx>
        <w:trPr>
          <w:trHeight w:val="2400" w:hRule="atLeast"/>
        </w:trPr>
        <w:tc>
          <w:tcPr>
            <w:tcW w:w="427" w:type="dxa"/>
            <w:vMerge w:val="continue"/>
            <w:tcBorders>
              <w:top w:val="nil"/>
              <w:left w:val="single" w:color="auto" w:sz="8" w:space="0"/>
              <w:bottom w:val="single" w:color="000000" w:sz="8" w:space="0"/>
              <w:right w:val="single" w:color="auto" w:sz="8" w:space="0"/>
            </w:tcBorders>
            <w:vAlign w:val="center"/>
          </w:tcPr>
          <w:p>
            <w:pPr>
              <w:spacing w:line="300" w:lineRule="exact"/>
              <w:rPr>
                <w:rFonts w:ascii="宋体" w:hAnsi="宋体" w:cs="宋体"/>
                <w:color w:val="000000" w:themeColor="text1"/>
                <w:sz w:val="20"/>
                <w:szCs w:val="20"/>
              </w:rPr>
            </w:pPr>
          </w:p>
        </w:tc>
        <w:tc>
          <w:tcPr>
            <w:tcW w:w="427"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c>
          <w:tcPr>
            <w:tcW w:w="1944"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c>
          <w:tcPr>
            <w:tcW w:w="4547" w:type="dxa"/>
            <w:tcBorders>
              <w:top w:val="nil"/>
              <w:left w:val="nil"/>
              <w:bottom w:val="nil"/>
              <w:right w:val="single" w:color="auto" w:sz="8" w:space="0"/>
            </w:tcBorders>
            <w:shd w:val="clear" w:color="auto" w:fill="auto"/>
            <w:vAlign w:val="center"/>
          </w:tcPr>
          <w:p>
            <w:pPr>
              <w:spacing w:line="300" w:lineRule="exact"/>
              <w:rPr>
                <w:rFonts w:ascii="宋体" w:hAnsi="宋体" w:cs="宋体"/>
                <w:color w:val="000000" w:themeColor="text1"/>
                <w:sz w:val="20"/>
                <w:szCs w:val="20"/>
              </w:rPr>
            </w:pPr>
            <w:r>
              <w:rPr>
                <w:rFonts w:hint="eastAsia" w:ascii="宋体" w:hAnsi="宋体" w:cs="宋体"/>
                <w:color w:val="000000" w:themeColor="text1"/>
                <w:sz w:val="20"/>
                <w:szCs w:val="20"/>
              </w:rPr>
              <w:t>3.</w:t>
            </w:r>
            <w:r>
              <w:rPr>
                <w:rFonts w:hint="eastAsia" w:ascii="仿宋_GB2312" w:hAnsi="宋体" w:cs="宋体"/>
                <w:color w:val="000000" w:themeColor="text1"/>
                <w:sz w:val="20"/>
                <w:szCs w:val="20"/>
              </w:rPr>
              <w:t>控制台主机设备需全部密封底柜内部，底柜具备纵向和横向走线槽，底柜框架使用精密铸造合金铝型材制作，线槽设计“快勾”、“快组”结构。</w:t>
            </w:r>
          </w:p>
        </w:tc>
        <w:tc>
          <w:tcPr>
            <w:tcW w:w="61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宋体" w:hAnsi="宋体" w:cs="宋体"/>
                <w:color w:val="000000" w:themeColor="text1"/>
                <w:sz w:val="20"/>
                <w:szCs w:val="20"/>
              </w:rPr>
            </w:pPr>
          </w:p>
        </w:tc>
        <w:tc>
          <w:tcPr>
            <w:tcW w:w="459"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r>
      <w:tr>
        <w:tblPrEx>
          <w:tblLayout w:type="fixed"/>
          <w:tblCellMar>
            <w:top w:w="0" w:type="dxa"/>
            <w:left w:w="108" w:type="dxa"/>
            <w:bottom w:w="0" w:type="dxa"/>
            <w:right w:w="108" w:type="dxa"/>
          </w:tblCellMar>
        </w:tblPrEx>
        <w:trPr>
          <w:trHeight w:val="960" w:hRule="atLeast"/>
        </w:trPr>
        <w:tc>
          <w:tcPr>
            <w:tcW w:w="427" w:type="dxa"/>
            <w:vMerge w:val="continue"/>
            <w:tcBorders>
              <w:top w:val="nil"/>
              <w:left w:val="single" w:color="auto" w:sz="8" w:space="0"/>
              <w:bottom w:val="single" w:color="000000" w:sz="8" w:space="0"/>
              <w:right w:val="single" w:color="auto" w:sz="8" w:space="0"/>
            </w:tcBorders>
            <w:vAlign w:val="center"/>
          </w:tcPr>
          <w:p>
            <w:pPr>
              <w:spacing w:line="300" w:lineRule="exact"/>
              <w:rPr>
                <w:rFonts w:ascii="宋体" w:hAnsi="宋体" w:cs="宋体"/>
                <w:color w:val="000000" w:themeColor="text1"/>
                <w:sz w:val="20"/>
                <w:szCs w:val="20"/>
              </w:rPr>
            </w:pPr>
          </w:p>
        </w:tc>
        <w:tc>
          <w:tcPr>
            <w:tcW w:w="427"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c>
          <w:tcPr>
            <w:tcW w:w="1944"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c>
          <w:tcPr>
            <w:tcW w:w="4547" w:type="dxa"/>
            <w:tcBorders>
              <w:top w:val="nil"/>
              <w:left w:val="nil"/>
              <w:bottom w:val="nil"/>
              <w:right w:val="single" w:color="auto" w:sz="8" w:space="0"/>
            </w:tcBorders>
            <w:shd w:val="clear" w:color="auto" w:fill="auto"/>
            <w:vAlign w:val="center"/>
          </w:tcPr>
          <w:p>
            <w:pPr>
              <w:spacing w:line="300" w:lineRule="exact"/>
              <w:rPr>
                <w:rFonts w:ascii="宋体" w:hAnsi="宋体" w:cs="宋体"/>
                <w:color w:val="000000" w:themeColor="text1"/>
                <w:sz w:val="20"/>
                <w:szCs w:val="20"/>
              </w:rPr>
            </w:pPr>
            <w:r>
              <w:rPr>
                <w:rFonts w:hint="eastAsia" w:ascii="宋体" w:hAnsi="宋体" w:cs="宋体"/>
                <w:color w:val="000000" w:themeColor="text1"/>
                <w:sz w:val="20"/>
                <w:szCs w:val="20"/>
              </w:rPr>
              <w:t>4</w:t>
            </w:r>
            <w:r>
              <w:rPr>
                <w:rFonts w:hint="eastAsia" w:ascii="仿宋_GB2312" w:hAnsi="宋体" w:cs="宋体"/>
                <w:color w:val="000000" w:themeColor="text1"/>
                <w:sz w:val="20"/>
                <w:szCs w:val="20"/>
              </w:rPr>
              <w:t>、控制台主体框架、辅框架、前后门板等采用环保材料制作。</w:t>
            </w:r>
          </w:p>
        </w:tc>
        <w:tc>
          <w:tcPr>
            <w:tcW w:w="61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宋体" w:hAnsi="宋体" w:cs="宋体"/>
                <w:color w:val="000000" w:themeColor="text1"/>
                <w:sz w:val="20"/>
                <w:szCs w:val="20"/>
              </w:rPr>
            </w:pPr>
          </w:p>
        </w:tc>
        <w:tc>
          <w:tcPr>
            <w:tcW w:w="459"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r>
      <w:tr>
        <w:tblPrEx>
          <w:tblLayout w:type="fixed"/>
          <w:tblCellMar>
            <w:top w:w="0" w:type="dxa"/>
            <w:left w:w="108" w:type="dxa"/>
            <w:bottom w:w="0" w:type="dxa"/>
            <w:right w:w="108" w:type="dxa"/>
          </w:tblCellMar>
        </w:tblPrEx>
        <w:trPr>
          <w:trHeight w:val="2655" w:hRule="atLeast"/>
        </w:trPr>
        <w:tc>
          <w:tcPr>
            <w:tcW w:w="427" w:type="dxa"/>
            <w:vMerge w:val="continue"/>
            <w:tcBorders>
              <w:top w:val="nil"/>
              <w:left w:val="single" w:color="auto" w:sz="8" w:space="0"/>
              <w:bottom w:val="single" w:color="000000" w:sz="8" w:space="0"/>
              <w:right w:val="single" w:color="auto" w:sz="8" w:space="0"/>
            </w:tcBorders>
            <w:vAlign w:val="center"/>
          </w:tcPr>
          <w:p>
            <w:pPr>
              <w:spacing w:line="300" w:lineRule="exact"/>
              <w:rPr>
                <w:rFonts w:ascii="宋体" w:hAnsi="宋体" w:cs="宋体"/>
                <w:color w:val="000000" w:themeColor="text1"/>
                <w:sz w:val="20"/>
                <w:szCs w:val="20"/>
              </w:rPr>
            </w:pPr>
          </w:p>
        </w:tc>
        <w:tc>
          <w:tcPr>
            <w:tcW w:w="427"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c>
          <w:tcPr>
            <w:tcW w:w="1944"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c>
          <w:tcPr>
            <w:tcW w:w="4547" w:type="dxa"/>
            <w:tcBorders>
              <w:top w:val="nil"/>
              <w:left w:val="nil"/>
              <w:bottom w:val="single" w:color="auto" w:sz="8" w:space="0"/>
              <w:right w:val="single" w:color="auto" w:sz="8" w:space="0"/>
            </w:tcBorders>
            <w:shd w:val="clear" w:color="auto" w:fill="auto"/>
            <w:vAlign w:val="center"/>
          </w:tcPr>
          <w:p>
            <w:pPr>
              <w:spacing w:line="300" w:lineRule="exact"/>
              <w:rPr>
                <w:rFonts w:ascii="宋体" w:hAnsi="宋体" w:cs="宋体"/>
                <w:color w:val="000000" w:themeColor="text1"/>
                <w:sz w:val="20"/>
                <w:szCs w:val="20"/>
              </w:rPr>
            </w:pPr>
            <w:r>
              <w:rPr>
                <w:rFonts w:hint="eastAsia" w:ascii="宋体" w:hAnsi="宋体" w:cs="宋体"/>
                <w:color w:val="000000" w:themeColor="text1"/>
                <w:sz w:val="20"/>
                <w:szCs w:val="20"/>
              </w:rPr>
              <w:t>5</w:t>
            </w:r>
            <w:r>
              <w:rPr>
                <w:rFonts w:hint="eastAsia" w:ascii="仿宋_GB2312" w:hAnsi="宋体" w:cs="宋体"/>
                <w:color w:val="000000" w:themeColor="text1"/>
                <w:sz w:val="20"/>
                <w:szCs w:val="20"/>
              </w:rPr>
              <w:t>、控制台要考虑足够合理的自然散热条件，要求各门板用料合理，可拆，刚性好，质量轻，打开不摇晃。设备内应有足够的空间存放主机，提供检测报告通风率达到≥</w:t>
            </w:r>
            <w:r>
              <w:rPr>
                <w:rFonts w:hint="eastAsia" w:ascii="宋体" w:hAnsi="宋体" w:cs="宋体"/>
                <w:color w:val="000000" w:themeColor="text1"/>
                <w:sz w:val="20"/>
                <w:szCs w:val="20"/>
              </w:rPr>
              <w:t>50%</w:t>
            </w:r>
            <w:r>
              <w:rPr>
                <w:rFonts w:hint="eastAsia" w:ascii="仿宋_GB2312" w:hAnsi="宋体" w:cs="宋体"/>
                <w:color w:val="000000" w:themeColor="text1"/>
                <w:sz w:val="20"/>
                <w:szCs w:val="20"/>
              </w:rPr>
              <w:t>。</w:t>
            </w:r>
          </w:p>
        </w:tc>
        <w:tc>
          <w:tcPr>
            <w:tcW w:w="61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宋体" w:hAnsi="宋体" w:cs="宋体"/>
                <w:color w:val="000000" w:themeColor="text1"/>
                <w:sz w:val="20"/>
                <w:szCs w:val="20"/>
              </w:rPr>
            </w:pPr>
          </w:p>
        </w:tc>
        <w:tc>
          <w:tcPr>
            <w:tcW w:w="459"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r>
      <w:tr>
        <w:tblPrEx>
          <w:tblLayout w:type="fixed"/>
          <w:tblCellMar>
            <w:top w:w="0" w:type="dxa"/>
            <w:left w:w="108" w:type="dxa"/>
            <w:bottom w:w="0" w:type="dxa"/>
            <w:right w:w="108" w:type="dxa"/>
          </w:tblCellMar>
        </w:tblPrEx>
        <w:trPr>
          <w:trHeight w:val="2415" w:hRule="atLeast"/>
        </w:trPr>
        <w:tc>
          <w:tcPr>
            <w:tcW w:w="427" w:type="dxa"/>
            <w:tcBorders>
              <w:top w:val="nil"/>
              <w:left w:val="single" w:color="auto" w:sz="8" w:space="0"/>
              <w:bottom w:val="single" w:color="auto" w:sz="8" w:space="0"/>
              <w:right w:val="single" w:color="auto" w:sz="8" w:space="0"/>
            </w:tcBorders>
            <w:shd w:val="clear" w:color="000000" w:fill="FFFFFF"/>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35</w:t>
            </w:r>
          </w:p>
        </w:tc>
        <w:tc>
          <w:tcPr>
            <w:tcW w:w="427"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c>
          <w:tcPr>
            <w:tcW w:w="1944"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指挥调度椅</w:t>
            </w:r>
          </w:p>
        </w:tc>
        <w:tc>
          <w:tcPr>
            <w:tcW w:w="4547"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sz w:val="20"/>
                <w:szCs w:val="20"/>
              </w:rPr>
            </w:pPr>
            <w:r>
              <w:rPr>
                <w:rFonts w:hint="eastAsia" w:ascii="仿宋_GB2312" w:hAnsi="宋体" w:cs="宋体"/>
                <w:color w:val="000000" w:themeColor="text1"/>
                <w:sz w:val="20"/>
                <w:szCs w:val="20"/>
              </w:rPr>
              <w:t>网背麻绒座、面材</w:t>
            </w:r>
            <w:r>
              <w:rPr>
                <w:rFonts w:hint="eastAsia" w:ascii="宋体" w:hAnsi="宋体" w:cs="宋体"/>
                <w:color w:val="000000" w:themeColor="text1"/>
                <w:sz w:val="20"/>
                <w:szCs w:val="20"/>
              </w:rPr>
              <w:t xml:space="preserve">: </w:t>
            </w:r>
            <w:r>
              <w:rPr>
                <w:rFonts w:hint="eastAsia" w:ascii="仿宋_GB2312" w:hAnsi="宋体" w:cs="宋体"/>
                <w:color w:val="000000" w:themeColor="text1"/>
                <w:sz w:val="20"/>
                <w:szCs w:val="20"/>
              </w:rPr>
              <w:t>采用尼龙透气网布。气压棒：优质气压棒，行程</w:t>
            </w:r>
            <w:r>
              <w:rPr>
                <w:rFonts w:hint="eastAsia" w:ascii="宋体" w:hAnsi="宋体" w:cs="宋体"/>
                <w:color w:val="000000" w:themeColor="text1"/>
                <w:sz w:val="20"/>
                <w:szCs w:val="20"/>
              </w:rPr>
              <w:t>6-8cm</w:t>
            </w:r>
            <w:r>
              <w:rPr>
                <w:rFonts w:hint="eastAsia" w:ascii="仿宋_GB2312" w:hAnsi="宋体" w:cs="宋体"/>
                <w:color w:val="000000" w:themeColor="text1"/>
                <w:sz w:val="20"/>
                <w:szCs w:val="20"/>
              </w:rPr>
              <w:t>。椅架：一次成型尼龙五星支架，尼龙纤维万向轮，可升降</w:t>
            </w:r>
            <w:r>
              <w:rPr>
                <w:rFonts w:hint="eastAsia" w:ascii="宋体" w:hAnsi="宋体" w:cs="宋体"/>
                <w:color w:val="000000" w:themeColor="text1"/>
                <w:sz w:val="20"/>
                <w:szCs w:val="20"/>
              </w:rPr>
              <w:t>PP</w:t>
            </w:r>
            <w:r>
              <w:rPr>
                <w:rFonts w:hint="eastAsia" w:ascii="仿宋_GB2312" w:hAnsi="宋体" w:cs="宋体"/>
                <w:color w:val="000000" w:themeColor="text1"/>
                <w:sz w:val="20"/>
                <w:szCs w:val="20"/>
              </w:rPr>
              <w:t>扶手。</w:t>
            </w:r>
          </w:p>
        </w:tc>
        <w:tc>
          <w:tcPr>
            <w:tcW w:w="616"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14</w:t>
            </w:r>
          </w:p>
        </w:tc>
        <w:tc>
          <w:tcPr>
            <w:tcW w:w="459"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张</w:t>
            </w:r>
          </w:p>
        </w:tc>
      </w:tr>
      <w:tr>
        <w:tblPrEx>
          <w:tblLayout w:type="fixed"/>
          <w:tblCellMar>
            <w:top w:w="0" w:type="dxa"/>
            <w:left w:w="108" w:type="dxa"/>
            <w:bottom w:w="0" w:type="dxa"/>
            <w:right w:w="108" w:type="dxa"/>
          </w:tblCellMar>
        </w:tblPrEx>
        <w:trPr>
          <w:trHeight w:val="720" w:hRule="atLeast"/>
        </w:trPr>
        <w:tc>
          <w:tcPr>
            <w:tcW w:w="427" w:type="dxa"/>
            <w:vMerge w:val="restart"/>
            <w:tcBorders>
              <w:top w:val="nil"/>
              <w:left w:val="single" w:color="auto" w:sz="8" w:space="0"/>
              <w:bottom w:val="single" w:color="000000" w:sz="8" w:space="0"/>
              <w:right w:val="single" w:color="auto" w:sz="8" w:space="0"/>
            </w:tcBorders>
            <w:shd w:val="clear" w:color="000000" w:fill="FFFFFF"/>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36</w:t>
            </w:r>
          </w:p>
        </w:tc>
        <w:tc>
          <w:tcPr>
            <w:tcW w:w="427"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c>
          <w:tcPr>
            <w:tcW w:w="1944"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研判会议桌</w:t>
            </w:r>
          </w:p>
        </w:tc>
        <w:tc>
          <w:tcPr>
            <w:tcW w:w="4547" w:type="dxa"/>
            <w:tcBorders>
              <w:top w:val="nil"/>
              <w:left w:val="nil"/>
              <w:bottom w:val="nil"/>
              <w:right w:val="single" w:color="auto" w:sz="8" w:space="0"/>
            </w:tcBorders>
            <w:shd w:val="clear" w:color="000000" w:fill="FFFFFF"/>
            <w:vAlign w:val="center"/>
          </w:tcPr>
          <w:p>
            <w:pPr>
              <w:spacing w:line="300" w:lineRule="exact"/>
              <w:rPr>
                <w:rFonts w:ascii="仿宋_GB2312" w:hAnsi="宋体" w:cs="宋体"/>
                <w:color w:val="000000" w:themeColor="text1"/>
                <w:sz w:val="20"/>
                <w:szCs w:val="20"/>
              </w:rPr>
            </w:pPr>
            <w:r>
              <w:rPr>
                <w:rFonts w:hint="eastAsia" w:ascii="仿宋_GB2312" w:hAnsi="宋体" w:cs="宋体"/>
                <w:color w:val="000000" w:themeColor="text1"/>
                <w:sz w:val="20"/>
                <w:szCs w:val="20"/>
              </w:rPr>
              <w:t>会议桌尺寸：</w:t>
            </w:r>
            <w:r>
              <w:rPr>
                <w:rFonts w:hint="eastAsia" w:ascii="宋体" w:hAnsi="宋体" w:cs="宋体"/>
                <w:color w:val="000000" w:themeColor="text1"/>
                <w:sz w:val="20"/>
                <w:szCs w:val="20"/>
              </w:rPr>
              <w:t>4200mm*1500mm*760mm</w:t>
            </w:r>
            <w:r>
              <w:rPr>
                <w:rFonts w:hint="eastAsia" w:ascii="仿宋_GB2312" w:hAnsi="宋体" w:cs="宋体"/>
                <w:color w:val="000000" w:themeColor="text1"/>
                <w:sz w:val="20"/>
                <w:szCs w:val="20"/>
              </w:rPr>
              <w:t>；</w:t>
            </w:r>
          </w:p>
        </w:tc>
        <w:tc>
          <w:tcPr>
            <w:tcW w:w="616"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1</w:t>
            </w:r>
          </w:p>
        </w:tc>
        <w:tc>
          <w:tcPr>
            <w:tcW w:w="459" w:type="dxa"/>
            <w:vMerge w:val="restart"/>
            <w:tcBorders>
              <w:top w:val="nil"/>
              <w:left w:val="single" w:color="auto" w:sz="8" w:space="0"/>
              <w:bottom w:val="single" w:color="000000"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套</w:t>
            </w:r>
          </w:p>
        </w:tc>
      </w:tr>
      <w:tr>
        <w:tblPrEx>
          <w:tblLayout w:type="fixed"/>
          <w:tblCellMar>
            <w:top w:w="0" w:type="dxa"/>
            <w:left w:w="108" w:type="dxa"/>
            <w:bottom w:w="0" w:type="dxa"/>
            <w:right w:w="108" w:type="dxa"/>
          </w:tblCellMar>
        </w:tblPrEx>
        <w:trPr>
          <w:trHeight w:val="720" w:hRule="atLeast"/>
        </w:trPr>
        <w:tc>
          <w:tcPr>
            <w:tcW w:w="427" w:type="dxa"/>
            <w:vMerge w:val="continue"/>
            <w:tcBorders>
              <w:top w:val="nil"/>
              <w:left w:val="single" w:color="auto" w:sz="8" w:space="0"/>
              <w:bottom w:val="single" w:color="000000" w:sz="8" w:space="0"/>
              <w:right w:val="single" w:color="auto" w:sz="8" w:space="0"/>
            </w:tcBorders>
            <w:vAlign w:val="center"/>
          </w:tcPr>
          <w:p>
            <w:pPr>
              <w:spacing w:line="300" w:lineRule="exact"/>
              <w:rPr>
                <w:rFonts w:ascii="宋体" w:hAnsi="宋体" w:cs="宋体"/>
                <w:color w:val="000000" w:themeColor="text1"/>
                <w:sz w:val="20"/>
                <w:szCs w:val="20"/>
              </w:rPr>
            </w:pPr>
          </w:p>
        </w:tc>
        <w:tc>
          <w:tcPr>
            <w:tcW w:w="427"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c>
          <w:tcPr>
            <w:tcW w:w="1944"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c>
          <w:tcPr>
            <w:tcW w:w="4547" w:type="dxa"/>
            <w:tcBorders>
              <w:top w:val="nil"/>
              <w:left w:val="nil"/>
              <w:bottom w:val="nil"/>
              <w:right w:val="single" w:color="auto" w:sz="8" w:space="0"/>
            </w:tcBorders>
            <w:shd w:val="clear" w:color="000000" w:fill="FFFFFF"/>
            <w:vAlign w:val="center"/>
          </w:tcPr>
          <w:p>
            <w:pPr>
              <w:spacing w:line="300" w:lineRule="exact"/>
              <w:rPr>
                <w:rFonts w:ascii="仿宋_GB2312" w:hAnsi="宋体" w:cs="宋体"/>
                <w:color w:val="000000" w:themeColor="text1"/>
                <w:sz w:val="20"/>
                <w:szCs w:val="20"/>
              </w:rPr>
            </w:pPr>
            <w:r>
              <w:rPr>
                <w:rFonts w:hint="eastAsia" w:ascii="仿宋_GB2312" w:hAnsi="宋体" w:cs="宋体"/>
                <w:color w:val="000000" w:themeColor="text1"/>
                <w:sz w:val="20"/>
                <w:szCs w:val="20"/>
              </w:rPr>
              <w:t>面材：</w:t>
            </w:r>
            <w:r>
              <w:rPr>
                <w:rFonts w:hint="eastAsia" w:ascii="宋体" w:hAnsi="宋体" w:cs="宋体"/>
                <w:color w:val="000000" w:themeColor="text1"/>
                <w:sz w:val="20"/>
                <w:szCs w:val="20"/>
              </w:rPr>
              <w:t>60S</w:t>
            </w:r>
            <w:r>
              <w:rPr>
                <w:rFonts w:hint="eastAsia" w:ascii="仿宋_GB2312" w:hAnsi="宋体" w:cs="宋体"/>
                <w:color w:val="000000" w:themeColor="text1"/>
                <w:sz w:val="20"/>
                <w:szCs w:val="20"/>
              </w:rPr>
              <w:t>天然鸡翅木木皮，台面皮板为超纤皮；</w:t>
            </w:r>
          </w:p>
        </w:tc>
        <w:tc>
          <w:tcPr>
            <w:tcW w:w="61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宋体" w:hAnsi="宋体" w:cs="宋体"/>
                <w:color w:val="000000" w:themeColor="text1"/>
                <w:sz w:val="20"/>
                <w:szCs w:val="20"/>
              </w:rPr>
            </w:pPr>
          </w:p>
        </w:tc>
        <w:tc>
          <w:tcPr>
            <w:tcW w:w="459"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r>
      <w:tr>
        <w:tblPrEx>
          <w:tblLayout w:type="fixed"/>
          <w:tblCellMar>
            <w:top w:w="0" w:type="dxa"/>
            <w:left w:w="108" w:type="dxa"/>
            <w:bottom w:w="0" w:type="dxa"/>
            <w:right w:w="108" w:type="dxa"/>
          </w:tblCellMar>
        </w:tblPrEx>
        <w:trPr>
          <w:trHeight w:val="960" w:hRule="atLeast"/>
        </w:trPr>
        <w:tc>
          <w:tcPr>
            <w:tcW w:w="427" w:type="dxa"/>
            <w:vMerge w:val="continue"/>
            <w:tcBorders>
              <w:top w:val="nil"/>
              <w:left w:val="single" w:color="auto" w:sz="8" w:space="0"/>
              <w:bottom w:val="single" w:color="000000" w:sz="8" w:space="0"/>
              <w:right w:val="single" w:color="auto" w:sz="8" w:space="0"/>
            </w:tcBorders>
            <w:vAlign w:val="center"/>
          </w:tcPr>
          <w:p>
            <w:pPr>
              <w:spacing w:line="300" w:lineRule="exact"/>
              <w:rPr>
                <w:rFonts w:ascii="宋体" w:hAnsi="宋体" w:cs="宋体"/>
                <w:color w:val="000000" w:themeColor="text1"/>
                <w:sz w:val="20"/>
                <w:szCs w:val="20"/>
              </w:rPr>
            </w:pPr>
          </w:p>
        </w:tc>
        <w:tc>
          <w:tcPr>
            <w:tcW w:w="427"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c>
          <w:tcPr>
            <w:tcW w:w="1944"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c>
          <w:tcPr>
            <w:tcW w:w="4547" w:type="dxa"/>
            <w:tcBorders>
              <w:top w:val="nil"/>
              <w:left w:val="nil"/>
              <w:bottom w:val="nil"/>
              <w:right w:val="single" w:color="auto" w:sz="8" w:space="0"/>
            </w:tcBorders>
            <w:shd w:val="clear" w:color="000000" w:fill="FFFFFF"/>
            <w:vAlign w:val="center"/>
          </w:tcPr>
          <w:p>
            <w:pPr>
              <w:spacing w:line="300" w:lineRule="exact"/>
              <w:rPr>
                <w:rFonts w:ascii="仿宋_GB2312" w:hAnsi="宋体" w:cs="宋体"/>
                <w:color w:val="000000" w:themeColor="text1"/>
                <w:sz w:val="20"/>
                <w:szCs w:val="20"/>
              </w:rPr>
            </w:pPr>
            <w:r>
              <w:rPr>
                <w:rFonts w:hint="eastAsia" w:ascii="仿宋_GB2312" w:hAnsi="宋体" w:cs="宋体"/>
                <w:color w:val="000000" w:themeColor="text1"/>
                <w:sz w:val="20"/>
                <w:szCs w:val="20"/>
              </w:rPr>
              <w:t>基材：</w:t>
            </w:r>
            <w:r>
              <w:rPr>
                <w:rFonts w:hint="eastAsia" w:ascii="宋体" w:hAnsi="宋体" w:cs="宋体"/>
                <w:color w:val="000000" w:themeColor="text1"/>
                <w:sz w:val="20"/>
                <w:szCs w:val="20"/>
              </w:rPr>
              <w:t>E0</w:t>
            </w:r>
            <w:r>
              <w:rPr>
                <w:rFonts w:hint="eastAsia" w:ascii="仿宋_GB2312" w:hAnsi="宋体" w:cs="宋体"/>
                <w:color w:val="000000" w:themeColor="text1"/>
                <w:sz w:val="20"/>
                <w:szCs w:val="20"/>
              </w:rPr>
              <w:t>级中纤板、</w:t>
            </w:r>
            <w:r>
              <w:rPr>
                <w:rFonts w:hint="eastAsia" w:ascii="宋体" w:hAnsi="宋体" w:cs="宋体"/>
                <w:color w:val="000000" w:themeColor="text1"/>
                <w:sz w:val="20"/>
                <w:szCs w:val="20"/>
              </w:rPr>
              <w:t>E0</w:t>
            </w:r>
            <w:r>
              <w:rPr>
                <w:rFonts w:hint="eastAsia" w:ascii="仿宋_GB2312" w:hAnsi="宋体" w:cs="宋体"/>
                <w:color w:val="000000" w:themeColor="text1"/>
                <w:sz w:val="20"/>
                <w:szCs w:val="20"/>
              </w:rPr>
              <w:t>级刨花板，甲醛释放量≤</w:t>
            </w:r>
            <w:r>
              <w:rPr>
                <w:rFonts w:hint="eastAsia" w:ascii="宋体" w:hAnsi="宋体" w:cs="宋体"/>
                <w:color w:val="000000" w:themeColor="text1"/>
                <w:sz w:val="20"/>
                <w:szCs w:val="20"/>
              </w:rPr>
              <w:t>5mg/100g</w:t>
            </w:r>
            <w:r>
              <w:rPr>
                <w:rFonts w:hint="eastAsia" w:ascii="仿宋_GB2312" w:hAnsi="宋体" w:cs="宋体"/>
                <w:color w:val="000000" w:themeColor="text1"/>
                <w:sz w:val="20"/>
                <w:szCs w:val="20"/>
              </w:rPr>
              <w:t>；</w:t>
            </w:r>
          </w:p>
        </w:tc>
        <w:tc>
          <w:tcPr>
            <w:tcW w:w="61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宋体" w:hAnsi="宋体" w:cs="宋体"/>
                <w:color w:val="000000" w:themeColor="text1"/>
                <w:sz w:val="20"/>
                <w:szCs w:val="20"/>
              </w:rPr>
            </w:pPr>
          </w:p>
        </w:tc>
        <w:tc>
          <w:tcPr>
            <w:tcW w:w="459"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r>
      <w:tr>
        <w:tblPrEx>
          <w:tblLayout w:type="fixed"/>
          <w:tblCellMar>
            <w:top w:w="0" w:type="dxa"/>
            <w:left w:w="108" w:type="dxa"/>
            <w:bottom w:w="0" w:type="dxa"/>
            <w:right w:w="108" w:type="dxa"/>
          </w:tblCellMar>
        </w:tblPrEx>
        <w:trPr>
          <w:trHeight w:val="975" w:hRule="atLeast"/>
        </w:trPr>
        <w:tc>
          <w:tcPr>
            <w:tcW w:w="427" w:type="dxa"/>
            <w:vMerge w:val="continue"/>
            <w:tcBorders>
              <w:top w:val="nil"/>
              <w:left w:val="single" w:color="auto" w:sz="8" w:space="0"/>
              <w:bottom w:val="single" w:color="000000" w:sz="8" w:space="0"/>
              <w:right w:val="single" w:color="auto" w:sz="8" w:space="0"/>
            </w:tcBorders>
            <w:vAlign w:val="center"/>
          </w:tcPr>
          <w:p>
            <w:pPr>
              <w:spacing w:line="300" w:lineRule="exact"/>
              <w:rPr>
                <w:rFonts w:ascii="宋体" w:hAnsi="宋体" w:cs="宋体"/>
                <w:color w:val="000000" w:themeColor="text1"/>
                <w:sz w:val="20"/>
                <w:szCs w:val="20"/>
              </w:rPr>
            </w:pPr>
          </w:p>
        </w:tc>
        <w:tc>
          <w:tcPr>
            <w:tcW w:w="427"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c>
          <w:tcPr>
            <w:tcW w:w="1944"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c>
          <w:tcPr>
            <w:tcW w:w="4547" w:type="dxa"/>
            <w:tcBorders>
              <w:top w:val="nil"/>
              <w:left w:val="nil"/>
              <w:bottom w:val="single" w:color="auto" w:sz="8" w:space="0"/>
              <w:right w:val="single" w:color="auto" w:sz="8" w:space="0"/>
            </w:tcBorders>
            <w:shd w:val="clear" w:color="000000" w:fill="FFFFFF"/>
            <w:vAlign w:val="center"/>
          </w:tcPr>
          <w:p>
            <w:pPr>
              <w:spacing w:line="300" w:lineRule="exact"/>
              <w:rPr>
                <w:rFonts w:ascii="仿宋_GB2312" w:hAnsi="宋体" w:cs="宋体"/>
                <w:color w:val="000000" w:themeColor="text1"/>
                <w:sz w:val="20"/>
                <w:szCs w:val="20"/>
              </w:rPr>
            </w:pPr>
            <w:r>
              <w:rPr>
                <w:rFonts w:hint="eastAsia" w:ascii="仿宋_GB2312" w:hAnsi="宋体" w:cs="宋体"/>
                <w:color w:val="000000" w:themeColor="text1"/>
                <w:sz w:val="20"/>
                <w:szCs w:val="20"/>
              </w:rPr>
              <w:t>油漆：采用水性环保油漆，开放式涂装</w:t>
            </w:r>
            <w:r>
              <w:rPr>
                <w:rFonts w:hint="eastAsia" w:ascii="宋体" w:hAnsi="宋体" w:cs="宋体"/>
                <w:color w:val="000000" w:themeColor="text1"/>
                <w:sz w:val="20"/>
                <w:szCs w:val="20"/>
              </w:rPr>
              <w:t>+</w:t>
            </w:r>
            <w:r>
              <w:rPr>
                <w:rFonts w:hint="eastAsia" w:ascii="仿宋_GB2312" w:hAnsi="宋体" w:cs="宋体"/>
                <w:color w:val="000000" w:themeColor="text1"/>
                <w:sz w:val="20"/>
                <w:szCs w:val="20"/>
              </w:rPr>
              <w:t>黑砂面漆。</w:t>
            </w:r>
          </w:p>
        </w:tc>
        <w:tc>
          <w:tcPr>
            <w:tcW w:w="616" w:type="dxa"/>
            <w:vMerge w:val="continue"/>
            <w:tcBorders>
              <w:top w:val="nil"/>
              <w:left w:val="single" w:color="auto" w:sz="8" w:space="0"/>
              <w:bottom w:val="single" w:color="000000" w:sz="8" w:space="0"/>
              <w:right w:val="single" w:color="auto" w:sz="8" w:space="0"/>
            </w:tcBorders>
            <w:vAlign w:val="center"/>
          </w:tcPr>
          <w:p>
            <w:pPr>
              <w:spacing w:line="300" w:lineRule="exact"/>
              <w:rPr>
                <w:rFonts w:ascii="宋体" w:hAnsi="宋体" w:cs="宋体"/>
                <w:color w:val="000000" w:themeColor="text1"/>
                <w:sz w:val="20"/>
                <w:szCs w:val="20"/>
              </w:rPr>
            </w:pPr>
          </w:p>
        </w:tc>
        <w:tc>
          <w:tcPr>
            <w:tcW w:w="459"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r>
      <w:tr>
        <w:tblPrEx>
          <w:tblLayout w:type="fixed"/>
          <w:tblCellMar>
            <w:top w:w="0" w:type="dxa"/>
            <w:left w:w="108" w:type="dxa"/>
            <w:bottom w:w="0" w:type="dxa"/>
            <w:right w:w="108" w:type="dxa"/>
          </w:tblCellMar>
        </w:tblPrEx>
        <w:trPr>
          <w:trHeight w:val="1215" w:hRule="atLeast"/>
        </w:trPr>
        <w:tc>
          <w:tcPr>
            <w:tcW w:w="427" w:type="dxa"/>
            <w:tcBorders>
              <w:top w:val="nil"/>
              <w:left w:val="single" w:color="auto" w:sz="8" w:space="0"/>
              <w:bottom w:val="single" w:color="auto" w:sz="8" w:space="0"/>
              <w:right w:val="single" w:color="auto" w:sz="8" w:space="0"/>
            </w:tcBorders>
            <w:shd w:val="clear" w:color="000000" w:fill="FFFFFF"/>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37</w:t>
            </w:r>
          </w:p>
        </w:tc>
        <w:tc>
          <w:tcPr>
            <w:tcW w:w="427"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c>
          <w:tcPr>
            <w:tcW w:w="1944"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配套会议椅</w:t>
            </w:r>
          </w:p>
        </w:tc>
        <w:tc>
          <w:tcPr>
            <w:tcW w:w="4547"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sz w:val="20"/>
                <w:szCs w:val="20"/>
              </w:rPr>
            </w:pPr>
            <w:r>
              <w:rPr>
                <w:rFonts w:hint="eastAsia" w:ascii="仿宋_GB2312" w:hAnsi="宋体" w:cs="宋体"/>
                <w:color w:val="000000" w:themeColor="text1"/>
                <w:sz w:val="20"/>
                <w:szCs w:val="20"/>
              </w:rPr>
              <w:t>背、座为优质真皮，其余部分采用实木结构。固定四脚落地，不可滑动。</w:t>
            </w:r>
          </w:p>
        </w:tc>
        <w:tc>
          <w:tcPr>
            <w:tcW w:w="616"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12</w:t>
            </w:r>
          </w:p>
        </w:tc>
        <w:tc>
          <w:tcPr>
            <w:tcW w:w="459"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张</w:t>
            </w:r>
          </w:p>
        </w:tc>
      </w:tr>
      <w:tr>
        <w:tblPrEx>
          <w:tblLayout w:type="fixed"/>
          <w:tblCellMar>
            <w:top w:w="0" w:type="dxa"/>
            <w:left w:w="108" w:type="dxa"/>
            <w:bottom w:w="0" w:type="dxa"/>
            <w:right w:w="108" w:type="dxa"/>
          </w:tblCellMar>
        </w:tblPrEx>
        <w:trPr>
          <w:trHeight w:val="495" w:hRule="atLeast"/>
        </w:trPr>
        <w:tc>
          <w:tcPr>
            <w:tcW w:w="427" w:type="dxa"/>
            <w:tcBorders>
              <w:top w:val="nil"/>
              <w:left w:val="single" w:color="auto" w:sz="8" w:space="0"/>
              <w:bottom w:val="single" w:color="auto" w:sz="8" w:space="0"/>
              <w:right w:val="single" w:color="auto" w:sz="8" w:space="0"/>
            </w:tcBorders>
            <w:shd w:val="clear" w:color="000000" w:fill="FFFFFF"/>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38</w:t>
            </w:r>
          </w:p>
        </w:tc>
        <w:tc>
          <w:tcPr>
            <w:tcW w:w="427"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c>
          <w:tcPr>
            <w:tcW w:w="1944"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小型圆桌</w:t>
            </w:r>
          </w:p>
        </w:tc>
        <w:tc>
          <w:tcPr>
            <w:tcW w:w="4547"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sz w:val="20"/>
                <w:szCs w:val="20"/>
              </w:rPr>
            </w:pPr>
            <w:r>
              <w:rPr>
                <w:rFonts w:hint="eastAsia" w:ascii="仿宋_GB2312" w:hAnsi="宋体" w:cs="宋体"/>
                <w:color w:val="000000" w:themeColor="text1"/>
                <w:sz w:val="20"/>
                <w:szCs w:val="20"/>
              </w:rPr>
              <w:t>接待区小型圆桌，半径约</w:t>
            </w:r>
            <w:r>
              <w:rPr>
                <w:rFonts w:hint="eastAsia" w:ascii="宋体" w:hAnsi="宋体" w:cs="宋体"/>
                <w:color w:val="000000" w:themeColor="text1"/>
                <w:sz w:val="20"/>
                <w:szCs w:val="20"/>
              </w:rPr>
              <w:t>0.8m</w:t>
            </w:r>
          </w:p>
        </w:tc>
        <w:tc>
          <w:tcPr>
            <w:tcW w:w="616"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1</w:t>
            </w:r>
          </w:p>
        </w:tc>
        <w:tc>
          <w:tcPr>
            <w:tcW w:w="459"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套</w:t>
            </w:r>
          </w:p>
        </w:tc>
      </w:tr>
      <w:tr>
        <w:tblPrEx>
          <w:tblLayout w:type="fixed"/>
          <w:tblCellMar>
            <w:top w:w="0" w:type="dxa"/>
            <w:left w:w="108" w:type="dxa"/>
            <w:bottom w:w="0" w:type="dxa"/>
            <w:right w:w="108" w:type="dxa"/>
          </w:tblCellMar>
        </w:tblPrEx>
        <w:trPr>
          <w:trHeight w:val="285" w:hRule="atLeast"/>
        </w:trPr>
        <w:tc>
          <w:tcPr>
            <w:tcW w:w="427" w:type="dxa"/>
            <w:tcBorders>
              <w:top w:val="nil"/>
              <w:left w:val="single" w:color="auto" w:sz="8" w:space="0"/>
              <w:bottom w:val="single" w:color="auto" w:sz="8" w:space="0"/>
              <w:right w:val="single" w:color="auto" w:sz="8" w:space="0"/>
            </w:tcBorders>
            <w:shd w:val="clear" w:color="000000" w:fill="FFFFFF"/>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39</w:t>
            </w:r>
          </w:p>
        </w:tc>
        <w:tc>
          <w:tcPr>
            <w:tcW w:w="427"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c>
          <w:tcPr>
            <w:tcW w:w="1944"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配套椅子</w:t>
            </w:r>
          </w:p>
        </w:tc>
        <w:tc>
          <w:tcPr>
            <w:tcW w:w="4547"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sz w:val="20"/>
                <w:szCs w:val="20"/>
              </w:rPr>
            </w:pPr>
            <w:r>
              <w:rPr>
                <w:rFonts w:hint="eastAsia" w:ascii="仿宋_GB2312" w:hAnsi="宋体" w:cs="宋体"/>
                <w:color w:val="000000" w:themeColor="text1"/>
                <w:sz w:val="20"/>
                <w:szCs w:val="20"/>
              </w:rPr>
              <w:t>　</w:t>
            </w:r>
          </w:p>
        </w:tc>
        <w:tc>
          <w:tcPr>
            <w:tcW w:w="616"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10</w:t>
            </w:r>
          </w:p>
        </w:tc>
        <w:tc>
          <w:tcPr>
            <w:tcW w:w="459"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把</w:t>
            </w:r>
          </w:p>
        </w:tc>
      </w:tr>
      <w:tr>
        <w:tblPrEx>
          <w:tblLayout w:type="fixed"/>
          <w:tblCellMar>
            <w:top w:w="0" w:type="dxa"/>
            <w:left w:w="108" w:type="dxa"/>
            <w:bottom w:w="0" w:type="dxa"/>
            <w:right w:w="108" w:type="dxa"/>
          </w:tblCellMar>
        </w:tblPrEx>
        <w:trPr>
          <w:trHeight w:val="495" w:hRule="atLeast"/>
        </w:trPr>
        <w:tc>
          <w:tcPr>
            <w:tcW w:w="427" w:type="dxa"/>
            <w:tcBorders>
              <w:top w:val="nil"/>
              <w:left w:val="single" w:color="auto" w:sz="8" w:space="0"/>
              <w:bottom w:val="single" w:color="auto" w:sz="8" w:space="0"/>
              <w:right w:val="single" w:color="auto" w:sz="8" w:space="0"/>
            </w:tcBorders>
            <w:shd w:val="clear" w:color="000000" w:fill="FFFFFF"/>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40</w:t>
            </w:r>
          </w:p>
        </w:tc>
        <w:tc>
          <w:tcPr>
            <w:tcW w:w="427"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c>
          <w:tcPr>
            <w:tcW w:w="1944"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沙发</w:t>
            </w:r>
          </w:p>
        </w:tc>
        <w:tc>
          <w:tcPr>
            <w:tcW w:w="4547" w:type="dxa"/>
            <w:tcBorders>
              <w:top w:val="nil"/>
              <w:left w:val="nil"/>
              <w:bottom w:val="single" w:color="auto" w:sz="8" w:space="0"/>
              <w:right w:val="single" w:color="auto" w:sz="8" w:space="0"/>
            </w:tcBorders>
            <w:shd w:val="clear" w:color="auto" w:fill="auto"/>
            <w:vAlign w:val="center"/>
          </w:tcPr>
          <w:p>
            <w:pPr>
              <w:spacing w:line="300" w:lineRule="exact"/>
              <w:rPr>
                <w:rFonts w:ascii="宋体" w:hAnsi="宋体" w:cs="宋体"/>
                <w:color w:val="000000" w:themeColor="text1"/>
                <w:sz w:val="20"/>
                <w:szCs w:val="20"/>
              </w:rPr>
            </w:pPr>
            <w:r>
              <w:rPr>
                <w:rFonts w:hint="eastAsia" w:ascii="宋体" w:hAnsi="宋体" w:cs="宋体"/>
                <w:color w:val="000000" w:themeColor="text1"/>
                <w:sz w:val="20"/>
                <w:szCs w:val="20"/>
              </w:rPr>
              <w:t>3</w:t>
            </w:r>
            <w:r>
              <w:rPr>
                <w:rFonts w:hint="eastAsia" w:ascii="仿宋_GB2312" w:hAnsi="宋体" w:cs="宋体"/>
                <w:color w:val="000000" w:themeColor="text1"/>
                <w:sz w:val="20"/>
                <w:szCs w:val="20"/>
              </w:rPr>
              <w:t>人座真皮沙发及套件</w:t>
            </w:r>
          </w:p>
        </w:tc>
        <w:tc>
          <w:tcPr>
            <w:tcW w:w="616"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459"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套</w:t>
            </w:r>
          </w:p>
        </w:tc>
      </w:tr>
      <w:tr>
        <w:tblPrEx>
          <w:tblLayout w:type="fixed"/>
          <w:tblCellMar>
            <w:top w:w="0" w:type="dxa"/>
            <w:left w:w="108" w:type="dxa"/>
            <w:bottom w:w="0" w:type="dxa"/>
            <w:right w:w="108" w:type="dxa"/>
          </w:tblCellMar>
        </w:tblPrEx>
        <w:trPr>
          <w:trHeight w:val="495" w:hRule="atLeast"/>
        </w:trPr>
        <w:tc>
          <w:tcPr>
            <w:tcW w:w="427" w:type="dxa"/>
            <w:tcBorders>
              <w:top w:val="nil"/>
              <w:left w:val="single" w:color="auto" w:sz="8" w:space="0"/>
              <w:bottom w:val="single" w:color="auto" w:sz="8" w:space="0"/>
              <w:right w:val="single" w:color="auto" w:sz="8" w:space="0"/>
            </w:tcBorders>
            <w:shd w:val="clear" w:color="000000" w:fill="FFFFFF"/>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41</w:t>
            </w:r>
          </w:p>
        </w:tc>
        <w:tc>
          <w:tcPr>
            <w:tcW w:w="427"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c>
          <w:tcPr>
            <w:tcW w:w="1944"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观看席会议桌</w:t>
            </w:r>
          </w:p>
        </w:tc>
        <w:tc>
          <w:tcPr>
            <w:tcW w:w="4547"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sz w:val="20"/>
                <w:szCs w:val="20"/>
              </w:rPr>
            </w:pPr>
            <w:r>
              <w:rPr>
                <w:rFonts w:hint="eastAsia" w:ascii="仿宋_GB2312" w:hAnsi="宋体" w:cs="宋体"/>
                <w:color w:val="000000" w:themeColor="text1"/>
                <w:sz w:val="20"/>
                <w:szCs w:val="20"/>
              </w:rPr>
              <w:t>利旧</w:t>
            </w:r>
          </w:p>
        </w:tc>
        <w:tc>
          <w:tcPr>
            <w:tcW w:w="616"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0</w:t>
            </w:r>
          </w:p>
        </w:tc>
        <w:tc>
          <w:tcPr>
            <w:tcW w:w="459"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张</w:t>
            </w:r>
          </w:p>
        </w:tc>
      </w:tr>
      <w:tr>
        <w:tblPrEx>
          <w:tblLayout w:type="fixed"/>
          <w:tblCellMar>
            <w:top w:w="0" w:type="dxa"/>
            <w:left w:w="108" w:type="dxa"/>
            <w:bottom w:w="0" w:type="dxa"/>
            <w:right w:w="108" w:type="dxa"/>
          </w:tblCellMar>
        </w:tblPrEx>
        <w:trPr>
          <w:trHeight w:val="495" w:hRule="atLeast"/>
        </w:trPr>
        <w:tc>
          <w:tcPr>
            <w:tcW w:w="427" w:type="dxa"/>
            <w:tcBorders>
              <w:top w:val="nil"/>
              <w:left w:val="single" w:color="auto" w:sz="8" w:space="0"/>
              <w:bottom w:val="single" w:color="auto" w:sz="8" w:space="0"/>
              <w:right w:val="single" w:color="auto" w:sz="8" w:space="0"/>
            </w:tcBorders>
            <w:shd w:val="clear" w:color="000000" w:fill="FFFFFF"/>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42</w:t>
            </w:r>
          </w:p>
        </w:tc>
        <w:tc>
          <w:tcPr>
            <w:tcW w:w="427"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c>
          <w:tcPr>
            <w:tcW w:w="1944"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观看席会议椅</w:t>
            </w:r>
          </w:p>
        </w:tc>
        <w:tc>
          <w:tcPr>
            <w:tcW w:w="4547" w:type="dxa"/>
            <w:tcBorders>
              <w:top w:val="nil"/>
              <w:left w:val="nil"/>
              <w:bottom w:val="single" w:color="auto" w:sz="8" w:space="0"/>
              <w:right w:val="single" w:color="auto" w:sz="8" w:space="0"/>
            </w:tcBorders>
            <w:shd w:val="clear" w:color="auto" w:fill="auto"/>
            <w:vAlign w:val="center"/>
          </w:tcPr>
          <w:p>
            <w:pPr>
              <w:spacing w:line="300" w:lineRule="exact"/>
              <w:rPr>
                <w:rFonts w:ascii="仿宋_GB2312" w:hAnsi="宋体" w:cs="宋体"/>
                <w:color w:val="000000" w:themeColor="text1"/>
                <w:sz w:val="20"/>
                <w:szCs w:val="20"/>
              </w:rPr>
            </w:pPr>
            <w:r>
              <w:rPr>
                <w:rFonts w:hint="eastAsia" w:ascii="仿宋_GB2312" w:hAnsi="宋体" w:cs="宋体"/>
                <w:color w:val="000000" w:themeColor="text1"/>
                <w:sz w:val="20"/>
                <w:szCs w:val="20"/>
              </w:rPr>
              <w:t>利旧</w:t>
            </w:r>
          </w:p>
        </w:tc>
        <w:tc>
          <w:tcPr>
            <w:tcW w:w="616"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0</w:t>
            </w:r>
          </w:p>
        </w:tc>
        <w:tc>
          <w:tcPr>
            <w:tcW w:w="459"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把</w:t>
            </w:r>
          </w:p>
        </w:tc>
      </w:tr>
      <w:tr>
        <w:tblPrEx>
          <w:tblLayout w:type="fixed"/>
          <w:tblCellMar>
            <w:top w:w="0" w:type="dxa"/>
            <w:left w:w="108" w:type="dxa"/>
            <w:bottom w:w="0" w:type="dxa"/>
            <w:right w:w="108" w:type="dxa"/>
          </w:tblCellMar>
        </w:tblPrEx>
        <w:trPr>
          <w:trHeight w:val="735" w:hRule="atLeast"/>
        </w:trPr>
        <w:tc>
          <w:tcPr>
            <w:tcW w:w="427" w:type="dxa"/>
            <w:tcBorders>
              <w:top w:val="nil"/>
              <w:left w:val="single" w:color="auto" w:sz="8" w:space="0"/>
              <w:bottom w:val="single" w:color="auto" w:sz="8" w:space="0"/>
              <w:right w:val="single" w:color="auto" w:sz="8" w:space="0"/>
            </w:tcBorders>
            <w:shd w:val="clear" w:color="000000" w:fill="FFFFFF"/>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43</w:t>
            </w:r>
          </w:p>
        </w:tc>
        <w:tc>
          <w:tcPr>
            <w:tcW w:w="427" w:type="dxa"/>
            <w:vMerge w:val="continue"/>
            <w:tcBorders>
              <w:top w:val="nil"/>
              <w:left w:val="single" w:color="auto" w:sz="8" w:space="0"/>
              <w:bottom w:val="single" w:color="000000" w:sz="8" w:space="0"/>
              <w:right w:val="single" w:color="auto" w:sz="8" w:space="0"/>
            </w:tcBorders>
            <w:vAlign w:val="center"/>
          </w:tcPr>
          <w:p>
            <w:pPr>
              <w:spacing w:line="300" w:lineRule="exact"/>
              <w:rPr>
                <w:rFonts w:ascii="仿宋_GB2312" w:hAnsi="宋体" w:cs="宋体"/>
                <w:color w:val="000000" w:themeColor="text1"/>
                <w:sz w:val="20"/>
                <w:szCs w:val="20"/>
              </w:rPr>
            </w:pPr>
          </w:p>
        </w:tc>
        <w:tc>
          <w:tcPr>
            <w:tcW w:w="1944"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会议扩声系统操作台</w:t>
            </w:r>
          </w:p>
        </w:tc>
        <w:tc>
          <w:tcPr>
            <w:tcW w:w="4547" w:type="dxa"/>
            <w:tcBorders>
              <w:top w:val="nil"/>
              <w:left w:val="nil"/>
              <w:bottom w:val="single" w:color="auto" w:sz="8" w:space="0"/>
              <w:right w:val="single" w:color="auto" w:sz="8" w:space="0"/>
            </w:tcBorders>
            <w:shd w:val="clear" w:color="auto" w:fill="auto"/>
            <w:vAlign w:val="center"/>
          </w:tcPr>
          <w:p>
            <w:pPr>
              <w:spacing w:line="300" w:lineRule="exact"/>
              <w:rPr>
                <w:rFonts w:ascii="宋体" w:hAnsi="宋体" w:cs="宋体"/>
                <w:color w:val="000000" w:themeColor="text1"/>
                <w:sz w:val="20"/>
                <w:szCs w:val="20"/>
              </w:rPr>
            </w:pPr>
            <w:r>
              <w:rPr>
                <w:rFonts w:hint="eastAsia" w:ascii="宋体" w:hAnsi="宋体" w:cs="宋体"/>
                <w:color w:val="000000" w:themeColor="text1"/>
                <w:sz w:val="20"/>
                <w:szCs w:val="20"/>
              </w:rPr>
              <w:t>1200mm*600mm</w:t>
            </w:r>
            <w:r>
              <w:rPr>
                <w:rFonts w:hint="eastAsia" w:ascii="仿宋_GB2312" w:hAnsi="宋体" w:cs="宋体"/>
                <w:color w:val="000000" w:themeColor="text1"/>
                <w:sz w:val="20"/>
                <w:szCs w:val="20"/>
              </w:rPr>
              <w:t>操作台</w:t>
            </w:r>
          </w:p>
        </w:tc>
        <w:tc>
          <w:tcPr>
            <w:tcW w:w="616"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宋体" w:hAnsi="宋体" w:cs="宋体"/>
                <w:color w:val="000000" w:themeColor="text1"/>
                <w:sz w:val="20"/>
                <w:szCs w:val="20"/>
              </w:rPr>
            </w:pPr>
            <w:r>
              <w:rPr>
                <w:rFonts w:hint="eastAsia" w:ascii="宋体" w:hAnsi="宋体" w:cs="宋体"/>
                <w:color w:val="000000" w:themeColor="text1"/>
                <w:sz w:val="20"/>
                <w:szCs w:val="20"/>
              </w:rPr>
              <w:t>1</w:t>
            </w:r>
          </w:p>
        </w:tc>
        <w:tc>
          <w:tcPr>
            <w:tcW w:w="459" w:type="dxa"/>
            <w:tcBorders>
              <w:top w:val="nil"/>
              <w:left w:val="nil"/>
              <w:bottom w:val="single" w:color="auto" w:sz="8" w:space="0"/>
              <w:right w:val="single" w:color="auto" w:sz="8" w:space="0"/>
            </w:tcBorders>
            <w:shd w:val="clear" w:color="auto" w:fill="auto"/>
            <w:vAlign w:val="center"/>
          </w:tcPr>
          <w:p>
            <w:pPr>
              <w:spacing w:line="300" w:lineRule="exact"/>
              <w:jc w:val="center"/>
              <w:rPr>
                <w:rFonts w:ascii="仿宋_GB2312" w:hAnsi="宋体" w:cs="宋体"/>
                <w:color w:val="000000" w:themeColor="text1"/>
                <w:sz w:val="20"/>
                <w:szCs w:val="20"/>
              </w:rPr>
            </w:pPr>
            <w:r>
              <w:rPr>
                <w:rFonts w:hint="eastAsia" w:ascii="仿宋_GB2312" w:hAnsi="宋体" w:cs="宋体"/>
                <w:color w:val="000000" w:themeColor="text1"/>
                <w:sz w:val="20"/>
                <w:szCs w:val="20"/>
              </w:rPr>
              <w:t>套</w:t>
            </w:r>
          </w:p>
        </w:tc>
      </w:tr>
    </w:tbl>
    <w:p>
      <w:pPr>
        <w:snapToGrid w:val="0"/>
        <w:ind w:firstLine="482"/>
        <w:rPr>
          <w:rFonts w:ascii="宋体" w:hAnsi="宋体"/>
          <w:b/>
          <w:color w:val="000000" w:themeColor="text1"/>
        </w:rPr>
      </w:pPr>
    </w:p>
    <w:p>
      <w:pPr>
        <w:snapToGrid w:val="0"/>
        <w:ind w:firstLine="482"/>
        <w:rPr>
          <w:rFonts w:ascii="宋体" w:hAnsi="宋体"/>
          <w:b/>
          <w:color w:val="000000" w:themeColor="text1"/>
        </w:rPr>
      </w:pPr>
      <w:r>
        <w:rPr>
          <w:rFonts w:hint="eastAsia" w:ascii="宋体" w:hAnsi="宋体"/>
          <w:b/>
          <w:color w:val="000000" w:themeColor="text1"/>
        </w:rPr>
        <w:t>附表2：应急指挥室装修工程量清单</w:t>
      </w:r>
    </w:p>
    <w:tbl>
      <w:tblPr>
        <w:tblStyle w:val="53"/>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622"/>
        <w:gridCol w:w="1104"/>
        <w:gridCol w:w="4590"/>
        <w:gridCol w:w="778"/>
        <w:gridCol w:w="1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7" w:type="dxa"/>
            <w:shd w:val="clear" w:color="000000" w:fill="C5D9F1"/>
            <w:vAlign w:val="center"/>
          </w:tcPr>
          <w:p>
            <w:pPr>
              <w:spacing w:line="300" w:lineRule="exact"/>
              <w:rPr>
                <w:rFonts w:ascii="宋体" w:hAnsi="宋体" w:cs="宋体"/>
                <w:b/>
                <w:bCs/>
                <w:color w:val="000000" w:themeColor="text1"/>
              </w:rPr>
            </w:pPr>
            <w:r>
              <w:rPr>
                <w:rFonts w:hint="eastAsia" w:ascii="宋体" w:hAnsi="宋体" w:cs="宋体"/>
                <w:b/>
                <w:bCs/>
                <w:color w:val="000000" w:themeColor="text1"/>
              </w:rPr>
              <w:t>序号</w:t>
            </w:r>
          </w:p>
        </w:tc>
        <w:tc>
          <w:tcPr>
            <w:tcW w:w="622" w:type="dxa"/>
            <w:shd w:val="clear" w:color="000000" w:fill="C5D9F1"/>
            <w:vAlign w:val="center"/>
          </w:tcPr>
          <w:p>
            <w:pPr>
              <w:spacing w:line="300" w:lineRule="exact"/>
              <w:jc w:val="center"/>
              <w:rPr>
                <w:rFonts w:ascii="宋体" w:hAnsi="宋体" w:cs="宋体"/>
                <w:b/>
                <w:bCs/>
                <w:color w:val="000000" w:themeColor="text1"/>
              </w:rPr>
            </w:pPr>
            <w:r>
              <w:rPr>
                <w:rFonts w:hint="eastAsia" w:ascii="宋体" w:hAnsi="宋体" w:cs="宋体"/>
                <w:b/>
                <w:bCs/>
                <w:color w:val="000000" w:themeColor="text1"/>
              </w:rPr>
              <w:t>项目</w:t>
            </w:r>
          </w:p>
        </w:tc>
        <w:tc>
          <w:tcPr>
            <w:tcW w:w="1104" w:type="dxa"/>
            <w:shd w:val="clear" w:color="000000" w:fill="C5D9F1"/>
            <w:vAlign w:val="center"/>
          </w:tcPr>
          <w:p>
            <w:pPr>
              <w:spacing w:line="300" w:lineRule="exact"/>
              <w:jc w:val="center"/>
              <w:rPr>
                <w:rFonts w:ascii="宋体" w:hAnsi="宋体" w:cs="宋体"/>
                <w:b/>
                <w:bCs/>
                <w:color w:val="000000" w:themeColor="text1"/>
              </w:rPr>
            </w:pPr>
            <w:r>
              <w:rPr>
                <w:rFonts w:hint="eastAsia" w:ascii="宋体" w:hAnsi="宋体" w:cs="宋体"/>
                <w:b/>
                <w:bCs/>
                <w:color w:val="000000" w:themeColor="text1"/>
              </w:rPr>
              <w:t>子项目</w:t>
            </w:r>
          </w:p>
        </w:tc>
        <w:tc>
          <w:tcPr>
            <w:tcW w:w="4590" w:type="dxa"/>
            <w:shd w:val="clear" w:color="000000" w:fill="C5D9F1"/>
            <w:vAlign w:val="center"/>
          </w:tcPr>
          <w:p>
            <w:pPr>
              <w:spacing w:line="300" w:lineRule="exact"/>
              <w:jc w:val="center"/>
              <w:rPr>
                <w:rFonts w:ascii="宋体" w:hAnsi="宋体" w:cs="宋体"/>
                <w:b/>
                <w:bCs/>
                <w:color w:val="000000" w:themeColor="text1"/>
              </w:rPr>
            </w:pPr>
            <w:r>
              <w:rPr>
                <w:rFonts w:hint="eastAsia" w:ascii="宋体" w:hAnsi="宋体" w:cs="宋体"/>
                <w:b/>
                <w:bCs/>
                <w:color w:val="000000" w:themeColor="text1"/>
              </w:rPr>
              <w:t>技术参数要求</w:t>
            </w:r>
          </w:p>
        </w:tc>
        <w:tc>
          <w:tcPr>
            <w:tcW w:w="778" w:type="dxa"/>
            <w:shd w:val="clear" w:color="000000" w:fill="C5D9F1"/>
            <w:vAlign w:val="center"/>
          </w:tcPr>
          <w:p>
            <w:pPr>
              <w:spacing w:line="300" w:lineRule="exact"/>
              <w:jc w:val="center"/>
              <w:rPr>
                <w:rFonts w:ascii="宋体" w:hAnsi="宋体" w:cs="宋体"/>
                <w:b/>
                <w:bCs/>
                <w:color w:val="000000" w:themeColor="text1"/>
              </w:rPr>
            </w:pPr>
            <w:r>
              <w:rPr>
                <w:rFonts w:hint="eastAsia" w:ascii="宋体" w:hAnsi="宋体" w:cs="宋体"/>
                <w:b/>
                <w:bCs/>
                <w:color w:val="000000" w:themeColor="text1"/>
              </w:rPr>
              <w:t>数量</w:t>
            </w:r>
          </w:p>
        </w:tc>
        <w:tc>
          <w:tcPr>
            <w:tcW w:w="1007" w:type="dxa"/>
            <w:shd w:val="clear" w:color="000000" w:fill="C5D9F1"/>
            <w:vAlign w:val="center"/>
          </w:tcPr>
          <w:p>
            <w:pPr>
              <w:spacing w:line="300" w:lineRule="exact"/>
              <w:jc w:val="center"/>
              <w:rPr>
                <w:rFonts w:ascii="宋体" w:hAnsi="宋体" w:cs="宋体"/>
                <w:b/>
                <w:bCs/>
                <w:color w:val="000000" w:themeColor="text1"/>
              </w:rPr>
            </w:pPr>
            <w:r>
              <w:rPr>
                <w:rFonts w:hint="eastAsia" w:ascii="宋体" w:hAnsi="宋体" w:cs="宋体"/>
                <w:b/>
                <w:bCs/>
                <w:color w:val="000000" w:themeColor="text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28" w:type="dxa"/>
            <w:gridSpan w:val="6"/>
            <w:shd w:val="clear" w:color="000000" w:fill="FDE9D9"/>
            <w:vAlign w:val="center"/>
          </w:tcPr>
          <w:p>
            <w:pPr>
              <w:spacing w:line="300" w:lineRule="exact"/>
              <w:jc w:val="center"/>
              <w:rPr>
                <w:rFonts w:ascii="宋体" w:hAnsi="宋体" w:cs="宋体"/>
                <w:b/>
                <w:bCs/>
                <w:color w:val="000000" w:themeColor="text1"/>
              </w:rPr>
            </w:pPr>
            <w:r>
              <w:rPr>
                <w:rFonts w:hint="eastAsia" w:ascii="宋体" w:hAnsi="宋体" w:cs="宋体"/>
                <w:b/>
                <w:bCs/>
                <w:color w:val="000000" w:themeColor="text1"/>
              </w:rPr>
              <w:t>应急指挥室装饰装修系统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1</w:t>
            </w:r>
          </w:p>
        </w:tc>
        <w:tc>
          <w:tcPr>
            <w:tcW w:w="622" w:type="dxa"/>
            <w:vMerge w:val="restart"/>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天棚工程</w:t>
            </w:r>
          </w:p>
        </w:tc>
        <w:tc>
          <w:tcPr>
            <w:tcW w:w="1104"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纸面石膏板造型顶</w:t>
            </w:r>
          </w:p>
        </w:tc>
        <w:tc>
          <w:tcPr>
            <w:tcW w:w="4590"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石膏板造型吊顶，根据用户需求定制</w:t>
            </w:r>
          </w:p>
        </w:tc>
        <w:tc>
          <w:tcPr>
            <w:tcW w:w="778"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280</w:t>
            </w:r>
          </w:p>
        </w:tc>
        <w:tc>
          <w:tcPr>
            <w:tcW w:w="100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M</w:t>
            </w:r>
            <w:r>
              <w:rPr>
                <w:rFonts w:hint="eastAsia" w:ascii="宋体" w:hAnsi="宋体" w:cs="宋体"/>
                <w:color w:val="000000" w:themeColor="text1"/>
                <w:sz w:val="20"/>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2</w:t>
            </w:r>
          </w:p>
        </w:tc>
        <w:tc>
          <w:tcPr>
            <w:tcW w:w="622" w:type="dxa"/>
            <w:vMerge w:val="continue"/>
            <w:vAlign w:val="center"/>
          </w:tcPr>
          <w:p>
            <w:pPr>
              <w:spacing w:line="300" w:lineRule="exact"/>
              <w:rPr>
                <w:rFonts w:ascii="宋体" w:hAnsi="宋体" w:cs="宋体"/>
                <w:color w:val="000000" w:themeColor="text1"/>
                <w:sz w:val="20"/>
              </w:rPr>
            </w:pPr>
          </w:p>
        </w:tc>
        <w:tc>
          <w:tcPr>
            <w:tcW w:w="1104"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吊顶灯膜(三基色)</w:t>
            </w:r>
          </w:p>
        </w:tc>
        <w:tc>
          <w:tcPr>
            <w:tcW w:w="4590"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顶面灯膜，根据用户需求定制</w:t>
            </w:r>
          </w:p>
        </w:tc>
        <w:tc>
          <w:tcPr>
            <w:tcW w:w="778"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95</w:t>
            </w:r>
          </w:p>
        </w:tc>
        <w:tc>
          <w:tcPr>
            <w:tcW w:w="100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M</w:t>
            </w:r>
            <w:r>
              <w:rPr>
                <w:rFonts w:hint="eastAsia" w:ascii="宋体" w:hAnsi="宋体" w:cs="宋体"/>
                <w:color w:val="000000" w:themeColor="text1"/>
                <w:sz w:val="20"/>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3</w:t>
            </w:r>
          </w:p>
        </w:tc>
        <w:tc>
          <w:tcPr>
            <w:tcW w:w="622" w:type="dxa"/>
            <w:vMerge w:val="continue"/>
            <w:vAlign w:val="center"/>
          </w:tcPr>
          <w:p>
            <w:pPr>
              <w:spacing w:line="300" w:lineRule="exact"/>
              <w:rPr>
                <w:rFonts w:ascii="宋体" w:hAnsi="宋体" w:cs="宋体"/>
                <w:color w:val="000000" w:themeColor="text1"/>
                <w:sz w:val="20"/>
              </w:rPr>
            </w:pPr>
          </w:p>
        </w:tc>
        <w:tc>
          <w:tcPr>
            <w:tcW w:w="1104"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铝塑板饰面吊顶</w:t>
            </w:r>
          </w:p>
        </w:tc>
        <w:tc>
          <w:tcPr>
            <w:tcW w:w="4590"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铝塑板饰面吊顶，根据用户需求定制</w:t>
            </w:r>
          </w:p>
        </w:tc>
        <w:tc>
          <w:tcPr>
            <w:tcW w:w="778"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88</w:t>
            </w:r>
          </w:p>
        </w:tc>
        <w:tc>
          <w:tcPr>
            <w:tcW w:w="100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M</w:t>
            </w:r>
            <w:r>
              <w:rPr>
                <w:rFonts w:hint="eastAsia" w:ascii="宋体" w:hAnsi="宋体" w:cs="宋体"/>
                <w:color w:val="000000" w:themeColor="text1"/>
                <w:sz w:val="20"/>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4</w:t>
            </w:r>
          </w:p>
        </w:tc>
        <w:tc>
          <w:tcPr>
            <w:tcW w:w="622" w:type="dxa"/>
            <w:vMerge w:val="continue"/>
            <w:vAlign w:val="center"/>
          </w:tcPr>
          <w:p>
            <w:pPr>
              <w:spacing w:line="300" w:lineRule="exact"/>
              <w:rPr>
                <w:rFonts w:ascii="宋体" w:hAnsi="宋体" w:cs="宋体"/>
                <w:color w:val="000000" w:themeColor="text1"/>
                <w:sz w:val="20"/>
              </w:rPr>
            </w:pPr>
          </w:p>
        </w:tc>
        <w:tc>
          <w:tcPr>
            <w:tcW w:w="1104"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木工板基层</w:t>
            </w:r>
          </w:p>
        </w:tc>
        <w:tc>
          <w:tcPr>
            <w:tcW w:w="4590"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细木工板基层,木龙骨</w:t>
            </w:r>
          </w:p>
        </w:tc>
        <w:tc>
          <w:tcPr>
            <w:tcW w:w="778"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160</w:t>
            </w:r>
          </w:p>
        </w:tc>
        <w:tc>
          <w:tcPr>
            <w:tcW w:w="100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M</w:t>
            </w:r>
            <w:r>
              <w:rPr>
                <w:rFonts w:hint="eastAsia" w:ascii="宋体" w:hAnsi="宋体" w:cs="宋体"/>
                <w:color w:val="000000" w:themeColor="text1"/>
                <w:sz w:val="20"/>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5</w:t>
            </w:r>
          </w:p>
        </w:tc>
        <w:tc>
          <w:tcPr>
            <w:tcW w:w="622" w:type="dxa"/>
            <w:vMerge w:val="continue"/>
            <w:vAlign w:val="center"/>
          </w:tcPr>
          <w:p>
            <w:pPr>
              <w:spacing w:line="300" w:lineRule="exact"/>
              <w:rPr>
                <w:rFonts w:ascii="宋体" w:hAnsi="宋体" w:cs="宋体"/>
                <w:color w:val="000000" w:themeColor="text1"/>
                <w:sz w:val="20"/>
              </w:rPr>
            </w:pPr>
          </w:p>
        </w:tc>
        <w:tc>
          <w:tcPr>
            <w:tcW w:w="1104"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灯光带（暖色）</w:t>
            </w:r>
          </w:p>
        </w:tc>
        <w:tc>
          <w:tcPr>
            <w:tcW w:w="4590"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石膏板面层,木龙骨基层,木工板基层</w:t>
            </w:r>
          </w:p>
        </w:tc>
        <w:tc>
          <w:tcPr>
            <w:tcW w:w="778"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55</w:t>
            </w:r>
          </w:p>
        </w:tc>
        <w:tc>
          <w:tcPr>
            <w:tcW w:w="100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6</w:t>
            </w:r>
          </w:p>
        </w:tc>
        <w:tc>
          <w:tcPr>
            <w:tcW w:w="622" w:type="dxa"/>
            <w:vMerge w:val="restart"/>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地面工程</w:t>
            </w:r>
          </w:p>
        </w:tc>
        <w:tc>
          <w:tcPr>
            <w:tcW w:w="1104"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静电地板</w:t>
            </w:r>
          </w:p>
        </w:tc>
        <w:tc>
          <w:tcPr>
            <w:tcW w:w="4590"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陶瓷面静电地板</w:t>
            </w:r>
          </w:p>
        </w:tc>
        <w:tc>
          <w:tcPr>
            <w:tcW w:w="778"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165</w:t>
            </w:r>
          </w:p>
        </w:tc>
        <w:tc>
          <w:tcPr>
            <w:tcW w:w="100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M</w:t>
            </w:r>
            <w:r>
              <w:rPr>
                <w:rFonts w:hint="eastAsia" w:ascii="宋体" w:hAnsi="宋体" w:cs="宋体"/>
                <w:color w:val="000000" w:themeColor="text1"/>
                <w:sz w:val="20"/>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7</w:t>
            </w:r>
          </w:p>
        </w:tc>
        <w:tc>
          <w:tcPr>
            <w:tcW w:w="622" w:type="dxa"/>
            <w:vMerge w:val="continue"/>
            <w:vAlign w:val="center"/>
          </w:tcPr>
          <w:p>
            <w:pPr>
              <w:spacing w:line="300" w:lineRule="exact"/>
              <w:rPr>
                <w:rFonts w:ascii="宋体" w:hAnsi="宋体" w:cs="宋体"/>
                <w:color w:val="000000" w:themeColor="text1"/>
                <w:sz w:val="20"/>
              </w:rPr>
            </w:pPr>
          </w:p>
        </w:tc>
        <w:tc>
          <w:tcPr>
            <w:tcW w:w="1104"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地面大理石</w:t>
            </w:r>
          </w:p>
        </w:tc>
        <w:tc>
          <w:tcPr>
            <w:tcW w:w="4590"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含地面抬高</w:t>
            </w:r>
          </w:p>
        </w:tc>
        <w:tc>
          <w:tcPr>
            <w:tcW w:w="778"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310</w:t>
            </w:r>
          </w:p>
        </w:tc>
        <w:tc>
          <w:tcPr>
            <w:tcW w:w="100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M</w:t>
            </w:r>
            <w:r>
              <w:rPr>
                <w:rFonts w:hint="eastAsia" w:ascii="宋体" w:hAnsi="宋体" w:cs="宋体"/>
                <w:color w:val="000000" w:themeColor="text1"/>
                <w:sz w:val="20"/>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8</w:t>
            </w:r>
          </w:p>
        </w:tc>
        <w:tc>
          <w:tcPr>
            <w:tcW w:w="622" w:type="dxa"/>
            <w:vMerge w:val="continue"/>
            <w:vAlign w:val="center"/>
          </w:tcPr>
          <w:p>
            <w:pPr>
              <w:spacing w:line="300" w:lineRule="exact"/>
              <w:rPr>
                <w:rFonts w:ascii="宋体" w:hAnsi="宋体" w:cs="宋体"/>
                <w:color w:val="000000" w:themeColor="text1"/>
                <w:sz w:val="20"/>
              </w:rPr>
            </w:pPr>
          </w:p>
        </w:tc>
        <w:tc>
          <w:tcPr>
            <w:tcW w:w="1104"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地面实木地板</w:t>
            </w:r>
          </w:p>
        </w:tc>
        <w:tc>
          <w:tcPr>
            <w:tcW w:w="4590"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实木地板，颜色根据用户需求</w:t>
            </w:r>
          </w:p>
        </w:tc>
        <w:tc>
          <w:tcPr>
            <w:tcW w:w="778"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35</w:t>
            </w:r>
          </w:p>
        </w:tc>
        <w:tc>
          <w:tcPr>
            <w:tcW w:w="100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M</w:t>
            </w:r>
            <w:r>
              <w:rPr>
                <w:rFonts w:hint="eastAsia" w:ascii="宋体" w:hAnsi="宋体" w:cs="宋体"/>
                <w:color w:val="000000" w:themeColor="text1"/>
                <w:sz w:val="20"/>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9</w:t>
            </w:r>
          </w:p>
        </w:tc>
        <w:tc>
          <w:tcPr>
            <w:tcW w:w="622" w:type="dxa"/>
            <w:vMerge w:val="continue"/>
            <w:vAlign w:val="center"/>
          </w:tcPr>
          <w:p>
            <w:pPr>
              <w:spacing w:line="300" w:lineRule="exact"/>
              <w:rPr>
                <w:rFonts w:ascii="宋体" w:hAnsi="宋体" w:cs="宋体"/>
                <w:color w:val="000000" w:themeColor="text1"/>
                <w:sz w:val="20"/>
              </w:rPr>
            </w:pPr>
          </w:p>
        </w:tc>
        <w:tc>
          <w:tcPr>
            <w:tcW w:w="1104"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踢脚线</w:t>
            </w:r>
          </w:p>
        </w:tc>
        <w:tc>
          <w:tcPr>
            <w:tcW w:w="4590"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配套踢脚线</w:t>
            </w:r>
          </w:p>
        </w:tc>
        <w:tc>
          <w:tcPr>
            <w:tcW w:w="778"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235</w:t>
            </w:r>
          </w:p>
        </w:tc>
        <w:tc>
          <w:tcPr>
            <w:tcW w:w="100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10</w:t>
            </w:r>
          </w:p>
        </w:tc>
        <w:tc>
          <w:tcPr>
            <w:tcW w:w="622" w:type="dxa"/>
            <w:vMerge w:val="continue"/>
            <w:vAlign w:val="center"/>
          </w:tcPr>
          <w:p>
            <w:pPr>
              <w:spacing w:line="300" w:lineRule="exact"/>
              <w:rPr>
                <w:rFonts w:ascii="宋体" w:hAnsi="宋体" w:cs="宋体"/>
                <w:color w:val="000000" w:themeColor="text1"/>
                <w:sz w:val="20"/>
              </w:rPr>
            </w:pPr>
          </w:p>
        </w:tc>
        <w:tc>
          <w:tcPr>
            <w:tcW w:w="1104"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门口板</w:t>
            </w:r>
          </w:p>
        </w:tc>
        <w:tc>
          <w:tcPr>
            <w:tcW w:w="4590"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主材价格按购价计价，损耗按实计算，啡网纹</w:t>
            </w:r>
          </w:p>
        </w:tc>
        <w:tc>
          <w:tcPr>
            <w:tcW w:w="778"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8</w:t>
            </w:r>
          </w:p>
        </w:tc>
        <w:tc>
          <w:tcPr>
            <w:tcW w:w="100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11</w:t>
            </w:r>
          </w:p>
        </w:tc>
        <w:tc>
          <w:tcPr>
            <w:tcW w:w="622" w:type="dxa"/>
            <w:vMerge w:val="continue"/>
            <w:vAlign w:val="center"/>
          </w:tcPr>
          <w:p>
            <w:pPr>
              <w:spacing w:line="300" w:lineRule="exact"/>
              <w:rPr>
                <w:rFonts w:ascii="宋体" w:hAnsi="宋体" w:cs="宋体"/>
                <w:color w:val="000000" w:themeColor="text1"/>
                <w:sz w:val="20"/>
              </w:rPr>
            </w:pPr>
          </w:p>
        </w:tc>
        <w:tc>
          <w:tcPr>
            <w:tcW w:w="1104"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四楼扩面</w:t>
            </w:r>
          </w:p>
        </w:tc>
        <w:tc>
          <w:tcPr>
            <w:tcW w:w="4590"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四楼扩展加固钢架、地面浇筑等</w:t>
            </w:r>
          </w:p>
        </w:tc>
        <w:tc>
          <w:tcPr>
            <w:tcW w:w="778"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1</w:t>
            </w:r>
          </w:p>
        </w:tc>
        <w:tc>
          <w:tcPr>
            <w:tcW w:w="100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12</w:t>
            </w:r>
          </w:p>
        </w:tc>
        <w:tc>
          <w:tcPr>
            <w:tcW w:w="622" w:type="dxa"/>
            <w:vMerge w:val="restart"/>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墙面工程</w:t>
            </w:r>
          </w:p>
        </w:tc>
        <w:tc>
          <w:tcPr>
            <w:tcW w:w="1104"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细木工板基层</w:t>
            </w:r>
          </w:p>
        </w:tc>
        <w:tc>
          <w:tcPr>
            <w:tcW w:w="4590"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细木工板基层</w:t>
            </w:r>
          </w:p>
        </w:tc>
        <w:tc>
          <w:tcPr>
            <w:tcW w:w="778"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210</w:t>
            </w:r>
          </w:p>
        </w:tc>
        <w:tc>
          <w:tcPr>
            <w:tcW w:w="100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M</w:t>
            </w:r>
            <w:r>
              <w:rPr>
                <w:rFonts w:hint="eastAsia" w:ascii="宋体" w:hAnsi="宋体" w:cs="宋体"/>
                <w:color w:val="000000" w:themeColor="text1"/>
                <w:sz w:val="20"/>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13</w:t>
            </w:r>
          </w:p>
        </w:tc>
        <w:tc>
          <w:tcPr>
            <w:tcW w:w="622" w:type="dxa"/>
            <w:vMerge w:val="continue"/>
            <w:vAlign w:val="center"/>
          </w:tcPr>
          <w:p>
            <w:pPr>
              <w:spacing w:line="300" w:lineRule="exact"/>
              <w:rPr>
                <w:rFonts w:ascii="宋体" w:hAnsi="宋体" w:cs="宋体"/>
                <w:color w:val="000000" w:themeColor="text1"/>
                <w:sz w:val="20"/>
              </w:rPr>
            </w:pPr>
          </w:p>
        </w:tc>
        <w:tc>
          <w:tcPr>
            <w:tcW w:w="1104"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墙面背景装饰</w:t>
            </w:r>
          </w:p>
        </w:tc>
        <w:tc>
          <w:tcPr>
            <w:tcW w:w="4590"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吸音板或硬包饰面</w:t>
            </w:r>
          </w:p>
        </w:tc>
        <w:tc>
          <w:tcPr>
            <w:tcW w:w="778"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210</w:t>
            </w:r>
          </w:p>
        </w:tc>
        <w:tc>
          <w:tcPr>
            <w:tcW w:w="100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M</w:t>
            </w:r>
            <w:r>
              <w:rPr>
                <w:rFonts w:hint="eastAsia" w:ascii="宋体" w:hAnsi="宋体" w:cs="宋体"/>
                <w:color w:val="000000" w:themeColor="text1"/>
                <w:sz w:val="20"/>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14</w:t>
            </w:r>
          </w:p>
        </w:tc>
        <w:tc>
          <w:tcPr>
            <w:tcW w:w="622" w:type="dxa"/>
            <w:vMerge w:val="continue"/>
            <w:vAlign w:val="center"/>
          </w:tcPr>
          <w:p>
            <w:pPr>
              <w:spacing w:line="300" w:lineRule="exact"/>
              <w:rPr>
                <w:rFonts w:ascii="宋体" w:hAnsi="宋体" w:cs="宋体"/>
                <w:color w:val="000000" w:themeColor="text1"/>
                <w:sz w:val="20"/>
              </w:rPr>
            </w:pPr>
          </w:p>
        </w:tc>
        <w:tc>
          <w:tcPr>
            <w:tcW w:w="1104"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墙面大理石</w:t>
            </w:r>
          </w:p>
        </w:tc>
        <w:tc>
          <w:tcPr>
            <w:tcW w:w="4590"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大理石饰面，颜色分格根据用户需求定制</w:t>
            </w:r>
          </w:p>
        </w:tc>
        <w:tc>
          <w:tcPr>
            <w:tcW w:w="778"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35</w:t>
            </w:r>
          </w:p>
        </w:tc>
        <w:tc>
          <w:tcPr>
            <w:tcW w:w="100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M</w:t>
            </w:r>
            <w:r>
              <w:rPr>
                <w:rFonts w:hint="eastAsia" w:ascii="宋体" w:hAnsi="宋体" w:cs="宋体"/>
                <w:color w:val="000000" w:themeColor="text1"/>
                <w:sz w:val="20"/>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15</w:t>
            </w:r>
          </w:p>
        </w:tc>
        <w:tc>
          <w:tcPr>
            <w:tcW w:w="622" w:type="dxa"/>
            <w:vMerge w:val="continue"/>
            <w:vAlign w:val="center"/>
          </w:tcPr>
          <w:p>
            <w:pPr>
              <w:spacing w:line="300" w:lineRule="exact"/>
              <w:rPr>
                <w:rFonts w:ascii="宋体" w:hAnsi="宋体" w:cs="宋体"/>
                <w:color w:val="000000" w:themeColor="text1"/>
                <w:sz w:val="20"/>
              </w:rPr>
            </w:pPr>
          </w:p>
        </w:tc>
        <w:tc>
          <w:tcPr>
            <w:tcW w:w="1104"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玻璃隔断</w:t>
            </w:r>
          </w:p>
        </w:tc>
        <w:tc>
          <w:tcPr>
            <w:tcW w:w="4590"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钢化玻璃隔断</w:t>
            </w:r>
          </w:p>
        </w:tc>
        <w:tc>
          <w:tcPr>
            <w:tcW w:w="778"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35</w:t>
            </w:r>
          </w:p>
        </w:tc>
        <w:tc>
          <w:tcPr>
            <w:tcW w:w="100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M</w:t>
            </w:r>
            <w:r>
              <w:rPr>
                <w:rFonts w:hint="eastAsia" w:ascii="宋体" w:hAnsi="宋体" w:cs="宋体"/>
                <w:color w:val="000000" w:themeColor="text1"/>
                <w:sz w:val="20"/>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16</w:t>
            </w:r>
          </w:p>
        </w:tc>
        <w:tc>
          <w:tcPr>
            <w:tcW w:w="622" w:type="dxa"/>
            <w:vMerge w:val="continue"/>
            <w:vAlign w:val="center"/>
          </w:tcPr>
          <w:p>
            <w:pPr>
              <w:spacing w:line="300" w:lineRule="exact"/>
              <w:rPr>
                <w:rFonts w:ascii="宋体" w:hAnsi="宋体" w:cs="宋体"/>
                <w:color w:val="000000" w:themeColor="text1"/>
                <w:sz w:val="20"/>
              </w:rPr>
            </w:pPr>
          </w:p>
        </w:tc>
        <w:tc>
          <w:tcPr>
            <w:tcW w:w="1104"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成品套装门</w:t>
            </w:r>
          </w:p>
        </w:tc>
        <w:tc>
          <w:tcPr>
            <w:tcW w:w="4590"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防火双开门</w:t>
            </w:r>
          </w:p>
        </w:tc>
        <w:tc>
          <w:tcPr>
            <w:tcW w:w="778"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6</w:t>
            </w:r>
          </w:p>
        </w:tc>
        <w:tc>
          <w:tcPr>
            <w:tcW w:w="100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17</w:t>
            </w:r>
          </w:p>
        </w:tc>
        <w:tc>
          <w:tcPr>
            <w:tcW w:w="622" w:type="dxa"/>
            <w:vMerge w:val="continue"/>
            <w:vAlign w:val="center"/>
          </w:tcPr>
          <w:p>
            <w:pPr>
              <w:spacing w:line="300" w:lineRule="exact"/>
              <w:rPr>
                <w:rFonts w:ascii="宋体" w:hAnsi="宋体" w:cs="宋体"/>
                <w:color w:val="000000" w:themeColor="text1"/>
                <w:sz w:val="20"/>
              </w:rPr>
            </w:pPr>
          </w:p>
        </w:tc>
        <w:tc>
          <w:tcPr>
            <w:tcW w:w="1104"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窗帘</w:t>
            </w:r>
          </w:p>
        </w:tc>
        <w:tc>
          <w:tcPr>
            <w:tcW w:w="4590"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定制窗帘，风格根据用户需求</w:t>
            </w:r>
          </w:p>
        </w:tc>
        <w:tc>
          <w:tcPr>
            <w:tcW w:w="778"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1</w:t>
            </w:r>
          </w:p>
        </w:tc>
        <w:tc>
          <w:tcPr>
            <w:tcW w:w="100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18</w:t>
            </w:r>
          </w:p>
        </w:tc>
        <w:tc>
          <w:tcPr>
            <w:tcW w:w="622" w:type="dxa"/>
            <w:vMerge w:val="restart"/>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水电工程</w:t>
            </w:r>
          </w:p>
        </w:tc>
        <w:tc>
          <w:tcPr>
            <w:tcW w:w="1104"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中央空调用电线</w:t>
            </w:r>
          </w:p>
        </w:tc>
        <w:tc>
          <w:tcPr>
            <w:tcW w:w="4590"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ZR-YJV5*6mm2</w:t>
            </w:r>
          </w:p>
        </w:tc>
        <w:tc>
          <w:tcPr>
            <w:tcW w:w="778"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260</w:t>
            </w:r>
          </w:p>
        </w:tc>
        <w:tc>
          <w:tcPr>
            <w:tcW w:w="1007" w:type="dxa"/>
            <w:shd w:val="clear" w:color="auto" w:fill="auto"/>
            <w:vAlign w:val="center"/>
          </w:tcPr>
          <w:p>
            <w:pPr>
              <w:spacing w:line="300" w:lineRule="exact"/>
              <w:jc w:val="center"/>
              <w:rPr>
                <w:color w:val="000000" w:themeColor="text1"/>
                <w:sz w:val="20"/>
              </w:rPr>
            </w:pPr>
            <w:r>
              <w:rPr>
                <w:color w:val="000000" w:themeColor="text1"/>
                <w:sz w:val="20"/>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19</w:t>
            </w:r>
          </w:p>
        </w:tc>
        <w:tc>
          <w:tcPr>
            <w:tcW w:w="622" w:type="dxa"/>
            <w:vMerge w:val="continue"/>
            <w:vAlign w:val="center"/>
          </w:tcPr>
          <w:p>
            <w:pPr>
              <w:spacing w:line="300" w:lineRule="exact"/>
              <w:rPr>
                <w:rFonts w:ascii="宋体" w:hAnsi="宋体" w:cs="宋体"/>
                <w:color w:val="000000" w:themeColor="text1"/>
                <w:sz w:val="20"/>
              </w:rPr>
            </w:pPr>
          </w:p>
        </w:tc>
        <w:tc>
          <w:tcPr>
            <w:tcW w:w="1104"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照明插座配电箱电线</w:t>
            </w:r>
          </w:p>
        </w:tc>
        <w:tc>
          <w:tcPr>
            <w:tcW w:w="4590"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ZR-YJV4*25+1*16mm2</w:t>
            </w:r>
          </w:p>
        </w:tc>
        <w:tc>
          <w:tcPr>
            <w:tcW w:w="778"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300</w:t>
            </w:r>
          </w:p>
        </w:tc>
        <w:tc>
          <w:tcPr>
            <w:tcW w:w="1007" w:type="dxa"/>
            <w:shd w:val="clear" w:color="auto" w:fill="auto"/>
            <w:vAlign w:val="center"/>
          </w:tcPr>
          <w:p>
            <w:pPr>
              <w:spacing w:line="300" w:lineRule="exact"/>
              <w:jc w:val="center"/>
              <w:rPr>
                <w:color w:val="000000" w:themeColor="text1"/>
                <w:sz w:val="20"/>
              </w:rPr>
            </w:pPr>
            <w:r>
              <w:rPr>
                <w:color w:val="000000" w:themeColor="text1"/>
                <w:sz w:val="20"/>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20</w:t>
            </w:r>
          </w:p>
        </w:tc>
        <w:tc>
          <w:tcPr>
            <w:tcW w:w="622" w:type="dxa"/>
            <w:vMerge w:val="continue"/>
            <w:vAlign w:val="center"/>
          </w:tcPr>
          <w:p>
            <w:pPr>
              <w:spacing w:line="300" w:lineRule="exact"/>
              <w:rPr>
                <w:rFonts w:ascii="宋体" w:hAnsi="宋体" w:cs="宋体"/>
                <w:color w:val="000000" w:themeColor="text1"/>
                <w:sz w:val="20"/>
              </w:rPr>
            </w:pPr>
          </w:p>
        </w:tc>
        <w:tc>
          <w:tcPr>
            <w:tcW w:w="1104"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照明插座线缆</w:t>
            </w:r>
          </w:p>
        </w:tc>
        <w:tc>
          <w:tcPr>
            <w:tcW w:w="4590"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BV2.5mm2</w:t>
            </w:r>
          </w:p>
        </w:tc>
        <w:tc>
          <w:tcPr>
            <w:tcW w:w="778"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2500</w:t>
            </w:r>
          </w:p>
        </w:tc>
        <w:tc>
          <w:tcPr>
            <w:tcW w:w="1007" w:type="dxa"/>
            <w:shd w:val="clear" w:color="auto" w:fill="auto"/>
            <w:vAlign w:val="center"/>
          </w:tcPr>
          <w:p>
            <w:pPr>
              <w:spacing w:line="300" w:lineRule="exact"/>
              <w:jc w:val="center"/>
              <w:rPr>
                <w:color w:val="000000" w:themeColor="text1"/>
                <w:sz w:val="20"/>
              </w:rPr>
            </w:pPr>
            <w:r>
              <w:rPr>
                <w:color w:val="000000" w:themeColor="text1"/>
                <w:sz w:val="20"/>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21</w:t>
            </w:r>
          </w:p>
        </w:tc>
        <w:tc>
          <w:tcPr>
            <w:tcW w:w="622" w:type="dxa"/>
            <w:vMerge w:val="continue"/>
            <w:vAlign w:val="center"/>
          </w:tcPr>
          <w:p>
            <w:pPr>
              <w:spacing w:line="300" w:lineRule="exact"/>
              <w:rPr>
                <w:rFonts w:ascii="宋体" w:hAnsi="宋体" w:cs="宋体"/>
                <w:color w:val="000000" w:themeColor="text1"/>
                <w:sz w:val="20"/>
              </w:rPr>
            </w:pPr>
          </w:p>
        </w:tc>
        <w:tc>
          <w:tcPr>
            <w:tcW w:w="1104"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KBG管</w:t>
            </w:r>
          </w:p>
        </w:tc>
        <w:tc>
          <w:tcPr>
            <w:tcW w:w="4590"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直径25/30</w:t>
            </w:r>
          </w:p>
        </w:tc>
        <w:tc>
          <w:tcPr>
            <w:tcW w:w="778"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2500</w:t>
            </w:r>
          </w:p>
        </w:tc>
        <w:tc>
          <w:tcPr>
            <w:tcW w:w="100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22</w:t>
            </w:r>
          </w:p>
        </w:tc>
        <w:tc>
          <w:tcPr>
            <w:tcW w:w="622" w:type="dxa"/>
            <w:vMerge w:val="continue"/>
            <w:vAlign w:val="center"/>
          </w:tcPr>
          <w:p>
            <w:pPr>
              <w:spacing w:line="300" w:lineRule="exact"/>
              <w:rPr>
                <w:rFonts w:ascii="宋体" w:hAnsi="宋体" w:cs="宋体"/>
                <w:color w:val="000000" w:themeColor="text1"/>
                <w:sz w:val="20"/>
              </w:rPr>
            </w:pPr>
          </w:p>
        </w:tc>
        <w:tc>
          <w:tcPr>
            <w:tcW w:w="1104"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照明插座配电箱</w:t>
            </w:r>
          </w:p>
        </w:tc>
        <w:tc>
          <w:tcPr>
            <w:tcW w:w="4590"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含空开、防雷保护等配套设备</w:t>
            </w:r>
          </w:p>
        </w:tc>
        <w:tc>
          <w:tcPr>
            <w:tcW w:w="778"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2</w:t>
            </w:r>
          </w:p>
        </w:tc>
        <w:tc>
          <w:tcPr>
            <w:tcW w:w="100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23</w:t>
            </w:r>
          </w:p>
        </w:tc>
        <w:tc>
          <w:tcPr>
            <w:tcW w:w="622" w:type="dxa"/>
            <w:vMerge w:val="continue"/>
            <w:vAlign w:val="center"/>
          </w:tcPr>
          <w:p>
            <w:pPr>
              <w:spacing w:line="300" w:lineRule="exact"/>
              <w:rPr>
                <w:rFonts w:ascii="宋体" w:hAnsi="宋体" w:cs="宋体"/>
                <w:color w:val="000000" w:themeColor="text1"/>
                <w:sz w:val="20"/>
              </w:rPr>
            </w:pPr>
          </w:p>
        </w:tc>
        <w:tc>
          <w:tcPr>
            <w:tcW w:w="1104"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吸顶筒灯</w:t>
            </w:r>
          </w:p>
        </w:tc>
        <w:tc>
          <w:tcPr>
            <w:tcW w:w="4590"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LED筒灯</w:t>
            </w:r>
          </w:p>
        </w:tc>
        <w:tc>
          <w:tcPr>
            <w:tcW w:w="778"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80</w:t>
            </w:r>
          </w:p>
        </w:tc>
        <w:tc>
          <w:tcPr>
            <w:tcW w:w="100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24</w:t>
            </w:r>
          </w:p>
        </w:tc>
        <w:tc>
          <w:tcPr>
            <w:tcW w:w="622" w:type="dxa"/>
            <w:vMerge w:val="continue"/>
            <w:vAlign w:val="center"/>
          </w:tcPr>
          <w:p>
            <w:pPr>
              <w:spacing w:line="300" w:lineRule="exact"/>
              <w:rPr>
                <w:rFonts w:ascii="宋体" w:hAnsi="宋体" w:cs="宋体"/>
                <w:color w:val="000000" w:themeColor="text1"/>
                <w:sz w:val="20"/>
              </w:rPr>
            </w:pPr>
          </w:p>
        </w:tc>
        <w:tc>
          <w:tcPr>
            <w:tcW w:w="1104"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开关\插座</w:t>
            </w:r>
          </w:p>
        </w:tc>
        <w:tc>
          <w:tcPr>
            <w:tcW w:w="4590"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五孔插、开关等</w:t>
            </w:r>
          </w:p>
        </w:tc>
        <w:tc>
          <w:tcPr>
            <w:tcW w:w="778"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1</w:t>
            </w:r>
          </w:p>
        </w:tc>
        <w:tc>
          <w:tcPr>
            <w:tcW w:w="100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25</w:t>
            </w:r>
          </w:p>
        </w:tc>
        <w:tc>
          <w:tcPr>
            <w:tcW w:w="622" w:type="dxa"/>
            <w:vMerge w:val="continue"/>
            <w:vAlign w:val="center"/>
          </w:tcPr>
          <w:p>
            <w:pPr>
              <w:spacing w:line="300" w:lineRule="exact"/>
              <w:rPr>
                <w:rFonts w:ascii="宋体" w:hAnsi="宋体" w:cs="宋体"/>
                <w:color w:val="000000" w:themeColor="text1"/>
                <w:sz w:val="20"/>
              </w:rPr>
            </w:pPr>
          </w:p>
        </w:tc>
        <w:tc>
          <w:tcPr>
            <w:tcW w:w="1104"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中央空调</w:t>
            </w:r>
          </w:p>
        </w:tc>
        <w:tc>
          <w:tcPr>
            <w:tcW w:w="4590"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6匹中央空调，制冷量：14000W，制热量：15400W，4级能效</w:t>
            </w:r>
          </w:p>
        </w:tc>
        <w:tc>
          <w:tcPr>
            <w:tcW w:w="778"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4</w:t>
            </w:r>
          </w:p>
        </w:tc>
        <w:tc>
          <w:tcPr>
            <w:tcW w:w="100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26</w:t>
            </w:r>
          </w:p>
        </w:tc>
        <w:tc>
          <w:tcPr>
            <w:tcW w:w="622" w:type="dxa"/>
            <w:vMerge w:val="restart"/>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油漆工程</w:t>
            </w:r>
          </w:p>
        </w:tc>
        <w:tc>
          <w:tcPr>
            <w:tcW w:w="1104"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顶面乳胶漆</w:t>
            </w:r>
          </w:p>
        </w:tc>
        <w:tc>
          <w:tcPr>
            <w:tcW w:w="4590" w:type="dxa"/>
            <w:shd w:val="clear" w:color="auto" w:fill="auto"/>
            <w:vAlign w:val="center"/>
          </w:tcPr>
          <w:p>
            <w:pPr>
              <w:spacing w:line="300" w:lineRule="exact"/>
              <w:rPr>
                <w:rFonts w:ascii="宋体" w:hAnsi="宋体" w:cs="宋体"/>
                <w:color w:val="000000" w:themeColor="text1"/>
                <w:sz w:val="20"/>
              </w:rPr>
            </w:pPr>
            <w:r>
              <w:rPr>
                <w:rFonts w:hint="eastAsia" w:ascii="宋体" w:hAnsi="宋体" w:cs="宋体"/>
                <w:color w:val="000000" w:themeColor="text1"/>
                <w:sz w:val="20"/>
              </w:rPr>
              <w:t>墙面层处理，批腻子乳胶漆一底二面</w:t>
            </w:r>
          </w:p>
        </w:tc>
        <w:tc>
          <w:tcPr>
            <w:tcW w:w="778"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350</w:t>
            </w:r>
          </w:p>
        </w:tc>
        <w:tc>
          <w:tcPr>
            <w:tcW w:w="100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M</w:t>
            </w:r>
            <w:r>
              <w:rPr>
                <w:rFonts w:hint="eastAsia" w:ascii="宋体" w:hAnsi="宋体" w:cs="宋体"/>
                <w:color w:val="000000" w:themeColor="text1"/>
                <w:sz w:val="20"/>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27</w:t>
            </w:r>
          </w:p>
        </w:tc>
        <w:tc>
          <w:tcPr>
            <w:tcW w:w="622" w:type="dxa"/>
            <w:vMerge w:val="continue"/>
            <w:vAlign w:val="center"/>
          </w:tcPr>
          <w:p>
            <w:pPr>
              <w:spacing w:line="300" w:lineRule="exact"/>
              <w:rPr>
                <w:rFonts w:ascii="宋体" w:hAnsi="宋体" w:cs="宋体"/>
                <w:color w:val="000000" w:themeColor="text1"/>
                <w:sz w:val="20"/>
              </w:rPr>
            </w:pPr>
          </w:p>
        </w:tc>
        <w:tc>
          <w:tcPr>
            <w:tcW w:w="1104"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石膏板点锈\补缝</w:t>
            </w:r>
          </w:p>
        </w:tc>
        <w:tc>
          <w:tcPr>
            <w:tcW w:w="4590"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石膏板点锈\补缝</w:t>
            </w:r>
          </w:p>
        </w:tc>
        <w:tc>
          <w:tcPr>
            <w:tcW w:w="778"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350</w:t>
            </w:r>
          </w:p>
        </w:tc>
        <w:tc>
          <w:tcPr>
            <w:tcW w:w="100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M</w:t>
            </w:r>
            <w:r>
              <w:rPr>
                <w:rFonts w:hint="eastAsia" w:ascii="宋体" w:hAnsi="宋体" w:cs="宋体"/>
                <w:color w:val="000000" w:themeColor="text1"/>
                <w:sz w:val="20"/>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28</w:t>
            </w:r>
          </w:p>
        </w:tc>
        <w:tc>
          <w:tcPr>
            <w:tcW w:w="622" w:type="dxa"/>
            <w:vMerge w:val="restart"/>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拆除工程及其它</w:t>
            </w:r>
          </w:p>
        </w:tc>
        <w:tc>
          <w:tcPr>
            <w:tcW w:w="1104"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成品保护</w:t>
            </w:r>
          </w:p>
        </w:tc>
        <w:tc>
          <w:tcPr>
            <w:tcW w:w="4590"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　</w:t>
            </w:r>
          </w:p>
        </w:tc>
        <w:tc>
          <w:tcPr>
            <w:tcW w:w="778"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500</w:t>
            </w:r>
          </w:p>
        </w:tc>
        <w:tc>
          <w:tcPr>
            <w:tcW w:w="100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M</w:t>
            </w:r>
            <w:r>
              <w:rPr>
                <w:rFonts w:hint="eastAsia" w:ascii="宋体" w:hAnsi="宋体" w:cs="宋体"/>
                <w:color w:val="000000" w:themeColor="text1"/>
                <w:sz w:val="20"/>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29</w:t>
            </w:r>
          </w:p>
        </w:tc>
        <w:tc>
          <w:tcPr>
            <w:tcW w:w="622" w:type="dxa"/>
            <w:vMerge w:val="continue"/>
            <w:vAlign w:val="center"/>
          </w:tcPr>
          <w:p>
            <w:pPr>
              <w:spacing w:line="300" w:lineRule="exact"/>
              <w:rPr>
                <w:rFonts w:ascii="宋体" w:hAnsi="宋体" w:cs="宋体"/>
                <w:color w:val="000000" w:themeColor="text1"/>
                <w:sz w:val="20"/>
              </w:rPr>
            </w:pPr>
          </w:p>
        </w:tc>
        <w:tc>
          <w:tcPr>
            <w:tcW w:w="1104"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垃圾袋</w:t>
            </w:r>
          </w:p>
        </w:tc>
        <w:tc>
          <w:tcPr>
            <w:tcW w:w="4590"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编织袋</w:t>
            </w:r>
          </w:p>
        </w:tc>
        <w:tc>
          <w:tcPr>
            <w:tcW w:w="778"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1000</w:t>
            </w:r>
          </w:p>
        </w:tc>
        <w:tc>
          <w:tcPr>
            <w:tcW w:w="100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30</w:t>
            </w:r>
          </w:p>
        </w:tc>
        <w:tc>
          <w:tcPr>
            <w:tcW w:w="622" w:type="dxa"/>
            <w:vMerge w:val="continue"/>
            <w:vAlign w:val="center"/>
          </w:tcPr>
          <w:p>
            <w:pPr>
              <w:spacing w:line="300" w:lineRule="exact"/>
              <w:rPr>
                <w:rFonts w:ascii="宋体" w:hAnsi="宋体" w:cs="宋体"/>
                <w:color w:val="000000" w:themeColor="text1"/>
                <w:sz w:val="20"/>
              </w:rPr>
            </w:pPr>
          </w:p>
        </w:tc>
        <w:tc>
          <w:tcPr>
            <w:tcW w:w="1104"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装修垃圾清理</w:t>
            </w:r>
          </w:p>
        </w:tc>
        <w:tc>
          <w:tcPr>
            <w:tcW w:w="4590" w:type="dxa"/>
            <w:shd w:val="clear" w:color="auto" w:fill="auto"/>
            <w:vAlign w:val="center"/>
          </w:tcPr>
          <w:p>
            <w:pPr>
              <w:spacing w:line="300" w:lineRule="exact"/>
              <w:rPr>
                <w:rFonts w:ascii="宋体" w:hAnsi="宋体" w:cs="宋体"/>
                <w:color w:val="000000" w:themeColor="text1"/>
                <w:sz w:val="20"/>
              </w:rPr>
            </w:pPr>
            <w:r>
              <w:rPr>
                <w:rFonts w:hint="eastAsia" w:ascii="宋体" w:hAnsi="宋体" w:cs="宋体"/>
                <w:color w:val="000000" w:themeColor="text1"/>
                <w:sz w:val="20"/>
              </w:rPr>
              <w:t>施工过程所产生垃圾，按建筑面积计算，二层以内，最少基数100M2</w:t>
            </w:r>
          </w:p>
        </w:tc>
        <w:tc>
          <w:tcPr>
            <w:tcW w:w="778"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500</w:t>
            </w:r>
          </w:p>
        </w:tc>
        <w:tc>
          <w:tcPr>
            <w:tcW w:w="100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M</w:t>
            </w:r>
            <w:r>
              <w:rPr>
                <w:rFonts w:hint="eastAsia" w:ascii="宋体" w:hAnsi="宋体" w:cs="宋体"/>
                <w:color w:val="000000" w:themeColor="text1"/>
                <w:sz w:val="20"/>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31</w:t>
            </w:r>
          </w:p>
        </w:tc>
        <w:tc>
          <w:tcPr>
            <w:tcW w:w="622" w:type="dxa"/>
            <w:vMerge w:val="continue"/>
            <w:vAlign w:val="center"/>
          </w:tcPr>
          <w:p>
            <w:pPr>
              <w:spacing w:line="300" w:lineRule="exact"/>
              <w:rPr>
                <w:rFonts w:ascii="宋体" w:hAnsi="宋体" w:cs="宋体"/>
                <w:color w:val="000000" w:themeColor="text1"/>
                <w:sz w:val="20"/>
              </w:rPr>
            </w:pPr>
          </w:p>
        </w:tc>
        <w:tc>
          <w:tcPr>
            <w:tcW w:w="1104"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材料上楼\搬运费</w:t>
            </w:r>
          </w:p>
        </w:tc>
        <w:tc>
          <w:tcPr>
            <w:tcW w:w="4590" w:type="dxa"/>
            <w:shd w:val="clear" w:color="auto" w:fill="auto"/>
            <w:vAlign w:val="center"/>
          </w:tcPr>
          <w:p>
            <w:pPr>
              <w:spacing w:line="300" w:lineRule="exact"/>
              <w:rPr>
                <w:rFonts w:ascii="宋体" w:hAnsi="宋体" w:cs="宋体"/>
                <w:color w:val="000000" w:themeColor="text1"/>
                <w:sz w:val="20"/>
              </w:rPr>
            </w:pPr>
            <w:r>
              <w:rPr>
                <w:rFonts w:hint="eastAsia" w:ascii="宋体" w:hAnsi="宋体" w:cs="宋体"/>
                <w:color w:val="000000" w:themeColor="text1"/>
                <w:sz w:val="20"/>
              </w:rPr>
              <w:t>材料搬运上楼，按建筑面积计算，二层以内，最少基数100M2</w:t>
            </w:r>
          </w:p>
        </w:tc>
        <w:tc>
          <w:tcPr>
            <w:tcW w:w="778"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500</w:t>
            </w:r>
          </w:p>
        </w:tc>
        <w:tc>
          <w:tcPr>
            <w:tcW w:w="100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M</w:t>
            </w:r>
            <w:r>
              <w:rPr>
                <w:rFonts w:hint="eastAsia" w:ascii="宋体" w:hAnsi="宋体" w:cs="宋体"/>
                <w:color w:val="000000" w:themeColor="text1"/>
                <w:sz w:val="20"/>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32</w:t>
            </w:r>
          </w:p>
        </w:tc>
        <w:tc>
          <w:tcPr>
            <w:tcW w:w="622" w:type="dxa"/>
            <w:vMerge w:val="continue"/>
            <w:vAlign w:val="center"/>
          </w:tcPr>
          <w:p>
            <w:pPr>
              <w:spacing w:line="300" w:lineRule="exact"/>
              <w:rPr>
                <w:rFonts w:ascii="宋体" w:hAnsi="宋体" w:cs="宋体"/>
                <w:color w:val="000000" w:themeColor="text1"/>
                <w:sz w:val="20"/>
              </w:rPr>
            </w:pPr>
          </w:p>
        </w:tc>
        <w:tc>
          <w:tcPr>
            <w:tcW w:w="1104"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卫生清理</w:t>
            </w:r>
          </w:p>
        </w:tc>
        <w:tc>
          <w:tcPr>
            <w:tcW w:w="4590"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　</w:t>
            </w:r>
          </w:p>
        </w:tc>
        <w:tc>
          <w:tcPr>
            <w:tcW w:w="778"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500</w:t>
            </w:r>
          </w:p>
        </w:tc>
        <w:tc>
          <w:tcPr>
            <w:tcW w:w="100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M</w:t>
            </w:r>
            <w:r>
              <w:rPr>
                <w:rFonts w:hint="eastAsia" w:ascii="宋体" w:hAnsi="宋体" w:cs="宋体"/>
                <w:color w:val="000000" w:themeColor="text1"/>
                <w:sz w:val="20"/>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33</w:t>
            </w:r>
          </w:p>
        </w:tc>
        <w:tc>
          <w:tcPr>
            <w:tcW w:w="622" w:type="dxa"/>
            <w:vMerge w:val="continue"/>
            <w:vAlign w:val="center"/>
          </w:tcPr>
          <w:p>
            <w:pPr>
              <w:spacing w:line="300" w:lineRule="exact"/>
              <w:rPr>
                <w:rFonts w:ascii="宋体" w:hAnsi="宋体" w:cs="宋体"/>
                <w:color w:val="000000" w:themeColor="text1"/>
                <w:sz w:val="20"/>
              </w:rPr>
            </w:pPr>
          </w:p>
        </w:tc>
        <w:tc>
          <w:tcPr>
            <w:tcW w:w="1104"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脚手架租借</w:t>
            </w:r>
          </w:p>
        </w:tc>
        <w:tc>
          <w:tcPr>
            <w:tcW w:w="4590"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　</w:t>
            </w:r>
          </w:p>
        </w:tc>
        <w:tc>
          <w:tcPr>
            <w:tcW w:w="778"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500</w:t>
            </w:r>
          </w:p>
        </w:tc>
        <w:tc>
          <w:tcPr>
            <w:tcW w:w="100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M</w:t>
            </w:r>
            <w:r>
              <w:rPr>
                <w:rFonts w:hint="eastAsia" w:ascii="宋体" w:hAnsi="宋体" w:cs="宋体"/>
                <w:color w:val="000000" w:themeColor="text1"/>
                <w:sz w:val="20"/>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34</w:t>
            </w:r>
          </w:p>
        </w:tc>
        <w:tc>
          <w:tcPr>
            <w:tcW w:w="622" w:type="dxa"/>
            <w:vMerge w:val="continue"/>
            <w:vAlign w:val="center"/>
          </w:tcPr>
          <w:p>
            <w:pPr>
              <w:spacing w:line="300" w:lineRule="exact"/>
              <w:rPr>
                <w:rFonts w:ascii="宋体" w:hAnsi="宋体" w:cs="宋体"/>
                <w:color w:val="000000" w:themeColor="text1"/>
                <w:sz w:val="20"/>
              </w:rPr>
            </w:pPr>
          </w:p>
        </w:tc>
        <w:tc>
          <w:tcPr>
            <w:tcW w:w="1104"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垃圾外运</w:t>
            </w:r>
          </w:p>
        </w:tc>
        <w:tc>
          <w:tcPr>
            <w:tcW w:w="4590"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　</w:t>
            </w:r>
          </w:p>
        </w:tc>
        <w:tc>
          <w:tcPr>
            <w:tcW w:w="778"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500</w:t>
            </w:r>
          </w:p>
        </w:tc>
        <w:tc>
          <w:tcPr>
            <w:tcW w:w="100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M</w:t>
            </w:r>
            <w:r>
              <w:rPr>
                <w:rFonts w:hint="eastAsia" w:ascii="宋体" w:hAnsi="宋体" w:cs="宋体"/>
                <w:color w:val="000000" w:themeColor="text1"/>
                <w:sz w:val="20"/>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35</w:t>
            </w:r>
          </w:p>
        </w:tc>
        <w:tc>
          <w:tcPr>
            <w:tcW w:w="622" w:type="dxa"/>
            <w:vMerge w:val="continue"/>
            <w:vAlign w:val="center"/>
          </w:tcPr>
          <w:p>
            <w:pPr>
              <w:spacing w:line="300" w:lineRule="exact"/>
              <w:rPr>
                <w:rFonts w:ascii="宋体" w:hAnsi="宋体" w:cs="宋体"/>
                <w:color w:val="000000" w:themeColor="text1"/>
                <w:sz w:val="20"/>
              </w:rPr>
            </w:pPr>
          </w:p>
        </w:tc>
        <w:tc>
          <w:tcPr>
            <w:tcW w:w="1104"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原墙体装饰面拆除</w:t>
            </w:r>
          </w:p>
        </w:tc>
        <w:tc>
          <w:tcPr>
            <w:tcW w:w="4590"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　</w:t>
            </w:r>
          </w:p>
        </w:tc>
        <w:tc>
          <w:tcPr>
            <w:tcW w:w="778"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220</w:t>
            </w:r>
          </w:p>
        </w:tc>
        <w:tc>
          <w:tcPr>
            <w:tcW w:w="100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M</w:t>
            </w:r>
            <w:r>
              <w:rPr>
                <w:rFonts w:hint="eastAsia" w:ascii="宋体" w:hAnsi="宋体" w:cs="宋体"/>
                <w:color w:val="000000" w:themeColor="text1"/>
                <w:sz w:val="20"/>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36</w:t>
            </w:r>
          </w:p>
        </w:tc>
        <w:tc>
          <w:tcPr>
            <w:tcW w:w="622" w:type="dxa"/>
            <w:vMerge w:val="restart"/>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成品家具</w:t>
            </w:r>
          </w:p>
        </w:tc>
        <w:tc>
          <w:tcPr>
            <w:tcW w:w="1104"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文件柜</w:t>
            </w:r>
          </w:p>
        </w:tc>
        <w:tc>
          <w:tcPr>
            <w:tcW w:w="4590"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1200*450*2200</w:t>
            </w:r>
          </w:p>
        </w:tc>
        <w:tc>
          <w:tcPr>
            <w:tcW w:w="778"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6</w:t>
            </w:r>
          </w:p>
        </w:tc>
        <w:tc>
          <w:tcPr>
            <w:tcW w:w="100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37</w:t>
            </w:r>
          </w:p>
        </w:tc>
        <w:tc>
          <w:tcPr>
            <w:tcW w:w="622" w:type="dxa"/>
            <w:vMerge w:val="continue"/>
            <w:vAlign w:val="center"/>
          </w:tcPr>
          <w:p>
            <w:pPr>
              <w:spacing w:line="300" w:lineRule="exact"/>
              <w:rPr>
                <w:rFonts w:ascii="宋体" w:hAnsi="宋体" w:cs="宋体"/>
                <w:color w:val="000000" w:themeColor="text1"/>
                <w:sz w:val="20"/>
              </w:rPr>
            </w:pPr>
          </w:p>
        </w:tc>
        <w:tc>
          <w:tcPr>
            <w:tcW w:w="1104"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茶水柜</w:t>
            </w:r>
          </w:p>
        </w:tc>
        <w:tc>
          <w:tcPr>
            <w:tcW w:w="4590"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1200*350*900</w:t>
            </w:r>
          </w:p>
        </w:tc>
        <w:tc>
          <w:tcPr>
            <w:tcW w:w="778"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4</w:t>
            </w:r>
          </w:p>
        </w:tc>
        <w:tc>
          <w:tcPr>
            <w:tcW w:w="100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38</w:t>
            </w:r>
          </w:p>
        </w:tc>
        <w:tc>
          <w:tcPr>
            <w:tcW w:w="622" w:type="dxa"/>
            <w:vMerge w:val="continue"/>
            <w:vAlign w:val="center"/>
          </w:tcPr>
          <w:p>
            <w:pPr>
              <w:spacing w:line="300" w:lineRule="exact"/>
              <w:rPr>
                <w:rFonts w:ascii="宋体" w:hAnsi="宋体" w:cs="宋体"/>
                <w:color w:val="000000" w:themeColor="text1"/>
                <w:sz w:val="20"/>
              </w:rPr>
            </w:pPr>
          </w:p>
        </w:tc>
        <w:tc>
          <w:tcPr>
            <w:tcW w:w="1104"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组合沙发</w:t>
            </w:r>
          </w:p>
        </w:tc>
        <w:tc>
          <w:tcPr>
            <w:tcW w:w="4590"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三人位2张，二人位2张，单人位3张</w:t>
            </w:r>
          </w:p>
        </w:tc>
        <w:tc>
          <w:tcPr>
            <w:tcW w:w="778"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2</w:t>
            </w:r>
          </w:p>
        </w:tc>
        <w:tc>
          <w:tcPr>
            <w:tcW w:w="100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39</w:t>
            </w:r>
          </w:p>
        </w:tc>
        <w:tc>
          <w:tcPr>
            <w:tcW w:w="622" w:type="dxa"/>
            <w:vMerge w:val="continue"/>
            <w:vAlign w:val="center"/>
          </w:tcPr>
          <w:p>
            <w:pPr>
              <w:spacing w:line="300" w:lineRule="exact"/>
              <w:rPr>
                <w:rFonts w:ascii="宋体" w:hAnsi="宋体" w:cs="宋体"/>
                <w:color w:val="000000" w:themeColor="text1"/>
                <w:sz w:val="20"/>
              </w:rPr>
            </w:pPr>
          </w:p>
        </w:tc>
        <w:tc>
          <w:tcPr>
            <w:tcW w:w="1104"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办公桌</w:t>
            </w:r>
          </w:p>
        </w:tc>
        <w:tc>
          <w:tcPr>
            <w:tcW w:w="4590"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1600*650*800</w:t>
            </w:r>
          </w:p>
        </w:tc>
        <w:tc>
          <w:tcPr>
            <w:tcW w:w="778"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4</w:t>
            </w:r>
          </w:p>
        </w:tc>
        <w:tc>
          <w:tcPr>
            <w:tcW w:w="100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40</w:t>
            </w:r>
          </w:p>
        </w:tc>
        <w:tc>
          <w:tcPr>
            <w:tcW w:w="622" w:type="dxa"/>
            <w:vMerge w:val="continue"/>
            <w:vAlign w:val="center"/>
          </w:tcPr>
          <w:p>
            <w:pPr>
              <w:spacing w:line="300" w:lineRule="exact"/>
              <w:rPr>
                <w:rFonts w:ascii="宋体" w:hAnsi="宋体" w:cs="宋体"/>
                <w:color w:val="000000" w:themeColor="text1"/>
                <w:sz w:val="20"/>
              </w:rPr>
            </w:pPr>
          </w:p>
        </w:tc>
        <w:tc>
          <w:tcPr>
            <w:tcW w:w="1104"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椅子</w:t>
            </w:r>
          </w:p>
        </w:tc>
        <w:tc>
          <w:tcPr>
            <w:tcW w:w="4590"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　</w:t>
            </w:r>
          </w:p>
        </w:tc>
        <w:tc>
          <w:tcPr>
            <w:tcW w:w="778"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8</w:t>
            </w:r>
          </w:p>
        </w:tc>
        <w:tc>
          <w:tcPr>
            <w:tcW w:w="100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41</w:t>
            </w:r>
          </w:p>
        </w:tc>
        <w:tc>
          <w:tcPr>
            <w:tcW w:w="622" w:type="dxa"/>
            <w:vMerge w:val="continue"/>
            <w:vAlign w:val="center"/>
          </w:tcPr>
          <w:p>
            <w:pPr>
              <w:spacing w:line="300" w:lineRule="exact"/>
              <w:rPr>
                <w:rFonts w:ascii="宋体" w:hAnsi="宋体" w:cs="宋体"/>
                <w:color w:val="000000" w:themeColor="text1"/>
                <w:sz w:val="20"/>
              </w:rPr>
            </w:pPr>
          </w:p>
        </w:tc>
        <w:tc>
          <w:tcPr>
            <w:tcW w:w="1104"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茶几</w:t>
            </w:r>
          </w:p>
        </w:tc>
        <w:tc>
          <w:tcPr>
            <w:tcW w:w="4590"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600*600*550</w:t>
            </w:r>
          </w:p>
        </w:tc>
        <w:tc>
          <w:tcPr>
            <w:tcW w:w="778"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2</w:t>
            </w:r>
          </w:p>
        </w:tc>
        <w:tc>
          <w:tcPr>
            <w:tcW w:w="1007" w:type="dxa"/>
            <w:shd w:val="clear" w:color="auto" w:fill="auto"/>
            <w:vAlign w:val="center"/>
          </w:tcPr>
          <w:p>
            <w:pPr>
              <w:spacing w:line="300" w:lineRule="exact"/>
              <w:jc w:val="center"/>
              <w:rPr>
                <w:rFonts w:ascii="宋体" w:hAnsi="宋体" w:cs="宋体"/>
                <w:color w:val="000000" w:themeColor="text1"/>
                <w:sz w:val="20"/>
              </w:rPr>
            </w:pPr>
            <w:r>
              <w:rPr>
                <w:rFonts w:hint="eastAsia" w:ascii="宋体" w:hAnsi="宋体" w:cs="宋体"/>
                <w:color w:val="000000" w:themeColor="text1"/>
                <w:sz w:val="20"/>
              </w:rPr>
              <w:t>张</w:t>
            </w:r>
          </w:p>
        </w:tc>
      </w:tr>
    </w:tbl>
    <w:p>
      <w:pPr>
        <w:snapToGrid w:val="0"/>
        <w:ind w:firstLine="482"/>
        <w:rPr>
          <w:rFonts w:ascii="宋体" w:hAnsi="宋体"/>
          <w:b/>
          <w:color w:val="000000" w:themeColor="text1"/>
        </w:rPr>
      </w:pPr>
    </w:p>
    <w:p>
      <w:pPr>
        <w:ind w:firstLine="480"/>
        <w:jc w:val="center"/>
        <w:rPr>
          <w:color w:val="000000" w:themeColor="text1"/>
        </w:rPr>
      </w:pPr>
    </w:p>
    <w:p>
      <w:pPr>
        <w:snapToGrid w:val="0"/>
        <w:ind w:firstLine="482"/>
        <w:rPr>
          <w:rFonts w:ascii="宋体" w:hAnsi="宋体"/>
          <w:b/>
          <w:color w:val="000000" w:themeColor="text1"/>
        </w:rPr>
      </w:pPr>
      <w:r>
        <w:rPr>
          <w:rFonts w:ascii="宋体" w:hAnsi="宋体"/>
          <w:b/>
          <w:color w:val="000000" w:themeColor="text1"/>
        </w:rPr>
        <w:br w:type="page"/>
      </w:r>
    </w:p>
    <w:p>
      <w:pPr>
        <w:pStyle w:val="3"/>
        <w:spacing w:before="120" w:after="120"/>
        <w:ind w:firstLine="562"/>
        <w:rPr>
          <w:b w:val="0"/>
          <w:color w:val="000000" w:themeColor="text1"/>
        </w:rPr>
      </w:pPr>
      <w:bookmarkStart w:id="377" w:name="_Toc7521691"/>
      <w:bookmarkStart w:id="378" w:name="_Toc8760715"/>
      <w:r>
        <w:rPr>
          <w:rFonts w:hint="eastAsia"/>
          <w:color w:val="000000" w:themeColor="text1"/>
        </w:rPr>
        <w:t>五、结构化存储</w:t>
      </w:r>
      <w:bookmarkEnd w:id="377"/>
      <w:bookmarkEnd w:id="378"/>
      <w:r>
        <w:rPr>
          <w:rFonts w:hint="eastAsia"/>
          <w:color w:val="000000" w:themeColor="text1"/>
        </w:rPr>
        <w:t>(大数据平台)</w:t>
      </w:r>
    </w:p>
    <w:p>
      <w:pPr>
        <w:pStyle w:val="4"/>
        <w:ind w:firstLine="562"/>
        <w:rPr>
          <w:color w:val="000000" w:themeColor="text1"/>
        </w:rPr>
      </w:pPr>
      <w:bookmarkStart w:id="379" w:name="_Toc7521692"/>
      <w:bookmarkStart w:id="380" w:name="_Toc8760716"/>
      <w:bookmarkStart w:id="381" w:name="_Toc532520574"/>
      <w:r>
        <w:rPr>
          <w:rFonts w:hint="eastAsia"/>
          <w:color w:val="000000" w:themeColor="text1"/>
        </w:rPr>
        <w:t>（一）项目内容</w:t>
      </w:r>
      <w:bookmarkEnd w:id="379"/>
      <w:bookmarkEnd w:id="380"/>
    </w:p>
    <w:p>
      <w:pPr>
        <w:pStyle w:val="5"/>
        <w:spacing w:before="120" w:after="120"/>
        <w:ind w:firstLine="480"/>
        <w:rPr>
          <w:color w:val="000000" w:themeColor="text1"/>
        </w:rPr>
      </w:pPr>
      <w:r>
        <w:rPr>
          <w:rFonts w:hint="eastAsia"/>
          <w:color w:val="000000" w:themeColor="text1"/>
        </w:rPr>
        <w:t>1.1</w:t>
      </w:r>
      <w:r>
        <w:rPr>
          <w:color w:val="000000" w:themeColor="text1"/>
        </w:rPr>
        <w:t>结构化数据存储</w:t>
      </w:r>
      <w:bookmarkEnd w:id="381"/>
    </w:p>
    <w:p>
      <w:pPr>
        <w:pStyle w:val="6"/>
        <w:spacing w:before="120" w:after="120"/>
        <w:ind w:firstLine="480"/>
        <w:rPr>
          <w:color w:val="000000" w:themeColor="text1"/>
        </w:rPr>
      </w:pPr>
      <w:bookmarkStart w:id="382" w:name="_Toc519946908"/>
      <w:bookmarkStart w:id="383" w:name="_Toc521830727"/>
      <w:bookmarkStart w:id="384" w:name="_Toc520798435"/>
      <w:r>
        <w:rPr>
          <w:rFonts w:hint="eastAsia"/>
          <w:color w:val="000000" w:themeColor="text1"/>
        </w:rPr>
        <w:t>1.1</w:t>
      </w:r>
      <w:r>
        <w:rPr>
          <w:color w:val="000000" w:themeColor="text1"/>
        </w:rPr>
        <w:t>.1结构化数据存储容量计算</w:t>
      </w:r>
      <w:bookmarkEnd w:id="382"/>
      <w:bookmarkEnd w:id="383"/>
      <w:bookmarkEnd w:id="384"/>
    </w:p>
    <w:p>
      <w:pPr>
        <w:ind w:firstLine="480"/>
        <w:rPr>
          <w:color w:val="000000" w:themeColor="text1"/>
        </w:rPr>
      </w:pPr>
      <w:r>
        <w:rPr>
          <w:color w:val="000000" w:themeColor="text1"/>
        </w:rPr>
        <w:t>本次需要存储数据包括：车辆结构化数据（现有+新增）、人像结构化数据、视频萃取结构化数据、特征信息采集设备记录数据：</w:t>
      </w:r>
    </w:p>
    <w:p>
      <w:pPr>
        <w:ind w:firstLine="480"/>
        <w:rPr>
          <w:color w:val="000000" w:themeColor="text1"/>
        </w:rPr>
      </w:pPr>
      <w:r>
        <w:rPr>
          <w:color w:val="000000" w:themeColor="text1"/>
        </w:rPr>
        <w:t>总数据量=车辆结构化数据(现有+新增）+人像结构化数据(现有+新增+预留）+视频萃取结构化+特征信息采集设备记录数据=</w:t>
      </w:r>
      <w:r>
        <w:rPr>
          <w:rFonts w:hint="eastAsia"/>
          <w:color w:val="000000" w:themeColor="text1"/>
        </w:rPr>
        <w:t>402.54</w:t>
      </w:r>
      <w:r>
        <w:rPr>
          <w:color w:val="000000" w:themeColor="text1"/>
        </w:rPr>
        <w:t>+1</w:t>
      </w:r>
      <w:r>
        <w:rPr>
          <w:rFonts w:hint="eastAsia"/>
          <w:color w:val="000000" w:themeColor="text1"/>
        </w:rPr>
        <w:t>81.63</w:t>
      </w:r>
      <w:r>
        <w:rPr>
          <w:color w:val="000000" w:themeColor="text1"/>
        </w:rPr>
        <w:t>+</w:t>
      </w:r>
      <w:r>
        <w:rPr>
          <w:rFonts w:hint="eastAsia"/>
          <w:color w:val="000000" w:themeColor="text1"/>
        </w:rPr>
        <w:t>205.31</w:t>
      </w:r>
      <w:r>
        <w:rPr>
          <w:color w:val="000000" w:themeColor="text1"/>
        </w:rPr>
        <w:t>+3467.56=4257.04亿条；</w:t>
      </w:r>
    </w:p>
    <w:p>
      <w:pPr>
        <w:rPr>
          <w:color w:val="000000" w:themeColor="text1"/>
        </w:rPr>
      </w:pPr>
      <w:r>
        <w:rPr>
          <w:color w:val="000000" w:themeColor="text1"/>
        </w:rPr>
        <w:t>总存储容量=车辆结构化数据(现有+新增）+人像结构化数据(现有+新增+预留）+视频萃取结构化数据+特征信息采集设备记录数据=</w:t>
      </w:r>
      <w:r>
        <w:rPr>
          <w:rFonts w:hint="eastAsia"/>
          <w:color w:val="000000" w:themeColor="text1"/>
        </w:rPr>
        <w:t>112.47</w:t>
      </w:r>
      <w:r>
        <w:rPr>
          <w:color w:val="000000" w:themeColor="text1"/>
        </w:rPr>
        <w:t>+</w:t>
      </w:r>
      <w:r>
        <w:rPr>
          <w:rFonts w:hint="eastAsia"/>
          <w:color w:val="000000" w:themeColor="text1"/>
        </w:rPr>
        <w:t>50.74</w:t>
      </w:r>
      <w:r>
        <w:rPr>
          <w:color w:val="000000" w:themeColor="text1"/>
        </w:rPr>
        <w:t>+5</w:t>
      </w:r>
      <w:r>
        <w:rPr>
          <w:rFonts w:hint="eastAsia"/>
          <w:color w:val="000000" w:themeColor="text1"/>
        </w:rPr>
        <w:t>7.36</w:t>
      </w:r>
      <w:r>
        <w:rPr>
          <w:color w:val="000000" w:themeColor="text1"/>
        </w:rPr>
        <w:t>+</w:t>
      </w:r>
      <w:r>
        <w:rPr>
          <w:rFonts w:hint="eastAsia"/>
          <w:color w:val="000000" w:themeColor="text1"/>
        </w:rPr>
        <w:t>161.35</w:t>
      </w:r>
      <w:r>
        <w:rPr>
          <w:color w:val="000000" w:themeColor="text1"/>
        </w:rPr>
        <w:t>=</w:t>
      </w:r>
      <w:r>
        <w:rPr>
          <w:rFonts w:hint="eastAsia"/>
          <w:color w:val="000000" w:themeColor="text1"/>
        </w:rPr>
        <w:t>381.92</w:t>
      </w:r>
      <w:r>
        <w:rPr>
          <w:color w:val="000000" w:themeColor="text1"/>
        </w:rPr>
        <w:t>TB</w:t>
      </w:r>
      <w:r>
        <w:rPr>
          <w:rFonts w:hint="eastAsia"/>
          <w:color w:val="000000" w:themeColor="text1"/>
        </w:rPr>
        <w:t>。（数据存储时间为1.5年，</w:t>
      </w:r>
      <w:r>
        <w:rPr>
          <w:color w:val="000000" w:themeColor="text1"/>
        </w:rPr>
        <w:t>如若存储容量不够需免费自行补足</w:t>
      </w:r>
      <w:r>
        <w:rPr>
          <w:rFonts w:hint="eastAsia"/>
          <w:color w:val="000000" w:themeColor="text1"/>
        </w:rPr>
        <w:t>。）</w:t>
      </w:r>
    </w:p>
    <w:tbl>
      <w:tblPr>
        <w:tblStyle w:val="53"/>
        <w:tblW w:w="9312" w:type="dxa"/>
        <w:jc w:val="center"/>
        <w:tblInd w:w="4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1560"/>
        <w:gridCol w:w="1417"/>
        <w:gridCol w:w="1559"/>
        <w:gridCol w:w="1233"/>
        <w:gridCol w:w="12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2268" w:type="dxa"/>
            <w:vAlign w:val="center"/>
          </w:tcPr>
          <w:p>
            <w:pPr>
              <w:spacing w:line="300" w:lineRule="exact"/>
              <w:jc w:val="center"/>
              <w:rPr>
                <w:rFonts w:ascii="仿宋_GB2312"/>
                <w:b/>
                <w:color w:val="000000" w:themeColor="text1"/>
                <w:szCs w:val="21"/>
              </w:rPr>
            </w:pPr>
            <w:r>
              <w:rPr>
                <w:rFonts w:hint="eastAsia" w:ascii="仿宋_GB2312"/>
                <w:b/>
                <w:color w:val="000000" w:themeColor="text1"/>
                <w:szCs w:val="21"/>
              </w:rPr>
              <w:t>类别</w:t>
            </w:r>
          </w:p>
        </w:tc>
        <w:tc>
          <w:tcPr>
            <w:tcW w:w="1560" w:type="dxa"/>
            <w:vAlign w:val="center"/>
          </w:tcPr>
          <w:p>
            <w:pPr>
              <w:spacing w:line="300" w:lineRule="exact"/>
              <w:jc w:val="center"/>
              <w:rPr>
                <w:rFonts w:ascii="仿宋_GB2312"/>
                <w:b/>
                <w:color w:val="000000" w:themeColor="text1"/>
                <w:szCs w:val="21"/>
              </w:rPr>
            </w:pPr>
            <w:r>
              <w:rPr>
                <w:rFonts w:hint="eastAsia" w:ascii="仿宋_GB2312"/>
                <w:b/>
                <w:color w:val="000000" w:themeColor="text1"/>
                <w:szCs w:val="21"/>
              </w:rPr>
              <w:t>车辆结构化数据</w:t>
            </w:r>
          </w:p>
        </w:tc>
        <w:tc>
          <w:tcPr>
            <w:tcW w:w="1417" w:type="dxa"/>
            <w:vAlign w:val="center"/>
          </w:tcPr>
          <w:p>
            <w:pPr>
              <w:spacing w:line="300" w:lineRule="exact"/>
              <w:jc w:val="center"/>
              <w:rPr>
                <w:rFonts w:ascii="仿宋_GB2312"/>
                <w:b/>
                <w:color w:val="000000" w:themeColor="text1"/>
                <w:szCs w:val="21"/>
              </w:rPr>
            </w:pPr>
            <w:r>
              <w:rPr>
                <w:rFonts w:hint="eastAsia" w:ascii="仿宋_GB2312"/>
                <w:b/>
                <w:color w:val="000000" w:themeColor="text1"/>
                <w:szCs w:val="21"/>
              </w:rPr>
              <w:t>人像结构化数据</w:t>
            </w:r>
          </w:p>
        </w:tc>
        <w:tc>
          <w:tcPr>
            <w:tcW w:w="1559" w:type="dxa"/>
            <w:vAlign w:val="center"/>
          </w:tcPr>
          <w:p>
            <w:pPr>
              <w:spacing w:line="300" w:lineRule="exact"/>
              <w:jc w:val="center"/>
              <w:rPr>
                <w:rFonts w:ascii="仿宋_GB2312"/>
                <w:b/>
                <w:color w:val="000000" w:themeColor="text1"/>
                <w:szCs w:val="21"/>
              </w:rPr>
            </w:pPr>
            <w:r>
              <w:rPr>
                <w:rFonts w:hint="eastAsia" w:ascii="仿宋_GB2312"/>
                <w:b/>
                <w:color w:val="000000" w:themeColor="text1"/>
                <w:szCs w:val="21"/>
              </w:rPr>
              <w:t>视频萃取结构化数据</w:t>
            </w:r>
          </w:p>
        </w:tc>
        <w:tc>
          <w:tcPr>
            <w:tcW w:w="1233" w:type="dxa"/>
            <w:vAlign w:val="center"/>
          </w:tcPr>
          <w:p>
            <w:pPr>
              <w:spacing w:line="300" w:lineRule="exact"/>
              <w:jc w:val="center"/>
              <w:rPr>
                <w:rFonts w:ascii="仿宋_GB2312"/>
                <w:b/>
                <w:color w:val="000000" w:themeColor="text1"/>
                <w:szCs w:val="21"/>
              </w:rPr>
            </w:pPr>
            <w:r>
              <w:rPr>
                <w:rFonts w:hint="eastAsia" w:ascii="仿宋_GB2312"/>
                <w:b/>
                <w:color w:val="000000" w:themeColor="text1"/>
                <w:szCs w:val="21"/>
              </w:rPr>
              <w:t>MAC</w:t>
            </w:r>
          </w:p>
        </w:tc>
        <w:tc>
          <w:tcPr>
            <w:tcW w:w="1275" w:type="dxa"/>
            <w:vAlign w:val="center"/>
          </w:tcPr>
          <w:p>
            <w:pPr>
              <w:spacing w:line="300" w:lineRule="exact"/>
              <w:jc w:val="center"/>
              <w:rPr>
                <w:rFonts w:ascii="仿宋_GB2312"/>
                <w:b/>
                <w:color w:val="000000" w:themeColor="text1"/>
                <w:szCs w:val="21"/>
              </w:rPr>
            </w:pPr>
            <w:r>
              <w:rPr>
                <w:rFonts w:hint="eastAsia" w:ascii="仿宋_GB2312"/>
                <w:b/>
                <w:color w:val="000000" w:themeColor="text1"/>
                <w:szCs w:val="21"/>
              </w:rPr>
              <w:t>总量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2268" w:type="dxa"/>
            <w:vAlign w:val="center"/>
          </w:tcPr>
          <w:p>
            <w:pPr>
              <w:spacing w:line="300" w:lineRule="exact"/>
              <w:jc w:val="center"/>
              <w:rPr>
                <w:rFonts w:ascii="仿宋_GB2312"/>
                <w:color w:val="000000" w:themeColor="text1"/>
                <w:szCs w:val="21"/>
              </w:rPr>
            </w:pPr>
            <w:r>
              <w:rPr>
                <w:rFonts w:hint="eastAsia" w:ascii="仿宋_GB2312"/>
                <w:color w:val="000000" w:themeColor="text1"/>
                <w:szCs w:val="21"/>
              </w:rPr>
              <w:t>总新增条数（亿条）</w:t>
            </w:r>
          </w:p>
        </w:tc>
        <w:tc>
          <w:tcPr>
            <w:tcW w:w="1560" w:type="dxa"/>
            <w:vAlign w:val="center"/>
          </w:tcPr>
          <w:p>
            <w:pPr>
              <w:spacing w:line="300" w:lineRule="exact"/>
              <w:jc w:val="center"/>
              <w:rPr>
                <w:rFonts w:ascii="仿宋_GB2312"/>
                <w:color w:val="000000" w:themeColor="text1"/>
                <w:szCs w:val="21"/>
              </w:rPr>
            </w:pPr>
            <w:r>
              <w:rPr>
                <w:rFonts w:hint="eastAsia" w:ascii="仿宋_GB2312"/>
                <w:color w:val="000000" w:themeColor="text1"/>
                <w:szCs w:val="21"/>
              </w:rPr>
              <w:t>402.54</w:t>
            </w:r>
          </w:p>
        </w:tc>
        <w:tc>
          <w:tcPr>
            <w:tcW w:w="1417" w:type="dxa"/>
            <w:vAlign w:val="center"/>
          </w:tcPr>
          <w:p>
            <w:pPr>
              <w:spacing w:line="300" w:lineRule="exact"/>
              <w:jc w:val="center"/>
              <w:rPr>
                <w:rFonts w:ascii="仿宋_GB2312"/>
                <w:color w:val="000000" w:themeColor="text1"/>
                <w:szCs w:val="21"/>
              </w:rPr>
            </w:pPr>
            <w:r>
              <w:rPr>
                <w:rFonts w:hint="eastAsia" w:ascii="仿宋_GB2312"/>
                <w:color w:val="000000" w:themeColor="text1"/>
                <w:szCs w:val="21"/>
              </w:rPr>
              <w:t>181.63</w:t>
            </w:r>
          </w:p>
        </w:tc>
        <w:tc>
          <w:tcPr>
            <w:tcW w:w="1559" w:type="dxa"/>
            <w:vAlign w:val="center"/>
          </w:tcPr>
          <w:p>
            <w:pPr>
              <w:spacing w:line="300" w:lineRule="exact"/>
              <w:jc w:val="center"/>
              <w:rPr>
                <w:rFonts w:ascii="仿宋_GB2312"/>
                <w:color w:val="000000" w:themeColor="text1"/>
                <w:szCs w:val="21"/>
              </w:rPr>
            </w:pPr>
            <w:r>
              <w:rPr>
                <w:rFonts w:hint="eastAsia" w:ascii="仿宋_GB2312"/>
                <w:color w:val="000000" w:themeColor="text1"/>
                <w:szCs w:val="21"/>
              </w:rPr>
              <w:t>205.31</w:t>
            </w:r>
          </w:p>
        </w:tc>
        <w:tc>
          <w:tcPr>
            <w:tcW w:w="1233" w:type="dxa"/>
            <w:vAlign w:val="center"/>
          </w:tcPr>
          <w:p>
            <w:pPr>
              <w:spacing w:line="300" w:lineRule="exact"/>
              <w:jc w:val="center"/>
              <w:rPr>
                <w:rFonts w:ascii="仿宋_GB2312"/>
                <w:color w:val="000000" w:themeColor="text1"/>
                <w:szCs w:val="21"/>
              </w:rPr>
            </w:pPr>
            <w:r>
              <w:rPr>
                <w:rFonts w:hint="eastAsia" w:ascii="仿宋_GB2312"/>
                <w:color w:val="000000" w:themeColor="text1"/>
                <w:szCs w:val="21"/>
              </w:rPr>
              <w:t>3467.56</w:t>
            </w:r>
          </w:p>
        </w:tc>
        <w:tc>
          <w:tcPr>
            <w:tcW w:w="1275" w:type="dxa"/>
            <w:vAlign w:val="center"/>
          </w:tcPr>
          <w:p>
            <w:pPr>
              <w:spacing w:line="300" w:lineRule="exact"/>
              <w:jc w:val="center"/>
              <w:rPr>
                <w:rFonts w:ascii="仿宋_GB2312"/>
                <w:color w:val="000000" w:themeColor="text1"/>
                <w:szCs w:val="21"/>
              </w:rPr>
            </w:pPr>
            <w:r>
              <w:rPr>
                <w:rFonts w:hint="eastAsia" w:ascii="仿宋_GB2312"/>
                <w:color w:val="000000" w:themeColor="text1"/>
                <w:szCs w:val="21"/>
              </w:rPr>
              <w:t>4257.04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2268" w:type="dxa"/>
            <w:vAlign w:val="center"/>
          </w:tcPr>
          <w:p>
            <w:pPr>
              <w:spacing w:line="300" w:lineRule="exact"/>
              <w:jc w:val="center"/>
              <w:rPr>
                <w:rFonts w:ascii="仿宋_GB2312"/>
                <w:color w:val="000000" w:themeColor="text1"/>
                <w:szCs w:val="21"/>
              </w:rPr>
            </w:pPr>
            <w:r>
              <w:rPr>
                <w:rFonts w:hint="eastAsia" w:ascii="仿宋_GB2312"/>
                <w:color w:val="000000" w:themeColor="text1"/>
                <w:szCs w:val="21"/>
              </w:rPr>
              <w:t>总新增容量（TB）</w:t>
            </w:r>
          </w:p>
        </w:tc>
        <w:tc>
          <w:tcPr>
            <w:tcW w:w="1560" w:type="dxa"/>
            <w:vAlign w:val="center"/>
          </w:tcPr>
          <w:p>
            <w:pPr>
              <w:spacing w:line="300" w:lineRule="exact"/>
              <w:jc w:val="center"/>
              <w:rPr>
                <w:rFonts w:ascii="仿宋_GB2312"/>
                <w:color w:val="000000" w:themeColor="text1"/>
                <w:szCs w:val="21"/>
              </w:rPr>
            </w:pPr>
            <w:r>
              <w:rPr>
                <w:rFonts w:hint="eastAsia" w:ascii="仿宋_GB2312"/>
                <w:color w:val="000000" w:themeColor="text1"/>
                <w:szCs w:val="21"/>
              </w:rPr>
              <w:t>112.47</w:t>
            </w:r>
          </w:p>
        </w:tc>
        <w:tc>
          <w:tcPr>
            <w:tcW w:w="1417" w:type="dxa"/>
            <w:vAlign w:val="center"/>
          </w:tcPr>
          <w:p>
            <w:pPr>
              <w:spacing w:line="300" w:lineRule="exact"/>
              <w:jc w:val="center"/>
              <w:rPr>
                <w:rFonts w:ascii="仿宋_GB2312"/>
                <w:color w:val="000000" w:themeColor="text1"/>
                <w:szCs w:val="21"/>
              </w:rPr>
            </w:pPr>
            <w:r>
              <w:rPr>
                <w:rFonts w:hint="eastAsia" w:ascii="仿宋_GB2312"/>
                <w:color w:val="000000" w:themeColor="text1"/>
                <w:szCs w:val="21"/>
              </w:rPr>
              <w:t>50.74</w:t>
            </w:r>
          </w:p>
        </w:tc>
        <w:tc>
          <w:tcPr>
            <w:tcW w:w="1559" w:type="dxa"/>
            <w:vAlign w:val="center"/>
          </w:tcPr>
          <w:p>
            <w:pPr>
              <w:spacing w:line="300" w:lineRule="exact"/>
              <w:jc w:val="center"/>
              <w:rPr>
                <w:rFonts w:ascii="仿宋_GB2312"/>
                <w:color w:val="000000" w:themeColor="text1"/>
                <w:szCs w:val="21"/>
              </w:rPr>
            </w:pPr>
            <w:r>
              <w:rPr>
                <w:rFonts w:hint="eastAsia" w:ascii="仿宋_GB2312"/>
                <w:color w:val="000000" w:themeColor="text1"/>
                <w:szCs w:val="21"/>
              </w:rPr>
              <w:t>57.36</w:t>
            </w:r>
          </w:p>
        </w:tc>
        <w:tc>
          <w:tcPr>
            <w:tcW w:w="1233" w:type="dxa"/>
            <w:vAlign w:val="center"/>
          </w:tcPr>
          <w:p>
            <w:pPr>
              <w:spacing w:line="300" w:lineRule="exact"/>
              <w:jc w:val="center"/>
              <w:rPr>
                <w:rFonts w:ascii="仿宋_GB2312"/>
                <w:color w:val="000000" w:themeColor="text1"/>
                <w:szCs w:val="21"/>
              </w:rPr>
            </w:pPr>
            <w:r>
              <w:rPr>
                <w:rFonts w:hint="eastAsia" w:ascii="仿宋_GB2312"/>
                <w:color w:val="000000" w:themeColor="text1"/>
                <w:szCs w:val="21"/>
              </w:rPr>
              <w:t>161.35</w:t>
            </w:r>
          </w:p>
        </w:tc>
        <w:tc>
          <w:tcPr>
            <w:tcW w:w="1275" w:type="dxa"/>
            <w:vAlign w:val="center"/>
          </w:tcPr>
          <w:p>
            <w:pPr>
              <w:spacing w:line="300" w:lineRule="exact"/>
              <w:jc w:val="center"/>
              <w:rPr>
                <w:rFonts w:ascii="仿宋_GB2312"/>
                <w:color w:val="000000" w:themeColor="text1"/>
                <w:szCs w:val="21"/>
              </w:rPr>
            </w:pPr>
            <w:r>
              <w:rPr>
                <w:rFonts w:hint="eastAsia" w:ascii="仿宋_GB2312"/>
                <w:color w:val="000000" w:themeColor="text1"/>
                <w:szCs w:val="21"/>
              </w:rPr>
              <w:t>381.92</w:t>
            </w:r>
          </w:p>
        </w:tc>
      </w:tr>
    </w:tbl>
    <w:p>
      <w:pPr>
        <w:snapToGrid w:val="0"/>
        <w:jc w:val="center"/>
        <w:rPr>
          <w:rFonts w:ascii="宋体" w:hAnsi="宋体"/>
          <w:color w:val="000000" w:themeColor="text1"/>
        </w:rPr>
      </w:pPr>
      <w:bookmarkStart w:id="385" w:name="_Toc521830728"/>
      <w:r>
        <w:rPr>
          <w:rFonts w:hint="eastAsia" w:ascii="宋体" w:hAnsi="宋体"/>
          <w:color w:val="000000" w:themeColor="text1"/>
        </w:rPr>
        <w:t>表 1 结构化数据存储容量统计表</w:t>
      </w:r>
    </w:p>
    <w:p>
      <w:pPr>
        <w:pStyle w:val="6"/>
        <w:spacing w:before="120" w:after="120"/>
        <w:ind w:firstLine="480"/>
        <w:rPr>
          <w:color w:val="000000" w:themeColor="text1"/>
        </w:rPr>
      </w:pPr>
      <w:r>
        <w:rPr>
          <w:rFonts w:hint="eastAsia"/>
          <w:color w:val="000000" w:themeColor="text1"/>
        </w:rPr>
        <w:t>1.</w:t>
      </w:r>
      <w:r>
        <w:rPr>
          <w:color w:val="000000" w:themeColor="text1"/>
        </w:rPr>
        <w:t>1.</w:t>
      </w:r>
      <w:r>
        <w:rPr>
          <w:rFonts w:hint="eastAsia"/>
          <w:color w:val="000000" w:themeColor="text1"/>
        </w:rPr>
        <w:t>2</w:t>
      </w:r>
      <w:r>
        <w:rPr>
          <w:color w:val="000000" w:themeColor="text1"/>
        </w:rPr>
        <w:t>结构化数据存储性能要求</w:t>
      </w:r>
      <w:bookmarkEnd w:id="385"/>
    </w:p>
    <w:p>
      <w:pPr>
        <w:ind w:firstLine="480"/>
        <w:rPr>
          <w:color w:val="000000" w:themeColor="text1"/>
        </w:rPr>
      </w:pPr>
      <w:r>
        <w:rPr>
          <w:color w:val="000000" w:themeColor="text1"/>
        </w:rPr>
        <w:t>数据仓库配置应包含硬件、软件及相应配套交换机，应满足数据与应用解耦，应满足本项目所需存储、计算需求。</w:t>
      </w:r>
      <w:r>
        <w:rPr>
          <w:rFonts w:hint="eastAsia"/>
          <w:color w:val="000000" w:themeColor="text1"/>
        </w:rPr>
        <w:t>结构化数据存储服务器部署如图：</w:t>
      </w:r>
    </w:p>
    <w:p>
      <w:pPr>
        <w:ind w:firstLine="480"/>
        <w:rPr>
          <w:color w:val="000000" w:themeColor="text1"/>
        </w:rPr>
      </w:pPr>
    </w:p>
    <w:p>
      <w:pPr>
        <w:ind w:firstLine="480"/>
        <w:rPr>
          <w:color w:val="000000" w:themeColor="text1"/>
        </w:rPr>
      </w:pPr>
    </w:p>
    <w:p>
      <w:pPr>
        <w:ind w:firstLine="480"/>
        <w:rPr>
          <w:color w:val="000000" w:themeColor="text1"/>
        </w:rPr>
      </w:pPr>
    </w:p>
    <w:p>
      <w:pPr>
        <w:jc w:val="center"/>
        <w:rPr>
          <w:color w:val="000000" w:themeColor="text1"/>
        </w:rPr>
      </w:pPr>
      <w:r>
        <w:rPr>
          <w:color w:val="000000" w:themeColor="text1"/>
        </w:rPr>
        <w:drawing>
          <wp:inline distT="0" distB="0" distL="0" distR="0">
            <wp:extent cx="3709035" cy="1983740"/>
            <wp:effectExtent l="0" t="0" r="0" b="0"/>
            <wp:docPr id="1" name="对象 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9073288" cy="5472608"/>
                      <a:chOff x="731640" y="476672"/>
                      <a:chExt cx="9073288" cy="5472608"/>
                    </a:xfrm>
                  </a:grpSpPr>
                  <a:grpSp>
                    <a:nvGrpSpPr>
                      <a:cNvPr id="49" name="组合 48"/>
                      <a:cNvGrpSpPr/>
                    </a:nvGrpSpPr>
                    <a:grpSpPr>
                      <a:xfrm>
                        <a:off x="731640" y="476672"/>
                        <a:ext cx="9073288" cy="5472608"/>
                        <a:chOff x="731640" y="476672"/>
                        <a:chExt cx="9073288" cy="5472608"/>
                      </a:xfrm>
                    </a:grpSpPr>
                    <a:pic>
                      <a:nvPicPr>
                        <a:cNvPr id="3" name="图片 2"/>
                        <a:cNvPicPr/>
                      </a:nvPicPr>
                      <a: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a:blipFill>
                      <a:spPr>
                        <a:xfrm>
                          <a:off x="2179305" y="2010663"/>
                          <a:ext cx="1617038" cy="369027"/>
                        </a:xfrm>
                        <a:prstGeom prst="rect">
                          <a:avLst/>
                        </a:prstGeom>
                      </a:spPr>
                    </a:pic>
                    <a:pic>
                      <a:nvPicPr>
                        <a:cNvPr id="4" name="图片 3"/>
                        <a:cNvPicPr/>
                      </a:nvPicPr>
                      <a: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a:blipFill>
                      <a:spPr>
                        <a:xfrm>
                          <a:off x="5164832" y="2036620"/>
                          <a:ext cx="1617038" cy="369027"/>
                        </a:xfrm>
                        <a:prstGeom prst="rect">
                          <a:avLst/>
                        </a:prstGeom>
                      </a:spPr>
                    </a:pic>
                    <a:cxnSp>
                      <a:nvCxnSpPr>
                        <a:cNvPr id="5" name="直接连接符 4"/>
                        <a:cNvCxnSpPr>
                          <a:stCxn id="3" idx="3"/>
                        </a:cNvCxnSpPr>
                      </a:nvCxnSpPr>
                      <a:spPr>
                        <a:xfrm flipV="1">
                          <a:off x="3796343" y="2195176"/>
                          <a:ext cx="1470254" cy="1"/>
                        </a:xfrm>
                        <a:prstGeom prst="line">
                          <a:avLst/>
                        </a:prstGeom>
                      </a:spPr>
                      <a:style>
                        <a:lnRef idx="1">
                          <a:schemeClr val="accent1"/>
                        </a:lnRef>
                        <a:fillRef idx="0">
                          <a:schemeClr val="accent1"/>
                        </a:fillRef>
                        <a:effectRef idx="0">
                          <a:schemeClr val="accent1"/>
                        </a:effectRef>
                        <a:fontRef idx="minor">
                          <a:schemeClr val="tx1"/>
                        </a:fontRef>
                      </a:style>
                    </a:cxnSp>
                    <a:cxnSp>
                      <a:nvCxnSpPr>
                        <a:cNvPr id="6" name="直接连接符 5"/>
                        <a:cNvCxnSpPr/>
                      </a:nvCxnSpPr>
                      <a:spPr>
                        <a:xfrm>
                          <a:off x="3779575" y="2348880"/>
                          <a:ext cx="1368489" cy="0"/>
                        </a:xfrm>
                        <a:prstGeom prst="line">
                          <a:avLst/>
                        </a:prstGeom>
                      </a:spPr>
                      <a:style>
                        <a:lnRef idx="1">
                          <a:schemeClr val="accent1"/>
                        </a:lnRef>
                        <a:fillRef idx="0">
                          <a:schemeClr val="accent1"/>
                        </a:fillRef>
                        <a:effectRef idx="0">
                          <a:schemeClr val="accent1"/>
                        </a:effectRef>
                        <a:fontRef idx="minor">
                          <a:schemeClr val="tx1"/>
                        </a:fontRef>
                      </a:style>
                    </a:cxnSp>
                    <a:sp>
                      <a:nvSpPr>
                        <a:cNvPr id="7" name="椭圆 6"/>
                        <a:cNvSpPr/>
                      </a:nvSpPr>
                      <a:spPr>
                        <a:xfrm>
                          <a:off x="4251565" y="2036620"/>
                          <a:ext cx="212254" cy="528284"/>
                        </a:xfrm>
                        <a:prstGeom prst="ellipse">
                          <a:avLst/>
                        </a:prstGeom>
                        <a:noFill/>
                        <a:ln w="6350"/>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8" name="直接连接符 7"/>
                        <a:cNvCxnSpPr/>
                      </a:nvCxnSpPr>
                      <a:spPr>
                        <a:xfrm>
                          <a:off x="7430143" y="2195176"/>
                          <a:ext cx="562237"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9" name="直接连接符 8"/>
                        <a:cNvCxnSpPr/>
                      </a:nvCxnSpPr>
                      <a:spPr>
                        <a:xfrm>
                          <a:off x="7430143" y="2379690"/>
                          <a:ext cx="548763" cy="0"/>
                        </a:xfrm>
                        <a:prstGeom prst="line">
                          <a:avLst/>
                        </a:prstGeom>
                      </a:spPr>
                      <a:style>
                        <a:lnRef idx="1">
                          <a:schemeClr val="accent1"/>
                        </a:lnRef>
                        <a:fillRef idx="0">
                          <a:schemeClr val="accent1"/>
                        </a:fillRef>
                        <a:effectRef idx="0">
                          <a:schemeClr val="accent1"/>
                        </a:effectRef>
                        <a:fontRef idx="minor">
                          <a:schemeClr val="tx1"/>
                        </a:fontRef>
                      </a:style>
                    </a:cxnSp>
                    <a:sp>
                      <a:nvSpPr>
                        <a:cNvPr id="10" name="椭圆 9"/>
                        <a:cNvSpPr/>
                      </a:nvSpPr>
                      <a:spPr>
                        <a:xfrm>
                          <a:off x="7704524" y="2036620"/>
                          <a:ext cx="45719" cy="528284"/>
                        </a:xfrm>
                        <a:prstGeom prst="ellipse">
                          <a:avLst/>
                        </a:prstGeom>
                        <a:noFill/>
                        <a:ln w="9525"/>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流程图: 终止 15"/>
                        <a:cNvSpPr/>
                      </a:nvSpPr>
                      <a:spPr>
                        <a:xfrm>
                          <a:off x="1187624" y="3465004"/>
                          <a:ext cx="6791282" cy="108012"/>
                        </a:xfrm>
                        <a:prstGeom prst="flowChartTerminator">
                          <a:avLst/>
                        </a:prstGeom>
                        <a:solidFill>
                          <a:schemeClr val="tx2">
                            <a:lumMod val="60000"/>
                            <a:lumOff val="40000"/>
                          </a:schemeClr>
                        </a:solidFill>
                        <a:ln>
                          <a:noFill/>
                        </a:ln>
                        <a:scene3d>
                          <a:camera prst="orthographicFront"/>
                          <a:lightRig rig="threePt" dir="t"/>
                        </a:scene3d>
                        <a:sp3d>
                          <a:bevelT/>
                        </a:sp3d>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9" name="直接连接符 18"/>
                        <a:cNvCxnSpPr>
                          <a:stCxn id="3" idx="2"/>
                        </a:cNvCxnSpPr>
                      </a:nvCxnSpPr>
                      <a:spPr>
                        <a:xfrm>
                          <a:off x="2987824" y="2379690"/>
                          <a:ext cx="0" cy="1085314"/>
                        </a:xfrm>
                        <a:prstGeom prst="line">
                          <a:avLst/>
                        </a:prstGeom>
                      </a:spPr>
                      <a:style>
                        <a:lnRef idx="1">
                          <a:schemeClr val="accent1"/>
                        </a:lnRef>
                        <a:fillRef idx="0">
                          <a:schemeClr val="accent1"/>
                        </a:fillRef>
                        <a:effectRef idx="0">
                          <a:schemeClr val="accent1"/>
                        </a:effectRef>
                        <a:fontRef idx="minor">
                          <a:schemeClr val="tx1"/>
                        </a:fontRef>
                      </a:style>
                    </a:cxnSp>
                    <a:cxnSp>
                      <a:nvCxnSpPr>
                        <a:cNvPr id="21" name="直接连接符 20"/>
                        <a:cNvCxnSpPr>
                          <a:stCxn id="4" idx="2"/>
                        </a:cNvCxnSpPr>
                      </a:nvCxnSpPr>
                      <a:spPr>
                        <a:xfrm>
                          <a:off x="5973351" y="2405647"/>
                          <a:ext cx="0" cy="1059357"/>
                        </a:xfrm>
                        <a:prstGeom prst="line">
                          <a:avLst/>
                        </a:prstGeom>
                      </a:spPr>
                      <a:style>
                        <a:lnRef idx="1">
                          <a:schemeClr val="accent1"/>
                        </a:lnRef>
                        <a:fillRef idx="0">
                          <a:schemeClr val="accent1"/>
                        </a:fillRef>
                        <a:effectRef idx="0">
                          <a:schemeClr val="accent1"/>
                        </a:effectRef>
                        <a:fontRef idx="minor">
                          <a:schemeClr val="tx1"/>
                        </a:fontRef>
                      </a:style>
                    </a:cxnSp>
                    <a:cxnSp>
                      <a:nvCxnSpPr>
                        <a:cNvPr id="25" name="肘形连接符 24"/>
                        <a:cNvCxnSpPr/>
                      </a:nvCxnSpPr>
                      <a:spPr>
                        <a:xfrm rot="16200000" flipV="1">
                          <a:off x="1530011" y="4157817"/>
                          <a:ext cx="1169604" cy="1"/>
                        </a:xfrm>
                        <a:prstGeom prst="bentConnector3">
                          <a:avLst/>
                        </a:prstGeom>
                      </a:spPr>
                      <a:style>
                        <a:lnRef idx="1">
                          <a:schemeClr val="accent1"/>
                        </a:lnRef>
                        <a:fillRef idx="0">
                          <a:schemeClr val="accent1"/>
                        </a:fillRef>
                        <a:effectRef idx="0">
                          <a:schemeClr val="accent1"/>
                        </a:effectRef>
                        <a:fontRef idx="minor">
                          <a:schemeClr val="tx1"/>
                        </a:fontRef>
                      </a:style>
                    </a:cxnSp>
                    <a:cxnSp>
                      <a:nvCxnSpPr>
                        <a:cNvPr id="27" name="直接连接符 26"/>
                        <a:cNvCxnSpPr/>
                      </a:nvCxnSpPr>
                      <a:spPr>
                        <a:xfrm flipH="1" flipV="1">
                          <a:off x="3214479" y="3573016"/>
                          <a:ext cx="1" cy="1169604"/>
                        </a:xfrm>
                        <a:prstGeom prst="line">
                          <a:avLst/>
                        </a:prstGeom>
                      </a:spPr>
                      <a:style>
                        <a:lnRef idx="1">
                          <a:schemeClr val="accent1"/>
                        </a:lnRef>
                        <a:fillRef idx="0">
                          <a:schemeClr val="accent1"/>
                        </a:fillRef>
                        <a:effectRef idx="0">
                          <a:schemeClr val="accent1"/>
                        </a:effectRef>
                        <a:fontRef idx="minor">
                          <a:schemeClr val="tx1"/>
                        </a:fontRef>
                      </a:style>
                    </a:cxnSp>
                    <a:cxnSp>
                      <a:nvCxnSpPr>
                        <a:cNvPr id="29" name="直接连接符 28"/>
                        <a:cNvCxnSpPr/>
                      </a:nvCxnSpPr>
                      <a:spPr>
                        <a:xfrm flipH="1" flipV="1">
                          <a:off x="4275052" y="3639753"/>
                          <a:ext cx="1" cy="1119979"/>
                        </a:xfrm>
                        <a:prstGeom prst="line">
                          <a:avLst/>
                        </a:prstGeom>
                      </a:spPr>
                      <a:style>
                        <a:lnRef idx="1">
                          <a:schemeClr val="accent1"/>
                        </a:lnRef>
                        <a:fillRef idx="0">
                          <a:schemeClr val="accent1"/>
                        </a:fillRef>
                        <a:effectRef idx="0">
                          <a:schemeClr val="accent1"/>
                        </a:effectRef>
                        <a:fontRef idx="minor">
                          <a:schemeClr val="tx1"/>
                        </a:fontRef>
                      </a:style>
                    </a:cxnSp>
                    <a:cxnSp>
                      <a:nvCxnSpPr>
                        <a:cNvPr id="31" name="直接连接符 30"/>
                        <a:cNvCxnSpPr/>
                      </a:nvCxnSpPr>
                      <a:spPr>
                        <a:xfrm flipH="1" flipV="1">
                          <a:off x="5355691" y="3573015"/>
                          <a:ext cx="1" cy="1169605"/>
                        </a:xfrm>
                        <a:prstGeom prst="line">
                          <a:avLst/>
                        </a:prstGeom>
                      </a:spPr>
                      <a:style>
                        <a:lnRef idx="1">
                          <a:schemeClr val="accent1"/>
                        </a:lnRef>
                        <a:fillRef idx="0">
                          <a:schemeClr val="accent1"/>
                        </a:fillRef>
                        <a:effectRef idx="0">
                          <a:schemeClr val="accent1"/>
                        </a:effectRef>
                        <a:fontRef idx="minor">
                          <a:schemeClr val="tx1"/>
                        </a:fontRef>
                      </a:style>
                    </a:cxnSp>
                    <a:cxnSp>
                      <a:nvCxnSpPr>
                        <a:cNvPr id="33" name="直接连接符 32"/>
                        <a:cNvCxnSpPr/>
                      </a:nvCxnSpPr>
                      <a:spPr>
                        <a:xfrm flipH="1" flipV="1">
                          <a:off x="6363284" y="3573016"/>
                          <a:ext cx="1" cy="1169604"/>
                        </a:xfrm>
                        <a:prstGeom prst="line">
                          <a:avLst/>
                        </a:prstGeom>
                      </a:spPr>
                      <a:style>
                        <a:lnRef idx="1">
                          <a:schemeClr val="accent1"/>
                        </a:lnRef>
                        <a:fillRef idx="0">
                          <a:schemeClr val="accent1"/>
                        </a:fillRef>
                        <a:effectRef idx="0">
                          <a:schemeClr val="accent1"/>
                        </a:effectRef>
                        <a:fontRef idx="minor">
                          <a:schemeClr val="tx1"/>
                        </a:fontRef>
                      </a:style>
                    </a:cxnSp>
                    <a:cxnSp>
                      <a:nvCxnSpPr>
                        <a:cNvPr id="35" name="直接连接符 34"/>
                        <a:cNvCxnSpPr/>
                      </a:nvCxnSpPr>
                      <a:spPr>
                        <a:xfrm flipH="1" flipV="1">
                          <a:off x="7430142" y="3622641"/>
                          <a:ext cx="1" cy="1119979"/>
                        </a:xfrm>
                        <a:prstGeom prst="line">
                          <a:avLst/>
                        </a:prstGeom>
                      </a:spPr>
                      <a:style>
                        <a:lnRef idx="1">
                          <a:schemeClr val="accent1"/>
                        </a:lnRef>
                        <a:fillRef idx="0">
                          <a:schemeClr val="accent1"/>
                        </a:fillRef>
                        <a:effectRef idx="0">
                          <a:schemeClr val="accent1"/>
                        </a:effectRef>
                        <a:fontRef idx="minor">
                          <a:schemeClr val="tx1"/>
                        </a:fontRef>
                      </a:style>
                    </a:cxnSp>
                    <a:pic>
                      <a:nvPicPr>
                        <a:cNvPr id="36" name="图片 35"/>
                        <a:cNvPicPr>
                          <a:picLocks noChangeAspect="1"/>
                        </a:cNvPicPr>
                      </a:nvPicPr>
                      <a:blipFill>
                        <a:blip r:embed="rId48" cstate="print">
                          <a:extLst>
                            <a:ext uri="{28A0092B-C50C-407E-A947-70E740481C1C}">
                              <a14:useLocalDpi xmlns:a14="http://schemas.microsoft.com/office/drawing/2010/main" val="0"/>
                            </a:ext>
                          </a:extLst>
                        </a:blip>
                        <a:stretch>
                          <a:fillRect/>
                        </a:stretch>
                      </a:blipFill>
                      <a:spPr>
                        <a:xfrm>
                          <a:off x="1183401" y="4725144"/>
                          <a:ext cx="1545978" cy="635107"/>
                        </a:xfrm>
                        <a:prstGeom prst="rect">
                          <a:avLst/>
                        </a:prstGeom>
                      </a:spPr>
                    </a:pic>
                    <a:pic>
                      <a:nvPicPr>
                        <a:cNvPr id="37" name="图片 36"/>
                        <a:cNvPicPr>
                          <a:picLocks noChangeAspect="1"/>
                        </a:cNvPicPr>
                      </a:nvPicPr>
                      <a:blipFill>
                        <a:blip r:embed="rId48" cstate="print">
                          <a:extLst>
                            <a:ext uri="{28A0092B-C50C-407E-A947-70E740481C1C}">
                              <a14:useLocalDpi xmlns:a14="http://schemas.microsoft.com/office/drawing/2010/main" val="0"/>
                            </a:ext>
                          </a:extLst>
                        </a:blip>
                        <a:stretch>
                          <a:fillRect/>
                        </a:stretch>
                      </a:blipFill>
                      <a:spPr>
                        <a:xfrm>
                          <a:off x="2449958" y="4797152"/>
                          <a:ext cx="1545978" cy="635107"/>
                        </a:xfrm>
                        <a:prstGeom prst="rect">
                          <a:avLst/>
                        </a:prstGeom>
                      </a:spPr>
                    </a:pic>
                    <a:pic>
                      <a:nvPicPr>
                        <a:cNvPr id="38" name="图片 37"/>
                        <a:cNvPicPr>
                          <a:picLocks noChangeAspect="1"/>
                        </a:cNvPicPr>
                      </a:nvPicPr>
                      <a:blipFill>
                        <a:blip r:embed="rId48" cstate="print">
                          <a:extLst>
                            <a:ext uri="{28A0092B-C50C-407E-A947-70E740481C1C}">
                              <a14:useLocalDpi xmlns:a14="http://schemas.microsoft.com/office/drawing/2010/main" val="0"/>
                            </a:ext>
                          </a:extLst>
                        </a:blip>
                        <a:stretch>
                          <a:fillRect/>
                        </a:stretch>
                      </a:blipFill>
                      <a:spPr>
                        <a:xfrm>
                          <a:off x="3779912" y="4797152"/>
                          <a:ext cx="1545978" cy="635107"/>
                        </a:xfrm>
                        <a:prstGeom prst="rect">
                          <a:avLst/>
                        </a:prstGeom>
                      </a:spPr>
                    </a:pic>
                    <a:pic>
                      <a:nvPicPr>
                        <a:cNvPr id="39" name="图片 38"/>
                        <a:cNvPicPr>
                          <a:picLocks noChangeAspect="1"/>
                        </a:cNvPicPr>
                      </a:nvPicPr>
                      <a:blipFill>
                        <a:blip r:embed="rId48" cstate="print">
                          <a:extLst>
                            <a:ext uri="{28A0092B-C50C-407E-A947-70E740481C1C}">
                              <a14:useLocalDpi xmlns:a14="http://schemas.microsoft.com/office/drawing/2010/main" val="0"/>
                            </a:ext>
                          </a:extLst>
                        </a:blip>
                        <a:stretch>
                          <a:fillRect/>
                        </a:stretch>
                      </a:blipFill>
                      <a:spPr>
                        <a:xfrm>
                          <a:off x="4970238" y="4797152"/>
                          <a:ext cx="1545978" cy="635107"/>
                        </a:xfrm>
                        <a:prstGeom prst="rect">
                          <a:avLst/>
                        </a:prstGeom>
                      </a:spPr>
                    </a:pic>
                    <a:pic>
                      <a:nvPicPr>
                        <a:cNvPr id="40" name="图片 39"/>
                        <a:cNvPicPr>
                          <a:picLocks noChangeAspect="1"/>
                        </a:cNvPicPr>
                      </a:nvPicPr>
                      <a:blipFill>
                        <a:blip r:embed="rId48" cstate="print">
                          <a:extLst>
                            <a:ext uri="{28A0092B-C50C-407E-A947-70E740481C1C}">
                              <a14:useLocalDpi xmlns:a14="http://schemas.microsoft.com/office/drawing/2010/main" val="0"/>
                            </a:ext>
                          </a:extLst>
                        </a:blip>
                        <a:stretch>
                          <a:fillRect/>
                        </a:stretch>
                      </a:blipFill>
                      <a:spPr>
                        <a:xfrm>
                          <a:off x="6050358" y="4797152"/>
                          <a:ext cx="1545978" cy="635107"/>
                        </a:xfrm>
                        <a:prstGeom prst="rect">
                          <a:avLst/>
                        </a:prstGeom>
                      </a:spPr>
                    </a:pic>
                    <a:pic>
                      <a:nvPicPr>
                        <a:cNvPr id="41" name="图片 40"/>
                        <a:cNvPicPr>
                          <a:picLocks noChangeAspect="1"/>
                        </a:cNvPicPr>
                      </a:nvPicPr>
                      <a:blipFill>
                        <a:blip r:embed="rId48" cstate="print">
                          <a:extLst>
                            <a:ext uri="{28A0092B-C50C-407E-A947-70E740481C1C}">
                              <a14:useLocalDpi xmlns:a14="http://schemas.microsoft.com/office/drawing/2010/main" val="0"/>
                            </a:ext>
                          </a:extLst>
                        </a:blip>
                        <a:stretch>
                          <a:fillRect/>
                        </a:stretch>
                      </a:blipFill>
                      <a:spPr>
                        <a:xfrm>
                          <a:off x="7130478" y="4797152"/>
                          <a:ext cx="1545978" cy="635107"/>
                        </a:xfrm>
                        <a:prstGeom prst="rect">
                          <a:avLst/>
                        </a:prstGeom>
                      </a:spPr>
                    </a:pic>
                    <a:sp>
                      <a:nvSpPr>
                        <a:cNvPr id="42" name="矩形 41"/>
                        <a:cNvSpPr/>
                      </a:nvSpPr>
                      <a:spPr>
                        <a:xfrm>
                          <a:off x="971600" y="4581128"/>
                          <a:ext cx="7776864" cy="1368152"/>
                        </a:xfrm>
                        <a:prstGeom prst="rect">
                          <a:avLst/>
                        </a:prstGeom>
                        <a:noFill/>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矩形 42"/>
                        <a:cNvSpPr/>
                      </a:nvSpPr>
                      <a:spPr>
                        <a:xfrm>
                          <a:off x="2123728" y="5579948"/>
                          <a:ext cx="6460423" cy="369332"/>
                        </a:xfrm>
                        <a:prstGeom prst="rect">
                          <a:avLst/>
                        </a:prstGeom>
                      </a:spPr>
                      <a:txSp>
                        <a:txBody>
                          <a:bodyPr wrap="none">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zh-CN" altLang="en-US" b="1" dirty="0" smtClean="0"/>
                              <a:t>结构化存储服务器集群（实时处理、离线处理、在线查询等）</a:t>
                            </a:r>
                            <a:endParaRPr lang="zh-CN" altLang="en-US" b="1" dirty="0"/>
                          </a:p>
                        </a:txBody>
                        <a:useSpRect/>
                      </a:txSp>
                    </a:sp>
                    <a:sp>
                      <a:nvSpPr>
                        <a:cNvPr id="44" name="TextBox 43"/>
                        <a:cNvSpPr txBox="1"/>
                      </a:nvSpPr>
                      <a:spPr>
                        <a:xfrm>
                          <a:off x="731640" y="1931430"/>
                          <a:ext cx="1791284" cy="369332"/>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zh-CN" altLang="en-US" dirty="0" smtClean="0">
                                <a:latin typeface="微软雅黑" panose="020B0503020204020204" pitchFamily="2" charset="-122"/>
                                <a:ea typeface="微软雅黑" panose="020B0503020204020204" pitchFamily="2" charset="-122"/>
                              </a:rPr>
                              <a:t>接入交换机</a:t>
                            </a:r>
                            <a:endParaRPr lang="zh-CN" altLang="en-US" dirty="0">
                              <a:latin typeface="微软雅黑" panose="020B0503020204020204" pitchFamily="2" charset="-122"/>
                              <a:ea typeface="微软雅黑" panose="020B0503020204020204" pitchFamily="2" charset="-122"/>
                            </a:endParaRPr>
                          </a:p>
                        </a:txBody>
                        <a:useSpRect/>
                      </a:txSp>
                    </a:sp>
                    <a:sp>
                      <a:nvSpPr>
                        <a:cNvPr id="45" name="TextBox 44"/>
                        <a:cNvSpPr txBox="1"/>
                      </a:nvSpPr>
                      <a:spPr>
                        <a:xfrm>
                          <a:off x="8013644" y="2101498"/>
                          <a:ext cx="1791284" cy="369332"/>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zh-CN" altLang="en-US" dirty="0">
                                <a:latin typeface="微软雅黑" panose="020B0503020204020204" pitchFamily="2" charset="-122"/>
                                <a:ea typeface="微软雅黑" panose="020B0503020204020204" pitchFamily="2" charset="-122"/>
                              </a:rPr>
                              <a:t>堆叠</a:t>
                            </a:r>
                            <a:endParaRPr lang="zh-CN" altLang="en-US" dirty="0">
                              <a:latin typeface="微软雅黑" panose="020B0503020204020204" pitchFamily="2" charset="-122"/>
                              <a:ea typeface="微软雅黑" panose="020B0503020204020204" pitchFamily="2" charset="-122"/>
                            </a:endParaRPr>
                          </a:p>
                        </a:txBody>
                        <a:useSpRect/>
                      </a:txSp>
                    </a:sp>
                    <a:sp>
                      <a:nvSpPr>
                        <a:cNvPr id="46" name="TextBox 45"/>
                        <a:cNvSpPr txBox="1"/>
                      </a:nvSpPr>
                      <a:spPr>
                        <a:xfrm>
                          <a:off x="4347579" y="3334344"/>
                          <a:ext cx="1008112" cy="369332"/>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dirty="0" smtClean="0">
                                <a:latin typeface="微软雅黑" panose="020B0503020204020204" pitchFamily="2" charset="-122"/>
                                <a:ea typeface="微软雅黑" panose="020B0503020204020204" pitchFamily="2" charset="-122"/>
                              </a:rPr>
                              <a:t>LAN</a:t>
                            </a:r>
                            <a:endParaRPr lang="zh-CN" altLang="en-US" dirty="0">
                              <a:latin typeface="微软雅黑" panose="020B0503020204020204" pitchFamily="2" charset="-122"/>
                              <a:ea typeface="微软雅黑" panose="020B0503020204020204" pitchFamily="2" charset="-122"/>
                            </a:endParaRPr>
                          </a:p>
                        </a:txBody>
                        <a:useSpRect/>
                      </a:txSp>
                    </a:sp>
                    <a:pic>
                      <a:nvPicPr>
                        <a:cNvPr id="47" name="图片 46"/>
                        <a:cNvPicPr/>
                      </a:nvPicPr>
                      <a:blipFill>
                        <a:blip r:embed="rId49">
                          <a:clrChange>
                            <a:clrFrom>
                              <a:srgbClr val="FFFFFF"/>
                            </a:clrFrom>
                            <a:clrTo>
                              <a:srgbClr val="FFFFFF">
                                <a:alpha val="0"/>
                              </a:srgbClr>
                            </a:clrTo>
                          </a:clrChange>
                        </a:blip>
                        <a:stretch>
                          <a:fillRect/>
                        </a:stretch>
                      </a:blipFill>
                      <a:spPr>
                        <a:xfrm>
                          <a:off x="3059832" y="476672"/>
                          <a:ext cx="1111964" cy="728398"/>
                        </a:xfrm>
                        <a:prstGeom prst="rect">
                          <a:avLst/>
                        </a:prstGeom>
                        <a:noFill/>
                        <a:ln w="9525">
                          <a:noFill/>
                        </a:ln>
                      </a:spPr>
                    </a:pic>
                    <a:pic>
                      <a:nvPicPr>
                        <a:cNvPr id="48" name="图片 47"/>
                        <a:cNvPicPr/>
                      </a:nvPicPr>
                      <a:blipFill>
                        <a:blip r:embed="rId49">
                          <a:clrChange>
                            <a:clrFrom>
                              <a:srgbClr val="FFFFFF"/>
                            </a:clrFrom>
                            <a:clrTo>
                              <a:srgbClr val="FFFFFF">
                                <a:alpha val="0"/>
                              </a:srgbClr>
                            </a:clrTo>
                          </a:clrChange>
                        </a:blip>
                        <a:stretch>
                          <a:fillRect/>
                        </a:stretch>
                      </a:blipFill>
                      <a:spPr>
                        <a:xfrm>
                          <a:off x="4640876" y="476672"/>
                          <a:ext cx="1111964" cy="728398"/>
                        </a:xfrm>
                        <a:prstGeom prst="rect">
                          <a:avLst/>
                        </a:prstGeom>
                        <a:noFill/>
                        <a:ln w="9525">
                          <a:noFill/>
                        </a:ln>
                      </a:spPr>
                    </a:pic>
                    <a:cxnSp>
                      <a:nvCxnSpPr>
                        <a:cNvPr id="50" name="直接连接符 49"/>
                        <a:cNvCxnSpPr>
                          <a:stCxn id="3" idx="0"/>
                          <a:endCxn id="47" idx="2"/>
                        </a:cNvCxnSpPr>
                      </a:nvCxnSpPr>
                      <a:spPr>
                        <a:xfrm flipV="1">
                          <a:off x="2987824" y="1205070"/>
                          <a:ext cx="627990" cy="805593"/>
                        </a:xfrm>
                        <a:prstGeom prst="line">
                          <a:avLst/>
                        </a:prstGeom>
                      </a:spPr>
                      <a:style>
                        <a:lnRef idx="1">
                          <a:schemeClr val="accent1"/>
                        </a:lnRef>
                        <a:fillRef idx="0">
                          <a:schemeClr val="accent1"/>
                        </a:fillRef>
                        <a:effectRef idx="0">
                          <a:schemeClr val="accent1"/>
                        </a:effectRef>
                        <a:fontRef idx="minor">
                          <a:schemeClr val="tx1"/>
                        </a:fontRef>
                      </a:style>
                    </a:cxnSp>
                    <a:cxnSp>
                      <a:nvCxnSpPr>
                        <a:cNvPr id="52" name="直接连接符 51"/>
                        <a:cNvCxnSpPr>
                          <a:stCxn id="3" idx="0"/>
                          <a:endCxn id="48" idx="2"/>
                        </a:cNvCxnSpPr>
                      </a:nvCxnSpPr>
                      <a:spPr>
                        <a:xfrm flipV="1">
                          <a:off x="2987824" y="1205070"/>
                          <a:ext cx="2209034" cy="805593"/>
                        </a:xfrm>
                        <a:prstGeom prst="line">
                          <a:avLst/>
                        </a:prstGeom>
                      </a:spPr>
                      <a:style>
                        <a:lnRef idx="1">
                          <a:schemeClr val="accent1"/>
                        </a:lnRef>
                        <a:fillRef idx="0">
                          <a:schemeClr val="accent1"/>
                        </a:fillRef>
                        <a:effectRef idx="0">
                          <a:schemeClr val="accent1"/>
                        </a:effectRef>
                        <a:fontRef idx="minor">
                          <a:schemeClr val="tx1"/>
                        </a:fontRef>
                      </a:style>
                    </a:cxnSp>
                    <a:cxnSp>
                      <a:nvCxnSpPr>
                        <a:cNvPr id="54" name="直接连接符 53"/>
                        <a:cNvCxnSpPr>
                          <a:stCxn id="47" idx="2"/>
                          <a:endCxn id="4" idx="0"/>
                        </a:cNvCxnSpPr>
                      </a:nvCxnSpPr>
                      <a:spPr>
                        <a:xfrm>
                          <a:off x="3615814" y="1205070"/>
                          <a:ext cx="2357537" cy="831550"/>
                        </a:xfrm>
                        <a:prstGeom prst="line">
                          <a:avLst/>
                        </a:prstGeom>
                      </a:spPr>
                      <a:style>
                        <a:lnRef idx="1">
                          <a:schemeClr val="accent1"/>
                        </a:lnRef>
                        <a:fillRef idx="0">
                          <a:schemeClr val="accent1"/>
                        </a:fillRef>
                        <a:effectRef idx="0">
                          <a:schemeClr val="accent1"/>
                        </a:effectRef>
                        <a:fontRef idx="minor">
                          <a:schemeClr val="tx1"/>
                        </a:fontRef>
                      </a:style>
                    </a:cxnSp>
                    <a:cxnSp>
                      <a:nvCxnSpPr>
                        <a:cNvPr id="56" name="直接连接符 55"/>
                        <a:cNvCxnSpPr>
                          <a:stCxn id="48" idx="2"/>
                          <a:endCxn id="4" idx="0"/>
                        </a:cNvCxnSpPr>
                      </a:nvCxnSpPr>
                      <a:spPr>
                        <a:xfrm>
                          <a:off x="5196858" y="1205070"/>
                          <a:ext cx="776493" cy="831550"/>
                        </a:xfrm>
                        <a:prstGeom prst="line">
                          <a:avLst/>
                        </a:prstGeom>
                      </a:spPr>
                      <a:style>
                        <a:lnRef idx="1">
                          <a:schemeClr val="accent1"/>
                        </a:lnRef>
                        <a:fillRef idx="0">
                          <a:schemeClr val="accent1"/>
                        </a:fillRef>
                        <a:effectRef idx="0">
                          <a:schemeClr val="accent1"/>
                        </a:effectRef>
                        <a:fontRef idx="minor">
                          <a:schemeClr val="tx1"/>
                        </a:fontRef>
                      </a:style>
                    </a:cxnSp>
                    <a:cxnSp>
                      <a:nvCxnSpPr>
                        <a:cNvPr id="58" name="直接连接符 57"/>
                        <a:cNvCxnSpPr/>
                      </a:nvCxnSpPr>
                      <a:spPr>
                        <a:xfrm>
                          <a:off x="4171796" y="692696"/>
                          <a:ext cx="469080"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60" name="直接连接符 59"/>
                        <a:cNvCxnSpPr>
                          <a:stCxn id="47" idx="3"/>
                          <a:endCxn id="48" idx="1"/>
                        </a:cNvCxnSpPr>
                      </a:nvCxnSpPr>
                      <a:spPr>
                        <a:xfrm>
                          <a:off x="4171796" y="840871"/>
                          <a:ext cx="469080" cy="0"/>
                        </a:xfrm>
                        <a:prstGeom prst="line">
                          <a:avLst/>
                        </a:prstGeom>
                      </a:spPr>
                      <a:style>
                        <a:lnRef idx="1">
                          <a:schemeClr val="accent1"/>
                        </a:lnRef>
                        <a:fillRef idx="0">
                          <a:schemeClr val="accent1"/>
                        </a:fillRef>
                        <a:effectRef idx="0">
                          <a:schemeClr val="accent1"/>
                        </a:effectRef>
                        <a:fontRef idx="minor">
                          <a:schemeClr val="tx1"/>
                        </a:fontRef>
                      </a:style>
                    </a:cxnSp>
                    <a:sp>
                      <a:nvSpPr>
                        <a:cNvPr id="61" name="椭圆 60"/>
                        <a:cNvSpPr/>
                      </a:nvSpPr>
                      <a:spPr>
                        <a:xfrm>
                          <a:off x="4357692" y="476672"/>
                          <a:ext cx="48644" cy="504056"/>
                        </a:xfrm>
                        <a:prstGeom prst="ellipse">
                          <a:avLst/>
                        </a:prstGeom>
                        <a:noFill/>
                        <a:ln w="6350"/>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2" name="TextBox 61"/>
                        <a:cNvSpPr txBox="1"/>
                      </a:nvSpPr>
                      <a:spPr>
                        <a:xfrm>
                          <a:off x="1196540" y="692696"/>
                          <a:ext cx="1791284" cy="369332"/>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zh-CN" altLang="en-US" dirty="0">
                                <a:latin typeface="微软雅黑" panose="020B0503020204020204" pitchFamily="2" charset="-122"/>
                                <a:ea typeface="微软雅黑" panose="020B0503020204020204" pitchFamily="2" charset="-122"/>
                              </a:rPr>
                              <a:t>核心</a:t>
                            </a:r>
                            <a:r>
                              <a:rPr lang="zh-CN" altLang="en-US" dirty="0" smtClean="0">
                                <a:latin typeface="微软雅黑" panose="020B0503020204020204" pitchFamily="2" charset="-122"/>
                                <a:ea typeface="微软雅黑" panose="020B0503020204020204" pitchFamily="2" charset="-122"/>
                              </a:rPr>
                              <a:t>交换机</a:t>
                            </a:r>
                            <a:endParaRPr lang="zh-CN" altLang="en-US" dirty="0">
                              <a:latin typeface="微软雅黑" panose="020B0503020204020204" pitchFamily="2" charset="-122"/>
                              <a:ea typeface="微软雅黑" panose="020B0503020204020204" pitchFamily="2" charset="-122"/>
                            </a:endParaRPr>
                          </a:p>
                        </a:txBody>
                        <a:useSpRect/>
                      </a:txSp>
                    </a:sp>
                  </a:grpSp>
                </lc:lockedCanvas>
              </a:graphicData>
            </a:graphic>
          </wp:inline>
        </w:drawing>
      </w:r>
    </w:p>
    <w:p>
      <w:pPr>
        <w:snapToGrid w:val="0"/>
        <w:jc w:val="center"/>
        <w:rPr>
          <w:rFonts w:ascii="宋体" w:hAnsi="宋体"/>
          <w:color w:val="000000" w:themeColor="text1"/>
        </w:rPr>
      </w:pPr>
      <w:r>
        <w:rPr>
          <w:rFonts w:hint="eastAsia" w:ascii="宋体" w:hAnsi="宋体"/>
          <w:color w:val="000000" w:themeColor="text1"/>
        </w:rPr>
        <w:t>图 1 结构化数据存储服务器部署拓扑图</w:t>
      </w:r>
    </w:p>
    <w:p>
      <w:pPr>
        <w:ind w:firstLine="480"/>
        <w:rPr>
          <w:color w:val="000000" w:themeColor="text1"/>
        </w:rPr>
      </w:pPr>
      <w:r>
        <w:rPr>
          <w:color w:val="000000" w:themeColor="text1"/>
        </w:rPr>
        <w:t>总数据库容量：结构化数据大小或数量（条）×日均通行量×天数=4257.04亿条或</w:t>
      </w:r>
      <w:r>
        <w:rPr>
          <w:rFonts w:hint="eastAsia"/>
          <w:color w:val="000000" w:themeColor="text1"/>
        </w:rPr>
        <w:t>381.92</w:t>
      </w:r>
      <w:r>
        <w:rPr>
          <w:color w:val="000000" w:themeColor="text1"/>
        </w:rPr>
        <w:t>TB</w:t>
      </w:r>
    </w:p>
    <w:p>
      <w:pPr>
        <w:ind w:firstLine="480"/>
        <w:rPr>
          <w:color w:val="000000" w:themeColor="text1"/>
        </w:rPr>
      </w:pPr>
      <w:r>
        <w:rPr>
          <w:color w:val="000000" w:themeColor="text1"/>
        </w:rPr>
        <w:t>1）实时处理能力</w:t>
      </w:r>
    </w:p>
    <w:p>
      <w:pPr>
        <w:ind w:firstLine="480"/>
        <w:rPr>
          <w:color w:val="000000" w:themeColor="text1"/>
        </w:rPr>
      </w:pPr>
      <w:r>
        <w:rPr>
          <w:color w:val="000000" w:themeColor="text1"/>
        </w:rPr>
        <w:t>前端采集系统、多维物联感知系统或解析中心产生结构化数据，能够持续调用采集接口写入数据，支持独立或共用的接口。</w:t>
      </w:r>
    </w:p>
    <w:p>
      <w:pPr>
        <w:ind w:firstLine="480"/>
        <w:rPr>
          <w:color w:val="000000" w:themeColor="text1"/>
        </w:rPr>
      </w:pPr>
      <w:r>
        <w:rPr>
          <w:color w:val="000000" w:themeColor="text1"/>
        </w:rPr>
        <w:t>支持多个线程、进程和服务器节点之间执行并行计算，支持横向扩展节点增加计算能力。</w:t>
      </w:r>
    </w:p>
    <w:p>
      <w:pPr>
        <w:ind w:firstLine="480"/>
        <w:rPr>
          <w:color w:val="000000" w:themeColor="text1"/>
        </w:rPr>
      </w:pPr>
      <w:r>
        <w:rPr>
          <w:color w:val="000000" w:themeColor="text1"/>
        </w:rPr>
        <w:t>支持多种数据源的流数据输入。</w:t>
      </w:r>
    </w:p>
    <w:p>
      <w:pPr>
        <w:ind w:firstLine="480"/>
        <w:rPr>
          <w:color w:val="000000" w:themeColor="text1"/>
        </w:rPr>
      </w:pPr>
      <w:r>
        <w:rPr>
          <w:color w:val="000000" w:themeColor="text1"/>
        </w:rPr>
        <w:t>支持百亿级数据多维分析实时计算，满足百亿级以上数据的实时查询、比对、关联碰撞需求。</w:t>
      </w:r>
    </w:p>
    <w:p>
      <w:pPr>
        <w:ind w:firstLine="480"/>
        <w:rPr>
          <w:color w:val="000000" w:themeColor="text1"/>
        </w:rPr>
      </w:pPr>
      <w:r>
        <w:rPr>
          <w:color w:val="000000" w:themeColor="text1"/>
        </w:rPr>
        <w:t>支持行、列存储能力以应对不同使用场景，同时支持分布式文件系统存储能力。</w:t>
      </w:r>
    </w:p>
    <w:p>
      <w:pPr>
        <w:ind w:firstLine="480"/>
        <w:rPr>
          <w:color w:val="000000" w:themeColor="text1"/>
        </w:rPr>
      </w:pPr>
      <w:r>
        <w:rPr>
          <w:color w:val="000000" w:themeColor="text1"/>
        </w:rPr>
        <w:t>支持通过标准SQL实时分析海量数据。</w:t>
      </w:r>
    </w:p>
    <w:p>
      <w:pPr>
        <w:ind w:firstLine="480"/>
        <w:rPr>
          <w:color w:val="000000" w:themeColor="text1"/>
        </w:rPr>
      </w:pPr>
      <w:r>
        <w:rPr>
          <w:color w:val="000000" w:themeColor="text1"/>
        </w:rPr>
        <w:t>支持数据缓存机制，以应对数据源端业务数据产生速度会突然出现峰值的情形。</w:t>
      </w:r>
    </w:p>
    <w:p>
      <w:pPr>
        <w:ind w:firstLine="480"/>
        <w:rPr>
          <w:color w:val="000000" w:themeColor="text1"/>
        </w:rPr>
      </w:pPr>
      <w:r>
        <w:rPr>
          <w:color w:val="000000" w:themeColor="text1"/>
        </w:rPr>
        <w:t>支持网络流、文件、数据库表、IOT等格式的数据源。对于文件数据源，可以处理增量数据的加载。</w:t>
      </w:r>
    </w:p>
    <w:p>
      <w:pPr>
        <w:ind w:firstLine="480"/>
        <w:rPr>
          <w:color w:val="000000" w:themeColor="text1"/>
        </w:rPr>
      </w:pPr>
      <w:r>
        <w:rPr>
          <w:rFonts w:hint="eastAsia"/>
          <w:color w:val="000000" w:themeColor="text1"/>
        </w:rPr>
        <w:t>结构化数据实时采集及处理对应</w:t>
      </w:r>
      <w:r>
        <w:rPr>
          <w:color w:val="000000" w:themeColor="text1"/>
        </w:rPr>
        <w:t>带宽需求：≥</w:t>
      </w:r>
      <w:r>
        <w:rPr>
          <w:rFonts w:hint="eastAsia"/>
          <w:color w:val="000000" w:themeColor="text1"/>
        </w:rPr>
        <w:t>100</w:t>
      </w:r>
      <w:r>
        <w:rPr>
          <w:color w:val="000000" w:themeColor="text1"/>
        </w:rPr>
        <w:t>M</w:t>
      </w:r>
      <w:r>
        <w:rPr>
          <w:rFonts w:hint="eastAsia"/>
          <w:color w:val="000000" w:themeColor="text1"/>
        </w:rPr>
        <w:t>B/S</w:t>
      </w:r>
      <w:r>
        <w:rPr>
          <w:color w:val="000000" w:themeColor="text1"/>
        </w:rPr>
        <w:t>。</w:t>
      </w:r>
    </w:p>
    <w:p>
      <w:pPr>
        <w:ind w:firstLine="480"/>
        <w:rPr>
          <w:color w:val="000000" w:themeColor="text1"/>
        </w:rPr>
      </w:pPr>
      <w:r>
        <w:rPr>
          <w:color w:val="000000" w:themeColor="text1"/>
        </w:rPr>
        <w:t>2）离线处理能力</w:t>
      </w:r>
    </w:p>
    <w:p>
      <w:pPr>
        <w:ind w:firstLine="480"/>
        <w:rPr>
          <w:color w:val="000000" w:themeColor="text1"/>
        </w:rPr>
      </w:pPr>
      <w:r>
        <w:rPr>
          <w:color w:val="000000" w:themeColor="text1"/>
        </w:rPr>
        <w:t>全量的数据采集存入基础数据库，按照业务的技战法模型，需要对增量数据，结合历史数据，加工分析。</w:t>
      </w:r>
    </w:p>
    <w:p>
      <w:pPr>
        <w:ind w:firstLine="480"/>
        <w:rPr>
          <w:color w:val="000000" w:themeColor="text1"/>
        </w:rPr>
      </w:pPr>
      <w:r>
        <w:rPr>
          <w:color w:val="000000" w:themeColor="text1"/>
        </w:rPr>
        <w:t>根据数据规模，需满足对应的离线分析计算，满足技战法模型运算需求，比如视频研判，要对可疑人群分析、车辆轨迹分析等，需要对一段时间数据持续的离线分析。</w:t>
      </w:r>
    </w:p>
    <w:p>
      <w:pPr>
        <w:ind w:firstLine="480"/>
        <w:rPr>
          <w:color w:val="000000" w:themeColor="text1"/>
        </w:rPr>
      </w:pPr>
      <w:r>
        <w:rPr>
          <w:color w:val="000000" w:themeColor="text1"/>
        </w:rPr>
        <w:t>数据仓库</w:t>
      </w:r>
      <w:r>
        <w:rPr>
          <w:rFonts w:hint="eastAsia"/>
          <w:color w:val="000000" w:themeColor="text1"/>
        </w:rPr>
        <w:t>配置</w:t>
      </w:r>
      <w:r>
        <w:rPr>
          <w:color w:val="000000" w:themeColor="text1"/>
        </w:rPr>
        <w:t>不低于全量数据的</w:t>
      </w:r>
      <w:r>
        <w:rPr>
          <w:rFonts w:hint="eastAsia"/>
          <w:color w:val="000000" w:themeColor="text1"/>
        </w:rPr>
        <w:t>50</w:t>
      </w:r>
      <w:r>
        <w:rPr>
          <w:color w:val="000000" w:themeColor="text1"/>
        </w:rPr>
        <w:t>%</w:t>
      </w:r>
      <w:r>
        <w:rPr>
          <w:rFonts w:hint="eastAsia"/>
          <w:color w:val="000000" w:themeColor="text1"/>
        </w:rPr>
        <w:t>同步</w:t>
      </w:r>
      <w:r>
        <w:rPr>
          <w:color w:val="000000" w:themeColor="text1"/>
        </w:rPr>
        <w:t>离线分析</w:t>
      </w:r>
      <w:r>
        <w:rPr>
          <w:rFonts w:hint="eastAsia"/>
          <w:color w:val="000000" w:themeColor="text1"/>
        </w:rPr>
        <w:t>能力，离线分析数据量不低于全量数据的100%</w:t>
      </w:r>
      <w:r>
        <w:rPr>
          <w:color w:val="000000" w:themeColor="text1"/>
        </w:rPr>
        <w:t>。</w:t>
      </w:r>
    </w:p>
    <w:p>
      <w:pPr>
        <w:ind w:firstLine="480"/>
        <w:rPr>
          <w:color w:val="000000" w:themeColor="text1"/>
        </w:rPr>
      </w:pPr>
      <w:r>
        <w:rPr>
          <w:color w:val="000000" w:themeColor="text1"/>
        </w:rPr>
        <w:t>3）快速查询能力</w:t>
      </w:r>
    </w:p>
    <w:p>
      <w:pPr>
        <w:ind w:firstLine="480"/>
        <w:rPr>
          <w:color w:val="000000" w:themeColor="text1"/>
        </w:rPr>
      </w:pPr>
      <w:r>
        <w:rPr>
          <w:color w:val="000000" w:themeColor="text1"/>
        </w:rPr>
        <w:t>需提供快速查询建设能力，可对基础库、专题库等数据进行全文检索，支持准确、模糊、条件等不同的检索模式。</w:t>
      </w:r>
    </w:p>
    <w:p>
      <w:pPr>
        <w:ind w:firstLine="480"/>
        <w:rPr>
          <w:color w:val="000000" w:themeColor="text1"/>
        </w:rPr>
      </w:pPr>
      <w:r>
        <w:rPr>
          <w:color w:val="000000" w:themeColor="text1"/>
        </w:rPr>
        <w:t>数据仓库按照不低于基础库全量数据的100%数据量的查询能力。</w:t>
      </w:r>
    </w:p>
    <w:p>
      <w:pPr>
        <w:ind w:firstLine="480"/>
        <w:rPr>
          <w:color w:val="000000" w:themeColor="text1"/>
        </w:rPr>
      </w:pPr>
      <w:r>
        <w:rPr>
          <w:color w:val="000000" w:themeColor="text1"/>
        </w:rPr>
        <w:t>数据仓库按照不低于基础库全量数据的</w:t>
      </w:r>
      <w:r>
        <w:rPr>
          <w:rFonts w:hint="eastAsia"/>
          <w:color w:val="000000" w:themeColor="text1"/>
        </w:rPr>
        <w:t>50</w:t>
      </w:r>
      <w:r>
        <w:rPr>
          <w:color w:val="000000" w:themeColor="text1"/>
        </w:rPr>
        <w:t>%进行快速查询能力。</w:t>
      </w:r>
    </w:p>
    <w:p>
      <w:pPr>
        <w:ind w:firstLine="480"/>
        <w:rPr>
          <w:color w:val="000000" w:themeColor="text1"/>
        </w:rPr>
      </w:pPr>
      <w:r>
        <w:rPr>
          <w:color w:val="000000" w:themeColor="text1"/>
        </w:rPr>
        <w:t>系统在</w:t>
      </w:r>
      <w:r>
        <w:rPr>
          <w:rFonts w:hint="eastAsia"/>
          <w:color w:val="000000" w:themeColor="text1"/>
        </w:rPr>
        <w:t>2</w:t>
      </w:r>
      <w:r>
        <w:rPr>
          <w:color w:val="000000" w:themeColor="text1"/>
        </w:rPr>
        <w:t>000亿条级数据情况下满足：</w:t>
      </w:r>
    </w:p>
    <w:p>
      <w:pPr>
        <w:ind w:firstLine="480"/>
        <w:rPr>
          <w:color w:val="000000" w:themeColor="text1"/>
        </w:rPr>
      </w:pPr>
      <w:r>
        <w:rPr>
          <w:color w:val="000000" w:themeColor="text1"/>
        </w:rPr>
        <w:t>车牌查询（包括完整车牌号查询、模糊车牌查询）</w:t>
      </w:r>
      <w:r>
        <w:rPr>
          <w:rFonts w:hint="eastAsia"/>
          <w:color w:val="000000" w:themeColor="text1"/>
        </w:rPr>
        <w:t>9</w:t>
      </w:r>
      <w:r>
        <w:rPr>
          <w:color w:val="000000" w:themeColor="text1"/>
        </w:rPr>
        <w:t>秒</w:t>
      </w:r>
      <w:r>
        <w:rPr>
          <w:rFonts w:hint="eastAsia"/>
          <w:color w:val="000000" w:themeColor="text1"/>
        </w:rPr>
        <w:t>内</w:t>
      </w:r>
      <w:r>
        <w:rPr>
          <w:color w:val="000000" w:themeColor="text1"/>
        </w:rPr>
        <w:t>响应；</w:t>
      </w:r>
    </w:p>
    <w:p>
      <w:pPr>
        <w:ind w:firstLine="480"/>
        <w:rPr>
          <w:color w:val="000000" w:themeColor="text1"/>
        </w:rPr>
      </w:pPr>
      <w:r>
        <w:rPr>
          <w:color w:val="000000" w:themeColor="text1"/>
        </w:rPr>
        <w:t>车辆、人像抓拍地点、车身颜色、车辆类型等单项信息查询</w:t>
      </w:r>
      <w:r>
        <w:rPr>
          <w:rFonts w:hint="eastAsia"/>
          <w:color w:val="000000" w:themeColor="text1"/>
        </w:rPr>
        <w:t>9</w:t>
      </w:r>
      <w:r>
        <w:rPr>
          <w:color w:val="000000" w:themeColor="text1"/>
        </w:rPr>
        <w:t>秒</w:t>
      </w:r>
      <w:r>
        <w:rPr>
          <w:rFonts w:hint="eastAsia"/>
          <w:color w:val="000000" w:themeColor="text1"/>
        </w:rPr>
        <w:t>内</w:t>
      </w:r>
      <w:r>
        <w:rPr>
          <w:color w:val="000000" w:themeColor="text1"/>
        </w:rPr>
        <w:t>响应</w:t>
      </w:r>
      <w:r>
        <w:rPr>
          <w:rFonts w:hint="eastAsia"/>
          <w:color w:val="000000" w:themeColor="text1"/>
        </w:rPr>
        <w:t>。</w:t>
      </w:r>
    </w:p>
    <w:p>
      <w:pPr>
        <w:ind w:firstLine="480"/>
        <w:rPr>
          <w:color w:val="000000" w:themeColor="text1"/>
        </w:rPr>
      </w:pPr>
      <w:r>
        <w:rPr>
          <w:color w:val="000000" w:themeColor="text1"/>
        </w:rPr>
        <w:t>4）交互查询能力</w:t>
      </w:r>
    </w:p>
    <w:p>
      <w:pPr>
        <w:ind w:firstLine="480"/>
        <w:rPr>
          <w:color w:val="000000" w:themeColor="text1"/>
        </w:rPr>
      </w:pPr>
      <w:r>
        <w:rPr>
          <w:color w:val="000000" w:themeColor="text1"/>
        </w:rPr>
        <w:t>提供多专题库存储能力、多表联合查询能力，可对专题库进行单表查询、多表查询、多表关联查询等，并支持根据技战法需求实时更新和创建专题库。支持千亿数据秒级检索。</w:t>
      </w:r>
    </w:p>
    <w:p>
      <w:pPr>
        <w:ind w:firstLine="480"/>
        <w:rPr>
          <w:color w:val="000000" w:themeColor="text1"/>
        </w:rPr>
      </w:pPr>
      <w:r>
        <w:rPr>
          <w:color w:val="000000" w:themeColor="text1"/>
        </w:rPr>
        <w:t>数据仓库按照不低于基础库全量数据的</w:t>
      </w:r>
      <w:r>
        <w:rPr>
          <w:rFonts w:hint="eastAsia"/>
          <w:color w:val="000000" w:themeColor="text1"/>
        </w:rPr>
        <w:t>50</w:t>
      </w:r>
      <w:r>
        <w:rPr>
          <w:color w:val="000000" w:themeColor="text1"/>
        </w:rPr>
        <w:t>%进行交互查询能力；</w:t>
      </w:r>
    </w:p>
    <w:p>
      <w:pPr>
        <w:ind w:firstLine="480"/>
        <w:rPr>
          <w:color w:val="000000" w:themeColor="text1"/>
        </w:rPr>
      </w:pPr>
      <w:r>
        <w:rPr>
          <w:color w:val="000000" w:themeColor="text1"/>
        </w:rPr>
        <w:t>支持100亿级数据</w:t>
      </w:r>
      <w:r>
        <w:rPr>
          <w:rFonts w:hint="eastAsia"/>
          <w:color w:val="000000" w:themeColor="text1"/>
        </w:rPr>
        <w:t>量</w:t>
      </w:r>
      <w:r>
        <w:rPr>
          <w:color w:val="000000" w:themeColor="text1"/>
        </w:rPr>
        <w:t>同行分析</w:t>
      </w:r>
      <w:r>
        <w:rPr>
          <w:rFonts w:hint="eastAsia"/>
          <w:color w:val="000000" w:themeColor="text1"/>
        </w:rPr>
        <w:t>2</w:t>
      </w:r>
      <w:r>
        <w:rPr>
          <w:color w:val="000000" w:themeColor="text1"/>
        </w:rPr>
        <w:t>秒</w:t>
      </w:r>
      <w:r>
        <w:rPr>
          <w:rFonts w:hint="eastAsia"/>
          <w:color w:val="000000" w:themeColor="text1"/>
        </w:rPr>
        <w:t>内</w:t>
      </w:r>
      <w:r>
        <w:rPr>
          <w:color w:val="000000" w:themeColor="text1"/>
        </w:rPr>
        <w:t>响应；</w:t>
      </w:r>
    </w:p>
    <w:p>
      <w:pPr>
        <w:ind w:firstLine="480"/>
        <w:rPr>
          <w:color w:val="000000" w:themeColor="text1"/>
        </w:rPr>
      </w:pPr>
      <w:r>
        <w:rPr>
          <w:color w:val="000000" w:themeColor="text1"/>
        </w:rPr>
        <w:t>支持100亿</w:t>
      </w:r>
      <w:r>
        <w:rPr>
          <w:rFonts w:hint="eastAsia"/>
          <w:color w:val="000000" w:themeColor="text1"/>
        </w:rPr>
        <w:t>级</w:t>
      </w:r>
      <w:r>
        <w:rPr>
          <w:color w:val="000000" w:themeColor="text1"/>
        </w:rPr>
        <w:t>数据</w:t>
      </w:r>
      <w:r>
        <w:rPr>
          <w:rFonts w:hint="eastAsia"/>
          <w:color w:val="000000" w:themeColor="text1"/>
        </w:rPr>
        <w:t>量</w:t>
      </w:r>
      <w:r>
        <w:rPr>
          <w:color w:val="000000" w:themeColor="text1"/>
        </w:rPr>
        <w:t>套牌车查询</w:t>
      </w:r>
      <w:r>
        <w:rPr>
          <w:rFonts w:hint="eastAsia"/>
          <w:color w:val="000000" w:themeColor="text1"/>
        </w:rPr>
        <w:t>2</w:t>
      </w:r>
      <w:r>
        <w:rPr>
          <w:color w:val="000000" w:themeColor="text1"/>
        </w:rPr>
        <w:t>秒</w:t>
      </w:r>
      <w:r>
        <w:rPr>
          <w:rFonts w:hint="eastAsia"/>
          <w:color w:val="000000" w:themeColor="text1"/>
        </w:rPr>
        <w:t>内</w:t>
      </w:r>
      <w:r>
        <w:rPr>
          <w:color w:val="000000" w:themeColor="text1"/>
        </w:rPr>
        <w:t>响应。</w:t>
      </w:r>
    </w:p>
    <w:p>
      <w:pPr>
        <w:ind w:firstLine="480"/>
        <w:rPr>
          <w:color w:val="000000" w:themeColor="text1"/>
        </w:rPr>
      </w:pPr>
      <w:r>
        <w:rPr>
          <w:color w:val="000000" w:themeColor="text1"/>
        </w:rPr>
        <w:t>5）标准接口</w:t>
      </w:r>
    </w:p>
    <w:p>
      <w:pPr>
        <w:ind w:firstLine="480"/>
        <w:rPr>
          <w:color w:val="000000" w:themeColor="text1"/>
        </w:rPr>
      </w:pPr>
      <w:r>
        <w:rPr>
          <w:color w:val="000000" w:themeColor="text1"/>
        </w:rPr>
        <w:t>提供根据GA/T1400.4-2017（《公安视频图像信息应用系统第4部分：接口协议要求》）标准采集接口、数据服务接口、级联接口、分析接口功能。</w:t>
      </w:r>
    </w:p>
    <w:p>
      <w:pPr>
        <w:ind w:firstLine="480"/>
        <w:rPr>
          <w:color w:val="000000" w:themeColor="text1"/>
        </w:rPr>
      </w:pPr>
    </w:p>
    <w:p>
      <w:pPr>
        <w:pStyle w:val="4"/>
        <w:ind w:firstLine="562"/>
        <w:rPr>
          <w:color w:val="000000" w:themeColor="text1"/>
        </w:rPr>
      </w:pPr>
      <w:bookmarkStart w:id="386" w:name="_Toc7521693"/>
      <w:bookmarkStart w:id="387" w:name="_Toc8760717"/>
      <w:r>
        <w:rPr>
          <w:rFonts w:hint="eastAsia"/>
          <w:color w:val="000000" w:themeColor="text1"/>
        </w:rPr>
        <w:t>（二）项目清单</w:t>
      </w:r>
      <w:bookmarkEnd w:id="386"/>
      <w:bookmarkEnd w:id="387"/>
    </w:p>
    <w:tbl>
      <w:tblPr>
        <w:tblStyle w:val="53"/>
        <w:tblW w:w="932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62"/>
        <w:gridCol w:w="992"/>
        <w:gridCol w:w="4820"/>
        <w:gridCol w:w="709"/>
        <w:gridCol w:w="708"/>
        <w:gridCol w:w="11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tblHeader/>
        </w:trPr>
        <w:tc>
          <w:tcPr>
            <w:tcW w:w="962" w:type="dxa"/>
            <w:vMerge w:val="restart"/>
            <w:vAlign w:val="center"/>
          </w:tcPr>
          <w:p>
            <w:pPr>
              <w:spacing w:line="300" w:lineRule="exact"/>
              <w:jc w:val="center"/>
              <w:rPr>
                <w:rFonts w:ascii="仿宋_GB2312"/>
                <w:b/>
                <w:bCs/>
                <w:color w:val="000000" w:themeColor="text1"/>
              </w:rPr>
            </w:pPr>
            <w:r>
              <w:rPr>
                <w:rFonts w:hint="eastAsia" w:ascii="仿宋_GB2312"/>
                <w:b/>
                <w:bCs/>
                <w:color w:val="000000" w:themeColor="text1"/>
              </w:rPr>
              <w:t>项目</w:t>
            </w:r>
          </w:p>
        </w:tc>
        <w:tc>
          <w:tcPr>
            <w:tcW w:w="992" w:type="dxa"/>
            <w:vMerge w:val="restart"/>
            <w:vAlign w:val="center"/>
          </w:tcPr>
          <w:p>
            <w:pPr>
              <w:spacing w:line="300" w:lineRule="exact"/>
              <w:jc w:val="center"/>
              <w:rPr>
                <w:rFonts w:ascii="仿宋_GB2312"/>
                <w:b/>
                <w:bCs/>
                <w:color w:val="000000" w:themeColor="text1"/>
              </w:rPr>
            </w:pPr>
            <w:r>
              <w:rPr>
                <w:rFonts w:hint="eastAsia" w:ascii="仿宋_GB2312"/>
                <w:b/>
                <w:bCs/>
                <w:color w:val="000000" w:themeColor="text1"/>
              </w:rPr>
              <w:t>子项目</w:t>
            </w:r>
          </w:p>
        </w:tc>
        <w:tc>
          <w:tcPr>
            <w:tcW w:w="4820" w:type="dxa"/>
            <w:vMerge w:val="restart"/>
            <w:vAlign w:val="center"/>
          </w:tcPr>
          <w:p>
            <w:pPr>
              <w:spacing w:line="300" w:lineRule="exact"/>
              <w:jc w:val="center"/>
              <w:rPr>
                <w:rFonts w:ascii="仿宋_GB2312"/>
                <w:b/>
                <w:bCs/>
                <w:color w:val="000000" w:themeColor="text1"/>
              </w:rPr>
            </w:pPr>
            <w:r>
              <w:rPr>
                <w:rFonts w:hint="eastAsia" w:ascii="仿宋_GB2312"/>
                <w:b/>
                <w:bCs/>
                <w:color w:val="000000" w:themeColor="text1"/>
              </w:rPr>
              <w:t>技术参数要求</w:t>
            </w:r>
          </w:p>
        </w:tc>
        <w:tc>
          <w:tcPr>
            <w:tcW w:w="709" w:type="dxa"/>
            <w:vMerge w:val="restart"/>
            <w:vAlign w:val="center"/>
          </w:tcPr>
          <w:p>
            <w:pPr>
              <w:spacing w:line="300" w:lineRule="exact"/>
              <w:jc w:val="center"/>
              <w:rPr>
                <w:rFonts w:ascii="仿宋_GB2312"/>
                <w:b/>
                <w:bCs/>
                <w:color w:val="000000" w:themeColor="text1"/>
              </w:rPr>
            </w:pPr>
            <w:r>
              <w:rPr>
                <w:rFonts w:hint="eastAsia" w:ascii="仿宋_GB2312"/>
                <w:b/>
                <w:bCs/>
                <w:color w:val="000000" w:themeColor="text1"/>
              </w:rPr>
              <w:t>数量</w:t>
            </w:r>
          </w:p>
        </w:tc>
        <w:tc>
          <w:tcPr>
            <w:tcW w:w="708" w:type="dxa"/>
            <w:vMerge w:val="restart"/>
            <w:vAlign w:val="center"/>
          </w:tcPr>
          <w:p>
            <w:pPr>
              <w:spacing w:line="300" w:lineRule="exact"/>
              <w:jc w:val="center"/>
              <w:rPr>
                <w:rFonts w:ascii="仿宋_GB2312"/>
                <w:b/>
                <w:bCs/>
                <w:color w:val="000000" w:themeColor="text1"/>
              </w:rPr>
            </w:pPr>
            <w:r>
              <w:rPr>
                <w:rFonts w:hint="eastAsia" w:ascii="仿宋_GB2312"/>
                <w:b/>
                <w:bCs/>
                <w:color w:val="000000" w:themeColor="text1"/>
              </w:rPr>
              <w:t>单位</w:t>
            </w:r>
          </w:p>
        </w:tc>
        <w:tc>
          <w:tcPr>
            <w:tcW w:w="1134" w:type="dxa"/>
            <w:vMerge w:val="restart"/>
            <w:vAlign w:val="center"/>
          </w:tcPr>
          <w:p>
            <w:pPr>
              <w:spacing w:line="300" w:lineRule="exact"/>
              <w:jc w:val="center"/>
              <w:rPr>
                <w:rFonts w:ascii="仿宋_GB2312"/>
                <w:b/>
                <w:bCs/>
                <w:color w:val="000000" w:themeColor="text1"/>
              </w:rPr>
            </w:pPr>
            <w:r>
              <w:rPr>
                <w:rFonts w:hint="eastAsia" w:ascii="仿宋_GB2312"/>
                <w:b/>
                <w:bCs/>
                <w:color w:val="000000" w:themeColor="text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tblHeader/>
        </w:trPr>
        <w:tc>
          <w:tcPr>
            <w:tcW w:w="962" w:type="dxa"/>
            <w:vMerge w:val="continue"/>
            <w:vAlign w:val="center"/>
          </w:tcPr>
          <w:p>
            <w:pPr>
              <w:spacing w:line="300" w:lineRule="exact"/>
              <w:rPr>
                <w:rFonts w:ascii="仿宋_GB2312"/>
                <w:bCs/>
                <w:color w:val="000000" w:themeColor="text1"/>
              </w:rPr>
            </w:pPr>
          </w:p>
        </w:tc>
        <w:tc>
          <w:tcPr>
            <w:tcW w:w="992" w:type="dxa"/>
            <w:vMerge w:val="continue"/>
            <w:vAlign w:val="center"/>
          </w:tcPr>
          <w:p>
            <w:pPr>
              <w:spacing w:line="300" w:lineRule="exact"/>
              <w:rPr>
                <w:rFonts w:ascii="仿宋_GB2312"/>
                <w:bCs/>
                <w:color w:val="000000" w:themeColor="text1"/>
              </w:rPr>
            </w:pPr>
          </w:p>
        </w:tc>
        <w:tc>
          <w:tcPr>
            <w:tcW w:w="4820" w:type="dxa"/>
            <w:vMerge w:val="continue"/>
            <w:vAlign w:val="center"/>
          </w:tcPr>
          <w:p>
            <w:pPr>
              <w:spacing w:line="300" w:lineRule="exact"/>
              <w:rPr>
                <w:rFonts w:ascii="仿宋_GB2312"/>
                <w:bCs/>
                <w:color w:val="000000" w:themeColor="text1"/>
              </w:rPr>
            </w:pPr>
          </w:p>
        </w:tc>
        <w:tc>
          <w:tcPr>
            <w:tcW w:w="709" w:type="dxa"/>
            <w:vMerge w:val="continue"/>
            <w:vAlign w:val="center"/>
          </w:tcPr>
          <w:p>
            <w:pPr>
              <w:spacing w:line="300" w:lineRule="exact"/>
              <w:rPr>
                <w:rFonts w:ascii="仿宋_GB2312"/>
                <w:bCs/>
                <w:color w:val="000000" w:themeColor="text1"/>
              </w:rPr>
            </w:pPr>
          </w:p>
        </w:tc>
        <w:tc>
          <w:tcPr>
            <w:tcW w:w="708" w:type="dxa"/>
            <w:vMerge w:val="continue"/>
            <w:vAlign w:val="center"/>
          </w:tcPr>
          <w:p>
            <w:pPr>
              <w:spacing w:line="300" w:lineRule="exact"/>
              <w:rPr>
                <w:rFonts w:ascii="仿宋_GB2312"/>
                <w:bCs/>
                <w:color w:val="000000" w:themeColor="text1"/>
              </w:rPr>
            </w:pPr>
          </w:p>
        </w:tc>
        <w:tc>
          <w:tcPr>
            <w:tcW w:w="1134" w:type="dxa"/>
            <w:vMerge w:val="continue"/>
            <w:vAlign w:val="center"/>
          </w:tcPr>
          <w:p>
            <w:pPr>
              <w:spacing w:line="300" w:lineRule="exact"/>
              <w:rPr>
                <w:rFonts w:ascii="仿宋_GB2312"/>
                <w:bCs/>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590" w:hRule="atLeast"/>
        </w:trPr>
        <w:tc>
          <w:tcPr>
            <w:tcW w:w="962" w:type="dxa"/>
            <w:vMerge w:val="restart"/>
            <w:noWrap/>
            <w:vAlign w:val="center"/>
          </w:tcPr>
          <w:p>
            <w:pPr>
              <w:spacing w:line="300" w:lineRule="exact"/>
              <w:jc w:val="center"/>
              <w:rPr>
                <w:rFonts w:ascii="仿宋_GB2312"/>
                <w:color w:val="000000" w:themeColor="text1"/>
              </w:rPr>
            </w:pPr>
            <w:r>
              <w:rPr>
                <w:rFonts w:hint="eastAsia"/>
                <w:color w:val="000000" w:themeColor="text1"/>
              </w:rPr>
              <w:t>▲</w:t>
            </w:r>
            <w:r>
              <w:rPr>
                <w:rFonts w:hint="eastAsia" w:ascii="仿宋_GB2312"/>
                <w:color w:val="000000" w:themeColor="text1"/>
              </w:rPr>
              <w:t>结构化数据存储系统</w:t>
            </w:r>
          </w:p>
        </w:tc>
        <w:tc>
          <w:tcPr>
            <w:tcW w:w="992" w:type="dxa"/>
            <w:noWrap/>
            <w:vAlign w:val="center"/>
          </w:tcPr>
          <w:p>
            <w:pPr>
              <w:spacing w:line="300" w:lineRule="exact"/>
              <w:jc w:val="center"/>
              <w:rPr>
                <w:rFonts w:ascii="仿宋_GB2312"/>
                <w:color w:val="000000" w:themeColor="text1"/>
              </w:rPr>
            </w:pPr>
            <w:r>
              <w:rPr>
                <w:rFonts w:hint="eastAsia" w:ascii="仿宋_GB2312"/>
                <w:color w:val="000000" w:themeColor="text1"/>
              </w:rPr>
              <w:t>实时处理服务</w:t>
            </w:r>
          </w:p>
        </w:tc>
        <w:tc>
          <w:tcPr>
            <w:tcW w:w="4820" w:type="dxa"/>
            <w:vAlign w:val="center"/>
          </w:tcPr>
          <w:p>
            <w:pPr>
              <w:spacing w:line="300" w:lineRule="exact"/>
              <w:rPr>
                <w:rFonts w:ascii="仿宋_GB2312"/>
                <w:color w:val="000000" w:themeColor="text1"/>
              </w:rPr>
            </w:pPr>
            <w:r>
              <w:rPr>
                <w:rFonts w:hint="eastAsia" w:ascii="仿宋_GB2312"/>
                <w:color w:val="000000" w:themeColor="text1"/>
              </w:rPr>
              <w:t>前端采集系统、多维物联感知系统或解析中心产生结构化数据，能够持续调用采集接口写入数据，支持独立或共用的接口。</w:t>
            </w:r>
            <w:r>
              <w:rPr>
                <w:rFonts w:hint="eastAsia" w:ascii="仿宋_GB2312"/>
                <w:color w:val="000000" w:themeColor="text1"/>
              </w:rPr>
              <w:br w:type="textWrapping"/>
            </w:r>
            <w:r>
              <w:rPr>
                <w:rFonts w:hint="eastAsia" w:ascii="仿宋_GB2312"/>
                <w:color w:val="000000" w:themeColor="text1"/>
              </w:rPr>
              <w:t>支持多个线程、进程和服务器节点之间执行并行计算，支持横向扩展节点增加计算能力。</w:t>
            </w:r>
            <w:r>
              <w:rPr>
                <w:rFonts w:hint="eastAsia" w:ascii="仿宋_GB2312"/>
                <w:color w:val="000000" w:themeColor="text1"/>
              </w:rPr>
              <w:br w:type="textWrapping"/>
            </w:r>
            <w:r>
              <w:rPr>
                <w:rFonts w:hint="eastAsia" w:ascii="仿宋_GB2312"/>
                <w:color w:val="000000" w:themeColor="text1"/>
              </w:rPr>
              <w:t>支持多种数据源的流数据输入。</w:t>
            </w:r>
            <w:r>
              <w:rPr>
                <w:rFonts w:hint="eastAsia" w:ascii="仿宋_GB2312"/>
                <w:color w:val="000000" w:themeColor="text1"/>
              </w:rPr>
              <w:br w:type="textWrapping"/>
            </w:r>
            <w:r>
              <w:rPr>
                <w:rFonts w:hint="eastAsia" w:ascii="仿宋_GB2312"/>
                <w:color w:val="000000" w:themeColor="text1"/>
              </w:rPr>
              <w:t>支持百亿级数据多维分析实时计算，满足百亿级以上数据的实时查询、比对、关联碰撞需求。</w:t>
            </w:r>
            <w:r>
              <w:rPr>
                <w:rFonts w:hint="eastAsia" w:ascii="仿宋_GB2312"/>
                <w:color w:val="000000" w:themeColor="text1"/>
              </w:rPr>
              <w:br w:type="textWrapping"/>
            </w:r>
            <w:r>
              <w:rPr>
                <w:rFonts w:hint="eastAsia" w:ascii="仿宋_GB2312"/>
                <w:color w:val="000000" w:themeColor="text1"/>
              </w:rPr>
              <w:t>支持行、列存储能力以应对不同使用场景，同时支持分布式文件系统存储能力。</w:t>
            </w:r>
            <w:r>
              <w:rPr>
                <w:rFonts w:hint="eastAsia" w:ascii="仿宋_GB2312"/>
                <w:color w:val="000000" w:themeColor="text1"/>
              </w:rPr>
              <w:br w:type="textWrapping"/>
            </w:r>
            <w:r>
              <w:rPr>
                <w:rFonts w:hint="eastAsia" w:ascii="仿宋_GB2312"/>
                <w:color w:val="000000" w:themeColor="text1"/>
              </w:rPr>
              <w:t>支持通过标准SQL实时分析海量数据。</w:t>
            </w:r>
            <w:r>
              <w:rPr>
                <w:rFonts w:hint="eastAsia" w:ascii="仿宋_GB2312"/>
                <w:color w:val="000000" w:themeColor="text1"/>
              </w:rPr>
              <w:br w:type="textWrapping"/>
            </w:r>
            <w:r>
              <w:rPr>
                <w:rFonts w:hint="eastAsia" w:ascii="仿宋_GB2312"/>
                <w:color w:val="000000" w:themeColor="text1"/>
              </w:rPr>
              <w:t>支持数据缓存机制，以应对数据源端业务数据产生速度会突然出现峰值的情形。</w:t>
            </w:r>
            <w:r>
              <w:rPr>
                <w:rFonts w:hint="eastAsia" w:ascii="仿宋_GB2312"/>
                <w:color w:val="000000" w:themeColor="text1"/>
              </w:rPr>
              <w:br w:type="textWrapping"/>
            </w:r>
            <w:r>
              <w:rPr>
                <w:rFonts w:hint="eastAsia" w:ascii="仿宋_GB2312"/>
                <w:color w:val="000000" w:themeColor="text1"/>
              </w:rPr>
              <w:t>支持网络流、文件、数据库表、IOT等格式的数据源。对于文件数据源，可以处理增量数据的加载。</w:t>
            </w:r>
            <w:r>
              <w:rPr>
                <w:rFonts w:hint="eastAsia" w:ascii="仿宋_GB2312"/>
                <w:color w:val="000000" w:themeColor="text1"/>
              </w:rPr>
              <w:br w:type="textWrapping"/>
            </w:r>
            <w:r>
              <w:rPr>
                <w:rFonts w:hint="eastAsia" w:ascii="仿宋_GB2312"/>
                <w:color w:val="000000" w:themeColor="text1"/>
              </w:rPr>
              <w:t>实时采集及处理数据量对应带宽需求：≥100MB/S。</w:t>
            </w:r>
            <w:r>
              <w:rPr>
                <w:rFonts w:hint="eastAsia" w:ascii="仿宋_GB2312"/>
                <w:color w:val="000000" w:themeColor="text1"/>
              </w:rPr>
              <w:br w:type="textWrapping"/>
            </w:r>
            <w:r>
              <w:rPr>
                <w:rFonts w:hint="eastAsia" w:ascii="仿宋_GB2312"/>
                <w:color w:val="000000" w:themeColor="text1"/>
              </w:rPr>
              <w:t>内存计算和流式计算并存，满足高吞吐、大数据量和低时延实时处理等多方面的数据计算要求；</w:t>
            </w:r>
          </w:p>
        </w:tc>
        <w:tc>
          <w:tcPr>
            <w:tcW w:w="709" w:type="dxa"/>
            <w:vMerge w:val="restart"/>
            <w:noWrap/>
            <w:vAlign w:val="center"/>
          </w:tcPr>
          <w:p>
            <w:pPr>
              <w:spacing w:line="300" w:lineRule="exact"/>
              <w:jc w:val="center"/>
              <w:rPr>
                <w:rFonts w:ascii="仿宋_GB2312"/>
                <w:color w:val="000000" w:themeColor="text1"/>
              </w:rPr>
            </w:pPr>
            <w:r>
              <w:rPr>
                <w:rFonts w:hint="eastAsia" w:ascii="仿宋_GB2312"/>
                <w:color w:val="000000" w:themeColor="text1"/>
              </w:rPr>
              <w:t>项</w:t>
            </w:r>
          </w:p>
        </w:tc>
        <w:tc>
          <w:tcPr>
            <w:tcW w:w="708" w:type="dxa"/>
            <w:vMerge w:val="restart"/>
            <w:noWrap/>
            <w:vAlign w:val="center"/>
          </w:tcPr>
          <w:p>
            <w:pPr>
              <w:spacing w:line="300" w:lineRule="exact"/>
              <w:jc w:val="center"/>
              <w:rPr>
                <w:rFonts w:ascii="仿宋_GB2312"/>
                <w:color w:val="000000" w:themeColor="text1"/>
              </w:rPr>
            </w:pPr>
            <w:r>
              <w:rPr>
                <w:rFonts w:hint="eastAsia" w:ascii="仿宋_GB2312"/>
                <w:color w:val="000000" w:themeColor="text1"/>
              </w:rPr>
              <w:t>1</w:t>
            </w:r>
          </w:p>
        </w:tc>
        <w:tc>
          <w:tcPr>
            <w:tcW w:w="1134" w:type="dxa"/>
            <w:vMerge w:val="restart"/>
            <w:noWrap/>
            <w:vAlign w:val="center"/>
          </w:tcPr>
          <w:p>
            <w:pPr>
              <w:spacing w:line="300" w:lineRule="exact"/>
              <w:jc w:val="center"/>
              <w:rPr>
                <w:rFonts w:ascii="仿宋_GB2312"/>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trPr>
        <w:tc>
          <w:tcPr>
            <w:tcW w:w="962" w:type="dxa"/>
            <w:vMerge w:val="continue"/>
            <w:vAlign w:val="center"/>
          </w:tcPr>
          <w:p>
            <w:pPr>
              <w:spacing w:line="300" w:lineRule="exact"/>
              <w:rPr>
                <w:rFonts w:ascii="仿宋_GB2312"/>
                <w:color w:val="000000" w:themeColor="text1"/>
              </w:rPr>
            </w:pPr>
          </w:p>
        </w:tc>
        <w:tc>
          <w:tcPr>
            <w:tcW w:w="992" w:type="dxa"/>
            <w:noWrap/>
            <w:vAlign w:val="center"/>
          </w:tcPr>
          <w:p>
            <w:pPr>
              <w:spacing w:line="300" w:lineRule="exact"/>
              <w:jc w:val="center"/>
              <w:rPr>
                <w:rFonts w:ascii="仿宋_GB2312"/>
                <w:color w:val="000000" w:themeColor="text1"/>
              </w:rPr>
            </w:pPr>
            <w:r>
              <w:rPr>
                <w:rFonts w:hint="eastAsia" w:ascii="仿宋_GB2312"/>
                <w:color w:val="000000" w:themeColor="text1"/>
              </w:rPr>
              <w:t>离线处理服务</w:t>
            </w:r>
          </w:p>
        </w:tc>
        <w:tc>
          <w:tcPr>
            <w:tcW w:w="4820" w:type="dxa"/>
            <w:vAlign w:val="center"/>
          </w:tcPr>
          <w:p>
            <w:pPr>
              <w:spacing w:line="300" w:lineRule="exact"/>
              <w:rPr>
                <w:rFonts w:ascii="仿宋_GB2312"/>
                <w:color w:val="000000" w:themeColor="text1"/>
              </w:rPr>
            </w:pPr>
            <w:r>
              <w:rPr>
                <w:rFonts w:hint="eastAsia" w:ascii="仿宋_GB2312"/>
                <w:color w:val="000000" w:themeColor="text1"/>
              </w:rPr>
              <w:t>全量的数据采集存入基础数据库，按照业务的技战法模型，需要对增量数据，结合历史数据，加工分析。</w:t>
            </w:r>
            <w:r>
              <w:rPr>
                <w:rFonts w:hint="eastAsia" w:ascii="仿宋_GB2312"/>
                <w:color w:val="000000" w:themeColor="text1"/>
              </w:rPr>
              <w:br w:type="textWrapping"/>
            </w:r>
            <w:r>
              <w:rPr>
                <w:rFonts w:hint="eastAsia" w:ascii="仿宋_GB2312"/>
                <w:color w:val="000000" w:themeColor="text1"/>
              </w:rPr>
              <w:t>根据数据规模，需满足对应的离线分析计算，满足技战法模型运算需求，比如视频研判，要对可疑人群分析、车辆轨迹分析等，需要对一段时间数据持续的离线分析。</w:t>
            </w:r>
            <w:r>
              <w:rPr>
                <w:rFonts w:hint="eastAsia" w:ascii="仿宋_GB2312"/>
                <w:color w:val="000000" w:themeColor="text1"/>
              </w:rPr>
              <w:br w:type="textWrapping"/>
            </w:r>
            <w:r>
              <w:rPr>
                <w:rFonts w:hint="eastAsia" w:ascii="仿宋_GB2312"/>
                <w:color w:val="000000" w:themeColor="text1"/>
              </w:rPr>
              <w:t>数据仓库配置不低于全量数据的50%同步离线分析能力，离线分析数据量不低于全量数据的100%。</w:t>
            </w:r>
          </w:p>
        </w:tc>
        <w:tc>
          <w:tcPr>
            <w:tcW w:w="709" w:type="dxa"/>
            <w:vMerge w:val="continue"/>
            <w:vAlign w:val="center"/>
          </w:tcPr>
          <w:p>
            <w:pPr>
              <w:spacing w:line="300" w:lineRule="exact"/>
              <w:rPr>
                <w:rFonts w:ascii="仿宋_GB2312"/>
                <w:color w:val="000000" w:themeColor="text1"/>
              </w:rPr>
            </w:pPr>
          </w:p>
        </w:tc>
        <w:tc>
          <w:tcPr>
            <w:tcW w:w="708" w:type="dxa"/>
            <w:vMerge w:val="continue"/>
            <w:vAlign w:val="center"/>
          </w:tcPr>
          <w:p>
            <w:pPr>
              <w:spacing w:line="300" w:lineRule="exact"/>
              <w:rPr>
                <w:rFonts w:ascii="仿宋_GB2312"/>
                <w:color w:val="000000" w:themeColor="text1"/>
              </w:rPr>
            </w:pPr>
          </w:p>
        </w:tc>
        <w:tc>
          <w:tcPr>
            <w:tcW w:w="1134" w:type="dxa"/>
            <w:vMerge w:val="continue"/>
            <w:vAlign w:val="center"/>
          </w:tcPr>
          <w:p>
            <w:pPr>
              <w:spacing w:line="300" w:lineRule="exact"/>
              <w:rPr>
                <w:rFonts w:ascii="仿宋_GB2312"/>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160" w:hRule="atLeast"/>
        </w:trPr>
        <w:tc>
          <w:tcPr>
            <w:tcW w:w="962" w:type="dxa"/>
            <w:vMerge w:val="continue"/>
            <w:vAlign w:val="center"/>
          </w:tcPr>
          <w:p>
            <w:pPr>
              <w:spacing w:line="300" w:lineRule="exact"/>
              <w:rPr>
                <w:rFonts w:ascii="仿宋_GB2312"/>
                <w:color w:val="000000" w:themeColor="text1"/>
              </w:rPr>
            </w:pPr>
          </w:p>
        </w:tc>
        <w:tc>
          <w:tcPr>
            <w:tcW w:w="992" w:type="dxa"/>
            <w:noWrap/>
            <w:vAlign w:val="center"/>
          </w:tcPr>
          <w:p>
            <w:pPr>
              <w:spacing w:line="300" w:lineRule="exact"/>
              <w:jc w:val="center"/>
              <w:rPr>
                <w:rFonts w:ascii="仿宋_GB2312"/>
                <w:color w:val="000000" w:themeColor="text1"/>
              </w:rPr>
            </w:pPr>
            <w:r>
              <w:rPr>
                <w:rFonts w:hint="eastAsia" w:ascii="仿宋_GB2312"/>
                <w:color w:val="000000" w:themeColor="text1"/>
              </w:rPr>
              <w:t>快速查询服务</w:t>
            </w:r>
          </w:p>
        </w:tc>
        <w:tc>
          <w:tcPr>
            <w:tcW w:w="4820" w:type="dxa"/>
            <w:vAlign w:val="center"/>
          </w:tcPr>
          <w:p>
            <w:pPr>
              <w:spacing w:line="300" w:lineRule="exact"/>
              <w:rPr>
                <w:rFonts w:ascii="仿宋_GB2312"/>
                <w:color w:val="000000" w:themeColor="text1"/>
              </w:rPr>
            </w:pPr>
            <w:r>
              <w:rPr>
                <w:rFonts w:hint="eastAsia" w:ascii="仿宋_GB2312"/>
                <w:color w:val="000000" w:themeColor="text1"/>
              </w:rPr>
              <w:t>支持HBase/Hive等Hadoop数据库或MPP/Oracle/SQL Server等关系型数据库之间统一SQL查询；</w:t>
            </w:r>
            <w:r>
              <w:rPr>
                <w:rFonts w:hint="eastAsia" w:ascii="仿宋_GB2312"/>
                <w:color w:val="000000" w:themeColor="text1"/>
              </w:rPr>
              <w:br w:type="textWrapping"/>
            </w:r>
            <w:r>
              <w:rPr>
                <w:rFonts w:hint="eastAsia" w:ascii="仿宋_GB2312"/>
                <w:color w:val="000000" w:themeColor="text1"/>
              </w:rPr>
              <w:t>支持Solr或ElasticSearch组件，且需满足检索响应快、实时高性能、海量存储等要求；</w:t>
            </w:r>
            <w:r>
              <w:rPr>
                <w:rFonts w:hint="eastAsia" w:ascii="仿宋_GB2312"/>
                <w:color w:val="000000" w:themeColor="text1"/>
              </w:rPr>
              <w:br w:type="textWrapping"/>
            </w:r>
            <w:r>
              <w:rPr>
                <w:rFonts w:hint="eastAsia" w:ascii="仿宋_GB2312"/>
                <w:color w:val="000000" w:themeColor="text1"/>
              </w:rPr>
              <w:t>需提供快速查询建设能力，可对基础库、专题库等数据进行全文检索，支持准确、模糊、条件等不同的检索模式。</w:t>
            </w:r>
            <w:r>
              <w:rPr>
                <w:rFonts w:hint="eastAsia" w:ascii="仿宋_GB2312"/>
                <w:color w:val="000000" w:themeColor="text1"/>
              </w:rPr>
              <w:br w:type="textWrapping"/>
            </w:r>
            <w:r>
              <w:rPr>
                <w:rFonts w:hint="eastAsia" w:ascii="仿宋_GB2312"/>
                <w:color w:val="000000" w:themeColor="text1"/>
              </w:rPr>
              <w:t>数据仓库按照基础库不低于全量数据的100%数据量的查询能力；</w:t>
            </w:r>
            <w:r>
              <w:rPr>
                <w:rFonts w:hint="eastAsia" w:ascii="仿宋_GB2312"/>
                <w:color w:val="000000" w:themeColor="text1"/>
              </w:rPr>
              <w:br w:type="textWrapping"/>
            </w:r>
            <w:r>
              <w:rPr>
                <w:rFonts w:hint="eastAsia" w:ascii="仿宋_GB2312"/>
                <w:color w:val="000000" w:themeColor="text1"/>
              </w:rPr>
              <w:t>数据仓库按照基础库不低于全量数据的50%进行快速查询能力；</w:t>
            </w:r>
            <w:r>
              <w:rPr>
                <w:rFonts w:hint="eastAsia" w:ascii="仿宋_GB2312"/>
                <w:color w:val="000000" w:themeColor="text1"/>
              </w:rPr>
              <w:br w:type="textWrapping"/>
            </w:r>
            <w:r>
              <w:rPr>
                <w:rFonts w:hint="eastAsia" w:ascii="仿宋_GB2312"/>
                <w:color w:val="000000" w:themeColor="text1"/>
              </w:rPr>
              <w:t>系统在2000亿条级数据情况下满足：</w:t>
            </w:r>
            <w:r>
              <w:rPr>
                <w:rFonts w:hint="eastAsia" w:ascii="仿宋_GB2312"/>
                <w:color w:val="000000" w:themeColor="text1"/>
              </w:rPr>
              <w:br w:type="textWrapping"/>
            </w:r>
            <w:r>
              <w:rPr>
                <w:rFonts w:hint="eastAsia" w:ascii="仿宋_GB2312"/>
                <w:color w:val="000000" w:themeColor="text1"/>
              </w:rPr>
              <w:t>车牌查询（包括完整车牌号查询、模糊车牌查询）9秒内响应；</w:t>
            </w:r>
            <w:r>
              <w:rPr>
                <w:rFonts w:hint="eastAsia" w:ascii="仿宋_GB2312"/>
                <w:color w:val="000000" w:themeColor="text1"/>
              </w:rPr>
              <w:br w:type="textWrapping"/>
            </w:r>
            <w:r>
              <w:rPr>
                <w:rFonts w:hint="eastAsia" w:ascii="仿宋_GB2312"/>
                <w:color w:val="000000" w:themeColor="text1"/>
              </w:rPr>
              <w:t>车辆、人像抓拍地点、车身颜色、车辆类型等单项信息查询9秒内响应；</w:t>
            </w:r>
          </w:p>
        </w:tc>
        <w:tc>
          <w:tcPr>
            <w:tcW w:w="709" w:type="dxa"/>
            <w:vMerge w:val="continue"/>
            <w:vAlign w:val="center"/>
          </w:tcPr>
          <w:p>
            <w:pPr>
              <w:spacing w:line="300" w:lineRule="exact"/>
              <w:rPr>
                <w:rFonts w:ascii="仿宋_GB2312"/>
                <w:color w:val="000000" w:themeColor="text1"/>
              </w:rPr>
            </w:pPr>
          </w:p>
        </w:tc>
        <w:tc>
          <w:tcPr>
            <w:tcW w:w="708" w:type="dxa"/>
            <w:vMerge w:val="continue"/>
            <w:vAlign w:val="center"/>
          </w:tcPr>
          <w:p>
            <w:pPr>
              <w:spacing w:line="300" w:lineRule="exact"/>
              <w:rPr>
                <w:rFonts w:ascii="仿宋_GB2312"/>
                <w:color w:val="000000" w:themeColor="text1"/>
              </w:rPr>
            </w:pPr>
          </w:p>
        </w:tc>
        <w:tc>
          <w:tcPr>
            <w:tcW w:w="1134" w:type="dxa"/>
            <w:vMerge w:val="continue"/>
            <w:vAlign w:val="center"/>
          </w:tcPr>
          <w:p>
            <w:pPr>
              <w:spacing w:line="300" w:lineRule="exact"/>
              <w:rPr>
                <w:rFonts w:ascii="仿宋_GB2312"/>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trPr>
        <w:tc>
          <w:tcPr>
            <w:tcW w:w="962" w:type="dxa"/>
            <w:vMerge w:val="continue"/>
            <w:vAlign w:val="center"/>
          </w:tcPr>
          <w:p>
            <w:pPr>
              <w:spacing w:line="300" w:lineRule="exact"/>
              <w:rPr>
                <w:rFonts w:ascii="仿宋_GB2312"/>
                <w:color w:val="000000" w:themeColor="text1"/>
              </w:rPr>
            </w:pPr>
          </w:p>
        </w:tc>
        <w:tc>
          <w:tcPr>
            <w:tcW w:w="992" w:type="dxa"/>
            <w:noWrap/>
            <w:vAlign w:val="center"/>
          </w:tcPr>
          <w:p>
            <w:pPr>
              <w:spacing w:line="300" w:lineRule="exact"/>
              <w:jc w:val="center"/>
              <w:rPr>
                <w:rFonts w:ascii="仿宋_GB2312"/>
                <w:color w:val="000000" w:themeColor="text1"/>
              </w:rPr>
            </w:pPr>
            <w:r>
              <w:rPr>
                <w:rFonts w:hint="eastAsia" w:ascii="仿宋_GB2312"/>
                <w:color w:val="000000" w:themeColor="text1"/>
              </w:rPr>
              <w:t>交互式查询服务</w:t>
            </w:r>
          </w:p>
        </w:tc>
        <w:tc>
          <w:tcPr>
            <w:tcW w:w="4820" w:type="dxa"/>
            <w:vAlign w:val="center"/>
          </w:tcPr>
          <w:p>
            <w:pPr>
              <w:spacing w:line="300" w:lineRule="exact"/>
              <w:rPr>
                <w:rFonts w:ascii="仿宋_GB2312"/>
                <w:color w:val="000000" w:themeColor="text1"/>
              </w:rPr>
            </w:pPr>
            <w:r>
              <w:rPr>
                <w:rFonts w:hint="eastAsia" w:ascii="仿宋_GB2312"/>
                <w:color w:val="000000" w:themeColor="text1"/>
              </w:rPr>
              <w:t>提供大数据量场景下的数据查询、多表联合查询能力，可对专题库进行单表查询、多表查询、多表关联查询等，并支持根据技战法需求实时更新和创建专题库。支持千亿数据秒级检索。</w:t>
            </w:r>
            <w:r>
              <w:rPr>
                <w:rFonts w:hint="eastAsia" w:ascii="仿宋_GB2312"/>
                <w:color w:val="000000" w:themeColor="text1"/>
              </w:rPr>
              <w:br w:type="textWrapping"/>
            </w:r>
            <w:r>
              <w:rPr>
                <w:rFonts w:hint="eastAsia" w:ascii="仿宋_GB2312"/>
                <w:color w:val="000000" w:themeColor="text1"/>
              </w:rPr>
              <w:t>数据仓库按照基础库不低于全量数据的50%进行交互查询能力；</w:t>
            </w:r>
            <w:r>
              <w:rPr>
                <w:rFonts w:hint="eastAsia" w:ascii="仿宋_GB2312"/>
                <w:color w:val="000000" w:themeColor="text1"/>
              </w:rPr>
              <w:br w:type="textWrapping"/>
            </w:r>
            <w:r>
              <w:rPr>
                <w:rFonts w:hint="eastAsia" w:ascii="仿宋_GB2312"/>
                <w:color w:val="000000" w:themeColor="text1"/>
              </w:rPr>
              <w:t>（1）支持100亿级数据量同行分析2秒内响应；</w:t>
            </w:r>
            <w:r>
              <w:rPr>
                <w:rFonts w:hint="eastAsia" w:ascii="仿宋_GB2312"/>
                <w:color w:val="000000" w:themeColor="text1"/>
              </w:rPr>
              <w:br w:type="textWrapping"/>
            </w:r>
            <w:r>
              <w:rPr>
                <w:rFonts w:hint="eastAsia" w:ascii="仿宋_GB2312"/>
                <w:color w:val="000000" w:themeColor="text1"/>
              </w:rPr>
              <w:t>（2）支持100亿级数据量套牌车查询2秒内响应。</w:t>
            </w:r>
          </w:p>
        </w:tc>
        <w:tc>
          <w:tcPr>
            <w:tcW w:w="709" w:type="dxa"/>
            <w:vMerge w:val="continue"/>
            <w:vAlign w:val="center"/>
          </w:tcPr>
          <w:p>
            <w:pPr>
              <w:spacing w:line="300" w:lineRule="exact"/>
              <w:rPr>
                <w:rFonts w:ascii="仿宋_GB2312"/>
                <w:color w:val="000000" w:themeColor="text1"/>
              </w:rPr>
            </w:pPr>
          </w:p>
        </w:tc>
        <w:tc>
          <w:tcPr>
            <w:tcW w:w="708" w:type="dxa"/>
            <w:vMerge w:val="continue"/>
            <w:vAlign w:val="center"/>
          </w:tcPr>
          <w:p>
            <w:pPr>
              <w:spacing w:line="300" w:lineRule="exact"/>
              <w:rPr>
                <w:rFonts w:ascii="仿宋_GB2312"/>
                <w:color w:val="000000" w:themeColor="text1"/>
              </w:rPr>
            </w:pPr>
          </w:p>
        </w:tc>
        <w:tc>
          <w:tcPr>
            <w:tcW w:w="1134" w:type="dxa"/>
            <w:vMerge w:val="continue"/>
            <w:vAlign w:val="center"/>
          </w:tcPr>
          <w:p>
            <w:pPr>
              <w:spacing w:line="300" w:lineRule="exact"/>
              <w:rPr>
                <w:rFonts w:ascii="仿宋_GB2312"/>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920" w:hRule="atLeast"/>
        </w:trPr>
        <w:tc>
          <w:tcPr>
            <w:tcW w:w="962" w:type="dxa"/>
            <w:vMerge w:val="continue"/>
            <w:vAlign w:val="center"/>
          </w:tcPr>
          <w:p>
            <w:pPr>
              <w:spacing w:line="300" w:lineRule="exact"/>
              <w:rPr>
                <w:rFonts w:ascii="仿宋_GB2312"/>
                <w:color w:val="000000" w:themeColor="text1"/>
              </w:rPr>
            </w:pPr>
          </w:p>
        </w:tc>
        <w:tc>
          <w:tcPr>
            <w:tcW w:w="992" w:type="dxa"/>
            <w:noWrap/>
            <w:vAlign w:val="center"/>
          </w:tcPr>
          <w:p>
            <w:pPr>
              <w:spacing w:line="300" w:lineRule="exact"/>
              <w:jc w:val="center"/>
              <w:rPr>
                <w:rFonts w:ascii="仿宋_GB2312"/>
                <w:color w:val="000000" w:themeColor="text1"/>
              </w:rPr>
            </w:pPr>
            <w:r>
              <w:rPr>
                <w:rFonts w:hint="eastAsia" w:ascii="仿宋_GB2312"/>
                <w:color w:val="000000" w:themeColor="text1"/>
              </w:rPr>
              <w:t>交换机1</w:t>
            </w:r>
          </w:p>
        </w:tc>
        <w:tc>
          <w:tcPr>
            <w:tcW w:w="4820" w:type="dxa"/>
            <w:vAlign w:val="center"/>
          </w:tcPr>
          <w:p>
            <w:pPr>
              <w:spacing w:line="300" w:lineRule="exact"/>
              <w:rPr>
                <w:rFonts w:ascii="仿宋_GB2312" w:hAnsi="宋体" w:cs="宋体"/>
                <w:color w:val="000000" w:themeColor="text1"/>
              </w:rPr>
            </w:pPr>
            <w:r>
              <w:rPr>
                <w:rFonts w:hint="eastAsia"/>
                <w:color w:val="000000" w:themeColor="text1"/>
              </w:rPr>
              <w:t>★</w:t>
            </w:r>
            <w:r>
              <w:rPr>
                <w:rFonts w:hint="eastAsia" w:ascii="仿宋_GB2312" w:hAnsi="宋体" w:cs="宋体"/>
                <w:color w:val="000000" w:themeColor="text1"/>
              </w:rPr>
              <w:t>业务插槽数≥3</w:t>
            </w:r>
          </w:p>
          <w:p>
            <w:pPr>
              <w:spacing w:line="300" w:lineRule="exact"/>
              <w:rPr>
                <w:rFonts w:ascii="仿宋_GB2312"/>
                <w:color w:val="000000" w:themeColor="text1"/>
              </w:rPr>
            </w:pPr>
            <w:r>
              <w:rPr>
                <w:rFonts w:hint="eastAsia"/>
                <w:color w:val="000000" w:themeColor="text1"/>
              </w:rPr>
              <w:t>★</w:t>
            </w:r>
            <w:r>
              <w:rPr>
                <w:rFonts w:hint="eastAsia" w:ascii="仿宋_GB2312" w:hAnsi="宋体" w:cs="宋体"/>
                <w:color w:val="000000" w:themeColor="text1"/>
              </w:rPr>
              <w:t>交换容量</w:t>
            </w:r>
            <w:r>
              <w:rPr>
                <w:rFonts w:hint="eastAsia" w:ascii="仿宋_GB2312" w:hAnsi="宋体"/>
                <w:color w:val="000000" w:themeColor="text1"/>
              </w:rPr>
              <w:t>≥19.2Tbps（官网最小值为准）</w:t>
            </w:r>
          </w:p>
          <w:p>
            <w:pPr>
              <w:spacing w:line="300" w:lineRule="exact"/>
              <w:rPr>
                <w:rFonts w:ascii="仿宋_GB2312"/>
                <w:color w:val="000000" w:themeColor="text1"/>
              </w:rPr>
            </w:pPr>
            <w:r>
              <w:rPr>
                <w:rFonts w:hint="eastAsia"/>
                <w:color w:val="000000" w:themeColor="text1"/>
              </w:rPr>
              <w:t>★</w:t>
            </w:r>
            <w:r>
              <w:rPr>
                <w:rFonts w:hint="eastAsia" w:ascii="仿宋_GB2312" w:hAnsi="宋体" w:cs="宋体"/>
                <w:color w:val="000000" w:themeColor="text1"/>
              </w:rPr>
              <w:t>转发能力</w:t>
            </w:r>
            <w:r>
              <w:rPr>
                <w:rFonts w:hint="eastAsia" w:ascii="仿宋_GB2312" w:hAnsi="宋体"/>
                <w:color w:val="000000" w:themeColor="text1"/>
              </w:rPr>
              <w:t>≥2880Mpps（官网最小值为准）</w:t>
            </w:r>
          </w:p>
          <w:p>
            <w:pPr>
              <w:spacing w:line="300" w:lineRule="exact"/>
              <w:rPr>
                <w:rFonts w:ascii="仿宋_GB2312"/>
                <w:color w:val="000000" w:themeColor="text1"/>
              </w:rPr>
            </w:pPr>
            <w:r>
              <w:rPr>
                <w:rFonts w:hint="eastAsia" w:ascii="仿宋_GB2312" w:hAnsi="宋体" w:cs="宋体"/>
                <w:color w:val="000000" w:themeColor="text1"/>
              </w:rPr>
              <w:t>主控引擎模块≥2，满足1+1冗余</w:t>
            </w:r>
          </w:p>
          <w:p>
            <w:pPr>
              <w:spacing w:line="300" w:lineRule="exact"/>
              <w:rPr>
                <w:rFonts w:ascii="仿宋_GB2312" w:hAnsi="宋体" w:cs="宋体"/>
                <w:color w:val="000000" w:themeColor="text1"/>
              </w:rPr>
            </w:pPr>
            <w:r>
              <w:rPr>
                <w:rFonts w:hint="eastAsia" w:ascii="仿宋_GB2312" w:hAnsi="宋体" w:cs="宋体"/>
                <w:color w:val="000000" w:themeColor="text1"/>
              </w:rPr>
              <w:t>电源模块冗余</w:t>
            </w:r>
          </w:p>
          <w:p>
            <w:pPr>
              <w:spacing w:line="300" w:lineRule="exact"/>
              <w:rPr>
                <w:rFonts w:ascii="仿宋_GB2312"/>
                <w:color w:val="000000" w:themeColor="text1"/>
              </w:rPr>
            </w:pPr>
            <w:r>
              <w:rPr>
                <w:rFonts w:hint="eastAsia" w:ascii="仿宋_GB2312" w:hAnsi="宋体" w:cs="宋体"/>
                <w:color w:val="000000" w:themeColor="text1"/>
              </w:rPr>
              <w:t>主控交换卡、电源、接口模块、风扇、网板等关键部件可热插拔</w:t>
            </w:r>
          </w:p>
          <w:p>
            <w:pPr>
              <w:spacing w:line="300" w:lineRule="exact"/>
              <w:rPr>
                <w:rFonts w:ascii="仿宋_GB2312" w:hAnsi="宋体"/>
                <w:color w:val="000000" w:themeColor="text1"/>
                <w:shd w:val="pct10" w:color="auto" w:fill="FFFFFF"/>
              </w:rPr>
            </w:pPr>
            <w:r>
              <w:rPr>
                <w:rFonts w:hint="eastAsia"/>
                <w:color w:val="000000" w:themeColor="text1"/>
              </w:rPr>
              <w:t>★</w:t>
            </w:r>
            <w:r>
              <w:rPr>
                <w:rFonts w:hint="eastAsia" w:ascii="仿宋_GB2312" w:hAnsi="宋体"/>
                <w:color w:val="000000" w:themeColor="text1"/>
              </w:rPr>
              <w:t>配置要求：要求实配 ≥96个万兆端口（含光模块），≥4个40G端口（含光模块）。且40G端口需分布在不同板卡上。</w:t>
            </w:r>
          </w:p>
          <w:p>
            <w:pPr>
              <w:spacing w:line="300" w:lineRule="exact"/>
              <w:rPr>
                <w:rFonts w:ascii="仿宋_GB2312"/>
                <w:color w:val="000000" w:themeColor="text1"/>
              </w:rPr>
            </w:pPr>
            <w:r>
              <w:rPr>
                <w:rFonts w:hint="eastAsia" w:ascii="仿宋_GB2312"/>
                <w:color w:val="000000" w:themeColor="text1"/>
              </w:rPr>
              <w:br w:type="textWrapping"/>
            </w:r>
            <w:r>
              <w:rPr>
                <w:rFonts w:hint="eastAsia" w:ascii="仿宋_GB2312"/>
                <w:color w:val="000000" w:themeColor="text1"/>
              </w:rPr>
              <w:t>路由特性：支持IPv4、IPv6静态路由，RIP等三层动态路由协议；支持策略路由器；支持RIP v1/2、RIPng ；支持等价路由、VRRP、OSPFv1/v2、OSPF v3、BGP、ISIS等增强三层路由协议</w:t>
            </w:r>
            <w:r>
              <w:rPr>
                <w:rFonts w:hint="eastAsia" w:ascii="仿宋_GB2312"/>
                <w:color w:val="000000" w:themeColor="text1"/>
              </w:rPr>
              <w:br w:type="textWrapping"/>
            </w:r>
            <w:r>
              <w:rPr>
                <w:rFonts w:hint="eastAsia" w:ascii="仿宋_GB2312"/>
                <w:color w:val="000000" w:themeColor="text1"/>
              </w:rPr>
              <w:t>支持链路聚合、MAC地址表、VLAN、流量监控、FHCP、ARP、MPLS、组播协议、QOS/ACL等</w:t>
            </w:r>
          </w:p>
        </w:tc>
        <w:tc>
          <w:tcPr>
            <w:tcW w:w="709" w:type="dxa"/>
            <w:noWrap/>
            <w:vAlign w:val="center"/>
          </w:tcPr>
          <w:p>
            <w:pPr>
              <w:spacing w:line="300" w:lineRule="exact"/>
              <w:jc w:val="center"/>
              <w:rPr>
                <w:rFonts w:ascii="仿宋_GB2312"/>
                <w:color w:val="000000" w:themeColor="text1"/>
              </w:rPr>
            </w:pPr>
            <w:r>
              <w:rPr>
                <w:rFonts w:hint="eastAsia" w:ascii="仿宋_GB2312"/>
                <w:color w:val="000000" w:themeColor="text1"/>
              </w:rPr>
              <w:t>2</w:t>
            </w:r>
          </w:p>
        </w:tc>
        <w:tc>
          <w:tcPr>
            <w:tcW w:w="708" w:type="dxa"/>
            <w:noWrap/>
            <w:vAlign w:val="center"/>
          </w:tcPr>
          <w:p>
            <w:pPr>
              <w:spacing w:line="300" w:lineRule="exact"/>
              <w:jc w:val="center"/>
              <w:rPr>
                <w:rFonts w:ascii="仿宋_GB2312"/>
                <w:color w:val="000000" w:themeColor="text1"/>
              </w:rPr>
            </w:pPr>
            <w:r>
              <w:rPr>
                <w:rFonts w:hint="eastAsia" w:ascii="仿宋_GB2312"/>
                <w:color w:val="000000" w:themeColor="text1"/>
              </w:rPr>
              <w:t>台</w:t>
            </w:r>
          </w:p>
        </w:tc>
        <w:tc>
          <w:tcPr>
            <w:tcW w:w="1134" w:type="dxa"/>
            <w:noWrap/>
            <w:vAlign w:val="center"/>
          </w:tcPr>
          <w:p>
            <w:pPr>
              <w:spacing w:line="300" w:lineRule="exact"/>
              <w:jc w:val="center"/>
              <w:rPr>
                <w:rFonts w:ascii="仿宋_GB2312"/>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920" w:hRule="atLeast"/>
        </w:trPr>
        <w:tc>
          <w:tcPr>
            <w:tcW w:w="962" w:type="dxa"/>
            <w:vMerge w:val="continue"/>
            <w:vAlign w:val="center"/>
          </w:tcPr>
          <w:p>
            <w:pPr>
              <w:spacing w:line="300" w:lineRule="exact"/>
              <w:rPr>
                <w:rFonts w:ascii="仿宋_GB2312"/>
                <w:color w:val="000000" w:themeColor="text1"/>
              </w:rPr>
            </w:pPr>
          </w:p>
        </w:tc>
        <w:tc>
          <w:tcPr>
            <w:tcW w:w="992" w:type="dxa"/>
            <w:noWrap/>
            <w:vAlign w:val="center"/>
          </w:tcPr>
          <w:p>
            <w:pPr>
              <w:spacing w:line="300" w:lineRule="exact"/>
              <w:jc w:val="center"/>
              <w:rPr>
                <w:rFonts w:ascii="仿宋_GB2312"/>
                <w:color w:val="000000" w:themeColor="text1"/>
              </w:rPr>
            </w:pPr>
            <w:r>
              <w:rPr>
                <w:rFonts w:hint="eastAsia" w:ascii="仿宋_GB2312"/>
                <w:color w:val="000000" w:themeColor="text1"/>
              </w:rPr>
              <w:t>交换机2</w:t>
            </w:r>
          </w:p>
        </w:tc>
        <w:tc>
          <w:tcPr>
            <w:tcW w:w="4820" w:type="dxa"/>
            <w:vAlign w:val="center"/>
          </w:tcPr>
          <w:p>
            <w:pPr>
              <w:spacing w:line="300" w:lineRule="exact"/>
              <w:rPr>
                <w:rFonts w:ascii="仿宋_GB2312" w:hAnsi="宋体" w:cs="宋体"/>
                <w:color w:val="000000" w:themeColor="text1"/>
              </w:rPr>
            </w:pPr>
            <w:r>
              <w:rPr>
                <w:rFonts w:hint="eastAsia"/>
                <w:color w:val="000000" w:themeColor="text1"/>
              </w:rPr>
              <w:t>★</w:t>
            </w:r>
            <w:r>
              <w:rPr>
                <w:rFonts w:hint="eastAsia" w:ascii="仿宋_GB2312" w:hAnsi="宋体" w:cs="宋体"/>
                <w:color w:val="000000" w:themeColor="text1"/>
              </w:rPr>
              <w:t>交换容量≥2.56Tbps（取官网最小值）</w:t>
            </w:r>
          </w:p>
          <w:p>
            <w:pPr>
              <w:spacing w:line="300" w:lineRule="exact"/>
              <w:rPr>
                <w:rFonts w:ascii="仿宋_GB2312" w:hAnsi="宋体" w:cs="宋体"/>
                <w:color w:val="000000" w:themeColor="text1"/>
              </w:rPr>
            </w:pPr>
            <w:r>
              <w:rPr>
                <w:rFonts w:hint="eastAsia"/>
                <w:color w:val="000000" w:themeColor="text1"/>
              </w:rPr>
              <w:t>★</w:t>
            </w:r>
            <w:r>
              <w:rPr>
                <w:rFonts w:hint="eastAsia" w:ascii="仿宋_GB2312" w:hAnsi="宋体" w:cs="宋体"/>
                <w:color w:val="000000" w:themeColor="text1"/>
              </w:rPr>
              <w:t>转发性能≥1080Mpps</w:t>
            </w:r>
          </w:p>
          <w:p>
            <w:pPr>
              <w:spacing w:line="300" w:lineRule="exact"/>
              <w:rPr>
                <w:rFonts w:ascii="仿宋_GB2312" w:hAnsi="宋体" w:cs="宋体"/>
                <w:color w:val="000000" w:themeColor="text1"/>
              </w:rPr>
            </w:pPr>
            <w:r>
              <w:rPr>
                <w:rFonts w:hint="eastAsia"/>
                <w:color w:val="000000" w:themeColor="text1"/>
              </w:rPr>
              <w:t>★</w:t>
            </w:r>
            <w:r>
              <w:rPr>
                <w:rFonts w:hint="eastAsia" w:ascii="仿宋_GB2312" w:hAnsi="宋体" w:cs="宋体"/>
                <w:color w:val="000000" w:themeColor="text1"/>
              </w:rPr>
              <w:t>扩展插槽数：扩展插槽≥2</w:t>
            </w:r>
          </w:p>
          <w:p>
            <w:pPr>
              <w:spacing w:line="300" w:lineRule="exact"/>
              <w:rPr>
                <w:rFonts w:ascii="仿宋_GB2312" w:hAnsi="宋体" w:cs="宋体"/>
                <w:color w:val="000000" w:themeColor="text1"/>
              </w:rPr>
            </w:pPr>
            <w:r>
              <w:rPr>
                <w:rFonts w:hint="eastAsia" w:ascii="仿宋_GB2312" w:hAnsi="宋体" w:cs="宋体"/>
                <w:color w:val="000000" w:themeColor="text1"/>
              </w:rPr>
              <w:t>电源模块冗余</w:t>
            </w:r>
          </w:p>
          <w:p>
            <w:pPr>
              <w:spacing w:line="300" w:lineRule="exact"/>
              <w:rPr>
                <w:rFonts w:ascii="仿宋_GB2312" w:hAnsi="宋体" w:cs="宋体"/>
                <w:color w:val="000000" w:themeColor="text1"/>
              </w:rPr>
            </w:pPr>
            <w:r>
              <w:rPr>
                <w:rFonts w:hint="eastAsia" w:ascii="仿宋_GB2312" w:hAnsi="宋体" w:cs="宋体"/>
                <w:color w:val="000000" w:themeColor="text1"/>
              </w:rPr>
              <w:t>实配接口：实配≥48个万兆光口（含光模块）</w:t>
            </w:r>
          </w:p>
          <w:p>
            <w:pPr>
              <w:spacing w:line="300" w:lineRule="exact"/>
              <w:rPr>
                <w:rFonts w:ascii="仿宋_GB2312" w:hAnsi="宋体" w:cs="宋体"/>
                <w:color w:val="000000" w:themeColor="text1"/>
              </w:rPr>
            </w:pPr>
            <w:r>
              <w:rPr>
                <w:rFonts w:hint="eastAsia" w:ascii="仿宋_GB2312" w:hAnsi="宋体" w:cs="宋体"/>
                <w:color w:val="000000" w:themeColor="text1"/>
              </w:rPr>
              <w:t>支持VxLAN二层网关</w:t>
            </w:r>
          </w:p>
          <w:p>
            <w:pPr>
              <w:spacing w:line="300" w:lineRule="exact"/>
              <w:rPr>
                <w:rFonts w:ascii="仿宋_GB2312" w:hAnsi="宋体" w:cs="宋体"/>
                <w:color w:val="000000" w:themeColor="text1"/>
              </w:rPr>
            </w:pPr>
            <w:r>
              <w:rPr>
                <w:rFonts w:hint="eastAsia" w:ascii="仿宋_GB2312" w:hAnsi="宋体" w:cs="宋体"/>
                <w:color w:val="000000" w:themeColor="text1"/>
              </w:rPr>
              <w:t>支持VxLAN三层网关</w:t>
            </w:r>
          </w:p>
          <w:p>
            <w:pPr>
              <w:spacing w:line="300" w:lineRule="exact"/>
              <w:rPr>
                <w:rFonts w:ascii="仿宋_GB2312" w:hAnsi="宋体" w:cs="宋体"/>
                <w:color w:val="000000" w:themeColor="text1"/>
              </w:rPr>
            </w:pPr>
            <w:r>
              <w:rPr>
                <w:rFonts w:hint="eastAsia" w:ascii="仿宋_GB2312" w:hAnsi="宋体" w:cs="宋体"/>
                <w:color w:val="000000" w:themeColor="text1"/>
              </w:rPr>
              <w:t>支持EVPN</w:t>
            </w:r>
          </w:p>
          <w:p>
            <w:pPr>
              <w:spacing w:line="300" w:lineRule="exact"/>
              <w:rPr>
                <w:rFonts w:ascii="仿宋_GB2312" w:hAnsi="宋体" w:cs="宋体"/>
                <w:color w:val="000000" w:themeColor="text1"/>
              </w:rPr>
            </w:pPr>
            <w:r>
              <w:rPr>
                <w:rFonts w:hint="eastAsia" w:ascii="仿宋_GB2312"/>
                <w:color w:val="000000" w:themeColor="text1"/>
              </w:rPr>
              <w:t>路由特性：支持IPv4、IPv6静态路由，RIP等三层动态路由协议；支持策略路由器；支持RIP v1/2、RIPng ；支持等价路由、VRRP、OSPFv1/v2、OSPF v3、BGP、ISIS等增强三层路由协议</w:t>
            </w:r>
            <w:r>
              <w:rPr>
                <w:rFonts w:hint="eastAsia" w:ascii="仿宋_GB2312"/>
                <w:color w:val="000000" w:themeColor="text1"/>
              </w:rPr>
              <w:br w:type="textWrapping"/>
            </w:r>
            <w:r>
              <w:rPr>
                <w:rFonts w:hint="eastAsia" w:ascii="仿宋_GB2312"/>
                <w:color w:val="000000" w:themeColor="text1"/>
              </w:rPr>
              <w:t>支持链路聚合、MAC地址表、VLAN、流量监控、FHCP、ARP、MPLS、组播协议、QOS/ACL等</w:t>
            </w:r>
          </w:p>
        </w:tc>
        <w:tc>
          <w:tcPr>
            <w:tcW w:w="709" w:type="dxa"/>
            <w:noWrap/>
            <w:vAlign w:val="center"/>
          </w:tcPr>
          <w:p>
            <w:pPr>
              <w:spacing w:line="300" w:lineRule="exact"/>
              <w:jc w:val="center"/>
              <w:rPr>
                <w:rFonts w:ascii="仿宋_GB2312"/>
                <w:color w:val="000000" w:themeColor="text1"/>
              </w:rPr>
            </w:pPr>
            <w:r>
              <w:rPr>
                <w:rFonts w:hint="eastAsia" w:ascii="仿宋_GB2312"/>
                <w:color w:val="000000" w:themeColor="text1"/>
              </w:rPr>
              <w:t>16</w:t>
            </w:r>
          </w:p>
        </w:tc>
        <w:tc>
          <w:tcPr>
            <w:tcW w:w="708" w:type="dxa"/>
            <w:noWrap/>
            <w:vAlign w:val="center"/>
          </w:tcPr>
          <w:p>
            <w:pPr>
              <w:spacing w:line="300" w:lineRule="exact"/>
              <w:jc w:val="center"/>
              <w:rPr>
                <w:rFonts w:ascii="仿宋_GB2312"/>
                <w:color w:val="000000" w:themeColor="text1"/>
              </w:rPr>
            </w:pPr>
          </w:p>
        </w:tc>
        <w:tc>
          <w:tcPr>
            <w:tcW w:w="1134" w:type="dxa"/>
            <w:noWrap/>
            <w:vAlign w:val="center"/>
          </w:tcPr>
          <w:p>
            <w:pPr>
              <w:spacing w:line="300" w:lineRule="exact"/>
              <w:jc w:val="center"/>
              <w:rPr>
                <w:rFonts w:ascii="仿宋_GB2312"/>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962" w:type="dxa"/>
            <w:vMerge w:val="continue"/>
            <w:vAlign w:val="center"/>
          </w:tcPr>
          <w:p>
            <w:pPr>
              <w:spacing w:line="300" w:lineRule="exact"/>
              <w:rPr>
                <w:rFonts w:ascii="仿宋_GB2312"/>
                <w:color w:val="000000" w:themeColor="text1"/>
              </w:rPr>
            </w:pPr>
          </w:p>
        </w:tc>
        <w:tc>
          <w:tcPr>
            <w:tcW w:w="992" w:type="dxa"/>
            <w:noWrap/>
            <w:vAlign w:val="center"/>
          </w:tcPr>
          <w:p>
            <w:pPr>
              <w:spacing w:line="300" w:lineRule="exact"/>
              <w:jc w:val="center"/>
              <w:rPr>
                <w:rFonts w:ascii="仿宋_GB2312"/>
                <w:color w:val="000000" w:themeColor="text1"/>
              </w:rPr>
            </w:pPr>
            <w:r>
              <w:rPr>
                <w:rFonts w:hint="eastAsia" w:ascii="仿宋_GB2312"/>
                <w:color w:val="000000" w:themeColor="text1"/>
              </w:rPr>
              <w:t>机柜租赁费</w:t>
            </w:r>
          </w:p>
        </w:tc>
        <w:tc>
          <w:tcPr>
            <w:tcW w:w="4820" w:type="dxa"/>
            <w:vAlign w:val="center"/>
          </w:tcPr>
          <w:p>
            <w:pPr>
              <w:spacing w:line="300" w:lineRule="exact"/>
              <w:rPr>
                <w:rFonts w:ascii="仿宋_GB2312"/>
                <w:color w:val="000000" w:themeColor="text1"/>
              </w:rPr>
            </w:pPr>
            <w:r>
              <w:rPr>
                <w:rFonts w:hint="eastAsia" w:ascii="仿宋_GB2312"/>
                <w:color w:val="000000" w:themeColor="text1"/>
              </w:rPr>
              <w:t>单机架功耗不低于4000W，主备交流PDU，包含电费、链路的与空调费等</w:t>
            </w:r>
          </w:p>
        </w:tc>
        <w:tc>
          <w:tcPr>
            <w:tcW w:w="709" w:type="dxa"/>
            <w:noWrap/>
            <w:vAlign w:val="center"/>
          </w:tcPr>
          <w:p>
            <w:pPr>
              <w:spacing w:line="300" w:lineRule="exact"/>
              <w:jc w:val="center"/>
              <w:rPr>
                <w:rFonts w:ascii="仿宋_GB2312"/>
                <w:color w:val="000000" w:themeColor="text1"/>
              </w:rPr>
            </w:pPr>
            <w:r>
              <w:rPr>
                <w:rFonts w:hint="eastAsia" w:ascii="仿宋_GB2312"/>
                <w:color w:val="000000" w:themeColor="text1"/>
              </w:rPr>
              <w:t>30</w:t>
            </w:r>
          </w:p>
        </w:tc>
        <w:tc>
          <w:tcPr>
            <w:tcW w:w="708" w:type="dxa"/>
            <w:noWrap/>
            <w:vAlign w:val="center"/>
          </w:tcPr>
          <w:p>
            <w:pPr>
              <w:spacing w:line="300" w:lineRule="exact"/>
              <w:jc w:val="center"/>
              <w:rPr>
                <w:rFonts w:ascii="仿宋_GB2312"/>
                <w:color w:val="000000" w:themeColor="text1"/>
              </w:rPr>
            </w:pPr>
            <w:r>
              <w:rPr>
                <w:rFonts w:hint="eastAsia" w:ascii="仿宋_GB2312"/>
                <w:color w:val="000000" w:themeColor="text1"/>
              </w:rPr>
              <w:t>个</w:t>
            </w:r>
          </w:p>
        </w:tc>
        <w:tc>
          <w:tcPr>
            <w:tcW w:w="1134" w:type="dxa"/>
            <w:noWrap/>
            <w:vAlign w:val="center"/>
          </w:tcPr>
          <w:p>
            <w:pPr>
              <w:spacing w:line="300" w:lineRule="exact"/>
              <w:jc w:val="center"/>
              <w:rPr>
                <w:rFonts w:ascii="仿宋_GB2312"/>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962" w:type="dxa"/>
            <w:vMerge w:val="restart"/>
            <w:vAlign w:val="center"/>
          </w:tcPr>
          <w:p>
            <w:pPr>
              <w:spacing w:line="300" w:lineRule="exact"/>
              <w:rPr>
                <w:rFonts w:ascii="仿宋_GB2312"/>
                <w:color w:val="000000" w:themeColor="text1"/>
              </w:rPr>
            </w:pPr>
            <w:r>
              <w:rPr>
                <w:rFonts w:hint="eastAsia" w:ascii="仿宋_GB2312"/>
                <w:color w:val="000000" w:themeColor="text1"/>
              </w:rPr>
              <w:t>硬件配置</w:t>
            </w:r>
          </w:p>
        </w:tc>
        <w:tc>
          <w:tcPr>
            <w:tcW w:w="992" w:type="dxa"/>
            <w:noWrap/>
            <w:vAlign w:val="center"/>
          </w:tcPr>
          <w:p>
            <w:pPr>
              <w:spacing w:line="300" w:lineRule="exact"/>
              <w:jc w:val="center"/>
              <w:rPr>
                <w:rFonts w:ascii="仿宋_GB2312"/>
                <w:color w:val="000000" w:themeColor="text1"/>
              </w:rPr>
            </w:pPr>
            <w:r>
              <w:rPr>
                <w:rFonts w:hint="eastAsia" w:ascii="仿宋_GB2312"/>
                <w:color w:val="000000" w:themeColor="text1"/>
              </w:rPr>
              <w:t>服务器1</w:t>
            </w:r>
          </w:p>
        </w:tc>
        <w:tc>
          <w:tcPr>
            <w:tcW w:w="4820" w:type="dxa"/>
            <w:vAlign w:val="center"/>
          </w:tcPr>
          <w:p>
            <w:pPr>
              <w:spacing w:line="300" w:lineRule="exact"/>
              <w:rPr>
                <w:rFonts w:ascii="仿宋_GB2312"/>
                <w:color w:val="000000" w:themeColor="text1"/>
              </w:rPr>
            </w:pPr>
            <w:r>
              <w:rPr>
                <w:rFonts w:hint="eastAsia" w:ascii="仿宋_GB2312"/>
                <w:color w:val="000000" w:themeColor="text1"/>
              </w:rPr>
              <w:t>★Cpu：Intel Xeon(≥10核，主频≥2.2GHz)×2</w:t>
            </w:r>
          </w:p>
          <w:p>
            <w:pPr>
              <w:spacing w:line="300" w:lineRule="exact"/>
              <w:rPr>
                <w:rFonts w:ascii="仿宋_GB2312"/>
                <w:color w:val="000000" w:themeColor="text1"/>
              </w:rPr>
            </w:pPr>
            <w:r>
              <w:rPr>
                <w:rFonts w:hint="eastAsia" w:ascii="仿宋_GB2312"/>
                <w:color w:val="000000" w:themeColor="text1"/>
              </w:rPr>
              <w:t>★内存：≥32GB DDR4×8</w:t>
            </w:r>
          </w:p>
          <w:p>
            <w:pPr>
              <w:spacing w:line="300" w:lineRule="exact"/>
              <w:rPr>
                <w:rFonts w:ascii="仿宋_GB2312"/>
                <w:color w:val="000000" w:themeColor="text1"/>
              </w:rPr>
            </w:pPr>
            <w:r>
              <w:rPr>
                <w:rFonts w:hint="eastAsia" w:ascii="仿宋_GB2312"/>
                <w:color w:val="000000" w:themeColor="text1"/>
              </w:rPr>
              <w:t>★硬盘：≥480G SSD×2+≥1.8TB SAS×24（磁盘转速≥10K，若部分采用SSD盘代替SAS盘,则单盘容量</w:t>
            </w:r>
            <w:r>
              <w:rPr>
                <w:rFonts w:hint="eastAsia"/>
                <w:color w:val="000000" w:themeColor="text1"/>
              </w:rPr>
              <w:t>≥</w:t>
            </w:r>
            <w:r>
              <w:rPr>
                <w:rFonts w:hint="eastAsia" w:ascii="仿宋_GB2312"/>
                <w:color w:val="000000" w:themeColor="text1"/>
              </w:rPr>
              <w:t>960GB，且总容量≥43.2TB）</w:t>
            </w:r>
          </w:p>
          <w:p>
            <w:pPr>
              <w:spacing w:line="300" w:lineRule="exact"/>
              <w:rPr>
                <w:rFonts w:ascii="仿宋_GB2312"/>
                <w:color w:val="000000" w:themeColor="text1"/>
              </w:rPr>
            </w:pPr>
            <w:r>
              <w:rPr>
                <w:rFonts w:hint="eastAsia" w:ascii="仿宋_GB2312"/>
                <w:color w:val="000000" w:themeColor="text1"/>
              </w:rPr>
              <w:t>★网口：10GbE×2（光口）</w:t>
            </w:r>
          </w:p>
          <w:p>
            <w:pPr>
              <w:spacing w:line="300" w:lineRule="exact"/>
              <w:rPr>
                <w:rFonts w:ascii="仿宋_GB2312"/>
                <w:color w:val="000000" w:themeColor="text1"/>
              </w:rPr>
            </w:pPr>
            <w:r>
              <w:rPr>
                <w:rFonts w:ascii="仿宋_GB2312"/>
                <w:color w:val="000000" w:themeColor="text1"/>
              </w:rPr>
              <w:t>2</w:t>
            </w:r>
            <w:r>
              <w:rPr>
                <w:rFonts w:hint="eastAsia" w:ascii="仿宋_GB2312"/>
                <w:color w:val="000000" w:themeColor="text1"/>
              </w:rPr>
              <w:t>个热插拔冗余电源，冗余风扇</w:t>
            </w:r>
          </w:p>
          <w:p>
            <w:pPr>
              <w:spacing w:line="300" w:lineRule="exact"/>
              <w:rPr>
                <w:rFonts w:ascii="仿宋_GB2312"/>
                <w:color w:val="000000" w:themeColor="text1"/>
              </w:rPr>
            </w:pPr>
            <w:r>
              <w:rPr>
                <w:rFonts w:hint="eastAsia" w:ascii="仿宋_GB2312"/>
                <w:color w:val="000000" w:themeColor="text1"/>
              </w:rPr>
              <w:t>工作温度</w:t>
            </w:r>
            <w:r>
              <w:rPr>
                <w:rFonts w:ascii="仿宋_GB2312"/>
                <w:color w:val="000000" w:themeColor="text1"/>
              </w:rPr>
              <w:t>:</w:t>
            </w:r>
            <w:r>
              <w:rPr>
                <w:rFonts w:hint="eastAsia" w:ascii="仿宋_GB2312"/>
                <w:color w:val="000000" w:themeColor="text1"/>
              </w:rPr>
              <w:t>支持最高</w:t>
            </w:r>
            <w:r>
              <w:rPr>
                <w:rFonts w:ascii="仿宋_GB2312"/>
                <w:color w:val="000000" w:themeColor="text1"/>
              </w:rPr>
              <w:t>5-40</w:t>
            </w:r>
            <w:r>
              <w:rPr>
                <w:rFonts w:hint="eastAsia" w:ascii="仿宋_GB2312"/>
                <w:color w:val="000000" w:themeColor="text1"/>
              </w:rPr>
              <w:t>°</w:t>
            </w:r>
            <w:r>
              <w:rPr>
                <w:rFonts w:ascii="仿宋_GB2312"/>
                <w:color w:val="000000" w:themeColor="text1"/>
              </w:rPr>
              <w:t>C</w:t>
            </w:r>
            <w:r>
              <w:rPr>
                <w:rFonts w:hint="eastAsia" w:ascii="仿宋_GB2312"/>
                <w:color w:val="000000" w:themeColor="text1"/>
              </w:rPr>
              <w:t>标准工作温度</w:t>
            </w:r>
          </w:p>
          <w:p>
            <w:pPr>
              <w:spacing w:line="300" w:lineRule="exact"/>
              <w:rPr>
                <w:rFonts w:ascii="仿宋_GB2312"/>
                <w:color w:val="000000" w:themeColor="text1"/>
              </w:rPr>
            </w:pPr>
            <w:r>
              <w:rPr>
                <w:rFonts w:hint="eastAsia" w:ascii="仿宋_GB2312"/>
                <w:color w:val="000000" w:themeColor="text1"/>
              </w:rPr>
              <w:t>网络带宽</w:t>
            </w:r>
            <w:r>
              <w:rPr>
                <w:rFonts w:ascii="仿宋_GB2312"/>
                <w:color w:val="000000" w:themeColor="text1"/>
              </w:rPr>
              <w:t>:</w:t>
            </w:r>
            <w:r>
              <w:rPr>
                <w:rFonts w:hint="eastAsia" w:ascii="仿宋_GB2312"/>
                <w:color w:val="000000" w:themeColor="text1"/>
              </w:rPr>
              <w:t>支持多种网络带宽；</w:t>
            </w:r>
          </w:p>
          <w:p>
            <w:pPr>
              <w:spacing w:line="300" w:lineRule="exact"/>
              <w:rPr>
                <w:rFonts w:ascii="仿宋_GB2312"/>
                <w:color w:val="000000" w:themeColor="text1"/>
              </w:rPr>
            </w:pPr>
            <w:r>
              <w:rPr>
                <w:rFonts w:hint="eastAsia" w:ascii="仿宋_GB2312"/>
                <w:color w:val="000000" w:themeColor="text1"/>
              </w:rPr>
              <w:t>配置≥</w:t>
            </w:r>
            <w:r>
              <w:rPr>
                <w:rFonts w:ascii="仿宋_GB2312"/>
                <w:color w:val="000000" w:themeColor="text1"/>
              </w:rPr>
              <w:t>1Gb</w:t>
            </w:r>
            <w:r>
              <w:rPr>
                <w:rFonts w:hint="eastAsia" w:ascii="仿宋_GB2312"/>
                <w:color w:val="000000" w:themeColor="text1"/>
              </w:rPr>
              <w:t>独立的远程管理控制端口；</w:t>
            </w:r>
          </w:p>
          <w:p>
            <w:pPr>
              <w:spacing w:line="300" w:lineRule="exact"/>
              <w:rPr>
                <w:rFonts w:ascii="仿宋_GB2312"/>
                <w:color w:val="000000" w:themeColor="text1"/>
              </w:rPr>
            </w:pPr>
            <w:r>
              <w:rPr>
                <w:rFonts w:hint="eastAsia" w:ascii="仿宋_GB2312"/>
                <w:color w:val="000000" w:themeColor="text1"/>
              </w:rPr>
              <w:t>阵列控制器</w:t>
            </w:r>
            <w:r>
              <w:rPr>
                <w:rFonts w:ascii="仿宋_GB2312"/>
                <w:color w:val="000000" w:themeColor="text1"/>
              </w:rPr>
              <w:t>:</w:t>
            </w:r>
            <w:r>
              <w:rPr>
                <w:rFonts w:hint="eastAsia" w:ascii="仿宋_GB2312"/>
                <w:color w:val="000000" w:themeColor="text1"/>
              </w:rPr>
              <w:t>≥</w:t>
            </w:r>
            <w:r>
              <w:rPr>
                <w:rFonts w:ascii="仿宋_GB2312"/>
                <w:color w:val="000000" w:themeColor="text1"/>
              </w:rPr>
              <w:t>1</w:t>
            </w:r>
            <w:r>
              <w:rPr>
                <w:rFonts w:hint="eastAsia" w:ascii="仿宋_GB2312"/>
                <w:color w:val="000000" w:themeColor="text1"/>
              </w:rPr>
              <w:t>个标配</w:t>
            </w:r>
            <w:r>
              <w:rPr>
                <w:rFonts w:ascii="仿宋_GB2312"/>
                <w:color w:val="000000" w:themeColor="text1"/>
              </w:rPr>
              <w:t>RAID</w:t>
            </w:r>
            <w:r>
              <w:rPr>
                <w:rFonts w:hint="eastAsia" w:ascii="仿宋_GB2312"/>
                <w:color w:val="000000" w:themeColor="text1"/>
              </w:rPr>
              <w:t>阵列卡。</w:t>
            </w:r>
          </w:p>
        </w:tc>
        <w:tc>
          <w:tcPr>
            <w:tcW w:w="709" w:type="dxa"/>
            <w:noWrap/>
            <w:vAlign w:val="center"/>
          </w:tcPr>
          <w:p>
            <w:pPr>
              <w:spacing w:line="300" w:lineRule="exact"/>
              <w:jc w:val="center"/>
              <w:rPr>
                <w:rFonts w:ascii="仿宋_GB2312"/>
                <w:color w:val="000000" w:themeColor="text1"/>
              </w:rPr>
            </w:pPr>
            <w:r>
              <w:rPr>
                <w:rFonts w:hint="eastAsia" w:ascii="仿宋_GB2312"/>
                <w:color w:val="000000" w:themeColor="text1"/>
              </w:rPr>
              <w:t>42</w:t>
            </w:r>
          </w:p>
        </w:tc>
        <w:tc>
          <w:tcPr>
            <w:tcW w:w="708" w:type="dxa"/>
            <w:noWrap/>
            <w:vAlign w:val="center"/>
          </w:tcPr>
          <w:p>
            <w:pPr>
              <w:spacing w:line="300" w:lineRule="exact"/>
              <w:jc w:val="center"/>
              <w:rPr>
                <w:rFonts w:ascii="仿宋_GB2312"/>
                <w:color w:val="000000" w:themeColor="text1"/>
              </w:rPr>
            </w:pPr>
            <w:r>
              <w:rPr>
                <w:rFonts w:hint="eastAsia" w:ascii="仿宋_GB2312"/>
                <w:color w:val="000000" w:themeColor="text1"/>
              </w:rPr>
              <w:t>台</w:t>
            </w:r>
          </w:p>
        </w:tc>
        <w:tc>
          <w:tcPr>
            <w:tcW w:w="1134" w:type="dxa"/>
            <w:noWrap/>
            <w:vAlign w:val="center"/>
          </w:tcPr>
          <w:p>
            <w:pPr>
              <w:spacing w:line="300" w:lineRule="exact"/>
              <w:jc w:val="center"/>
              <w:rPr>
                <w:rFonts w:ascii="仿宋_GB2312"/>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962" w:type="dxa"/>
            <w:vMerge w:val="continue"/>
            <w:vAlign w:val="center"/>
          </w:tcPr>
          <w:p>
            <w:pPr>
              <w:spacing w:line="300" w:lineRule="exact"/>
              <w:rPr>
                <w:rFonts w:ascii="仿宋_GB2312"/>
                <w:color w:val="000000" w:themeColor="text1"/>
              </w:rPr>
            </w:pPr>
          </w:p>
        </w:tc>
        <w:tc>
          <w:tcPr>
            <w:tcW w:w="992" w:type="dxa"/>
            <w:noWrap/>
            <w:vAlign w:val="center"/>
          </w:tcPr>
          <w:p>
            <w:pPr>
              <w:spacing w:line="300" w:lineRule="exact"/>
              <w:jc w:val="center"/>
              <w:rPr>
                <w:rFonts w:ascii="仿宋_GB2312"/>
                <w:color w:val="000000" w:themeColor="text1"/>
              </w:rPr>
            </w:pPr>
            <w:r>
              <w:rPr>
                <w:rFonts w:hint="eastAsia" w:ascii="仿宋_GB2312"/>
                <w:color w:val="000000" w:themeColor="text1"/>
              </w:rPr>
              <w:t>服务器</w:t>
            </w:r>
            <w:r>
              <w:rPr>
                <w:rFonts w:ascii="仿宋_GB2312"/>
                <w:color w:val="000000" w:themeColor="text1"/>
              </w:rPr>
              <w:t>2</w:t>
            </w:r>
          </w:p>
        </w:tc>
        <w:tc>
          <w:tcPr>
            <w:tcW w:w="4820" w:type="dxa"/>
          </w:tcPr>
          <w:p>
            <w:pPr>
              <w:spacing w:line="300" w:lineRule="exact"/>
              <w:rPr>
                <w:rFonts w:ascii="仿宋_GB2312"/>
                <w:color w:val="000000" w:themeColor="text1"/>
              </w:rPr>
            </w:pPr>
            <w:r>
              <w:rPr>
                <w:rFonts w:hint="eastAsia"/>
                <w:color w:val="000000" w:themeColor="text1"/>
              </w:rPr>
              <w:t>★</w:t>
            </w:r>
            <w:r>
              <w:rPr>
                <w:rFonts w:hint="eastAsia" w:ascii="仿宋_GB2312"/>
                <w:color w:val="000000" w:themeColor="text1"/>
              </w:rPr>
              <w:t>Cpu：Intel Xeon(≥10核，主频≥2.2GHz)×2</w:t>
            </w:r>
          </w:p>
          <w:p>
            <w:pPr>
              <w:spacing w:line="300" w:lineRule="exact"/>
              <w:rPr>
                <w:rFonts w:ascii="仿宋_GB2312"/>
                <w:color w:val="000000" w:themeColor="text1"/>
              </w:rPr>
            </w:pPr>
            <w:r>
              <w:rPr>
                <w:rFonts w:hint="eastAsia" w:ascii="仿宋_GB2312"/>
                <w:color w:val="000000" w:themeColor="text1"/>
              </w:rPr>
              <w:t>★内存：≥32GB DDR4×8</w:t>
            </w:r>
          </w:p>
          <w:p>
            <w:pPr>
              <w:spacing w:line="300" w:lineRule="exact"/>
              <w:rPr>
                <w:rFonts w:ascii="仿宋_GB2312"/>
                <w:color w:val="000000" w:themeColor="text1"/>
              </w:rPr>
            </w:pPr>
            <w:r>
              <w:rPr>
                <w:rFonts w:hint="eastAsia" w:ascii="仿宋_GB2312"/>
                <w:color w:val="000000" w:themeColor="text1"/>
              </w:rPr>
              <w:t>★硬盘：≥480G SSD×2+≥1.2TB SAS×12（磁盘转速≥10K，若部分采用SSD盘代替SAS盘,则单盘容量</w:t>
            </w:r>
            <w:r>
              <w:rPr>
                <w:rFonts w:hint="eastAsia"/>
                <w:color w:val="000000" w:themeColor="text1"/>
              </w:rPr>
              <w:t>≥</w:t>
            </w:r>
            <w:r>
              <w:rPr>
                <w:rFonts w:hint="eastAsia" w:ascii="仿宋_GB2312"/>
                <w:color w:val="000000" w:themeColor="text1"/>
              </w:rPr>
              <w:t>480GB，且总容量≥14.4TB）</w:t>
            </w:r>
          </w:p>
          <w:p>
            <w:pPr>
              <w:spacing w:line="300" w:lineRule="exact"/>
              <w:rPr>
                <w:rFonts w:ascii="仿宋_GB2312"/>
                <w:color w:val="000000" w:themeColor="text1"/>
              </w:rPr>
            </w:pPr>
            <w:r>
              <w:rPr>
                <w:rFonts w:hint="eastAsia" w:ascii="仿宋_GB2312"/>
                <w:color w:val="000000" w:themeColor="text1"/>
              </w:rPr>
              <w:t>★网口：10GbE×2（光口）</w:t>
            </w:r>
          </w:p>
          <w:p>
            <w:pPr>
              <w:spacing w:line="300" w:lineRule="exact"/>
              <w:rPr>
                <w:rFonts w:ascii="仿宋_GB2312"/>
                <w:color w:val="000000" w:themeColor="text1"/>
              </w:rPr>
            </w:pPr>
            <w:r>
              <w:rPr>
                <w:rFonts w:ascii="仿宋_GB2312"/>
                <w:color w:val="000000" w:themeColor="text1"/>
              </w:rPr>
              <w:t>2</w:t>
            </w:r>
            <w:r>
              <w:rPr>
                <w:rFonts w:hint="eastAsia" w:ascii="仿宋_GB2312"/>
                <w:color w:val="000000" w:themeColor="text1"/>
              </w:rPr>
              <w:t>个热插拔冗余电源，冗余风扇</w:t>
            </w:r>
          </w:p>
          <w:p>
            <w:pPr>
              <w:spacing w:line="300" w:lineRule="exact"/>
              <w:rPr>
                <w:rFonts w:ascii="仿宋_GB2312"/>
                <w:color w:val="000000" w:themeColor="text1"/>
              </w:rPr>
            </w:pPr>
            <w:r>
              <w:rPr>
                <w:rFonts w:hint="eastAsia" w:ascii="仿宋_GB2312"/>
                <w:color w:val="000000" w:themeColor="text1"/>
              </w:rPr>
              <w:t>工作温度</w:t>
            </w:r>
            <w:r>
              <w:rPr>
                <w:rFonts w:ascii="仿宋_GB2312"/>
                <w:color w:val="000000" w:themeColor="text1"/>
              </w:rPr>
              <w:t>:</w:t>
            </w:r>
            <w:r>
              <w:rPr>
                <w:rFonts w:hint="eastAsia" w:ascii="仿宋_GB2312"/>
                <w:color w:val="000000" w:themeColor="text1"/>
              </w:rPr>
              <w:t>支持最高</w:t>
            </w:r>
            <w:r>
              <w:rPr>
                <w:rFonts w:ascii="仿宋_GB2312"/>
                <w:color w:val="000000" w:themeColor="text1"/>
              </w:rPr>
              <w:t>5-40</w:t>
            </w:r>
            <w:r>
              <w:rPr>
                <w:rFonts w:hint="eastAsia" w:ascii="仿宋_GB2312"/>
                <w:color w:val="000000" w:themeColor="text1"/>
              </w:rPr>
              <w:t>°</w:t>
            </w:r>
            <w:r>
              <w:rPr>
                <w:rFonts w:ascii="仿宋_GB2312"/>
                <w:color w:val="000000" w:themeColor="text1"/>
              </w:rPr>
              <w:t>C</w:t>
            </w:r>
            <w:r>
              <w:rPr>
                <w:rFonts w:hint="eastAsia" w:ascii="仿宋_GB2312"/>
                <w:color w:val="000000" w:themeColor="text1"/>
              </w:rPr>
              <w:t>标准工作温度</w:t>
            </w:r>
          </w:p>
          <w:p>
            <w:pPr>
              <w:spacing w:line="300" w:lineRule="exact"/>
              <w:rPr>
                <w:rFonts w:ascii="仿宋_GB2312"/>
                <w:color w:val="000000" w:themeColor="text1"/>
              </w:rPr>
            </w:pPr>
            <w:r>
              <w:rPr>
                <w:rFonts w:hint="eastAsia" w:ascii="仿宋_GB2312"/>
                <w:color w:val="000000" w:themeColor="text1"/>
              </w:rPr>
              <w:t>网络带宽</w:t>
            </w:r>
            <w:r>
              <w:rPr>
                <w:rFonts w:ascii="仿宋_GB2312"/>
                <w:color w:val="000000" w:themeColor="text1"/>
              </w:rPr>
              <w:t>:</w:t>
            </w:r>
            <w:r>
              <w:rPr>
                <w:rFonts w:hint="eastAsia" w:ascii="仿宋_GB2312"/>
                <w:color w:val="000000" w:themeColor="text1"/>
              </w:rPr>
              <w:t>支持多种网络带宽；</w:t>
            </w:r>
          </w:p>
          <w:p>
            <w:pPr>
              <w:spacing w:line="300" w:lineRule="exact"/>
              <w:rPr>
                <w:rFonts w:ascii="仿宋_GB2312"/>
                <w:color w:val="000000" w:themeColor="text1"/>
              </w:rPr>
            </w:pPr>
            <w:r>
              <w:rPr>
                <w:rFonts w:hint="eastAsia" w:ascii="仿宋_GB2312"/>
                <w:color w:val="000000" w:themeColor="text1"/>
              </w:rPr>
              <w:t>配置≥</w:t>
            </w:r>
            <w:r>
              <w:rPr>
                <w:rFonts w:ascii="仿宋_GB2312"/>
                <w:color w:val="000000" w:themeColor="text1"/>
              </w:rPr>
              <w:t>1Gb</w:t>
            </w:r>
            <w:r>
              <w:rPr>
                <w:rFonts w:hint="eastAsia" w:ascii="仿宋_GB2312"/>
                <w:color w:val="000000" w:themeColor="text1"/>
              </w:rPr>
              <w:t>独立的远程管理控制端口；</w:t>
            </w:r>
          </w:p>
          <w:p>
            <w:pPr>
              <w:spacing w:line="300" w:lineRule="exact"/>
              <w:rPr>
                <w:rFonts w:ascii="仿宋_GB2312"/>
                <w:color w:val="000000" w:themeColor="text1"/>
              </w:rPr>
            </w:pPr>
            <w:r>
              <w:rPr>
                <w:rFonts w:hint="eastAsia" w:ascii="仿宋_GB2312"/>
                <w:color w:val="000000" w:themeColor="text1"/>
              </w:rPr>
              <w:t>阵列控制器</w:t>
            </w:r>
            <w:r>
              <w:rPr>
                <w:rFonts w:ascii="仿宋_GB2312"/>
                <w:color w:val="000000" w:themeColor="text1"/>
              </w:rPr>
              <w:t>:</w:t>
            </w:r>
            <w:r>
              <w:rPr>
                <w:rFonts w:hint="eastAsia" w:ascii="仿宋_GB2312"/>
                <w:color w:val="000000" w:themeColor="text1"/>
              </w:rPr>
              <w:t>≥</w:t>
            </w:r>
            <w:r>
              <w:rPr>
                <w:rFonts w:ascii="仿宋_GB2312"/>
                <w:color w:val="000000" w:themeColor="text1"/>
              </w:rPr>
              <w:t>1</w:t>
            </w:r>
            <w:r>
              <w:rPr>
                <w:rFonts w:hint="eastAsia" w:ascii="仿宋_GB2312"/>
                <w:color w:val="000000" w:themeColor="text1"/>
              </w:rPr>
              <w:t>个标配</w:t>
            </w:r>
            <w:r>
              <w:rPr>
                <w:rFonts w:ascii="仿宋_GB2312"/>
                <w:color w:val="000000" w:themeColor="text1"/>
              </w:rPr>
              <w:t>RAID</w:t>
            </w:r>
            <w:r>
              <w:rPr>
                <w:rFonts w:hint="eastAsia" w:ascii="仿宋_GB2312"/>
                <w:color w:val="000000" w:themeColor="text1"/>
              </w:rPr>
              <w:t>阵列卡。</w:t>
            </w:r>
          </w:p>
        </w:tc>
        <w:tc>
          <w:tcPr>
            <w:tcW w:w="709" w:type="dxa"/>
            <w:noWrap/>
            <w:vAlign w:val="center"/>
          </w:tcPr>
          <w:p>
            <w:pPr>
              <w:spacing w:line="300" w:lineRule="exact"/>
              <w:jc w:val="center"/>
              <w:rPr>
                <w:rFonts w:ascii="仿宋_GB2312"/>
                <w:color w:val="000000" w:themeColor="text1"/>
              </w:rPr>
            </w:pPr>
            <w:r>
              <w:rPr>
                <w:rFonts w:hint="eastAsia" w:ascii="仿宋_GB2312"/>
                <w:color w:val="000000" w:themeColor="text1"/>
              </w:rPr>
              <w:t>77</w:t>
            </w:r>
          </w:p>
        </w:tc>
        <w:tc>
          <w:tcPr>
            <w:tcW w:w="708" w:type="dxa"/>
            <w:noWrap/>
            <w:vAlign w:val="center"/>
          </w:tcPr>
          <w:p>
            <w:pPr>
              <w:spacing w:line="300" w:lineRule="exact"/>
              <w:jc w:val="center"/>
              <w:rPr>
                <w:rFonts w:ascii="仿宋_GB2312"/>
                <w:color w:val="000000" w:themeColor="text1"/>
              </w:rPr>
            </w:pPr>
            <w:r>
              <w:rPr>
                <w:rFonts w:hint="eastAsia" w:ascii="仿宋_GB2312"/>
                <w:color w:val="000000" w:themeColor="text1"/>
              </w:rPr>
              <w:t>台</w:t>
            </w:r>
          </w:p>
        </w:tc>
        <w:tc>
          <w:tcPr>
            <w:tcW w:w="1134" w:type="dxa"/>
            <w:noWrap/>
            <w:vAlign w:val="center"/>
          </w:tcPr>
          <w:p>
            <w:pPr>
              <w:spacing w:line="300" w:lineRule="exact"/>
              <w:jc w:val="center"/>
              <w:rPr>
                <w:rFonts w:ascii="仿宋_GB2312"/>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962" w:type="dxa"/>
            <w:vMerge w:val="continue"/>
            <w:vAlign w:val="center"/>
          </w:tcPr>
          <w:p>
            <w:pPr>
              <w:spacing w:line="300" w:lineRule="exact"/>
              <w:rPr>
                <w:rFonts w:ascii="仿宋_GB2312"/>
                <w:color w:val="000000" w:themeColor="text1"/>
              </w:rPr>
            </w:pPr>
          </w:p>
        </w:tc>
        <w:tc>
          <w:tcPr>
            <w:tcW w:w="992" w:type="dxa"/>
            <w:noWrap/>
            <w:vAlign w:val="center"/>
          </w:tcPr>
          <w:p>
            <w:pPr>
              <w:spacing w:line="300" w:lineRule="exact"/>
              <w:jc w:val="center"/>
              <w:rPr>
                <w:rFonts w:ascii="仿宋_GB2312"/>
                <w:color w:val="000000" w:themeColor="text1"/>
              </w:rPr>
            </w:pPr>
            <w:r>
              <w:rPr>
                <w:rFonts w:hint="eastAsia" w:ascii="仿宋_GB2312"/>
                <w:color w:val="000000" w:themeColor="text1"/>
              </w:rPr>
              <w:t>服务器3</w:t>
            </w:r>
          </w:p>
        </w:tc>
        <w:tc>
          <w:tcPr>
            <w:tcW w:w="4820" w:type="dxa"/>
          </w:tcPr>
          <w:p>
            <w:pPr>
              <w:spacing w:line="300" w:lineRule="exact"/>
              <w:rPr>
                <w:rFonts w:ascii="仿宋_GB2312"/>
                <w:color w:val="000000" w:themeColor="text1"/>
              </w:rPr>
            </w:pPr>
            <w:r>
              <w:rPr>
                <w:rFonts w:hint="eastAsia" w:ascii="仿宋_GB2312"/>
                <w:color w:val="000000" w:themeColor="text1"/>
              </w:rPr>
              <w:t>★Cpu：Intel Xeon(CPU≥10核，主频≥2.4GHz)×2</w:t>
            </w:r>
          </w:p>
          <w:p>
            <w:pPr>
              <w:spacing w:line="300" w:lineRule="exact"/>
              <w:rPr>
                <w:rFonts w:ascii="仿宋_GB2312"/>
                <w:color w:val="000000" w:themeColor="text1"/>
              </w:rPr>
            </w:pPr>
            <w:r>
              <w:rPr>
                <w:rFonts w:hint="eastAsia" w:ascii="仿宋_GB2312"/>
                <w:color w:val="000000" w:themeColor="text1"/>
              </w:rPr>
              <w:t>★内存：≥32GB DDR4×8</w:t>
            </w:r>
          </w:p>
          <w:p>
            <w:pPr>
              <w:spacing w:line="300" w:lineRule="exact"/>
              <w:rPr>
                <w:rFonts w:ascii="仿宋_GB2312"/>
                <w:color w:val="000000" w:themeColor="text1"/>
              </w:rPr>
            </w:pPr>
            <w:r>
              <w:rPr>
                <w:rFonts w:hint="eastAsia" w:ascii="仿宋_GB2312"/>
                <w:color w:val="000000" w:themeColor="text1"/>
              </w:rPr>
              <w:t>★硬盘：≥600G SAS（磁盘转速≥10K）×2+≥1.2TB SAS×12（磁盘转速≥10K，若部分采用SSD盘代替SAS盘,则单盘容量</w:t>
            </w:r>
            <w:r>
              <w:rPr>
                <w:rFonts w:hint="eastAsia"/>
                <w:color w:val="000000" w:themeColor="text1"/>
              </w:rPr>
              <w:t>≥</w:t>
            </w:r>
            <w:r>
              <w:rPr>
                <w:rFonts w:hint="eastAsia" w:ascii="仿宋_GB2312"/>
                <w:color w:val="000000" w:themeColor="text1"/>
              </w:rPr>
              <w:t>480GB，且总容量≥14.4TB）</w:t>
            </w:r>
          </w:p>
          <w:p>
            <w:pPr>
              <w:spacing w:line="300" w:lineRule="exact"/>
              <w:rPr>
                <w:rFonts w:ascii="仿宋_GB2312"/>
                <w:color w:val="000000" w:themeColor="text1"/>
              </w:rPr>
            </w:pPr>
            <w:r>
              <w:rPr>
                <w:rFonts w:hint="eastAsia" w:ascii="仿宋_GB2312"/>
                <w:color w:val="000000" w:themeColor="text1"/>
              </w:rPr>
              <w:t>★网口：10GbE×2（光口）</w:t>
            </w:r>
          </w:p>
          <w:p>
            <w:pPr>
              <w:spacing w:line="300" w:lineRule="exact"/>
              <w:rPr>
                <w:rFonts w:ascii="仿宋_GB2312"/>
                <w:color w:val="000000" w:themeColor="text1"/>
              </w:rPr>
            </w:pPr>
            <w:r>
              <w:rPr>
                <w:rFonts w:ascii="仿宋_GB2312"/>
                <w:color w:val="000000" w:themeColor="text1"/>
              </w:rPr>
              <w:t>2</w:t>
            </w:r>
            <w:r>
              <w:rPr>
                <w:rFonts w:hint="eastAsia" w:ascii="仿宋_GB2312"/>
                <w:color w:val="000000" w:themeColor="text1"/>
              </w:rPr>
              <w:t>个热插拔冗余电源，冗余风扇</w:t>
            </w:r>
          </w:p>
          <w:p>
            <w:pPr>
              <w:spacing w:line="300" w:lineRule="exact"/>
              <w:rPr>
                <w:rFonts w:ascii="仿宋_GB2312"/>
                <w:color w:val="000000" w:themeColor="text1"/>
              </w:rPr>
            </w:pPr>
            <w:r>
              <w:rPr>
                <w:rFonts w:hint="eastAsia" w:ascii="仿宋_GB2312"/>
                <w:color w:val="000000" w:themeColor="text1"/>
              </w:rPr>
              <w:t>工作温度</w:t>
            </w:r>
            <w:r>
              <w:rPr>
                <w:rFonts w:ascii="仿宋_GB2312"/>
                <w:color w:val="000000" w:themeColor="text1"/>
              </w:rPr>
              <w:t>:</w:t>
            </w:r>
            <w:r>
              <w:rPr>
                <w:rFonts w:hint="eastAsia" w:ascii="仿宋_GB2312"/>
                <w:color w:val="000000" w:themeColor="text1"/>
              </w:rPr>
              <w:t>支持最高</w:t>
            </w:r>
            <w:r>
              <w:rPr>
                <w:rFonts w:ascii="仿宋_GB2312"/>
                <w:color w:val="000000" w:themeColor="text1"/>
              </w:rPr>
              <w:t>5-40</w:t>
            </w:r>
            <w:r>
              <w:rPr>
                <w:rFonts w:hint="eastAsia" w:ascii="仿宋_GB2312"/>
                <w:color w:val="000000" w:themeColor="text1"/>
              </w:rPr>
              <w:t>°</w:t>
            </w:r>
            <w:r>
              <w:rPr>
                <w:rFonts w:ascii="仿宋_GB2312"/>
                <w:color w:val="000000" w:themeColor="text1"/>
              </w:rPr>
              <w:t>C</w:t>
            </w:r>
            <w:r>
              <w:rPr>
                <w:rFonts w:hint="eastAsia" w:ascii="仿宋_GB2312"/>
                <w:color w:val="000000" w:themeColor="text1"/>
              </w:rPr>
              <w:t>标准工作温度</w:t>
            </w:r>
          </w:p>
          <w:p>
            <w:pPr>
              <w:spacing w:line="300" w:lineRule="exact"/>
              <w:rPr>
                <w:rFonts w:ascii="仿宋_GB2312"/>
                <w:color w:val="000000" w:themeColor="text1"/>
              </w:rPr>
            </w:pPr>
            <w:r>
              <w:rPr>
                <w:rFonts w:hint="eastAsia" w:ascii="仿宋_GB2312"/>
                <w:color w:val="000000" w:themeColor="text1"/>
              </w:rPr>
              <w:t>网络带宽</w:t>
            </w:r>
            <w:r>
              <w:rPr>
                <w:rFonts w:ascii="仿宋_GB2312"/>
                <w:color w:val="000000" w:themeColor="text1"/>
              </w:rPr>
              <w:t>:</w:t>
            </w:r>
            <w:r>
              <w:rPr>
                <w:rFonts w:hint="eastAsia" w:ascii="仿宋_GB2312"/>
                <w:color w:val="000000" w:themeColor="text1"/>
              </w:rPr>
              <w:t>支持多种网络带宽；</w:t>
            </w:r>
          </w:p>
          <w:p>
            <w:pPr>
              <w:spacing w:line="300" w:lineRule="exact"/>
              <w:rPr>
                <w:rFonts w:ascii="仿宋_GB2312"/>
                <w:color w:val="000000" w:themeColor="text1"/>
              </w:rPr>
            </w:pPr>
            <w:r>
              <w:rPr>
                <w:rFonts w:hint="eastAsia" w:ascii="仿宋_GB2312"/>
                <w:color w:val="000000" w:themeColor="text1"/>
              </w:rPr>
              <w:t>配置≥</w:t>
            </w:r>
            <w:r>
              <w:rPr>
                <w:rFonts w:ascii="仿宋_GB2312"/>
                <w:color w:val="000000" w:themeColor="text1"/>
              </w:rPr>
              <w:t>1Gb</w:t>
            </w:r>
            <w:r>
              <w:rPr>
                <w:rFonts w:hint="eastAsia" w:ascii="仿宋_GB2312"/>
                <w:color w:val="000000" w:themeColor="text1"/>
              </w:rPr>
              <w:t>独立的远程管理控制端口；</w:t>
            </w:r>
          </w:p>
          <w:p>
            <w:pPr>
              <w:spacing w:line="300" w:lineRule="exact"/>
              <w:rPr>
                <w:rFonts w:ascii="仿宋_GB2312"/>
                <w:color w:val="000000" w:themeColor="text1"/>
              </w:rPr>
            </w:pPr>
            <w:r>
              <w:rPr>
                <w:rFonts w:hint="eastAsia" w:ascii="仿宋_GB2312"/>
                <w:color w:val="000000" w:themeColor="text1"/>
              </w:rPr>
              <w:t>阵列控制器</w:t>
            </w:r>
            <w:r>
              <w:rPr>
                <w:rFonts w:ascii="仿宋_GB2312"/>
                <w:color w:val="000000" w:themeColor="text1"/>
              </w:rPr>
              <w:t>:</w:t>
            </w:r>
            <w:r>
              <w:rPr>
                <w:rFonts w:hint="eastAsia" w:ascii="仿宋_GB2312"/>
                <w:color w:val="000000" w:themeColor="text1"/>
              </w:rPr>
              <w:t>≥</w:t>
            </w:r>
            <w:r>
              <w:rPr>
                <w:rFonts w:ascii="仿宋_GB2312"/>
                <w:color w:val="000000" w:themeColor="text1"/>
              </w:rPr>
              <w:t>1</w:t>
            </w:r>
            <w:r>
              <w:rPr>
                <w:rFonts w:hint="eastAsia" w:ascii="仿宋_GB2312"/>
                <w:color w:val="000000" w:themeColor="text1"/>
              </w:rPr>
              <w:t>个标配</w:t>
            </w:r>
            <w:r>
              <w:rPr>
                <w:rFonts w:ascii="仿宋_GB2312"/>
                <w:color w:val="000000" w:themeColor="text1"/>
              </w:rPr>
              <w:t>RAID</w:t>
            </w:r>
            <w:r>
              <w:rPr>
                <w:rFonts w:hint="eastAsia" w:ascii="仿宋_GB2312"/>
                <w:color w:val="000000" w:themeColor="text1"/>
              </w:rPr>
              <w:t>阵列卡。</w:t>
            </w:r>
          </w:p>
        </w:tc>
        <w:tc>
          <w:tcPr>
            <w:tcW w:w="709" w:type="dxa"/>
            <w:noWrap/>
            <w:vAlign w:val="center"/>
          </w:tcPr>
          <w:p>
            <w:pPr>
              <w:spacing w:line="300" w:lineRule="exact"/>
              <w:jc w:val="center"/>
              <w:rPr>
                <w:rFonts w:ascii="仿宋_GB2312"/>
                <w:color w:val="000000" w:themeColor="text1"/>
              </w:rPr>
            </w:pPr>
            <w:r>
              <w:rPr>
                <w:rFonts w:hint="eastAsia" w:ascii="仿宋_GB2312"/>
                <w:color w:val="000000" w:themeColor="text1"/>
              </w:rPr>
              <w:t>96</w:t>
            </w:r>
          </w:p>
        </w:tc>
        <w:tc>
          <w:tcPr>
            <w:tcW w:w="708" w:type="dxa"/>
            <w:noWrap/>
            <w:vAlign w:val="center"/>
          </w:tcPr>
          <w:p>
            <w:pPr>
              <w:spacing w:line="300" w:lineRule="exact"/>
              <w:jc w:val="center"/>
              <w:rPr>
                <w:rFonts w:ascii="仿宋_GB2312"/>
                <w:color w:val="000000" w:themeColor="text1"/>
              </w:rPr>
            </w:pPr>
            <w:r>
              <w:rPr>
                <w:rFonts w:hint="eastAsia" w:ascii="仿宋_GB2312"/>
                <w:color w:val="000000" w:themeColor="text1"/>
              </w:rPr>
              <w:t>台</w:t>
            </w:r>
          </w:p>
        </w:tc>
        <w:tc>
          <w:tcPr>
            <w:tcW w:w="1134" w:type="dxa"/>
            <w:noWrap/>
            <w:vAlign w:val="center"/>
          </w:tcPr>
          <w:p>
            <w:pPr>
              <w:spacing w:line="300" w:lineRule="exact"/>
              <w:jc w:val="center"/>
              <w:rPr>
                <w:rFonts w:ascii="仿宋_GB2312"/>
                <w:color w:val="000000" w:themeColor="text1"/>
              </w:rPr>
            </w:pPr>
            <w:r>
              <w:rPr>
                <w:rFonts w:hint="eastAsia" w:ascii="仿宋_GB2312"/>
                <w:color w:val="000000" w:themeColor="text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962" w:type="dxa"/>
            <w:vMerge w:val="continue"/>
            <w:vAlign w:val="center"/>
          </w:tcPr>
          <w:p>
            <w:pPr>
              <w:spacing w:line="300" w:lineRule="exact"/>
              <w:rPr>
                <w:rFonts w:ascii="仿宋_GB2312"/>
                <w:color w:val="000000" w:themeColor="text1"/>
              </w:rPr>
            </w:pPr>
          </w:p>
        </w:tc>
        <w:tc>
          <w:tcPr>
            <w:tcW w:w="992" w:type="dxa"/>
            <w:noWrap/>
            <w:vAlign w:val="center"/>
          </w:tcPr>
          <w:p>
            <w:pPr>
              <w:spacing w:line="300" w:lineRule="exact"/>
              <w:jc w:val="center"/>
              <w:rPr>
                <w:rFonts w:ascii="仿宋_GB2312"/>
                <w:color w:val="000000" w:themeColor="text1"/>
              </w:rPr>
            </w:pPr>
            <w:r>
              <w:rPr>
                <w:rFonts w:hint="eastAsia" w:ascii="仿宋_GB2312"/>
                <w:color w:val="000000" w:themeColor="text1"/>
              </w:rPr>
              <w:t>服务器4</w:t>
            </w:r>
          </w:p>
        </w:tc>
        <w:tc>
          <w:tcPr>
            <w:tcW w:w="4820" w:type="dxa"/>
          </w:tcPr>
          <w:p>
            <w:pPr>
              <w:spacing w:line="300" w:lineRule="exact"/>
              <w:rPr>
                <w:rFonts w:ascii="仿宋_GB2312" w:hAnsi="宋体"/>
                <w:color w:val="000000" w:themeColor="text1"/>
              </w:rPr>
            </w:pPr>
            <w:r>
              <w:rPr>
                <w:rFonts w:hint="eastAsia"/>
                <w:color w:val="000000" w:themeColor="text1"/>
              </w:rPr>
              <w:t>★</w:t>
            </w:r>
            <w:r>
              <w:rPr>
                <w:rFonts w:hint="eastAsia" w:ascii="仿宋_GB2312" w:hAnsi="宋体"/>
                <w:color w:val="000000" w:themeColor="text1"/>
              </w:rPr>
              <w:t>Cpu：Intel Xeon(CPU</w:t>
            </w:r>
            <w:r>
              <w:rPr>
                <w:rFonts w:hint="eastAsia" w:ascii="仿宋_GB2312"/>
                <w:color w:val="000000" w:themeColor="text1"/>
              </w:rPr>
              <w:t>≥</w:t>
            </w:r>
            <w:r>
              <w:rPr>
                <w:rFonts w:hint="eastAsia" w:ascii="仿宋_GB2312" w:hAnsi="宋体"/>
                <w:color w:val="000000" w:themeColor="text1"/>
              </w:rPr>
              <w:t>10核，主频</w:t>
            </w:r>
            <w:r>
              <w:rPr>
                <w:rFonts w:hint="eastAsia" w:ascii="仿宋_GB2312"/>
                <w:color w:val="000000" w:themeColor="text1"/>
              </w:rPr>
              <w:t>≥</w:t>
            </w:r>
            <w:r>
              <w:rPr>
                <w:rFonts w:hint="eastAsia" w:ascii="仿宋_GB2312" w:hAnsi="宋体"/>
                <w:color w:val="000000" w:themeColor="text1"/>
              </w:rPr>
              <w:t>2.4GHz)×2</w:t>
            </w:r>
          </w:p>
          <w:p>
            <w:pPr>
              <w:spacing w:line="300" w:lineRule="exact"/>
              <w:rPr>
                <w:rFonts w:ascii="仿宋_GB2312" w:hAnsi="宋体"/>
                <w:color w:val="000000" w:themeColor="text1"/>
              </w:rPr>
            </w:pPr>
            <w:r>
              <w:rPr>
                <w:rFonts w:hint="eastAsia"/>
                <w:color w:val="000000" w:themeColor="text1"/>
              </w:rPr>
              <w:t>★</w:t>
            </w:r>
            <w:r>
              <w:rPr>
                <w:rFonts w:hint="eastAsia" w:ascii="仿宋_GB2312" w:hAnsi="宋体"/>
                <w:color w:val="000000" w:themeColor="text1"/>
              </w:rPr>
              <w:t>内存：</w:t>
            </w:r>
            <w:r>
              <w:rPr>
                <w:rFonts w:hint="eastAsia" w:ascii="仿宋_GB2312"/>
                <w:color w:val="000000" w:themeColor="text1"/>
              </w:rPr>
              <w:t>≥</w:t>
            </w:r>
            <w:r>
              <w:rPr>
                <w:rFonts w:hint="eastAsia" w:ascii="仿宋_GB2312" w:hAnsi="宋体"/>
                <w:color w:val="000000" w:themeColor="text1"/>
              </w:rPr>
              <w:t>32GB DDR4×8</w:t>
            </w:r>
          </w:p>
          <w:p>
            <w:pPr>
              <w:spacing w:line="300" w:lineRule="exact"/>
              <w:rPr>
                <w:rFonts w:ascii="仿宋_GB2312" w:hAnsi="宋体"/>
                <w:color w:val="000000" w:themeColor="text1"/>
              </w:rPr>
            </w:pPr>
            <w:r>
              <w:rPr>
                <w:rFonts w:hint="eastAsia"/>
                <w:color w:val="000000" w:themeColor="text1"/>
              </w:rPr>
              <w:t>★</w:t>
            </w:r>
            <w:r>
              <w:rPr>
                <w:rFonts w:hint="eastAsia" w:ascii="仿宋_GB2312" w:hAnsi="宋体"/>
                <w:color w:val="000000" w:themeColor="text1"/>
              </w:rPr>
              <w:t>硬盘：</w:t>
            </w:r>
            <w:r>
              <w:rPr>
                <w:rFonts w:hint="eastAsia" w:ascii="仿宋_GB2312"/>
                <w:color w:val="000000" w:themeColor="text1"/>
              </w:rPr>
              <w:t>≥480G SSD</w:t>
            </w:r>
            <w:r>
              <w:rPr>
                <w:rFonts w:hint="eastAsia" w:ascii="仿宋_GB2312" w:hAnsi="宋体"/>
                <w:color w:val="000000" w:themeColor="text1"/>
              </w:rPr>
              <w:t>×2+</w:t>
            </w:r>
            <w:r>
              <w:rPr>
                <w:rFonts w:hint="eastAsia" w:ascii="仿宋_GB2312"/>
                <w:color w:val="000000" w:themeColor="text1"/>
              </w:rPr>
              <w:t>≥1.2TB SAS</w:t>
            </w:r>
            <w:r>
              <w:rPr>
                <w:rFonts w:hint="eastAsia" w:ascii="仿宋_GB2312" w:hAnsi="宋体"/>
                <w:color w:val="000000" w:themeColor="text1"/>
              </w:rPr>
              <w:t>×24（磁盘转速</w:t>
            </w:r>
            <w:r>
              <w:rPr>
                <w:rFonts w:hint="eastAsia" w:ascii="仿宋_GB2312"/>
                <w:color w:val="000000" w:themeColor="text1"/>
              </w:rPr>
              <w:t>≥10K，若部分采用SSD盘代替SAS盘,则单盘容量</w:t>
            </w:r>
            <w:r>
              <w:rPr>
                <w:rFonts w:hint="eastAsia"/>
                <w:color w:val="000000" w:themeColor="text1"/>
              </w:rPr>
              <w:t>≥</w:t>
            </w:r>
            <w:r>
              <w:rPr>
                <w:rFonts w:hint="eastAsia" w:ascii="仿宋_GB2312"/>
                <w:color w:val="000000" w:themeColor="text1"/>
              </w:rPr>
              <w:t>480GB，且总容量≥28.8TB</w:t>
            </w:r>
            <w:r>
              <w:rPr>
                <w:rFonts w:hint="eastAsia" w:ascii="仿宋_GB2312" w:hAnsi="宋体"/>
                <w:color w:val="000000" w:themeColor="text1"/>
              </w:rPr>
              <w:t>）</w:t>
            </w:r>
          </w:p>
          <w:p>
            <w:pPr>
              <w:spacing w:line="300" w:lineRule="exact"/>
              <w:rPr>
                <w:rFonts w:ascii="仿宋_GB2312" w:hAnsi="宋体"/>
                <w:color w:val="000000" w:themeColor="text1"/>
              </w:rPr>
            </w:pPr>
            <w:r>
              <w:rPr>
                <w:rFonts w:hint="eastAsia"/>
                <w:color w:val="000000" w:themeColor="text1"/>
              </w:rPr>
              <w:t>★</w:t>
            </w:r>
            <w:r>
              <w:rPr>
                <w:rFonts w:hint="eastAsia" w:ascii="仿宋_GB2312" w:hAnsi="宋体"/>
                <w:color w:val="000000" w:themeColor="text1"/>
              </w:rPr>
              <w:t>网口：10GbE×2（光口）</w:t>
            </w:r>
          </w:p>
          <w:p>
            <w:pPr>
              <w:spacing w:line="300" w:lineRule="exact"/>
              <w:rPr>
                <w:rFonts w:ascii="宋体" w:hAnsi="宋体"/>
                <w:color w:val="000000" w:themeColor="text1"/>
                <w:szCs w:val="21"/>
              </w:rPr>
            </w:pPr>
            <w:r>
              <w:rPr>
                <w:color w:val="000000" w:themeColor="text1"/>
              </w:rPr>
              <w:t>2</w:t>
            </w:r>
            <w:r>
              <w:rPr>
                <w:rFonts w:hint="eastAsia" w:ascii="宋体" w:hAnsi="宋体"/>
                <w:color w:val="000000" w:themeColor="text1"/>
                <w:szCs w:val="21"/>
              </w:rPr>
              <w:t>个热插拔冗余电源，冗余风扇</w:t>
            </w:r>
          </w:p>
          <w:p>
            <w:pPr>
              <w:spacing w:line="300" w:lineRule="exact"/>
              <w:rPr>
                <w:rFonts w:ascii="宋体" w:hAnsi="宋体"/>
                <w:color w:val="000000" w:themeColor="text1"/>
                <w:szCs w:val="21"/>
              </w:rPr>
            </w:pPr>
            <w:r>
              <w:rPr>
                <w:rFonts w:hint="eastAsia" w:ascii="宋体" w:hAnsi="宋体"/>
                <w:color w:val="000000" w:themeColor="text1"/>
                <w:szCs w:val="21"/>
              </w:rPr>
              <w:t>工作温度</w:t>
            </w:r>
            <w:r>
              <w:rPr>
                <w:rFonts w:ascii="宋体" w:hAnsi="宋体"/>
                <w:color w:val="000000" w:themeColor="text1"/>
                <w:szCs w:val="21"/>
              </w:rPr>
              <w:t>:</w:t>
            </w:r>
            <w:r>
              <w:rPr>
                <w:rFonts w:hint="eastAsia" w:ascii="宋体" w:hAnsi="宋体"/>
                <w:color w:val="000000" w:themeColor="text1"/>
                <w:szCs w:val="21"/>
              </w:rPr>
              <w:t>支持最高</w:t>
            </w:r>
            <w:r>
              <w:rPr>
                <w:rFonts w:ascii="宋体" w:hAnsi="宋体"/>
                <w:color w:val="000000" w:themeColor="text1"/>
                <w:szCs w:val="21"/>
              </w:rPr>
              <w:t>5-40</w:t>
            </w:r>
            <w:r>
              <w:rPr>
                <w:rFonts w:hint="eastAsia" w:ascii="宋体" w:hAnsi="宋体"/>
                <w:color w:val="000000" w:themeColor="text1"/>
                <w:szCs w:val="21"/>
              </w:rPr>
              <w:t>°</w:t>
            </w:r>
            <w:r>
              <w:rPr>
                <w:rFonts w:ascii="宋体" w:hAnsi="宋体"/>
                <w:color w:val="000000" w:themeColor="text1"/>
                <w:szCs w:val="21"/>
              </w:rPr>
              <w:t>C</w:t>
            </w:r>
            <w:r>
              <w:rPr>
                <w:rFonts w:hint="eastAsia" w:ascii="宋体" w:hAnsi="宋体"/>
                <w:color w:val="000000" w:themeColor="text1"/>
                <w:szCs w:val="21"/>
              </w:rPr>
              <w:t>标准工作温度</w:t>
            </w:r>
          </w:p>
          <w:p>
            <w:pPr>
              <w:spacing w:line="300" w:lineRule="exact"/>
              <w:rPr>
                <w:rFonts w:ascii="宋体" w:hAnsi="宋体"/>
                <w:color w:val="000000" w:themeColor="text1"/>
                <w:szCs w:val="21"/>
              </w:rPr>
            </w:pPr>
            <w:r>
              <w:rPr>
                <w:rFonts w:hint="eastAsia" w:ascii="宋体" w:hAnsi="宋体"/>
                <w:color w:val="000000" w:themeColor="text1"/>
                <w:szCs w:val="21"/>
              </w:rPr>
              <w:t>网络带宽</w:t>
            </w:r>
            <w:r>
              <w:rPr>
                <w:rFonts w:ascii="宋体" w:hAnsi="宋体"/>
                <w:color w:val="000000" w:themeColor="text1"/>
                <w:szCs w:val="21"/>
              </w:rPr>
              <w:t>:</w:t>
            </w:r>
            <w:r>
              <w:rPr>
                <w:rFonts w:hint="eastAsia" w:ascii="宋体" w:hAnsi="宋体"/>
                <w:color w:val="000000" w:themeColor="text1"/>
                <w:szCs w:val="21"/>
              </w:rPr>
              <w:t>支持多种网络带宽；</w:t>
            </w:r>
          </w:p>
          <w:p>
            <w:pPr>
              <w:spacing w:line="300" w:lineRule="exact"/>
              <w:rPr>
                <w:rFonts w:ascii="宋体" w:hAnsi="宋体"/>
                <w:color w:val="000000" w:themeColor="text1"/>
                <w:szCs w:val="21"/>
              </w:rPr>
            </w:pPr>
            <w:r>
              <w:rPr>
                <w:rFonts w:hint="eastAsia" w:ascii="宋体" w:hAnsi="宋体"/>
                <w:color w:val="000000" w:themeColor="text1"/>
                <w:szCs w:val="21"/>
              </w:rPr>
              <w:t>配置≥</w:t>
            </w:r>
            <w:r>
              <w:rPr>
                <w:rFonts w:ascii="宋体" w:hAnsi="宋体"/>
                <w:color w:val="000000" w:themeColor="text1"/>
                <w:szCs w:val="21"/>
              </w:rPr>
              <w:t>1Gb</w:t>
            </w:r>
            <w:r>
              <w:rPr>
                <w:rFonts w:hint="eastAsia" w:ascii="宋体" w:hAnsi="宋体"/>
                <w:color w:val="000000" w:themeColor="text1"/>
                <w:szCs w:val="21"/>
              </w:rPr>
              <w:t>独立的远程管理控制端口；</w:t>
            </w:r>
          </w:p>
          <w:p>
            <w:pPr>
              <w:spacing w:line="300" w:lineRule="exact"/>
              <w:rPr>
                <w:rFonts w:ascii="仿宋_GB2312"/>
                <w:color w:val="000000" w:themeColor="text1"/>
              </w:rPr>
            </w:pPr>
            <w:r>
              <w:rPr>
                <w:rFonts w:hint="eastAsia" w:ascii="宋体" w:hAnsi="宋体"/>
                <w:color w:val="000000" w:themeColor="text1"/>
                <w:szCs w:val="21"/>
              </w:rPr>
              <w:t>阵列控制器</w:t>
            </w:r>
            <w:r>
              <w:rPr>
                <w:rFonts w:ascii="宋体" w:hAnsi="宋体"/>
                <w:color w:val="000000" w:themeColor="text1"/>
                <w:szCs w:val="21"/>
              </w:rPr>
              <w:t>:</w:t>
            </w:r>
            <w:r>
              <w:rPr>
                <w:rFonts w:hint="eastAsia" w:ascii="宋体" w:hAnsi="宋体"/>
                <w:color w:val="000000" w:themeColor="text1"/>
                <w:szCs w:val="21"/>
              </w:rPr>
              <w:t>≥</w:t>
            </w:r>
            <w:r>
              <w:rPr>
                <w:rFonts w:ascii="宋体" w:hAnsi="宋体"/>
                <w:color w:val="000000" w:themeColor="text1"/>
                <w:szCs w:val="21"/>
              </w:rPr>
              <w:t>1</w:t>
            </w:r>
            <w:r>
              <w:rPr>
                <w:rFonts w:hint="eastAsia" w:ascii="宋体" w:hAnsi="宋体"/>
                <w:color w:val="000000" w:themeColor="text1"/>
                <w:szCs w:val="21"/>
              </w:rPr>
              <w:t>个标配</w:t>
            </w:r>
            <w:r>
              <w:rPr>
                <w:rFonts w:ascii="宋体" w:hAnsi="宋体"/>
                <w:color w:val="000000" w:themeColor="text1"/>
                <w:szCs w:val="21"/>
              </w:rPr>
              <w:t>RAID</w:t>
            </w:r>
            <w:r>
              <w:rPr>
                <w:rFonts w:hint="eastAsia" w:ascii="宋体" w:hAnsi="宋体"/>
                <w:color w:val="000000" w:themeColor="text1"/>
                <w:szCs w:val="21"/>
              </w:rPr>
              <w:t>阵列卡。</w:t>
            </w:r>
          </w:p>
        </w:tc>
        <w:tc>
          <w:tcPr>
            <w:tcW w:w="709" w:type="dxa"/>
            <w:noWrap/>
            <w:vAlign w:val="center"/>
          </w:tcPr>
          <w:p>
            <w:pPr>
              <w:spacing w:line="300" w:lineRule="exact"/>
              <w:jc w:val="center"/>
              <w:rPr>
                <w:rFonts w:ascii="仿宋_GB2312"/>
                <w:color w:val="000000" w:themeColor="text1"/>
              </w:rPr>
            </w:pPr>
            <w:r>
              <w:rPr>
                <w:rFonts w:hint="eastAsia" w:ascii="仿宋_GB2312"/>
                <w:color w:val="000000" w:themeColor="text1"/>
              </w:rPr>
              <w:t>85</w:t>
            </w:r>
          </w:p>
        </w:tc>
        <w:tc>
          <w:tcPr>
            <w:tcW w:w="708" w:type="dxa"/>
            <w:noWrap/>
            <w:vAlign w:val="center"/>
          </w:tcPr>
          <w:p>
            <w:pPr>
              <w:spacing w:line="300" w:lineRule="exact"/>
              <w:jc w:val="center"/>
              <w:rPr>
                <w:rFonts w:ascii="仿宋_GB2312"/>
                <w:color w:val="000000" w:themeColor="text1"/>
              </w:rPr>
            </w:pPr>
            <w:r>
              <w:rPr>
                <w:rFonts w:hint="eastAsia" w:ascii="仿宋_GB2312"/>
                <w:color w:val="000000" w:themeColor="text1"/>
              </w:rPr>
              <w:t>台</w:t>
            </w:r>
          </w:p>
        </w:tc>
        <w:tc>
          <w:tcPr>
            <w:tcW w:w="1134" w:type="dxa"/>
            <w:noWrap/>
            <w:vAlign w:val="center"/>
          </w:tcPr>
          <w:p>
            <w:pPr>
              <w:spacing w:line="300" w:lineRule="exact"/>
              <w:jc w:val="center"/>
              <w:rPr>
                <w:rFonts w:ascii="仿宋_GB2312"/>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962" w:type="dxa"/>
            <w:vMerge w:val="continue"/>
            <w:vAlign w:val="center"/>
          </w:tcPr>
          <w:p>
            <w:pPr>
              <w:spacing w:line="300" w:lineRule="exact"/>
              <w:rPr>
                <w:rFonts w:ascii="仿宋_GB2312"/>
                <w:color w:val="000000" w:themeColor="text1"/>
              </w:rPr>
            </w:pPr>
          </w:p>
        </w:tc>
        <w:tc>
          <w:tcPr>
            <w:tcW w:w="992" w:type="dxa"/>
            <w:noWrap/>
            <w:vAlign w:val="center"/>
          </w:tcPr>
          <w:p>
            <w:pPr>
              <w:spacing w:line="300" w:lineRule="exact"/>
              <w:jc w:val="center"/>
              <w:rPr>
                <w:rFonts w:ascii="仿宋_GB2312"/>
                <w:color w:val="000000" w:themeColor="text1"/>
              </w:rPr>
            </w:pPr>
            <w:r>
              <w:rPr>
                <w:rFonts w:hint="eastAsia" w:ascii="仿宋_GB2312"/>
                <w:color w:val="000000" w:themeColor="text1"/>
              </w:rPr>
              <w:t>服务器5</w:t>
            </w:r>
          </w:p>
        </w:tc>
        <w:tc>
          <w:tcPr>
            <w:tcW w:w="4820" w:type="dxa"/>
          </w:tcPr>
          <w:p>
            <w:pPr>
              <w:spacing w:line="300" w:lineRule="exact"/>
              <w:rPr>
                <w:rFonts w:ascii="仿宋_GB2312" w:hAnsi="宋体"/>
                <w:color w:val="000000" w:themeColor="text1"/>
              </w:rPr>
            </w:pPr>
            <w:r>
              <w:rPr>
                <w:rFonts w:hint="eastAsia"/>
                <w:color w:val="000000" w:themeColor="text1"/>
              </w:rPr>
              <w:t>★</w:t>
            </w:r>
            <w:r>
              <w:rPr>
                <w:rFonts w:hint="eastAsia" w:ascii="仿宋_GB2312" w:hAnsi="宋体"/>
                <w:color w:val="000000" w:themeColor="text1"/>
              </w:rPr>
              <w:t>Cpu：Intel Xeon(CPU</w:t>
            </w:r>
            <w:r>
              <w:rPr>
                <w:rFonts w:hint="eastAsia" w:ascii="仿宋_GB2312"/>
                <w:color w:val="000000" w:themeColor="text1"/>
              </w:rPr>
              <w:t>≥</w:t>
            </w:r>
            <w:r>
              <w:rPr>
                <w:rFonts w:hint="eastAsia" w:ascii="仿宋_GB2312" w:hAnsi="宋体"/>
                <w:color w:val="000000" w:themeColor="text1"/>
              </w:rPr>
              <w:t>10核，主频</w:t>
            </w:r>
            <w:r>
              <w:rPr>
                <w:rFonts w:hint="eastAsia" w:ascii="仿宋_GB2312"/>
                <w:color w:val="000000" w:themeColor="text1"/>
              </w:rPr>
              <w:t>≥</w:t>
            </w:r>
            <w:r>
              <w:rPr>
                <w:rFonts w:hint="eastAsia" w:ascii="仿宋_GB2312" w:hAnsi="宋体"/>
                <w:color w:val="000000" w:themeColor="text1"/>
              </w:rPr>
              <w:t>2.4GHz)×2</w:t>
            </w:r>
          </w:p>
          <w:p>
            <w:pPr>
              <w:spacing w:line="300" w:lineRule="exact"/>
              <w:rPr>
                <w:rFonts w:ascii="仿宋_GB2312" w:hAnsi="宋体"/>
                <w:color w:val="000000" w:themeColor="text1"/>
              </w:rPr>
            </w:pPr>
            <w:r>
              <w:rPr>
                <w:rFonts w:hint="eastAsia"/>
                <w:color w:val="000000" w:themeColor="text1"/>
              </w:rPr>
              <w:t>★</w:t>
            </w:r>
            <w:r>
              <w:rPr>
                <w:rFonts w:hint="eastAsia" w:ascii="仿宋_GB2312" w:hAnsi="宋体"/>
                <w:color w:val="000000" w:themeColor="text1"/>
              </w:rPr>
              <w:t>内存：</w:t>
            </w:r>
            <w:r>
              <w:rPr>
                <w:rFonts w:hint="eastAsia" w:ascii="仿宋_GB2312"/>
                <w:color w:val="000000" w:themeColor="text1"/>
              </w:rPr>
              <w:t>≥</w:t>
            </w:r>
            <w:r>
              <w:rPr>
                <w:rFonts w:hint="eastAsia" w:ascii="仿宋_GB2312" w:hAnsi="宋体"/>
                <w:color w:val="000000" w:themeColor="text1"/>
              </w:rPr>
              <w:t>32GB DDR4×8</w:t>
            </w:r>
          </w:p>
          <w:p>
            <w:pPr>
              <w:spacing w:line="300" w:lineRule="exact"/>
              <w:rPr>
                <w:rFonts w:ascii="仿宋_GB2312" w:hAnsi="宋体"/>
                <w:color w:val="000000" w:themeColor="text1"/>
              </w:rPr>
            </w:pPr>
            <w:r>
              <w:rPr>
                <w:rFonts w:hint="eastAsia"/>
                <w:color w:val="000000" w:themeColor="text1"/>
              </w:rPr>
              <w:t>★</w:t>
            </w:r>
            <w:r>
              <w:rPr>
                <w:rFonts w:hint="eastAsia" w:ascii="仿宋_GB2312" w:hAnsi="宋体"/>
                <w:color w:val="000000" w:themeColor="text1"/>
              </w:rPr>
              <w:t>硬盘：</w:t>
            </w:r>
            <w:r>
              <w:rPr>
                <w:rFonts w:hint="eastAsia" w:ascii="仿宋_GB2312"/>
                <w:color w:val="000000" w:themeColor="text1"/>
              </w:rPr>
              <w:t>≥480G SSD</w:t>
            </w:r>
            <w:r>
              <w:rPr>
                <w:rFonts w:hint="eastAsia" w:ascii="仿宋_GB2312" w:hAnsi="宋体"/>
                <w:color w:val="000000" w:themeColor="text1"/>
              </w:rPr>
              <w:t>×2+</w:t>
            </w:r>
            <w:r>
              <w:rPr>
                <w:rFonts w:hint="eastAsia" w:ascii="仿宋_GB2312"/>
                <w:color w:val="000000" w:themeColor="text1"/>
              </w:rPr>
              <w:t>≥1.2TB SAS</w:t>
            </w:r>
            <w:r>
              <w:rPr>
                <w:rFonts w:hint="eastAsia" w:ascii="仿宋_GB2312" w:hAnsi="宋体"/>
                <w:color w:val="000000" w:themeColor="text1"/>
              </w:rPr>
              <w:t>×12（磁盘转速</w:t>
            </w:r>
            <w:r>
              <w:rPr>
                <w:rFonts w:hint="eastAsia" w:ascii="仿宋_GB2312"/>
                <w:color w:val="000000" w:themeColor="text1"/>
              </w:rPr>
              <w:t>≥10K，若部分采用SSD盘代替SAS盘,则单盘容量</w:t>
            </w:r>
            <w:r>
              <w:rPr>
                <w:rFonts w:hint="eastAsia"/>
                <w:color w:val="000000" w:themeColor="text1"/>
              </w:rPr>
              <w:t>≥</w:t>
            </w:r>
            <w:r>
              <w:rPr>
                <w:rFonts w:hint="eastAsia" w:ascii="仿宋_GB2312"/>
                <w:color w:val="000000" w:themeColor="text1"/>
              </w:rPr>
              <w:t>480GB，且总容量≥14.4TB</w:t>
            </w:r>
            <w:r>
              <w:rPr>
                <w:rFonts w:hint="eastAsia" w:ascii="仿宋_GB2312" w:hAnsi="宋体"/>
                <w:color w:val="000000" w:themeColor="text1"/>
              </w:rPr>
              <w:t>）</w:t>
            </w:r>
          </w:p>
          <w:p>
            <w:pPr>
              <w:spacing w:line="300" w:lineRule="exact"/>
              <w:rPr>
                <w:rFonts w:ascii="仿宋_GB2312" w:hAnsi="宋体"/>
                <w:color w:val="000000" w:themeColor="text1"/>
              </w:rPr>
            </w:pPr>
            <w:r>
              <w:rPr>
                <w:rFonts w:hint="eastAsia"/>
                <w:color w:val="000000" w:themeColor="text1"/>
              </w:rPr>
              <w:t>★</w:t>
            </w:r>
            <w:r>
              <w:rPr>
                <w:rFonts w:hint="eastAsia" w:ascii="仿宋_GB2312" w:hAnsi="宋体"/>
                <w:color w:val="000000" w:themeColor="text1"/>
              </w:rPr>
              <w:t>网口：10GbE×2（光口）</w:t>
            </w:r>
          </w:p>
          <w:p>
            <w:pPr>
              <w:spacing w:line="300" w:lineRule="exact"/>
              <w:rPr>
                <w:rFonts w:ascii="宋体" w:hAnsi="宋体"/>
                <w:color w:val="000000" w:themeColor="text1"/>
                <w:szCs w:val="21"/>
              </w:rPr>
            </w:pPr>
            <w:r>
              <w:rPr>
                <w:color w:val="000000" w:themeColor="text1"/>
              </w:rPr>
              <w:t>2</w:t>
            </w:r>
            <w:r>
              <w:rPr>
                <w:rFonts w:hint="eastAsia" w:ascii="宋体" w:hAnsi="宋体"/>
                <w:color w:val="000000" w:themeColor="text1"/>
                <w:szCs w:val="21"/>
              </w:rPr>
              <w:t>个热插拔冗余电源，冗余风扇</w:t>
            </w:r>
          </w:p>
          <w:p>
            <w:pPr>
              <w:spacing w:line="300" w:lineRule="exact"/>
              <w:rPr>
                <w:rFonts w:ascii="宋体" w:hAnsi="宋体"/>
                <w:color w:val="000000" w:themeColor="text1"/>
                <w:szCs w:val="21"/>
              </w:rPr>
            </w:pPr>
            <w:r>
              <w:rPr>
                <w:rFonts w:hint="eastAsia" w:ascii="宋体" w:hAnsi="宋体"/>
                <w:color w:val="000000" w:themeColor="text1"/>
                <w:szCs w:val="21"/>
              </w:rPr>
              <w:t>工作温度</w:t>
            </w:r>
            <w:r>
              <w:rPr>
                <w:rFonts w:ascii="宋体" w:hAnsi="宋体"/>
                <w:color w:val="000000" w:themeColor="text1"/>
                <w:szCs w:val="21"/>
              </w:rPr>
              <w:t>:</w:t>
            </w:r>
            <w:r>
              <w:rPr>
                <w:rFonts w:hint="eastAsia" w:ascii="宋体" w:hAnsi="宋体"/>
                <w:color w:val="000000" w:themeColor="text1"/>
                <w:szCs w:val="21"/>
              </w:rPr>
              <w:t>支持最高</w:t>
            </w:r>
            <w:r>
              <w:rPr>
                <w:rFonts w:ascii="宋体" w:hAnsi="宋体"/>
                <w:color w:val="000000" w:themeColor="text1"/>
                <w:szCs w:val="21"/>
              </w:rPr>
              <w:t>5-40</w:t>
            </w:r>
            <w:r>
              <w:rPr>
                <w:rFonts w:hint="eastAsia" w:ascii="宋体" w:hAnsi="宋体"/>
                <w:color w:val="000000" w:themeColor="text1"/>
                <w:szCs w:val="21"/>
              </w:rPr>
              <w:t>°</w:t>
            </w:r>
            <w:r>
              <w:rPr>
                <w:rFonts w:ascii="宋体" w:hAnsi="宋体"/>
                <w:color w:val="000000" w:themeColor="text1"/>
                <w:szCs w:val="21"/>
              </w:rPr>
              <w:t>C</w:t>
            </w:r>
            <w:r>
              <w:rPr>
                <w:rFonts w:hint="eastAsia" w:ascii="宋体" w:hAnsi="宋体"/>
                <w:color w:val="000000" w:themeColor="text1"/>
                <w:szCs w:val="21"/>
              </w:rPr>
              <w:t>标准工作温度</w:t>
            </w:r>
          </w:p>
          <w:p>
            <w:pPr>
              <w:spacing w:line="300" w:lineRule="exact"/>
              <w:rPr>
                <w:rFonts w:ascii="宋体" w:hAnsi="宋体"/>
                <w:color w:val="000000" w:themeColor="text1"/>
                <w:szCs w:val="21"/>
              </w:rPr>
            </w:pPr>
            <w:r>
              <w:rPr>
                <w:rFonts w:hint="eastAsia" w:ascii="宋体" w:hAnsi="宋体"/>
                <w:color w:val="000000" w:themeColor="text1"/>
                <w:szCs w:val="21"/>
              </w:rPr>
              <w:t>网络带宽</w:t>
            </w:r>
            <w:r>
              <w:rPr>
                <w:rFonts w:ascii="宋体" w:hAnsi="宋体"/>
                <w:color w:val="000000" w:themeColor="text1"/>
                <w:szCs w:val="21"/>
              </w:rPr>
              <w:t>:</w:t>
            </w:r>
            <w:r>
              <w:rPr>
                <w:rFonts w:hint="eastAsia" w:ascii="宋体" w:hAnsi="宋体"/>
                <w:color w:val="000000" w:themeColor="text1"/>
                <w:szCs w:val="21"/>
              </w:rPr>
              <w:t>支持多种网络带宽；</w:t>
            </w:r>
          </w:p>
          <w:p>
            <w:pPr>
              <w:spacing w:line="300" w:lineRule="exact"/>
              <w:rPr>
                <w:rFonts w:ascii="宋体" w:hAnsi="宋体"/>
                <w:color w:val="000000" w:themeColor="text1"/>
                <w:szCs w:val="21"/>
              </w:rPr>
            </w:pPr>
            <w:r>
              <w:rPr>
                <w:rFonts w:hint="eastAsia" w:ascii="宋体" w:hAnsi="宋体"/>
                <w:color w:val="000000" w:themeColor="text1"/>
                <w:szCs w:val="21"/>
              </w:rPr>
              <w:t>配置≥</w:t>
            </w:r>
            <w:r>
              <w:rPr>
                <w:rFonts w:ascii="宋体" w:hAnsi="宋体"/>
                <w:color w:val="000000" w:themeColor="text1"/>
                <w:szCs w:val="21"/>
              </w:rPr>
              <w:t>1Gb</w:t>
            </w:r>
            <w:r>
              <w:rPr>
                <w:rFonts w:hint="eastAsia" w:ascii="宋体" w:hAnsi="宋体"/>
                <w:color w:val="000000" w:themeColor="text1"/>
                <w:szCs w:val="21"/>
              </w:rPr>
              <w:t>独立的远程管理控制端口；</w:t>
            </w:r>
          </w:p>
          <w:p>
            <w:pPr>
              <w:spacing w:line="300" w:lineRule="exact"/>
              <w:rPr>
                <w:rFonts w:ascii="仿宋_GB2312"/>
                <w:color w:val="000000" w:themeColor="text1"/>
              </w:rPr>
            </w:pPr>
            <w:r>
              <w:rPr>
                <w:rFonts w:hint="eastAsia" w:ascii="宋体" w:hAnsi="宋体"/>
                <w:color w:val="000000" w:themeColor="text1"/>
                <w:szCs w:val="21"/>
              </w:rPr>
              <w:t>阵列控制器</w:t>
            </w:r>
            <w:r>
              <w:rPr>
                <w:rFonts w:ascii="宋体" w:hAnsi="宋体"/>
                <w:color w:val="000000" w:themeColor="text1"/>
                <w:szCs w:val="21"/>
              </w:rPr>
              <w:t>:</w:t>
            </w:r>
            <w:r>
              <w:rPr>
                <w:rFonts w:hint="eastAsia" w:ascii="宋体" w:hAnsi="宋体"/>
                <w:color w:val="000000" w:themeColor="text1"/>
                <w:szCs w:val="21"/>
              </w:rPr>
              <w:t>≥</w:t>
            </w:r>
            <w:r>
              <w:rPr>
                <w:rFonts w:ascii="宋体" w:hAnsi="宋体"/>
                <w:color w:val="000000" w:themeColor="text1"/>
                <w:szCs w:val="21"/>
              </w:rPr>
              <w:t>1</w:t>
            </w:r>
            <w:r>
              <w:rPr>
                <w:rFonts w:hint="eastAsia" w:ascii="宋体" w:hAnsi="宋体"/>
                <w:color w:val="000000" w:themeColor="text1"/>
                <w:szCs w:val="21"/>
              </w:rPr>
              <w:t>个标配</w:t>
            </w:r>
            <w:r>
              <w:rPr>
                <w:rFonts w:ascii="宋体" w:hAnsi="宋体"/>
                <w:color w:val="000000" w:themeColor="text1"/>
                <w:szCs w:val="21"/>
              </w:rPr>
              <w:t>RAID</w:t>
            </w:r>
            <w:r>
              <w:rPr>
                <w:rFonts w:hint="eastAsia" w:ascii="宋体" w:hAnsi="宋体"/>
                <w:color w:val="000000" w:themeColor="text1"/>
                <w:szCs w:val="21"/>
              </w:rPr>
              <w:t>阵列卡。</w:t>
            </w:r>
          </w:p>
        </w:tc>
        <w:tc>
          <w:tcPr>
            <w:tcW w:w="709" w:type="dxa"/>
            <w:noWrap/>
            <w:vAlign w:val="center"/>
          </w:tcPr>
          <w:p>
            <w:pPr>
              <w:spacing w:line="300" w:lineRule="exact"/>
              <w:jc w:val="center"/>
              <w:rPr>
                <w:rFonts w:ascii="仿宋_GB2312"/>
                <w:color w:val="000000" w:themeColor="text1"/>
              </w:rPr>
            </w:pPr>
            <w:r>
              <w:rPr>
                <w:rFonts w:hint="eastAsia" w:ascii="仿宋_GB2312"/>
                <w:color w:val="000000" w:themeColor="text1"/>
              </w:rPr>
              <w:t>3</w:t>
            </w:r>
          </w:p>
        </w:tc>
        <w:tc>
          <w:tcPr>
            <w:tcW w:w="708" w:type="dxa"/>
            <w:noWrap/>
            <w:vAlign w:val="center"/>
          </w:tcPr>
          <w:p>
            <w:pPr>
              <w:spacing w:line="300" w:lineRule="exact"/>
              <w:jc w:val="center"/>
              <w:rPr>
                <w:rFonts w:ascii="仿宋_GB2312"/>
                <w:color w:val="000000" w:themeColor="text1"/>
              </w:rPr>
            </w:pPr>
            <w:r>
              <w:rPr>
                <w:rFonts w:hint="eastAsia" w:ascii="仿宋_GB2312"/>
                <w:color w:val="000000" w:themeColor="text1"/>
              </w:rPr>
              <w:t>台</w:t>
            </w:r>
          </w:p>
        </w:tc>
        <w:tc>
          <w:tcPr>
            <w:tcW w:w="1134" w:type="dxa"/>
            <w:noWrap/>
            <w:vAlign w:val="center"/>
          </w:tcPr>
          <w:p>
            <w:pPr>
              <w:spacing w:line="300" w:lineRule="exact"/>
              <w:jc w:val="center"/>
              <w:rPr>
                <w:rFonts w:ascii="仿宋_GB2312"/>
                <w:color w:val="000000" w:themeColor="text1"/>
              </w:rPr>
            </w:pPr>
          </w:p>
        </w:tc>
      </w:tr>
    </w:tbl>
    <w:p>
      <w:pPr>
        <w:snapToGrid w:val="0"/>
        <w:rPr>
          <w:rFonts w:ascii="宋体" w:hAnsi="宋体"/>
          <w:color w:val="000000" w:themeColor="text1"/>
        </w:rPr>
      </w:pPr>
    </w:p>
    <w:p>
      <w:pPr>
        <w:ind w:firstLine="480"/>
        <w:rPr>
          <w:color w:val="000000" w:themeColor="text1"/>
        </w:rPr>
      </w:pPr>
      <w:r>
        <w:rPr>
          <w:rFonts w:hint="eastAsia"/>
          <w:color w:val="000000" w:themeColor="text1"/>
        </w:rPr>
        <w:t>备注</w:t>
      </w:r>
      <w:r>
        <w:rPr>
          <w:color w:val="000000" w:themeColor="text1"/>
        </w:rPr>
        <w:t>：</w:t>
      </w:r>
      <w:r>
        <w:rPr>
          <w:rFonts w:hint="eastAsia"/>
          <w:color w:val="000000" w:themeColor="text1"/>
        </w:rPr>
        <w:t>1、</w:t>
      </w:r>
      <w:r>
        <w:rPr>
          <w:color w:val="000000" w:themeColor="text1"/>
        </w:rPr>
        <w:t>具有完善的结构化部署方案</w:t>
      </w:r>
      <w:r>
        <w:rPr>
          <w:rFonts w:hint="eastAsia"/>
          <w:color w:val="000000" w:themeColor="text1"/>
        </w:rPr>
        <w:t>；</w:t>
      </w:r>
    </w:p>
    <w:p>
      <w:pPr>
        <w:ind w:firstLine="480"/>
        <w:rPr>
          <w:color w:val="000000" w:themeColor="text1"/>
        </w:rPr>
      </w:pPr>
      <w:r>
        <w:rPr>
          <w:rFonts w:hint="eastAsia"/>
          <w:color w:val="000000" w:themeColor="text1"/>
        </w:rPr>
        <w:t>2、如若</w:t>
      </w:r>
      <w:r>
        <w:rPr>
          <w:color w:val="000000" w:themeColor="text1"/>
        </w:rPr>
        <w:t>设备</w:t>
      </w:r>
      <w:r>
        <w:rPr>
          <w:rFonts w:hint="eastAsia"/>
          <w:color w:val="000000" w:themeColor="text1"/>
        </w:rPr>
        <w:t>或</w:t>
      </w:r>
      <w:r>
        <w:rPr>
          <w:color w:val="000000" w:themeColor="text1"/>
        </w:rPr>
        <w:t>软件数量不够，须中标方</w:t>
      </w:r>
      <w:r>
        <w:rPr>
          <w:rFonts w:hint="eastAsia"/>
          <w:color w:val="000000" w:themeColor="text1"/>
        </w:rPr>
        <w:t>免费提供；</w:t>
      </w:r>
    </w:p>
    <w:p>
      <w:pPr>
        <w:ind w:firstLine="480"/>
        <w:rPr>
          <w:color w:val="000000" w:themeColor="text1"/>
        </w:rPr>
      </w:pPr>
      <w:r>
        <w:rPr>
          <w:color w:val="000000" w:themeColor="text1"/>
        </w:rPr>
        <w:t>3</w:t>
      </w:r>
      <w:r>
        <w:rPr>
          <w:rFonts w:hint="eastAsia"/>
          <w:color w:val="000000" w:themeColor="text1"/>
        </w:rPr>
        <w:t>、</w:t>
      </w:r>
      <w:r>
        <w:rPr>
          <w:color w:val="000000" w:themeColor="text1"/>
        </w:rPr>
        <w:t>部署完成的结构化系统，须满足上</w:t>
      </w:r>
      <w:r>
        <w:rPr>
          <w:rFonts w:hint="eastAsia"/>
          <w:color w:val="000000" w:themeColor="text1"/>
        </w:rPr>
        <w:t>层</w:t>
      </w:r>
      <w:r>
        <w:rPr>
          <w:color w:val="000000" w:themeColor="text1"/>
        </w:rPr>
        <w:t>应用调用需求</w:t>
      </w:r>
      <w:r>
        <w:rPr>
          <w:rFonts w:hint="eastAsia"/>
          <w:color w:val="000000" w:themeColor="text1"/>
        </w:rPr>
        <w:t>。</w:t>
      </w:r>
    </w:p>
    <w:p>
      <w:pPr>
        <w:ind w:firstLine="480"/>
        <w:rPr>
          <w:color w:val="000000" w:themeColor="text1"/>
        </w:rPr>
      </w:pPr>
      <w:r>
        <w:rPr>
          <w:rFonts w:hint="eastAsia"/>
          <w:color w:val="000000" w:themeColor="text1"/>
        </w:rPr>
        <w:t>★4、数据存储时间为1.5年，</w:t>
      </w:r>
      <w:r>
        <w:rPr>
          <w:color w:val="000000" w:themeColor="text1"/>
        </w:rPr>
        <w:t>如若存储容量不够需免费自行补足</w:t>
      </w:r>
      <w:r>
        <w:rPr>
          <w:rFonts w:hint="eastAsia"/>
          <w:color w:val="000000" w:themeColor="text1"/>
        </w:rPr>
        <w:t>。</w:t>
      </w:r>
    </w:p>
    <w:p>
      <w:pPr>
        <w:pStyle w:val="3"/>
        <w:spacing w:before="120" w:after="120"/>
        <w:ind w:firstLine="562"/>
        <w:rPr>
          <w:color w:val="000000" w:themeColor="text1"/>
        </w:rPr>
      </w:pPr>
      <w:bookmarkStart w:id="388" w:name="_Toc8760719"/>
      <w:bookmarkStart w:id="389" w:name="_Toc7521694"/>
      <w:bookmarkStart w:id="390" w:name="_Toc532520599"/>
      <w:bookmarkStart w:id="391" w:name="_Toc8760723"/>
      <w:bookmarkStart w:id="392" w:name="_Toc7521697"/>
      <w:r>
        <w:rPr>
          <w:rFonts w:hint="eastAsia"/>
          <w:color w:val="000000" w:themeColor="text1"/>
        </w:rPr>
        <w:t>六、公安业务实战应用</w:t>
      </w:r>
      <w:bookmarkEnd w:id="388"/>
      <w:bookmarkEnd w:id="389"/>
    </w:p>
    <w:p>
      <w:pPr>
        <w:pStyle w:val="4"/>
        <w:ind w:firstLine="562"/>
        <w:rPr>
          <w:color w:val="000000" w:themeColor="text1"/>
        </w:rPr>
      </w:pPr>
      <w:bookmarkStart w:id="393" w:name="_Toc7521695"/>
      <w:bookmarkStart w:id="394" w:name="_Toc8760720"/>
      <w:r>
        <w:rPr>
          <w:rFonts w:hint="eastAsia"/>
          <w:color w:val="000000" w:themeColor="text1"/>
        </w:rPr>
        <w:t>（一）项目内容</w:t>
      </w:r>
      <w:bookmarkEnd w:id="393"/>
      <w:bookmarkEnd w:id="394"/>
    </w:p>
    <w:p>
      <w:pPr>
        <w:ind w:firstLine="480"/>
        <w:rPr>
          <w:color w:val="000000" w:themeColor="text1"/>
        </w:rPr>
      </w:pPr>
      <w:r>
        <w:rPr>
          <w:rFonts w:hint="eastAsia"/>
          <w:color w:val="000000" w:themeColor="text1"/>
        </w:rPr>
        <w:t>公安业务实战应用设计方案根据公安部软硬件解耦、数据与应用分离的指导意见，将公安业务实战应用分为解析中心、视频萃取应用、人像大数据应用、重点场所安保、数据服务总线和数据仓库系统。</w:t>
      </w:r>
    </w:p>
    <w:p>
      <w:pPr>
        <w:ind w:firstLine="480"/>
        <w:rPr>
          <w:color w:val="000000" w:themeColor="text1"/>
        </w:rPr>
      </w:pPr>
      <w:r>
        <w:rPr>
          <w:rFonts w:hint="eastAsia"/>
          <w:color w:val="000000" w:themeColor="text1"/>
        </w:rPr>
        <w:t>总体架构:</w:t>
      </w:r>
    </w:p>
    <w:p>
      <w:pPr>
        <w:keepNext/>
        <w:ind w:firstLine="480"/>
        <w:jc w:val="center"/>
        <w:rPr>
          <w:color w:val="000000" w:themeColor="text1"/>
        </w:rPr>
      </w:pPr>
      <w:r>
        <w:rPr>
          <w:color w:val="000000" w:themeColor="text1"/>
        </w:rPr>
        <w:pict>
          <v:group id="_x0000_s1242" o:spid="_x0000_s1242" o:spt="203" style="height:223.55pt;width:306.5pt;" coordsize="6130,4471203" editas="canvas">
            <o:lock v:ext="edit"/>
            <v:shape id="_x0000_s1243" o:spid="_x0000_s1243" o:spt="75" type="#_x0000_t75" style="position:absolute;left:0;top:0;height:4471203;width:6130;" filled="f" o:preferrelative="t" stroked="f" coordsize="21600,21600">
              <v:path/>
              <v:fill on="f" focussize="0,0"/>
              <v:stroke on="f" joinstyle="miter"/>
              <v:imagedata o:title=""/>
              <o:lock v:ext="edit" aspectratio="t"/>
            </v:shape>
            <v:rect id="_x0000_s1244" o:spid="_x0000_s1244" o:spt="1" style="position:absolute;left:152;top:361;height:2404;width:5729;" fillcolor="#F2F2F2" filled="t" stroked="f" coordsize="21600,21600">
              <v:path/>
              <v:fill on="t" focussize="0,0"/>
              <v:stroke on="f"/>
              <v:imagedata o:title=""/>
              <o:lock v:ext="edit"/>
            </v:rect>
            <v:shape id="_x0000_s1245" o:spid="_x0000_s1245" o:spt="100" style="position:absolute;left:147;top:356;height:2414;width:5738;" fillcolor="#7F7F7F" filled="t" stroked="t" coordsize="9674,4085" adj="," path="m16,24l16,40hdc16,44,13,48,8,48c4,48,0,44,0,40hal0,24hdc0,19,4,16,8,16c13,16,16,19,16,24haxm16,72l16,88hdc16,92,13,96,8,96c4,96,0,92,0,88hal0,72hdc0,67,4,64,8,64c13,64,16,67,16,72haxm16,120l16,136hdc16,140,13,144,8,144c4,144,0,140,0,136hal0,120hdc0,115,4,112,8,112c13,112,16,115,16,120haxm16,168l16,184hdc16,188,13,192,8,192c4,192,0,188,0,184hal0,168hdc0,163,4,160,8,160c13,160,16,163,16,168haxm16,216l16,232hdc16,236,13,240,8,240c4,240,0,236,0,232hal0,216hdc0,211,4,208,8,208c13,208,16,211,16,216haxm16,264l16,280hdc16,284,13,288,8,288c4,288,0,284,0,280hal0,264hdc0,259,4,256,8,256c13,256,16,259,16,264haxm16,312l16,328hdc16,332,13,336,8,336c4,336,0,332,0,328hal0,312hdc0,308,4,304,8,304c13,304,16,308,16,312haxm16,360l16,376hdc16,380,13,384,8,384c4,384,0,380,0,376hal0,360hdc0,356,4,352,8,352c13,352,16,356,16,360haxm16,408l16,424hdc16,428,13,432,8,432c4,432,0,428,0,424hal0,408hdc0,404,4,400,8,400c13,400,16,404,16,408haxm16,456l16,472hdc16,477,13,480,8,480c4,480,0,477,0,472hal0,456hdc0,452,4,448,8,448c13,448,16,452,16,456haxm16,504l16,520hdc16,525,13,528,8,528c4,528,0,525,0,520hal0,504hdc0,500,4,496,8,496c13,496,16,500,16,504haxm16,552l16,568hdc16,573,13,576,8,576c4,576,0,573,0,568hal0,552hdc0,548,4,544,8,544c13,544,16,548,16,552haxm16,600l16,616hdc16,621,13,624,8,624c4,624,0,621,0,616hal0,600hdc0,596,4,592,8,592c13,592,16,596,16,600haxm16,648l16,664hdc16,669,13,672,8,672c4,672,0,669,0,664hal0,648hdc0,644,4,640,8,640c13,640,16,644,16,648haxm16,696l16,712hdc16,717,13,720,8,720c4,720,0,717,0,712hal0,696hdc0,692,4,688,8,688c13,688,16,692,16,696haxm16,744l16,760hdc16,765,13,768,8,768c4,768,0,765,0,760hal0,744hdc0,740,4,736,8,736c13,736,16,740,16,744haxm16,792l16,808hdc16,813,13,816,8,816c4,816,0,813,0,808hal0,792hdc0,788,4,784,8,784c13,784,16,788,16,792haxm16,840l16,856hdc16,861,13,864,8,864c4,864,0,861,0,856hal0,840hdc0,836,4,832,8,832c13,832,16,836,16,840haxm16,889l16,905hdc16,909,13,913,8,913c4,913,0,909,0,905hal0,889hdc0,884,4,881,8,881c13,881,16,884,16,889haxm16,937l16,953hdc16,957,13,961,8,961c4,961,0,957,0,953hal0,937hdc0,932,4,929,8,929c13,929,16,932,16,937haxm16,985l16,1001hdc16,1005,13,1009,8,1009c4,1009,0,1005,0,1001hal0,985hdc0,980,4,977,8,977c13,977,16,980,16,985haxm16,1033l16,1049hdc16,1053,13,1057,8,1057c4,1057,0,1053,0,1049hal0,1033hdc0,1028,4,1025,8,1025c13,1025,16,1028,16,1033haxm16,1081l16,1097hdc16,1101,13,1105,8,1105c4,1105,0,1101,0,1097hal0,1081hdc0,1076,4,1073,8,1073c13,1073,16,1076,16,1081haxm16,1129l16,1145hdc16,1149,13,1153,8,1153c4,1153,0,1149,0,1145hal0,1129hdc0,1124,4,1121,8,1121c13,1121,16,1124,16,1129haxm16,1177l16,1193hdc16,1197,13,1201,8,1201c4,1201,0,1197,0,1193hal0,1177hdc0,1172,4,1169,8,1169c13,1169,16,1172,16,1177haxm16,1225l16,1241hdc16,1245,13,1249,8,1249c4,1249,0,1245,0,1241hal0,1225hdc0,1220,4,1217,8,1217c13,1217,16,1220,16,1225haxm16,1273l16,1289hdc16,1293,13,1297,8,1297c4,1297,0,1293,0,1289hal0,1273hdc0,1268,4,1265,8,1265c13,1265,16,1268,16,1273haxm16,1321l16,1337hdc16,1341,13,1345,8,1345c4,1345,0,1341,0,1337hal0,1321hdc0,1317,4,1313,8,1313c13,1313,16,1317,16,1321haxm16,1369l16,1385hdc16,1389,13,1393,8,1393c4,1393,0,1389,0,1385hal0,1369hdc0,1365,4,1361,8,1361c13,1361,16,1365,16,1369haxm16,1417l16,1433hdc16,1437,13,1441,8,1441c4,1441,0,1437,0,1433hal0,1417hdc0,1413,4,1409,8,1409c13,1409,16,1413,16,1417haxm16,1465l16,1481hdc16,1486,13,1489,8,1489c4,1489,0,1486,0,1481hal0,1465hdc0,1461,4,1457,8,1457c13,1457,16,1461,16,1465haxm16,1513l16,1529hdc16,1534,13,1537,8,1537c4,1537,0,1534,0,1529hal0,1513hdc0,1509,4,1505,8,1505c13,1505,16,1509,16,1513haxm16,1561l16,1577hdc16,1582,13,1585,8,1585c4,1585,0,1582,0,1577hal0,1561hdc0,1557,4,1553,8,1553c13,1553,16,1557,16,1561haxm16,1609l16,1625hdc16,1630,13,1633,8,1633c4,1633,0,1630,0,1625hal0,1609hdc0,1605,4,1601,8,1601c13,1601,16,1605,16,1609haxm16,1657l16,1673hdc16,1678,13,1681,8,1681c4,1681,0,1678,0,1673hal0,1657hdc0,1653,4,1649,8,1649c13,1649,16,1653,16,1657haxm16,1705l16,1721hdc16,1726,13,1729,8,1729c4,1729,0,1726,0,1721hal0,1705hdc0,1701,4,1697,8,1697c13,1697,16,1701,16,1705haxm16,1753l16,1769hdc16,1774,13,1777,8,1777c4,1777,0,1774,0,1769hal0,1753hdc0,1749,4,1745,8,1745c13,1745,16,1749,16,1753haxm16,1801l16,1817hdc16,1822,13,1825,8,1825c4,1825,0,1822,0,1817hal0,1801hdc0,1797,4,1793,8,1793c13,1793,16,1797,16,1801haxm16,1849l16,1865hdc16,1870,13,1874,8,1874c4,1874,0,1870,0,1865hal0,1849hdc0,1845,4,1841,8,1841c13,1841,16,1845,16,1849haxm16,1898l16,1914hdc16,1918,13,1922,8,1922c4,1922,0,1918,0,1914hal0,1898hdc0,1893,4,1890,8,1890c13,1890,16,1893,16,1898haxm16,1946l16,1962hdc16,1966,13,1970,8,1970c4,1970,0,1966,0,1962hal0,1946hdc0,1941,4,1938,8,1938c13,1938,16,1941,16,1946haxm16,1994l16,2010hdc16,2014,13,2018,8,2018c4,2018,0,2014,0,2010hal0,1994hdc0,1989,4,1986,8,1986c13,1986,16,1989,16,1994haxm16,2042l16,2058hdc16,2062,13,2066,8,2066c4,2066,0,2062,0,2058hal0,2042hdc0,2037,4,2034,8,2034c13,2034,16,2037,16,2042haxm16,2090l16,2106hdc16,2110,13,2114,8,2114c4,2114,0,2110,0,2106hal0,2090hdc0,2085,4,2082,8,2082c13,2082,16,2085,16,2090haxm16,2138l16,2154hdc16,2158,13,2162,8,2162c4,2162,0,2158,0,2154hal0,2138hdc0,2133,4,2130,8,2130c13,2130,16,2133,16,2138haxm16,2186l16,2202hdc16,2206,13,2210,8,2210c4,2210,0,2206,0,2202hal0,2186hdc0,2181,4,2178,8,2178c13,2178,16,2181,16,2186haxm16,2234l16,2250hdc16,2254,13,2258,8,2258c4,2258,0,2254,0,2250hal0,2234hdc0,2229,4,2226,8,2226c13,2226,16,2229,16,2234haxm16,2282l16,2298hdc16,2302,13,2306,8,2306c4,2306,0,2302,0,2298hal0,2282hdc0,2277,4,2274,8,2274c13,2274,16,2277,16,2282haxm16,2330l16,2346hdc16,2350,13,2354,8,2354c4,2354,0,2350,0,2346hal0,2330hdc0,2326,4,2322,8,2322c13,2322,16,2326,16,2330haxm16,2378l16,2394hdc16,2398,13,2402,8,2402c4,2402,0,2398,0,2394hal0,2378hdc0,2374,4,2370,8,2370c13,2370,16,2374,16,2378haxm16,2426l16,2442hdc16,2446,13,2450,8,2450c4,2450,0,2446,0,2442hal0,2426hdc0,2422,4,2418,8,2418c13,2418,16,2422,16,2426haxm16,2474l16,2490hdc16,2495,13,2498,8,2498c4,2498,0,2495,0,2490hal0,2474hdc0,2470,4,2466,8,2466c13,2466,16,2470,16,2474haxm16,2522l16,2538hdc16,2543,13,2546,8,2546c4,2546,0,2543,0,2538hal0,2522hdc0,2518,4,2514,8,2514c13,2514,16,2518,16,2522haxm16,2570l16,2586hdc16,2591,13,2594,8,2594c4,2594,0,2591,0,2586hal0,2570hdc0,2566,4,2562,8,2562c13,2562,16,2566,16,2570haxm16,2618l16,2634hdc16,2639,13,2642,8,2642c4,2642,0,2639,0,2634hal0,2618hdc0,2614,4,2610,8,2610c13,2610,16,2614,16,2618haxm16,2666l16,2682hdc16,2687,13,2690,8,2690c4,2690,0,2687,0,2682hal0,2666hdc0,2662,4,2658,8,2658c13,2658,16,2662,16,2666haxm16,2714l16,2730hdc16,2735,13,2738,8,2738c4,2738,0,2735,0,2730hal0,2714hdc0,2710,4,2706,8,2706c13,2706,16,2710,16,2714haxm16,2762l16,2778hdc16,2783,13,2786,8,2786c4,2786,0,2783,0,2778hal0,2762hdc0,2758,4,2754,8,2754c13,2754,16,2758,16,2762haxm16,2810l16,2826hdc16,2831,13,2834,8,2834c4,2834,0,2831,0,2826hal0,2810hdc0,2806,4,2802,8,2802c13,2802,16,2806,16,2810haxm16,2858l16,2875hdc16,2879,13,2883,8,2883c4,2883,0,2879,0,2875hal0,2858hdc0,2854,4,2850,8,2850c13,2850,16,2854,16,2858haxm16,2907l16,2923hdc16,2927,13,2931,8,2931c4,2931,0,2927,0,2923hal0,2907hdc0,2902,4,2899,8,2899c13,2899,16,2902,16,2907haxm16,2955l16,2971hdc16,2975,13,2979,8,2979c4,2979,0,2975,0,2971hal0,2955hdc0,2950,4,2947,8,2947c13,2947,16,2950,16,2955haxm16,3003l16,3019hdc16,3023,13,3027,8,3027c4,3027,0,3023,0,3019hal0,3003hdc0,2998,4,2995,8,2995c13,2995,16,2998,16,3003haxm16,3051l16,3067hdc16,3071,13,3075,8,3075c4,3075,0,3071,0,3067hal0,3051hdc0,3046,4,3043,8,3043c13,3043,16,3046,16,3051haxm16,3099l16,3115hdc16,3119,13,3123,8,3123c4,3123,0,3119,0,3115hal0,3099hdc0,3094,4,3091,8,3091c13,3091,16,3094,16,3099haxm16,3147l16,3163hdc16,3167,13,3171,8,3171c4,3171,0,3167,0,3163hal0,3147hdc0,3142,4,3139,8,3139c13,3139,16,3142,16,3147haxm16,3195l16,3211hdc16,3215,13,3219,8,3219c4,3219,0,3215,0,3211hal0,3195hdc0,3190,4,3187,8,3187c13,3187,16,3190,16,3195haxm16,3243l16,3259hdc16,3263,13,3267,8,3267c4,3267,0,3263,0,3259hal0,3243hdc0,3238,4,3235,8,3235c13,3235,16,3238,16,3243haxm16,3291l16,3307hdc16,3311,13,3315,8,3315c4,3315,0,3311,0,3307hal0,3291hdc0,3287,4,3283,8,3283c13,3283,16,3287,16,3291haxm16,3339l16,3355hdc16,3359,13,3363,8,3363c4,3363,0,3359,0,3355hal0,3339hdc0,3335,4,3331,8,3331c13,3331,16,3335,16,3339haxm16,3387l16,3403hdc16,3407,13,3411,8,3411c4,3411,0,3407,0,3403hal0,3387hdc0,3383,4,3379,8,3379c13,3379,16,3383,16,3387haxm16,3435l16,3451hdc16,3456,13,3459,8,3459c4,3459,0,3456,0,3451hal0,3435hdc0,3431,4,3427,8,3427c13,3427,16,3431,16,3435haxm16,3483l16,3499hdc16,3504,13,3507,8,3507c4,3507,0,3504,0,3499hal0,3483hdc0,3479,4,3475,8,3475c13,3475,16,3479,16,3483haxm16,3531l16,3547hdc16,3552,13,3555,8,3555c4,3555,0,3552,0,3547hal0,3531hdc0,3527,4,3523,8,3523c13,3523,16,3527,16,3531haxm16,3579l16,3595hdc16,3600,13,3603,8,3603c4,3603,0,3600,0,3595hal0,3579hdc0,3575,4,3571,8,3571c13,3571,16,3575,16,3579haxm16,3627l16,3643hdc16,3648,13,3651,8,3651c4,3651,0,3648,0,3643hal0,3627hdc0,3623,4,3619,8,3619c13,3619,16,3623,16,3627haxm16,3675l16,3691hdc16,3696,13,3699,8,3699c4,3699,0,3696,0,3691hal0,3675hdc0,3671,4,3667,8,3667c13,3667,16,3671,16,3675haxm16,3723l16,3739hdc16,3744,13,3747,8,3747c4,3747,0,3744,0,3739hal0,3723hdc0,3719,4,3715,8,3715c13,3715,16,3719,16,3723haxm16,3771l16,3787hdc16,3792,13,3795,8,3795c4,3795,0,3792,0,3787hal0,3771hdc0,3767,4,3763,8,3763c13,3763,16,3767,16,3771haxm16,3819l16,3835hdc16,3840,13,3843,8,3843c4,3843,0,3840,0,3835hal0,3819hdc0,3815,4,3811,8,3811c13,3811,16,3815,16,3819haxm16,3868l16,3884hdc16,3888,13,3892,8,3892c4,3892,0,3888,0,3884hal0,3868hdc0,3863,4,3860,8,3860c13,3860,16,3863,16,3868haxm16,3916l16,3932hdc16,3936,13,3940,8,3940c4,3940,0,3936,0,3932hal0,3916hdc0,3911,4,3908,8,3908c13,3908,16,3911,16,3916haxm16,3964l16,3980hdc16,3984,13,3988,8,3988c4,3988,0,3984,0,3980hal0,3964hdc0,3959,4,3956,8,3956c13,3956,16,3959,16,3964haxm16,4012l16,4028hdc16,4032,13,4036,8,4036c4,4036,0,4032,0,4028hal0,4012hdc0,4007,4,4004,8,4004c13,4004,16,4007,16,4012haxm16,4060l16,4076hdc16,4080,13,4084,8,4084c4,4084,0,4080,0,4076hal0,4060hdc0,4055,4,4052,8,4052c13,4052,16,4055,16,4060haxm39,4069l55,4069hdc60,4069,64,4072,64,4077c64,4081,60,4085,55,4085hal39,4085hdc35,4085,31,4081,31,4077c31,4072,35,4069,39,4069haxm88,4069l104,4069hdc108,4069,112,4072,112,4077c112,4081,108,4085,104,4085hal88,4085hdc83,4085,80,4081,80,4077c80,4072,83,4069,88,4069haxm136,4069l152,4069hdc156,4069,160,4072,160,4077c160,4081,156,4085,152,4085hal136,4085hdc131,4085,128,4081,128,4077c128,4072,131,4069,136,4069haxm184,4069l200,4069hdc204,4069,208,4072,208,4077c208,4081,204,4085,200,4085hal184,4085hdc179,4085,176,4081,176,4077c176,4072,179,4069,184,4069haxm232,4069l248,4069hdc252,4069,256,4072,256,4077c256,4081,252,4085,248,4085hal232,4085hdc227,4085,224,4081,224,4077c224,4072,227,4069,232,4069haxm280,4069l296,4069hdc300,4069,304,4072,304,4077c304,4081,300,4085,296,4085hal280,4085hdc275,4085,272,4081,272,4077c272,4072,275,4069,280,4069haxm328,4069l344,4069hdc348,4069,352,4072,352,4077c352,4081,348,4085,344,4085hal328,4085hdc323,4085,320,4081,320,4077c320,4072,323,4069,328,4069haxm376,4069l392,4069hdc396,4069,400,4072,400,4077c400,4081,396,4085,392,4085hal376,4085hdc371,4085,368,4081,368,4077c368,4072,371,4069,376,4069haxm424,4069l440,4069hdc444,4069,448,4072,448,4077c448,4081,444,4085,440,4085hal424,4085hdc419,4085,416,4081,416,4077c416,4072,419,4069,424,4069haxm472,4069l488,4069hdc492,4069,496,4072,496,4077c496,4081,492,4085,488,4085hal472,4085hdc467,4085,464,4081,464,4077c464,4072,467,4069,472,4069haxm520,4069l536,4069hdc540,4069,544,4072,544,4077c544,4081,540,4085,536,4085hal520,4085hdc516,4085,512,4081,512,4077c512,4072,516,4069,520,4069haxm568,4069l584,4069hdc588,4069,592,4072,592,4077c592,4081,588,4085,584,4085hal568,4085hdc564,4085,560,4081,560,4077c560,4072,564,4069,568,4069haxm616,4069l632,4069hdc636,4069,640,4072,640,4077c640,4081,636,4085,632,4085hal616,4085hdc612,4085,608,4081,608,4077c608,4072,612,4069,616,4069haxm664,4069l680,4069hdc685,4069,688,4072,688,4077c688,4081,685,4085,680,4085hal664,4085hdc660,4085,656,4081,656,4077c656,4072,660,4069,664,4069haxm712,4069l728,4069hdc733,4069,736,4072,736,4077c736,4081,733,4085,728,4085hal712,4085hdc708,4085,704,4081,704,4077c704,4072,708,4069,712,4069haxm760,4069l776,4069hdc781,4069,784,4072,784,4077c784,4081,781,4085,776,4085hal760,4085hdc756,4085,752,4081,752,4077c752,4072,756,4069,760,4069haxm808,4069l824,4069hdc829,4069,832,4072,832,4077c832,4081,829,4085,824,4085hal808,4085hdc804,4085,800,4081,800,4077c800,4072,804,4069,808,4069haxm856,4069l872,4069hdc877,4069,880,4072,880,4077c880,4081,877,4085,872,4085hal856,4085hdc852,4085,848,4081,848,4077c848,4072,852,4069,856,4069haxm904,4069l920,4069hdc925,4069,928,4072,928,4077c928,4081,925,4085,920,4085hal904,4085hdc900,4085,896,4081,896,4077c896,4072,900,4069,904,4069haxm952,4069l968,4069hdc973,4069,976,4072,976,4077c976,4081,973,4085,968,4085hal952,4085hdc948,4085,944,4081,944,4077c944,4072,948,4069,952,4069haxm1000,4069l1016,4069hdc1021,4069,1024,4072,1024,4077c1024,4081,1021,4085,1016,4085hal1000,4085hdc996,4085,992,4081,992,4077c992,4072,996,4069,1000,4069haxm1048,4069l1065,4069hdc1069,4069,1073,4072,1073,4077c1073,4081,1069,4085,1065,4085hal1048,4085hdc1044,4085,1040,4081,1040,4077c1040,4072,1044,4069,1048,4069haxm1097,4069l1113,4069hdc1117,4069,1121,4072,1121,4077c1121,4081,1117,4085,1113,4085hal1097,4085hdc1092,4085,1089,4081,1089,4077c1089,4072,1092,4069,1097,4069haxm1145,4069l1161,4069hdc1165,4069,1169,4072,1169,4077c1169,4081,1165,4085,1161,4085hal1145,4085hdc1140,4085,1137,4081,1137,4077c1137,4072,1140,4069,1145,4069haxm1193,4069l1209,4069hdc1213,4069,1217,4072,1217,4077c1217,4081,1213,4085,1209,4085hal1193,4085hdc1188,4085,1185,4081,1185,4077c1185,4072,1188,4069,1193,4069haxm1241,4069l1257,4069hdc1261,4069,1265,4072,1265,4077c1265,4081,1261,4085,1257,4085hal1241,4085hdc1236,4085,1233,4081,1233,4077c1233,4072,1236,4069,1241,4069haxm1289,4069l1305,4069hdc1309,4069,1313,4072,1313,4077c1313,4081,1309,4085,1305,4085hal1289,4085hdc1284,4085,1281,4081,1281,4077c1281,4072,1284,4069,1289,4069haxm1337,4069l1353,4069hdc1357,4069,1361,4072,1361,4077c1361,4081,1357,4085,1353,4085hal1337,4085hdc1332,4085,1329,4081,1329,4077c1329,4072,1332,4069,1337,4069haxm1385,4069l1401,4069hdc1405,4069,1409,4072,1409,4077c1409,4081,1405,4085,1401,4085hal1385,4085hdc1380,4085,1377,4081,1377,4077c1377,4072,1380,4069,1385,4069haxm1433,4069l1449,4069hdc1453,4069,1457,4072,1457,4077c1457,4081,1453,4085,1449,4085hal1433,4085hdc1428,4085,1425,4081,1425,4077c1425,4072,1428,4069,1433,4069haxm1481,4069l1497,4069hdc1501,4069,1505,4072,1505,4077c1505,4081,1501,4085,1497,4085hal1481,4085hdc1476,4085,1473,4081,1473,4077c1473,4072,1476,4069,1481,4069haxm1529,4069l1545,4069hdc1549,4069,1553,4072,1553,4077c1553,4081,1549,4085,1545,4085hal1529,4085hdc1525,4085,1521,4081,1521,4077c1521,4072,1525,4069,1529,4069haxm1577,4069l1593,4069hdc1597,4069,1601,4072,1601,4077c1601,4081,1597,4085,1593,4085hal1577,4085hdc1573,4085,1569,4081,1569,4077c1569,4072,1573,4069,1577,4069haxm1625,4069l1641,4069hdc1646,4069,1649,4072,1649,4077c1649,4081,1646,4085,1641,4085hal1625,4085hdc1621,4085,1617,4081,1617,4077c1617,4072,1621,4069,1625,4069haxm1673,4069l1689,4069hdc1694,4069,1697,4072,1697,4077c1697,4081,1694,4085,1689,4085hal1673,4085hdc1669,4085,1665,4081,1665,4077c1665,4072,1669,4069,1673,4069haxm1721,4069l1737,4069hdc1742,4069,1745,4072,1745,4077c1745,4081,1742,4085,1737,4085hal1721,4085hdc1717,4085,1713,4081,1713,4077c1713,4072,1717,4069,1721,4069haxm1769,4069l1785,4069hdc1790,4069,1793,4072,1793,4077c1793,4081,1790,4085,1785,4085hal1769,4085hdc1765,4085,1761,4081,1761,4077c1761,4072,1765,4069,1769,4069haxm1817,4069l1833,4069hdc1838,4069,1841,4072,1841,4077c1841,4081,1838,4085,1833,4085hal1817,4085hdc1813,4085,1809,4081,1809,4077c1809,4072,1813,4069,1817,4069haxm1865,4069l1881,4069hdc1886,4069,1889,4072,1889,4077c1889,4081,1886,4085,1881,4085hal1865,4085hdc1861,4085,1857,4081,1857,4077c1857,4072,1861,4069,1865,4069haxm1913,4069l1929,4069hdc1934,4069,1937,4072,1937,4077c1937,4081,1934,4085,1929,4085hal1913,4085hdc1909,4085,1905,4081,1905,4077c1905,4072,1909,4069,1913,4069haxm1961,4069l1977,4069hdc1982,4069,1985,4072,1985,4077c1985,4081,1982,4085,1977,4085hal1961,4085hdc1957,4085,1953,4081,1953,4077c1953,4072,1957,4069,1961,4069haxm2009,4069l2025,4069hdc2030,4069,2033,4072,2033,4077c2033,4081,2030,4085,2025,4085hal2009,4085hdc2005,4085,2001,4081,2001,4077c2001,4072,2005,4069,2009,4069haxm2057,4069l2074,4069hdc2078,4069,2082,4072,2082,4077c2082,4081,2078,4085,2074,4085hal2057,4085hdc2053,4085,2049,4081,2049,4077c2049,4072,2053,4069,2057,4069haxm2106,4069l2122,4069hdc2126,4069,2130,4072,2130,4077c2130,4081,2126,4085,2122,4085hal2106,4085hdc2101,4085,2098,4081,2098,4077c2098,4072,2101,4069,2106,4069haxm2154,4069l2170,4069hdc2174,4069,2178,4072,2178,4077c2178,4081,2174,4085,2170,4085hal2154,4085hdc2149,4085,2146,4081,2146,4077c2146,4072,2149,4069,2154,4069haxm2202,4069l2218,4069hdc2222,4069,2226,4072,2226,4077c2226,4081,2222,4085,2218,4085hal2202,4085hdc2197,4085,2194,4081,2194,4077c2194,4072,2197,4069,2202,4069haxm2250,4069l2266,4069hdc2270,4069,2274,4072,2274,4077c2274,4081,2270,4085,2266,4085hal2250,4085hdc2245,4085,2242,4081,2242,4077c2242,4072,2245,4069,2250,4069haxm2298,4069l2314,4069hdc2318,4069,2322,4072,2322,4077c2322,4081,2318,4085,2314,4085hal2298,4085hdc2293,4085,2290,4081,2290,4077c2290,4072,2293,4069,2298,4069haxm2346,4069l2362,4069hdc2366,4069,2370,4072,2370,4077c2370,4081,2366,4085,2362,4085hal2346,4085hdc2341,4085,2338,4081,2338,4077c2338,4072,2341,4069,2346,4069haxm2394,4069l2410,4069hdc2414,4069,2418,4072,2418,4077c2418,4081,2414,4085,2410,4085hal2394,4085hdc2389,4085,2386,4081,2386,4077c2386,4072,2389,4069,2394,4069haxm2442,4069l2458,4069hdc2462,4069,2466,4072,2466,4077c2466,4081,2462,4085,2458,4085hal2442,4085hdc2437,4085,2434,4081,2434,4077c2434,4072,2437,4069,2442,4069haxm2490,4069l2506,4069hdc2510,4069,2514,4072,2514,4077c2514,4081,2510,4085,2506,4085hal2490,4085hdc2486,4085,2482,4081,2482,4077c2482,4072,2486,4069,2490,4069haxm2538,4069l2554,4069hdc2558,4069,2562,4072,2562,4077c2562,4081,2558,4085,2554,4085hal2538,4085hdc2534,4085,2530,4081,2530,4077c2530,4072,2534,4069,2538,4069haxm2586,4069l2602,4069hdc2606,4069,2610,4072,2610,4077c2610,4081,2606,4085,2602,4085hal2586,4085hdc2582,4085,2578,4081,2578,4077c2578,4072,2582,4069,2586,4069haxm2634,4069l2650,4069hdc2655,4069,2658,4072,2658,4077c2658,4081,2655,4085,2650,4085hal2634,4085hdc2630,4085,2626,4081,2626,4077c2626,4072,2630,4069,2634,4069haxm2682,4069l2698,4069hdc2703,4069,2706,4072,2706,4077c2706,4081,2703,4085,2698,4085hal2682,4085hdc2678,4085,2674,4081,2674,4077c2674,4072,2678,4069,2682,4069haxm2730,4069l2746,4069hdc2751,4069,2754,4072,2754,4077c2754,4081,2751,4085,2746,4085hal2730,4085hdc2726,4085,2722,4081,2722,4077c2722,4072,2726,4069,2730,4069haxm2778,4069l2794,4069hdc2799,4069,2802,4072,2802,4077c2802,4081,2799,4085,2794,4085hal2778,4085hdc2774,4085,2770,4081,2770,4077c2770,4072,2774,4069,2778,4069haxm2826,4069l2842,4069hdc2847,4069,2850,4072,2850,4077c2850,4081,2847,4085,2842,4085hal2826,4085hdc2822,4085,2818,4081,2818,4077c2818,4072,2822,4069,2826,4069haxm2874,4069l2890,4069hdc2895,4069,2898,4072,2898,4077c2898,4081,2895,4085,2890,4085hal2874,4085hdc2870,4085,2866,4081,2866,4077c2866,4072,2870,4069,2874,4069haxm2922,4069l2938,4069hdc2943,4069,2946,4072,2946,4077c2946,4081,2943,4085,2938,4085hal2922,4085hdc2918,4085,2914,4081,2914,4077c2914,4072,2918,4069,2922,4069haxm2970,4069l2986,4069hdc2991,4069,2994,4072,2994,4077c2994,4081,2991,4085,2986,4085hal2970,4085hdc2966,4085,2962,4081,2962,4077c2962,4072,2966,4069,2970,4069haxm3018,4069l3034,4069hdc3039,4069,3042,4072,3042,4077c3042,4081,3039,4085,3034,4085hal3018,4085hdc3014,4085,3010,4081,3010,4077c3010,4072,3014,4069,3018,4069haxm3067,4069l3083,4069hdc3087,4069,3091,4072,3091,4077c3091,4081,3087,4085,3083,4085hal3067,4085hdc3062,4085,3059,4081,3059,4077c3059,4072,3062,4069,3067,4069haxm3115,4069l3131,4069hdc3135,4069,3139,4072,3139,4077c3139,4081,3135,4085,3131,4085hal3115,4085hdc3110,4085,3107,4081,3107,4077c3107,4072,3110,4069,3115,4069haxm3163,4069l3179,4069hdc3183,4069,3187,4072,3187,4077c3187,4081,3183,4085,3179,4085hal3163,4085hdc3158,4085,3155,4081,3155,4077c3155,4072,3158,4069,3163,4069haxm3211,4069l3227,4069hdc3231,4069,3235,4072,3235,4077c3235,4081,3231,4085,3227,4085hal3211,4085hdc3206,4085,3203,4081,3203,4077c3203,4072,3206,4069,3211,4069haxm3259,4069l3275,4069hdc3279,4069,3283,4072,3283,4077c3283,4081,3279,4085,3275,4085hal3259,4085hdc3254,4085,3251,4081,3251,4077c3251,4072,3254,4069,3259,4069haxm3307,4069l3323,4069hdc3327,4069,3331,4072,3331,4077c3331,4081,3327,4085,3323,4085hal3307,4085hdc3302,4085,3299,4081,3299,4077c3299,4072,3302,4069,3307,4069haxm3355,4069l3371,4069hdc3375,4069,3379,4072,3379,4077c3379,4081,3375,4085,3371,4085hal3355,4085hdc3350,4085,3347,4081,3347,4077c3347,4072,3350,4069,3355,4069haxm3403,4069l3419,4069hdc3423,4069,3427,4072,3427,4077c3427,4081,3423,4085,3419,4085hal3403,4085hdc3398,4085,3395,4081,3395,4077c3395,4072,3398,4069,3403,4069haxm3451,4069l3467,4069hdc3471,4069,3475,4072,3475,4077c3475,4081,3471,4085,3467,4085hal3451,4085hdc3446,4085,3443,4081,3443,4077c3443,4072,3446,4069,3451,4069haxm3499,4069l3515,4069hdc3519,4069,3523,4072,3523,4077c3523,4081,3519,4085,3515,4085hal3499,4085hdc3495,4085,3491,4081,3491,4077c3491,4072,3495,4069,3499,4069haxm3547,4069l3563,4069hdc3567,4069,3571,4072,3571,4077c3571,4081,3567,4085,3563,4085hal3547,4085hdc3543,4085,3539,4081,3539,4077c3539,4072,3543,4069,3547,4069haxm3595,4069l3611,4069hdc3615,4069,3619,4072,3619,4077c3619,4081,3615,4085,3611,4085hal3595,4085hdc3591,4085,3587,4081,3587,4077c3587,4072,3591,4069,3595,4069haxm3643,4069l3659,4069hdc3664,4069,3667,4072,3667,4077c3667,4081,3664,4085,3659,4085hal3643,4085hdc3639,4085,3635,4081,3635,4077c3635,4072,3639,4069,3643,4069haxm3691,4069l3707,4069hdc3712,4069,3715,4072,3715,4077c3715,4081,3712,4085,3707,4085hal3691,4085hdc3687,4085,3683,4081,3683,4077c3683,4072,3687,4069,3691,4069haxm3739,4069l3755,4069hdc3760,4069,3763,4072,3763,4077c3763,4081,3760,4085,3755,4085hal3739,4085hdc3735,4085,3731,4081,3731,4077c3731,4072,3735,4069,3739,4069haxm3787,4069l3803,4069hdc3808,4069,3811,4072,3811,4077c3811,4081,3808,4085,3803,4085hal3787,4085hdc3783,4085,3779,4081,3779,4077c3779,4072,3783,4069,3787,4069haxm3835,4069l3851,4069hdc3856,4069,3859,4072,3859,4077c3859,4081,3856,4085,3851,4085hal3835,4085hdc3831,4085,3827,4081,3827,4077c3827,4072,3831,4069,3835,4069haxm3883,4069l3899,4069hdc3904,4069,3907,4072,3907,4077c3907,4081,3904,4085,3899,4085hal3883,4085hdc3879,4085,3875,4081,3875,4077c3875,4072,3879,4069,3883,4069haxm3931,4069l3947,4069hdc3952,4069,3955,4072,3955,4077c3955,4081,3952,4085,3947,4085hal3931,4085hdc3927,4085,3923,4081,3923,4077c3923,4072,3927,4069,3931,4069haxm3979,4069l3995,4069hdc4000,4069,4003,4072,4003,4077c4003,4081,4000,4085,3995,4085hal3979,4085hdc3975,4085,3971,4081,3971,4077c3971,4072,3975,4069,3979,4069haxm4027,4069l4043,4069hdc4048,4069,4052,4072,4052,4077c4052,4081,4048,4085,4043,4085hal4027,4085hdc4023,4085,4019,4081,4019,4077c4019,4072,4023,4069,4027,4069haxm4076,4069l4092,4069hdc4096,4069,4100,4072,4100,4077c4100,4081,4096,4085,4092,4085hal4076,4085hdc4071,4085,4068,4081,4068,4077c4068,4072,4071,4069,4076,4069haxm4124,4069l4140,4069hdc4144,4069,4148,4072,4148,4077c4148,4081,4144,4085,4140,4085hal4124,4085hdc4119,4085,4116,4081,4116,4077c4116,4072,4119,4069,4124,4069haxm4172,4069l4188,4069hdc4192,4069,4196,4072,4196,4077c4196,4081,4192,4085,4188,4085hal4172,4085hdc4167,4085,4164,4081,4164,4077c4164,4072,4167,4069,4172,4069haxm4220,4069l4236,4069hdc4240,4069,4244,4072,4244,4077c4244,4081,4240,4085,4236,4085hal4220,4085hdc4215,4085,4212,4081,4212,4077c4212,4072,4215,4069,4220,4069haxm4268,4069l4284,4069hdc4288,4069,4292,4072,4292,4077c4292,4081,4288,4085,4284,4085hal4268,4085hdc4263,4085,4260,4081,4260,4077c4260,4072,4263,4069,4268,4069haxm4316,4069l4332,4069hdc4336,4069,4340,4072,4340,4077c4340,4081,4336,4085,4332,4085hal4316,4085hdc4311,4085,4308,4081,4308,4077c4308,4072,4311,4069,4316,4069haxm4364,4069l4380,4069hdc4384,4069,4388,4072,4388,4077c4388,4081,4384,4085,4380,4085hal4364,4085hdc4359,4085,4356,4081,4356,4077c4356,4072,4359,4069,4364,4069haxm4412,4069l4428,4069hdc4432,4069,4436,4072,4436,4077c4436,4081,4432,4085,4428,4085hal4412,4085hdc4407,4085,4404,4081,4404,4077c4404,4072,4407,4069,4412,4069haxm4460,4069l4476,4069hdc4480,4069,4484,4072,4484,4077c4484,4081,4480,4085,4476,4085hal4460,4085hdc4455,4085,4452,4081,4452,4077c4452,4072,4455,4069,4460,4069haxm4508,4069l4524,4069hdc4528,4069,4532,4072,4532,4077c4532,4081,4528,4085,4524,4085hal4508,4085hdc4504,4085,4500,4081,4500,4077c4500,4072,4504,4069,4508,4069haxm4556,4069l4572,4069hdc4576,4069,4580,4072,4580,4077c4580,4081,4576,4085,4572,4085hal4556,4085hdc4552,4085,4548,4081,4548,4077c4548,4072,4552,4069,4556,4069haxm4604,4069l4620,4069hdc4624,4069,4628,4072,4628,4077c4628,4081,4624,4085,4620,4085hal4604,4085hdc4600,4085,4596,4081,4596,4077c4596,4072,4600,4069,4604,4069haxm4652,4069l4668,4069hdc4673,4069,4676,4072,4676,4077c4676,4081,4673,4085,4668,4085hal4652,4085hdc4648,4085,4644,4081,4644,4077c4644,4072,4648,4069,4652,4069haxm4700,4069l4716,4069hdc4721,4069,4724,4072,4724,4077c4724,4081,4721,4085,4716,4085hal4700,4085hdc4696,4085,4692,4081,4692,4077c4692,4072,4696,4069,4700,4069haxm4748,4069l4764,4069hdc4769,4069,4772,4072,4772,4077c4772,4081,4769,4085,4764,4085hal4748,4085hdc4744,4085,4740,4081,4740,4077c4740,4072,4744,4069,4748,4069haxm4796,4069l4812,4069hdc4817,4069,4820,4072,4820,4077c4820,4081,4817,4085,4812,4085hal4796,4085hdc4792,4085,4788,4081,4788,4077c4788,4072,4792,4069,4796,4069haxm4844,4069l4860,4069hdc4865,4069,4868,4072,4868,4077c4868,4081,4865,4085,4860,4085hal4844,4085hdc4840,4085,4836,4081,4836,4077c4836,4072,4840,4069,4844,4069haxm4892,4069l4908,4069hdc4913,4069,4916,4072,4916,4077c4916,4081,4913,4085,4908,4085hal4892,4085hdc4888,4085,4884,4081,4884,4077c4884,4072,4888,4069,4892,4069haxm4940,4069l4956,4069hdc4961,4069,4964,4072,4964,4077c4964,4081,4961,4085,4956,4085hal4940,4085hdc4936,4085,4932,4081,4932,4077c4932,4072,4936,4069,4940,4069haxm4988,4069l5004,4069hdc5009,4069,5012,4072,5012,4077c5012,4081,5009,4085,5004,4085hal4988,4085hdc4984,4085,4980,4081,4980,4077c4980,4072,4984,4069,4988,4069haxm5036,4069l5053,4069hdc5057,4069,5061,4072,5061,4077c5061,4081,5057,4085,5053,4085hal5036,4085hdc5032,4085,5028,4081,5028,4077c5028,4072,5032,4069,5036,4069haxm5085,4069l5101,4069hdc5105,4069,5109,4072,5109,4077c5109,4081,5105,4085,5101,4085hal5085,4085hdc5080,4085,5077,4081,5077,4077c5077,4072,5080,4069,5085,4069haxm5133,4069l5149,4069hdc5153,4069,5157,4072,5157,4077c5157,4081,5153,4085,5149,4085hal5133,4085hdc5128,4085,5125,4081,5125,4077c5125,4072,5128,4069,5133,4069haxm5181,4069l5197,4069hdc5201,4069,5205,4072,5205,4077c5205,4081,5201,4085,5197,4085hal5181,4085hdc5176,4085,5173,4081,5173,4077c5173,4072,5176,4069,5181,4069haxm5229,4069l5245,4069hdc5249,4069,5253,4072,5253,4077c5253,4081,5249,4085,5245,4085hal5229,4085hdc5224,4085,5221,4081,5221,4077c5221,4072,5224,4069,5229,4069haxm5277,4069l5293,4069hdc5297,4069,5301,4072,5301,4077c5301,4081,5297,4085,5293,4085hal5277,4085hdc5272,4085,5269,4081,5269,4077c5269,4072,5272,4069,5277,4069haxm5325,4069l5341,4069hdc5345,4069,5349,4072,5349,4077c5349,4081,5345,4085,5341,4085hal5325,4085hdc5320,4085,5317,4081,5317,4077c5317,4072,5320,4069,5325,4069haxm5373,4069l5389,4069hdc5393,4069,5397,4072,5397,4077c5397,4081,5393,4085,5389,4085hal5373,4085hdc5368,4085,5365,4081,5365,4077c5365,4072,5368,4069,5373,4069haxm5421,4069l5437,4069hdc5441,4069,5445,4072,5445,4077c5445,4081,5441,4085,5437,4085hal5421,4085hdc5416,4085,5413,4081,5413,4077c5413,4072,5416,4069,5421,4069haxm5469,4069l5485,4069hdc5489,4069,5493,4072,5493,4077c5493,4081,5489,4085,5485,4085hal5469,4085hdc5465,4085,5461,4081,5461,4077c5461,4072,5465,4069,5469,4069haxm5517,4069l5533,4069hdc5537,4069,5541,4072,5541,4077c5541,4081,5537,4085,5533,4085hal5517,4085hdc5513,4085,5509,4081,5509,4077c5509,4072,5513,4069,5517,4069haxm5565,4069l5581,4069hdc5585,4069,5589,4072,5589,4077c5589,4081,5585,4085,5581,4085hal5565,4085hdc5561,4085,5557,4081,5557,4077c5557,4072,5561,4069,5565,4069haxm5613,4069l5629,4069hdc5634,4069,5637,4072,5637,4077c5637,4081,5634,4085,5629,4085hal5613,4085hdc5609,4085,5605,4081,5605,4077c5605,4072,5609,4069,5613,4069haxm5661,4069l5677,4069hdc5682,4069,5685,4072,5685,4077c5685,4081,5682,4085,5677,4085hal5661,4085hdc5657,4085,5653,4081,5653,4077c5653,4072,5657,4069,5661,4069haxm5709,4069l5725,4069hdc5730,4069,5733,4072,5733,4077c5733,4081,5730,4085,5725,4085hal5709,4085hdc5705,4085,5701,4081,5701,4077c5701,4072,5705,4069,5709,4069haxm5757,4069l5773,4069hdc5778,4069,5781,4072,5781,4077c5781,4081,5778,4085,5773,4085hal5757,4085hdc5753,4085,5749,4081,5749,4077c5749,4072,5753,4069,5757,4069haxm5805,4069l5821,4069hdc5826,4069,5829,4072,5829,4077c5829,4081,5826,4085,5821,4085hal5805,4085hdc5801,4085,5797,4081,5797,4077c5797,4072,5801,4069,5805,4069haxm5853,4069l5869,4069hdc5874,4069,5877,4072,5877,4077c5877,4081,5874,4085,5869,4085hal5853,4085hdc5849,4085,5845,4081,5845,4077c5845,4072,5849,4069,5853,4069haxm5901,4069l5917,4069hdc5922,4069,5925,4072,5925,4077c5925,4081,5922,4085,5917,4085hal5901,4085hdc5897,4085,5893,4081,5893,4077c5893,4072,5897,4069,5901,4069haxm5949,4069l5965,4069hdc5970,4069,5973,4072,5973,4077c5973,4081,5970,4085,5965,4085hal5949,4085hdc5945,4085,5941,4081,5941,4077c5941,4072,5945,4069,5949,4069haxm5997,4069l6013,4069hdc6018,4069,6021,4072,6021,4077c6021,4081,6018,4085,6013,4085hal5997,4085hdc5993,4085,5989,4081,5989,4077c5989,4072,5993,4069,5997,4069haxm6046,4069l6062,4069hdc6066,4069,6070,4072,6070,4077c6070,4081,6066,4085,6062,4085hal6046,4085hdc6041,4085,6038,4081,6038,4077c6038,4072,6041,4069,6046,4069haxm6094,4069l6110,4069hdc6114,4069,6118,4072,6118,4077c6118,4081,6114,4085,6110,4085hal6094,4085hdc6089,4085,6086,4081,6086,4077c6086,4072,6089,4069,6094,4069haxm6142,4069l6158,4069hdc6162,4069,6166,4072,6166,4077c6166,4081,6162,4085,6158,4085hal6142,4085hdc6137,4085,6134,4081,6134,4077c6134,4072,6137,4069,6142,4069haxm6190,4069l6206,4069hdc6210,4069,6214,4072,6214,4077c6214,4081,6210,4085,6206,4085hal6190,4085hdc6185,4085,6182,4081,6182,4077c6182,4072,6185,4069,6190,4069haxm6238,4069l6254,4069hdc6258,4069,6262,4072,6262,4077c6262,4081,6258,4085,6254,4085hal6238,4085hdc6233,4085,6230,4081,6230,4077c6230,4072,6233,4069,6238,4069haxm6286,4069l6302,4069hdc6306,4069,6310,4072,6310,4077c6310,4081,6306,4085,6302,4085hal6286,4085hdc6281,4085,6278,4081,6278,4077c6278,4072,6281,4069,6286,4069haxm6334,4069l6350,4069hdc6354,4069,6358,4072,6358,4077c6358,4081,6354,4085,6350,4085hal6334,4085hdc6329,4085,6326,4081,6326,4077c6326,4072,6329,4069,6334,4069haxm6382,4069l6398,4069hdc6402,4069,6406,4072,6406,4077c6406,4081,6402,4085,6398,4085hal6382,4085hdc6377,4085,6374,4081,6374,4077c6374,4072,6377,4069,6382,4069haxm6430,4069l6446,4069hdc6450,4069,6454,4072,6454,4077c6454,4081,6450,4085,6446,4085hal6430,4085hdc6425,4085,6422,4081,6422,4077c6422,4072,6425,4069,6430,4069haxm6478,4069l6494,4069hdc6498,4069,6502,4072,6502,4077c6502,4081,6498,4085,6494,4085hal6478,4085hdc6474,4085,6470,4081,6470,4077c6470,4072,6474,4069,6478,4069haxm6526,4069l6542,4069hdc6546,4069,6550,4072,6550,4077c6550,4081,6546,4085,6542,4085hal6526,4085hdc6522,4085,6518,4081,6518,4077c6518,4072,6522,4069,6526,4069haxm6574,4069l6590,4069hdc6594,4069,6598,4072,6598,4077c6598,4081,6594,4085,6590,4085hal6574,4085hdc6570,4085,6566,4081,6566,4077c6566,4072,6570,4069,6574,4069haxm6622,4069l6638,4069hdc6643,4069,6646,4072,6646,4077c6646,4081,6643,4085,6638,4085hal6622,4085hdc6618,4085,6614,4081,6614,4077c6614,4072,6618,4069,6622,4069haxm6670,4069l6686,4069hdc6691,4069,6694,4072,6694,4077c6694,4081,6691,4085,6686,4085hal6670,4085hdc6666,4085,6662,4081,6662,4077c6662,4072,6666,4069,6670,4069haxm6718,4069l6734,4069hdc6739,4069,6742,4072,6742,4077c6742,4081,6739,4085,6734,4085hal6718,4085hdc6714,4085,6710,4081,6710,4077c6710,4072,6714,4069,6718,4069haxm6766,4069l6782,4069hdc6787,4069,6790,4072,6790,4077c6790,4081,6787,4085,6782,4085hal6766,4085hdc6762,4085,6758,4081,6758,4077c6758,4072,6762,4069,6766,4069haxm6814,4069l6830,4069hdc6835,4069,6838,4072,6838,4077c6838,4081,6835,4085,6830,4085hal6814,4085hdc6810,4085,6806,4081,6806,4077c6806,4072,6810,4069,6814,4069haxm6862,4069l6878,4069hdc6883,4069,6886,4072,6886,4077c6886,4081,6883,4085,6878,4085hal6862,4085hdc6858,4085,6854,4081,6854,4077c6854,4072,6858,4069,6862,4069haxm6910,4069l6926,4069hdc6931,4069,6934,4072,6934,4077c6934,4081,6931,4085,6926,4085hal6910,4085hdc6906,4085,6902,4081,6902,4077c6902,4072,6906,4069,6910,4069haxm6958,4069l6974,4069hdc6979,4069,6982,4072,6982,4077c6982,4081,6979,4085,6974,4085hal6958,4085hdc6954,4085,6950,4081,6950,4077c6950,4072,6954,4069,6958,4069haxm7007,4069l7023,4069hdc7027,4069,7031,4072,7031,4077c7031,4081,7027,4085,7023,4085hal7007,4085hdc7002,4085,6998,4081,6998,4077c6998,4072,7002,4069,7007,4069haxm7055,4069l7071,4069hdc7075,4069,7079,4072,7079,4077c7079,4081,7075,4085,7071,4085hal7055,4085hdc7050,4085,7047,4081,7047,4077c7047,4072,7050,4069,7055,4069haxm7103,4069l7119,4069hdc7123,4069,7127,4072,7127,4077c7127,4081,7123,4085,7119,4085hal7103,4085hdc7098,4085,7095,4081,7095,4077c7095,4072,7098,4069,7103,4069haxm7151,4069l7167,4069hdc7171,4069,7175,4072,7175,4077c7175,4081,7171,4085,7167,4085hal7151,4085hdc7146,4085,7143,4081,7143,4077c7143,4072,7146,4069,7151,4069haxm7199,4069l7215,4069hdc7219,4069,7223,4072,7223,4077c7223,4081,7219,4085,7215,4085hal7199,4085hdc7194,4085,7191,4081,7191,4077c7191,4072,7194,4069,7199,4069haxm7247,4069l7263,4069hdc7267,4069,7271,4072,7271,4077c7271,4081,7267,4085,7263,4085hal7247,4085hdc7242,4085,7239,4081,7239,4077c7239,4072,7242,4069,7247,4069haxm7295,4069l7311,4069hdc7315,4069,7319,4072,7319,4077c7319,4081,7315,4085,7311,4085hal7295,4085hdc7290,4085,7287,4081,7287,4077c7287,4072,7290,4069,7295,4069haxm7343,4069l7359,4069hdc7363,4069,7367,4072,7367,4077c7367,4081,7363,4085,7359,4085hal7343,4085hdc7338,4085,7335,4081,7335,4077c7335,4072,7338,4069,7343,4069haxm7391,4069l7407,4069hdc7411,4069,7415,4072,7415,4077c7415,4081,7411,4085,7407,4085hal7391,4085hdc7386,4085,7383,4081,7383,4077c7383,4072,7386,4069,7391,4069haxm7439,4069l7455,4069hdc7459,4069,7463,4072,7463,4077c7463,4081,7459,4085,7455,4085hal7439,4085hdc7435,4085,7431,4081,7431,4077c7431,4072,7435,4069,7439,4069haxm7487,4069l7503,4069hdc7507,4069,7511,4072,7511,4077c7511,4081,7507,4085,7503,4085hal7487,4085hdc7483,4085,7479,4081,7479,4077c7479,4072,7483,4069,7487,4069haxm7535,4069l7551,4069hdc7555,4069,7559,4072,7559,4077c7559,4081,7555,4085,7551,4085hal7535,4085hdc7531,4085,7527,4081,7527,4077c7527,4072,7531,4069,7535,4069haxm7583,4069l7599,4069hdc7604,4069,7607,4072,7607,4077c7607,4081,7604,4085,7599,4085hal7583,4085hdc7579,4085,7575,4081,7575,4077c7575,4072,7579,4069,7583,4069haxm7631,4069l7647,4069hdc7652,4069,7655,4072,7655,4077c7655,4081,7652,4085,7647,4085hal7631,4085hdc7627,4085,7623,4081,7623,4077c7623,4072,7627,4069,7631,4069haxm7679,4069l7695,4069hdc7700,4069,7703,4072,7703,4077c7703,4081,7700,4085,7695,4085hal7679,4085hdc7675,4085,7671,4081,7671,4077c7671,4072,7675,4069,7679,4069haxm7727,4069l7743,4069hdc7748,4069,7751,4072,7751,4077c7751,4081,7748,4085,7743,4085hal7727,4085hdc7723,4085,7719,4081,7719,4077c7719,4072,7723,4069,7727,4069haxm7775,4069l7791,4069hdc7796,4069,7799,4072,7799,4077c7799,4081,7796,4085,7791,4085hal7775,4085hdc7771,4085,7767,4081,7767,4077c7767,4072,7771,4069,7775,4069haxm7823,4069l7839,4069hdc7844,4069,7847,4072,7847,4077c7847,4081,7844,4085,7839,4085hal7823,4085hdc7819,4085,7815,4081,7815,4077c7815,4072,7819,4069,7823,4069haxm7871,4069l7887,4069hdc7892,4069,7895,4072,7895,4077c7895,4081,7892,4085,7887,4085hal7871,4085hdc7867,4085,7863,4081,7863,4077c7863,4072,7867,4069,7871,4069haxm7919,4069l7935,4069hdc7940,4069,7943,4072,7943,4077c7943,4081,7940,4085,7935,4085hal7919,4085hdc7915,4085,7911,4081,7911,4077c7911,4072,7915,4069,7919,4069haxm7967,4069l7983,4069hdc7988,4069,7991,4072,7991,4077c7991,4081,7988,4085,7983,4085hal7967,4085hdc7963,4085,7959,4081,7959,4077c7959,4072,7963,4069,7967,4069haxm8016,4069l8032,4069hdc8036,4069,8040,4072,8040,4077c8040,4081,8036,4085,8032,4085hal8016,4085hdc8011,4085,8008,4081,8008,4077c8008,4072,8011,4069,8016,4069haxm8064,4069l8080,4069hdc8084,4069,8088,4072,8088,4077c8088,4081,8084,4085,8080,4085hal8064,4085hdc8059,4085,8056,4081,8056,4077c8056,4072,8059,4069,8064,4069haxm8112,4069l8128,4069hdc8132,4069,8136,4072,8136,4077c8136,4081,8132,4085,8128,4085hal8112,4085hdc8107,4085,8104,4081,8104,4077c8104,4072,8107,4069,8112,4069haxm8160,4069l8176,4069hdc8180,4069,8184,4072,8184,4077c8184,4081,8180,4085,8176,4085hal8160,4085hdc8155,4085,8152,4081,8152,4077c8152,4072,8155,4069,8160,4069haxm8208,4069l8224,4069hdc8228,4069,8232,4072,8232,4077c8232,4081,8228,4085,8224,4085hal8208,4085hdc8203,4085,8200,4081,8200,4077c8200,4072,8203,4069,8208,4069haxm8256,4069l8272,4069hdc8276,4069,8280,4072,8280,4077c8280,4081,8276,4085,8272,4085hal8256,4085hdc8251,4085,8248,4081,8248,4077c8248,4072,8251,4069,8256,4069haxm8304,4069l8320,4069hdc8324,4069,8328,4072,8328,4077c8328,4081,8324,4085,8320,4085hal8304,4085hdc8299,4085,8296,4081,8296,4077c8296,4072,8299,4069,8304,4069haxm8352,4069l8368,4069hdc8372,4069,8376,4072,8376,4077c8376,4081,8372,4085,8368,4085hal8352,4085hdc8347,4085,8344,4081,8344,4077c8344,4072,8347,4069,8352,4069haxm8400,4069l8416,4069hdc8420,4069,8424,4072,8424,4077c8424,4081,8420,4085,8416,4085hal8400,4085hdc8395,4085,8392,4081,8392,4077c8392,4072,8395,4069,8400,4069haxm8448,4069l8464,4069hdc8468,4069,8472,4072,8472,4077c8472,4081,8468,4085,8464,4085hal8448,4085hdc8444,4085,8440,4081,8440,4077c8440,4072,8444,4069,8448,4069haxm8496,4069l8512,4069hdc8516,4069,8520,4072,8520,4077c8520,4081,8516,4085,8512,4085hal8496,4085hdc8492,4085,8488,4081,8488,4077c8488,4072,8492,4069,8496,4069haxm8544,4069l8560,4069hdc8565,4069,8568,4072,8568,4077c8568,4081,8565,4085,8560,4085hal8544,4085hdc8540,4085,8536,4081,8536,4077c8536,4072,8540,4069,8544,4069haxm8592,4069l8608,4069hdc8613,4069,8616,4072,8616,4077c8616,4081,8613,4085,8608,4085hal8592,4085hdc8588,4085,8584,4081,8584,4077c8584,4072,8588,4069,8592,4069haxm8640,4069l8656,4069hdc8661,4069,8664,4072,8664,4077c8664,4081,8661,4085,8656,4085hal8640,4085hdc8636,4085,8632,4081,8632,4077c8632,4072,8636,4069,8640,4069haxm8688,4069l8704,4069hdc8709,4069,8712,4072,8712,4077c8712,4081,8709,4085,8704,4085hal8688,4085hdc8684,4085,8680,4081,8680,4077c8680,4072,8684,4069,8688,4069haxm8736,4069l8752,4069hdc8757,4069,8760,4072,8760,4077c8760,4081,8757,4085,8752,4085hal8736,4085hdc8732,4085,8728,4081,8728,4077c8728,4072,8732,4069,8736,4069haxm8784,4069l8800,4069hdc8805,4069,8808,4072,8808,4077c8808,4081,8805,4085,8800,4085hal8784,4085hdc8780,4085,8776,4081,8776,4077c8776,4072,8780,4069,8784,4069haxm8832,4069l8848,4069hdc8853,4069,8856,4072,8856,4077c8856,4081,8853,4085,8848,4085hal8832,4085hdc8828,4085,8824,4081,8824,4077c8824,4072,8828,4069,8832,4069haxm8880,4069l8896,4069hdc8901,4069,8904,4072,8904,4077c8904,4081,8901,4085,8896,4085hal8880,4085hdc8876,4085,8872,4081,8872,4077c8872,4072,8876,4069,8880,4069haxm8928,4069l8944,4069hdc8949,4069,8952,4072,8952,4077c8952,4081,8949,4085,8944,4085hal8928,4085hdc8924,4085,8920,4081,8920,4077c8920,4072,8924,4069,8928,4069haxm8977,4069l8993,4069hdc8997,4069,9001,4072,9001,4077c9001,4081,8997,4085,8993,4085hal8977,4085hdc8972,4085,8969,4081,8969,4077c8969,4072,8972,4069,8977,4069haxm9025,4069l9041,4069hdc9045,4069,9049,4072,9049,4077c9049,4081,9045,4085,9041,4085hal9025,4085hdc9020,4085,9017,4081,9017,4077c9017,4072,9020,4069,9025,4069haxm9073,4069l9089,4069hdc9093,4069,9097,4072,9097,4077c9097,4081,9093,4085,9089,4085hal9073,4085hdc9068,4085,9065,4081,9065,4077c9065,4072,9068,4069,9073,4069haxm9121,4069l9137,4069hdc9141,4069,9145,4072,9145,4077c9145,4081,9141,4085,9137,4085hal9121,4085hdc9116,4085,9113,4081,9113,4077c9113,4072,9116,4069,9121,4069haxm9169,4069l9185,4069hdc9189,4069,9193,4072,9193,4077c9193,4081,9189,4085,9185,4085hal9169,4085hdc9164,4085,9161,4081,9161,4077c9161,4072,9164,4069,9169,4069haxm9217,4069l9233,4069hdc9237,4069,9241,4072,9241,4077c9241,4081,9237,4085,9233,4085hal9217,4085hdc9212,4085,9209,4081,9209,4077c9209,4072,9212,4069,9217,4069haxm9265,4069l9281,4069hdc9285,4069,9289,4072,9289,4077c9289,4081,9285,4085,9281,4085hal9265,4085hdc9260,4085,9257,4081,9257,4077c9257,4072,9260,4069,9265,4069haxm9313,4069l9329,4069hdc9333,4069,9337,4072,9337,4077c9337,4081,9333,4085,9329,4085hal9313,4085hdc9308,4085,9305,4081,9305,4077c9305,4072,9308,4069,9313,4069haxm9361,4069l9377,4069hdc9381,4069,9385,4072,9385,4077c9385,4081,9381,4085,9377,4085hal9361,4085hdc9356,4085,9353,4081,9353,4077c9353,4072,9356,4069,9361,4069haxm9409,4069l9425,4069hdc9429,4069,9433,4072,9433,4077c9433,4081,9429,4085,9425,4085hal9409,4085hdc9405,4085,9401,4081,9401,4077c9401,4072,9405,4069,9409,4069haxm9457,4069l9473,4069hdc9477,4069,9481,4072,9481,4077c9481,4081,9477,4085,9473,4085hal9457,4085hdc9453,4085,9449,4081,9449,4077c9449,4072,9453,4069,9457,4069haxm9505,4069l9521,4069hdc9526,4069,9529,4072,9529,4077c9529,4081,9526,4085,9521,4085hal9505,4085hdc9501,4085,9497,4081,9497,4077c9497,4072,9501,4069,9505,4069haxm9553,4069l9569,4069hdc9574,4069,9577,4072,9577,4077c9577,4081,9574,4085,9569,4085hal9553,4085hdc9549,4085,9545,4081,9545,4077c9545,4072,9549,4069,9553,4069haxm9601,4069l9617,4069hdc9622,4069,9625,4072,9625,4077c9625,4081,9622,4085,9617,4085hal9601,4085hdc9597,4085,9593,4081,9593,4077c9593,4072,9597,4069,9601,4069haxm9649,4069l9665,4069hdc9670,4069,9673,4072,9673,4077c9673,4081,9670,4085,9665,4085hal9649,4085hdc9645,4085,9641,4081,9641,4077c9641,4072,9645,4069,9649,4069haxm9658,4045l9658,4029hdc9658,4025,9662,4021,9666,4021c9670,4021,9674,4025,9674,4029hal9674,4045hdc9674,4050,9670,4053,9666,4053c9662,4053,9658,4050,9658,4045haxm9658,3997l9658,3981hdc9658,3977,9662,3973,9666,3973c9670,3973,9674,3977,9674,3981hal9674,3997hdc9674,4002,9670,4005,9666,4005c9662,4005,9658,4002,9658,3997haxm9658,3949l9658,3933hdc9658,3929,9662,3925,9666,3925c9670,3925,9674,3929,9674,3933hal9674,3949hdc9674,3954,9670,3957,9666,3957c9662,3957,9658,3954,9658,3949haxm9658,3901l9658,3885hdc9658,3881,9662,3877,9666,3877c9670,3877,9674,3881,9674,3885hal9674,3901hdc9674,3906,9670,3909,9666,3909c9662,3909,9658,3906,9658,3901haxm9658,3853l9658,3837hdc9658,3833,9662,3829,9666,3829c9670,3829,9674,3833,9674,3837hal9674,3853hdc9674,3857,9670,3861,9666,3861c9662,3861,9658,3857,9658,3853haxm9658,3805l9658,3789hdc9658,3785,9662,3781,9666,3781c9670,3781,9674,3785,9674,3789hal9674,3805hdc9674,3809,9670,3813,9666,3813c9662,3813,9658,3809,9658,3805haxm9658,3757l9658,3741hdc9658,3737,9662,3733,9666,3733c9670,3733,9674,3737,9674,3741hal9674,3757hdc9674,3761,9670,3765,9666,3765c9662,3765,9658,3761,9658,3757haxm9658,3709l9658,3693hdc9658,3688,9662,3685,9666,3685c9670,3685,9674,3688,9674,3693hal9674,3709hdc9674,3713,9670,3717,9666,3717c9662,3717,9658,3713,9658,3709haxm9658,3661l9658,3645hdc9658,3640,9662,3637,9666,3637c9670,3637,9674,3640,9674,3645hal9674,3661hdc9674,3665,9670,3669,9666,3669c9662,3669,9658,3665,9658,3661haxm9658,3613l9658,3597hdc9658,3592,9662,3589,9666,3589c9670,3589,9674,3592,9674,3597hal9674,3613hdc9674,3617,9670,3621,9666,3621c9662,3621,9658,3617,9658,3613haxm9658,3565l9658,3549hdc9658,3544,9662,3541,9666,3541c9670,3541,9674,3544,9674,3549hal9674,3565hdc9674,3569,9670,3573,9666,3573c9662,3573,9658,3569,9658,3565haxm9658,3517l9658,3501hdc9658,3496,9662,3493,9666,3493c9670,3493,9674,3496,9674,3501hal9674,3517hdc9674,3521,9670,3525,9666,3525c9662,3525,9658,3521,9658,3517haxm9658,3469l9658,3453hdc9658,3448,9662,3445,9666,3445c9670,3445,9674,3448,9674,3453hal9674,3469hdc9674,3473,9670,3477,9666,3477c9662,3477,9658,3473,9658,3469haxm9658,3421l9658,3405hdc9658,3400,9662,3397,9666,3397c9670,3397,9674,3400,9674,3405hal9674,3421hdc9674,3425,9670,3429,9666,3429c9662,3429,9658,3425,9658,3421haxm9658,3373l9658,3357hdc9658,3352,9662,3349,9666,3349c9670,3349,9674,3352,9674,3357hal9674,3373hdc9674,3377,9670,3381,9666,3381c9662,3381,9658,3377,9658,3373haxm9658,3325l9658,3309hdc9658,3304,9662,3301,9666,3301c9670,3301,9674,3304,9674,3309hal9674,3325hdc9674,3329,9670,3333,9666,3333c9662,3333,9658,3329,9658,3325haxm9658,3276l9658,3260hdc9658,3256,9662,3252,9666,3252c9670,3252,9674,3256,9674,3260hal9674,3276hdc9674,3281,9670,3285,9666,3285c9662,3285,9658,3281,9658,3276haxm9658,3228l9658,3212hdc9658,3208,9662,3204,9666,3204c9670,3204,9674,3208,9674,3212hal9674,3228hdc9674,3233,9670,3236,9666,3236c9662,3236,9658,3233,9658,3228haxm9658,3180l9658,3164hdc9658,3160,9662,3156,9666,3156c9670,3156,9674,3160,9674,3164hal9674,3180hdc9674,3185,9670,3188,9666,3188c9662,3188,9658,3185,9658,3180haxm9658,3132l9658,3116hdc9658,3112,9662,3108,9666,3108c9670,3108,9674,3112,9674,3116hal9674,3132hdc9674,3137,9670,3140,9666,3140c9662,3140,9658,3137,9658,3132haxm9658,3084l9658,3068hdc9658,3064,9662,3060,9666,3060c9670,3060,9674,3064,9674,3068hal9674,3084hdc9674,3089,9670,3092,9666,3092c9662,3092,9658,3089,9658,3084haxm9658,3036l9658,3020hdc9658,3016,9662,3012,9666,3012c9670,3012,9674,3016,9674,3020hal9674,3036hdc9674,3041,9670,3044,9666,3044c9662,3044,9658,3041,9658,3036haxm9658,2988l9658,2972hdc9658,2968,9662,2964,9666,2964c9670,2964,9674,2968,9674,2972hal9674,2988hdc9674,2993,9670,2996,9666,2996c9662,2996,9658,2993,9658,2988haxm9658,2940l9658,2924hdc9658,2920,9662,2916,9666,2916c9670,2916,9674,2920,9674,2924hal9674,2940hdc9674,2945,9670,2948,9666,2948c9662,2948,9658,2945,9658,2940haxm9658,2892l9658,2876hdc9658,2872,9662,2868,9666,2868c9670,2868,9674,2872,9674,2876hal9674,2892hdc9674,2897,9670,2900,9666,2900c9662,2900,9658,2897,9658,2892haxm9658,2844l9658,2828hdc9658,2824,9662,2820,9666,2820c9670,2820,9674,2824,9674,2828hal9674,2844hdc9674,2848,9670,2852,9666,2852c9662,2852,9658,2848,9658,2844haxm9658,2796l9658,2780hdc9658,2776,9662,2772,9666,2772c9670,2772,9674,2776,9674,2780hal9674,2796hdc9674,2800,9670,2804,9666,2804c9662,2804,9658,2800,9658,2796haxm9658,2748l9658,2732hdc9658,2728,9662,2724,9666,2724c9670,2724,9674,2728,9674,2732hal9674,2748hdc9674,2752,9670,2756,9666,2756c9662,2756,9658,2752,9658,2748haxm9658,2700l9658,2684hdc9658,2679,9662,2676,9666,2676c9670,2676,9674,2679,9674,2684hal9674,2700hdc9674,2704,9670,2708,9666,2708c9662,2708,9658,2704,9658,2700haxm9658,2652l9658,2636hdc9658,2631,9662,2628,9666,2628c9670,2628,9674,2631,9674,2636hal9674,2652hdc9674,2656,9670,2660,9666,2660c9662,2660,9658,2656,9658,2652haxm9658,2604l9658,2588hdc9658,2583,9662,2580,9666,2580c9670,2580,9674,2583,9674,2588hal9674,2604hdc9674,2608,9670,2612,9666,2612c9662,2612,9658,2608,9658,2604haxm9658,2556l9658,2540hdc9658,2535,9662,2532,9666,2532c9670,2532,9674,2535,9674,2540hal9674,2556hdc9674,2560,9670,2564,9666,2564c9662,2564,9658,2560,9658,2556haxm9658,2508l9658,2492hdc9658,2487,9662,2484,9666,2484c9670,2484,9674,2487,9674,2492hal9674,2508hdc9674,2512,9670,2516,9666,2516c9662,2516,9658,2512,9658,2508haxm9658,2460l9658,2444hdc9658,2439,9662,2436,9666,2436c9670,2436,9674,2439,9674,2444hal9674,2460hdc9674,2464,9670,2468,9666,2468c9662,2468,9658,2464,9658,2460haxm9658,2412l9658,2396hdc9658,2391,9662,2388,9666,2388c9670,2388,9674,2391,9674,2396hal9674,2412hdc9674,2416,9670,2420,9666,2420c9662,2420,9658,2416,9658,2412haxm9658,2364l9658,2348hdc9658,2343,9662,2340,9666,2340c9670,2340,9674,2343,9674,2348hal9674,2364hdc9674,2368,9670,2372,9666,2372c9662,2372,9658,2368,9658,2364haxm9658,2316l9658,2300hdc9658,2295,9662,2292,9666,2292c9670,2292,9674,2295,9674,2300hal9674,2316hdc9674,2320,9670,2324,9666,2324c9662,2324,9658,2320,9658,2316haxm9658,2267l9658,2251hdc9658,2247,9662,2243,9666,2243c9670,2243,9674,2247,9674,2251hal9674,2267hdc9674,2272,9670,2275,9666,2275c9662,2275,9658,2272,9658,2267haxm9658,2219l9658,2203hdc9658,2199,9662,2195,9666,2195c9670,2195,9674,2199,9674,2203hal9674,2219hdc9674,2224,9670,2227,9666,2227c9662,2227,9658,2224,9658,2219haxm9658,2171l9658,2155hdc9658,2151,9662,2147,9666,2147c9670,2147,9674,2151,9674,2155hal9674,2171hdc9674,2176,9670,2179,9666,2179c9662,2179,9658,2176,9658,2171haxm9658,2123l9658,2107hdc9658,2103,9662,2099,9666,2099c9670,2099,9674,2103,9674,2107hal9674,2123hdc9674,2128,9670,2131,9666,2131c9662,2131,9658,2128,9658,2123haxm9658,2075l9658,2059hdc9658,2055,9662,2051,9666,2051c9670,2051,9674,2055,9674,2059hal9674,2075hdc9674,2080,9670,2083,9666,2083c9662,2083,9658,2080,9658,2075haxm9658,2027l9658,2011hdc9658,2007,9662,2003,9666,2003c9670,2003,9674,2007,9674,2011hal9674,2027hdc9674,2032,9670,2035,9666,2035c9662,2035,9658,2032,9658,2027haxm9658,1979l9658,1963hdc9658,1959,9662,1955,9666,1955c9670,1955,9674,1959,9674,1963hal9674,1979hdc9674,1984,9670,1987,9666,1987c9662,1987,9658,1984,9658,1979haxm9658,1931l9658,1915hdc9658,1911,9662,1907,9666,1907c9670,1907,9674,1911,9674,1915hal9674,1931hdc9674,1936,9670,1939,9666,1939c9662,1939,9658,1936,9658,1931haxm9658,1883l9658,1867hdc9658,1863,9662,1859,9666,1859c9670,1859,9674,1863,9674,1867hal9674,1883hdc9674,1888,9670,1891,9666,1891c9662,1891,9658,1888,9658,1883haxm9658,1835l9658,1819hdc9658,1815,9662,1811,9666,1811c9670,1811,9674,1815,9674,1819hal9674,1835hdc9674,1839,9670,1843,9666,1843c9662,1843,9658,1839,9658,1835haxm9658,1787l9658,1771hdc9658,1767,9662,1763,9666,1763c9670,1763,9674,1767,9674,1771hal9674,1787hdc9674,1791,9670,1795,9666,1795c9662,1795,9658,1791,9658,1787haxm9658,1739l9658,1723hdc9658,1719,9662,1715,9666,1715c9670,1715,9674,1719,9674,1723hal9674,1739hdc9674,1743,9670,1747,9666,1747c9662,1747,9658,1743,9658,1739haxm9658,1691l9658,1675hdc9658,1670,9662,1667,9666,1667c9670,1667,9674,1670,9674,1675hal9674,1691hdc9674,1695,9670,1699,9666,1699c9662,1699,9658,1695,9658,1691haxm9658,1643l9658,1627hdc9658,1622,9662,1619,9666,1619c9670,1619,9674,1622,9674,1627hal9674,1643hdc9674,1647,9670,1651,9666,1651c9662,1651,9658,1647,9658,1643haxm9658,1595l9658,1579hdc9658,1574,9662,1571,9666,1571c9670,1571,9674,1574,9674,1579hal9674,1595hdc9674,1599,9670,1603,9666,1603c9662,1603,9658,1599,9658,1595haxm9658,1547l9658,1531hdc9658,1526,9662,1523,9666,1523c9670,1523,9674,1526,9674,1531hal9674,1547hdc9674,1551,9670,1555,9666,1555c9662,1555,9658,1551,9658,1547haxm9658,1499l9658,1483hdc9658,1478,9662,1475,9666,1475c9670,1475,9674,1478,9674,1483hal9674,1499hdc9674,1503,9670,1507,9666,1507c9662,1507,9658,1503,9658,1499haxm9658,1451l9658,1435hdc9658,1430,9662,1427,9666,1427c9670,1427,9674,1430,9674,1435hal9674,1451hdc9674,1455,9670,1459,9666,1459c9662,1459,9658,1455,9658,1451haxm9658,1403l9658,1387hdc9658,1382,9662,1379,9666,1379c9670,1379,9674,1382,9674,1387hal9674,1403hdc9674,1407,9670,1411,9666,1411c9662,1411,9658,1407,9658,1403haxm9658,1355l9658,1339hdc9658,1334,9662,1331,9666,1331c9670,1331,9674,1334,9674,1339hal9674,1355hdc9674,1359,9670,1363,9666,1363c9662,1363,9658,1359,9658,1355haxm9658,1307l9658,1290hdc9658,1286,9662,1282,9666,1282c9670,1282,9674,1286,9674,1290hal9674,1307hdc9674,1311,9670,1315,9666,1315c9662,1315,9658,1311,9658,1307haxm9658,1258l9658,1242hdc9658,1238,9662,1234,9666,1234c9670,1234,9674,1238,9674,1242hal9674,1258hdc9674,1263,9670,1266,9666,1266c9662,1266,9658,1263,9658,1258haxm9658,1210l9658,1194hdc9658,1190,9662,1186,9666,1186c9670,1186,9674,1190,9674,1194hal9674,1210hdc9674,1215,9670,1218,9666,1218c9662,1218,9658,1215,9658,1210haxm9658,1162l9658,1146hdc9658,1142,9662,1138,9666,1138c9670,1138,9674,1142,9674,1146hal9674,1162hdc9674,1167,9670,1170,9666,1170c9662,1170,9658,1167,9658,1162haxm9658,1114l9658,1098hdc9658,1094,9662,1090,9666,1090c9670,1090,9674,1094,9674,1098hal9674,1114hdc9674,1119,9670,1122,9666,1122c9662,1122,9658,1119,9658,1114haxm9658,1066l9658,1050hdc9658,1046,9662,1042,9666,1042c9670,1042,9674,1046,9674,1050hal9674,1066hdc9674,1071,9670,1074,9666,1074c9662,1074,9658,1071,9658,1066haxm9658,1018l9658,1002hdc9658,998,9662,994,9666,994c9670,994,9674,998,9674,1002hal9674,1018hdc9674,1023,9670,1026,9666,1026c9662,1026,9658,1023,9658,1018haxm9658,970l9658,954hdc9658,950,9662,946,9666,946c9670,946,9674,950,9674,954hal9674,970hdc9674,975,9670,978,9666,978c9662,978,9658,975,9658,970haxm9658,922l9658,906hdc9658,902,9662,898,9666,898c9670,898,9674,902,9674,906hal9674,922hdc9674,927,9670,930,9666,930c9662,930,9658,927,9658,922haxm9658,874l9658,858hdc9658,854,9662,850,9666,850c9670,850,9674,854,9674,858hal9674,874hdc9674,879,9670,882,9666,882c9662,882,9658,879,9658,874haxm9658,826l9658,810hdc9658,806,9662,802,9666,802c9670,802,9674,806,9674,810hal9674,826hdc9674,830,9670,834,9666,834c9662,834,9658,830,9658,826haxm9658,778l9658,762hdc9658,758,9662,754,9666,754c9670,754,9674,758,9674,762hal9674,778hdc9674,782,9670,786,9666,786c9662,786,9658,782,9658,778haxm9658,730l9658,714hdc9658,709,9662,706,9666,706c9670,706,9674,709,9674,714hal9674,730hdc9674,734,9670,738,9666,738c9662,738,9658,734,9658,730haxm9658,682l9658,666hdc9658,661,9662,658,9666,658c9670,658,9674,661,9674,666hal9674,682hdc9674,686,9670,690,9666,690c9662,690,9658,686,9658,682haxm9658,634l9658,618hdc9658,613,9662,610,9666,610c9670,610,9674,613,9674,618hal9674,634hdc9674,638,9670,642,9666,642c9662,642,9658,638,9658,634haxm9658,586l9658,570hdc9658,565,9662,562,9666,562c9670,562,9674,565,9674,570hal9674,586hdc9674,590,9670,594,9666,594c9662,594,9658,590,9658,586haxm9658,538l9658,522hdc9658,517,9662,514,9666,514c9670,514,9674,517,9674,522hal9674,538hdc9674,542,9670,546,9666,546c9662,546,9658,542,9658,538haxm9658,490l9658,474hdc9658,469,9662,466,9666,466c9670,466,9674,469,9674,474hal9674,490hdc9674,494,9670,498,9666,498c9662,498,9658,494,9658,490haxm9658,442l9658,426hdc9658,421,9662,418,9666,418c9670,418,9674,421,9674,426hal9674,442hdc9674,446,9670,450,9666,450c9662,450,9658,446,9658,442haxm9658,394l9658,378hdc9658,373,9662,370,9666,370c9670,370,9674,373,9674,378hal9674,394hdc9674,398,9670,402,9666,402c9662,402,9658,398,9658,394haxm9658,346l9658,330hdc9658,325,9662,322,9666,322c9670,322,9674,325,9674,330hal9674,346hdc9674,350,9670,354,9666,354c9662,354,9658,350,9658,346haxm9658,297l9658,281hdc9658,277,9662,273,9666,273c9670,273,9674,277,9674,281hal9674,297hdc9674,302,9670,306,9666,306c9662,306,9658,302,9658,297haxm9658,249l9658,233hdc9658,229,9662,225,9666,225c9670,225,9674,229,9674,233hal9674,249hdc9674,254,9670,257,9666,257c9662,257,9658,254,9658,249haxm9658,201l9658,185hdc9658,181,9662,177,9666,177c9670,177,9674,181,9674,185hal9674,201hdc9674,206,9670,209,9666,209c9662,209,9658,206,9658,201haxm9658,153l9658,137hdc9658,133,9662,129,9666,129c9670,129,9674,133,9674,137hal9674,153hdc9674,158,9670,161,9666,161c9662,161,9658,158,9658,153haxm9658,105l9658,89hdc9658,85,9662,81,9666,81c9670,81,9674,85,9674,89hal9674,105hdc9674,110,9670,113,9666,113c9662,113,9658,110,9658,105haxm9658,57l9658,41hdc9658,37,9662,33,9666,33c9670,33,9674,37,9674,41hal9674,57hdc9674,62,9670,65,9666,65c9662,65,9658,62,9658,57haxm9658,9l9658,8,9666,16,9652,16hdc9647,16,9644,12,9644,8c9644,3,9647,0,9652,0hal9666,0hdc9670,0,9674,3,9674,8hal9674,9hdc9674,14,9670,17,9666,17c9662,17,9658,14,9658,9haxm9620,16l9604,16hdc9599,16,9595,12,9595,8c9595,3,9599,0,9604,0hal9620,0hdc9624,0,9628,3,9628,8c9628,12,9624,16,9620,16haxm9571,16l9555,16hdc9551,16,9547,12,9547,8c9547,3,9551,0,9555,0hal9571,0hdc9576,0,9579,3,9579,8c9579,12,9576,16,9571,16haxm9523,16l9507,16hdc9503,16,9499,12,9499,8c9499,3,9503,0,9507,0hal9523,0hdc9528,0,9531,3,9531,8c9531,12,9528,16,9523,16haxm9475,16l9459,16hdc9455,16,9451,12,9451,8c9451,3,9455,0,9459,0hal9475,0hdc9480,0,9483,3,9483,8c9483,12,9480,16,9475,16haxm9427,16l9411,16hdc9407,16,9403,12,9403,8c9403,3,9407,0,9411,0hal9427,0hdc9432,0,9435,3,9435,8c9435,12,9432,16,9427,16haxm9379,16l9363,16hdc9359,16,9355,12,9355,8c9355,3,9359,0,9363,0hal9379,0hdc9384,0,9387,3,9387,8c9387,12,9384,16,9379,16haxm9331,16l9315,16hdc9311,16,9307,12,9307,8c9307,3,9311,0,9315,0hal9331,0hdc9336,0,9339,3,9339,8c9339,12,9336,16,9331,16haxm9283,16l9267,16hdc9263,16,9259,12,9259,8c9259,3,9263,0,9267,0hal9283,0hdc9288,0,9291,3,9291,8c9291,12,9288,16,9283,16haxm9235,16l9219,16hdc9215,16,9211,12,9211,8c9211,3,9215,0,9219,0hal9235,0hdc9240,0,9243,3,9243,8c9243,12,9240,16,9235,16haxm9187,16l9171,16hdc9167,16,9163,12,9163,8c9163,3,9167,0,9171,0hal9187,0hdc9192,0,9195,3,9195,8c9195,12,9192,16,9187,16haxm9139,16l9123,16hdc9119,16,9115,12,9115,8c9115,3,9119,0,9123,0hal9139,0hdc9143,0,9147,3,9147,8c9147,12,9143,16,9139,16haxm9091,16l9075,16hdc9071,16,9067,12,9067,8c9067,3,9071,0,9075,0hal9091,0hdc9095,0,9099,3,9099,8c9099,12,9095,16,9091,16haxm9043,16l9027,16hdc9022,16,9019,12,9019,8c9019,3,9022,0,9027,0hal9043,0hdc9047,0,9051,3,9051,8c9051,12,9047,16,9043,16haxm8995,16l8979,16hdc8974,16,8971,12,8971,8c8971,3,8974,0,8979,0hal8995,0hdc8999,0,9003,3,9003,8c9003,12,8999,16,8995,16haxm8947,16l8931,16hdc8926,16,8923,12,8923,8c8923,3,8926,0,8931,0hal8947,0hdc8951,0,8955,3,8955,8c8955,12,8951,16,8947,16haxm8899,16l8883,16hdc8878,16,8875,12,8875,8c8875,3,8878,0,8883,0hal8899,0hdc8903,0,8907,3,8907,8c8907,12,8903,16,8899,16haxm8851,16l8835,16hdc8830,16,8827,12,8827,8c8827,3,8830,0,8835,0hal8851,0hdc8855,0,8859,3,8859,8c8859,12,8855,16,8851,16haxm8803,16l8787,16hdc8782,16,8779,12,8779,8c8779,3,8782,0,8787,0hal8803,0hdc8807,0,8811,3,8811,8c8811,12,8807,16,8803,16haxm8755,16l8739,16hdc8734,16,8731,12,8731,8c8731,3,8734,0,8739,0hal8755,0hdc8759,0,8763,3,8763,8c8763,12,8759,16,8755,16haxm8707,16l8691,16hdc8686,16,8683,12,8683,8c8683,3,8686,0,8691,0hal8707,0hdc8711,0,8715,3,8715,8c8715,12,8711,16,8707,16haxm8659,16l8643,16hdc8638,16,8635,12,8635,8c8635,3,8638,0,8643,0hal8659,0hdc8663,0,8667,3,8667,8c8667,12,8663,16,8659,16haxm8610,16l8594,16hdc8590,16,8586,12,8586,8c8586,3,8590,0,8594,0hal8610,0hdc8615,0,8618,3,8618,8c8618,12,8615,16,8610,16haxm8562,16l8546,16hdc8542,16,8538,12,8538,8c8538,3,8542,0,8546,0hal8562,0hdc8567,0,8570,3,8570,8c8570,12,8567,16,8562,16haxm8514,16l8498,16hdc8494,16,8490,12,8490,8c8490,3,8494,0,8498,0hal8514,0hdc8519,0,8522,3,8522,8c8522,12,8519,16,8514,16haxm8466,16l8450,16hdc8446,16,8442,12,8442,8c8442,3,8446,0,8450,0hal8466,0hdc8471,0,8474,3,8474,8c8474,12,8471,16,8466,16haxm8418,16l8402,16hdc8398,16,8394,12,8394,8c8394,3,8398,0,8402,0hal8418,0hdc8423,0,8426,3,8426,8c8426,12,8423,16,8418,16haxm8370,16l8354,16hdc8350,16,8346,12,8346,8c8346,3,8350,0,8354,0hal8370,0hdc8375,0,8378,3,8378,8c8378,12,8375,16,8370,16haxm8322,16l8306,16hdc8302,16,8298,12,8298,8c8298,3,8302,0,8306,0hal8322,0hdc8327,0,8330,3,8330,8c8330,12,8327,16,8322,16haxm8274,16l8258,16hdc8254,16,8250,12,8250,8c8250,3,8254,0,8258,0hal8274,0hdc8279,0,8282,3,8282,8c8282,12,8279,16,8274,16haxm8226,16l8210,16hdc8206,16,8202,12,8202,8c8202,3,8206,0,8210,0hal8226,0hdc8231,0,8234,3,8234,8c8234,12,8231,16,8226,16haxm8178,16l8162,16hdc8158,16,8154,12,8154,8c8154,3,8158,0,8162,0hal8178,0hdc8182,0,8186,3,8186,8c8186,12,8182,16,8178,16haxm8130,16l8114,16hdc8110,16,8106,12,8106,8c8106,3,8110,0,8114,0hal8130,0hdc8134,0,8138,3,8138,8c8138,12,8134,16,8130,16haxm8082,16l8066,16hdc8061,16,8058,12,8058,8c8058,3,8061,0,8066,0hal8082,0hdc8086,0,8090,3,8090,8c8090,12,8086,16,8082,16haxm8034,16l8018,16hdc8013,16,8010,12,8010,8c8010,3,8013,0,8018,0hal8034,0hdc8038,0,8042,3,8042,8c8042,12,8038,16,8034,16haxm7986,16l7970,16hdc7965,16,7962,12,7962,8c7962,3,7965,0,7970,0hal7986,0hdc7990,0,7994,3,7994,8c7994,12,7990,16,7986,16haxm7938,16l7922,16hdc7917,16,7914,12,7914,8c7914,3,7917,0,7922,0hal7938,0hdc7942,0,7946,3,7946,8c7946,12,7942,16,7938,16haxm7890,16l7874,16hdc7869,16,7866,12,7866,8c7866,3,7869,0,7874,0hal7890,0hdc7894,0,7898,3,7898,8c7898,12,7894,16,7890,16haxm7842,16l7826,16hdc7821,16,7818,12,7818,8c7818,3,7821,0,7826,0hal7842,0hdc7846,0,7850,3,7850,8c7850,12,7846,16,7842,16haxm7794,16l7778,16hdc7773,16,7770,12,7770,8c7770,3,7773,0,7778,0hal7794,0hdc7798,0,7802,3,7802,8c7802,12,7798,16,7794,16haxm7746,16l7730,16hdc7725,16,7722,12,7722,8c7722,3,7725,0,7730,0hal7746,0hdc7750,0,7754,3,7754,8c7754,12,7750,16,7746,16haxm7698,16l7682,16hdc7677,16,7674,12,7674,8c7674,3,7677,0,7682,0hal7698,0hdc7702,0,7706,3,7706,8c7706,12,7702,16,7698,16haxm7649,16l7633,16hdc7629,16,7625,12,7625,8c7625,3,7629,0,7633,0hal7649,0hdc7654,0,7658,3,7658,8c7658,12,7654,16,7649,16haxm7601,16l7585,16hdc7581,16,7577,12,7577,8c7577,3,7581,0,7585,0hal7601,0hdc7606,0,7609,3,7609,8c7609,12,7606,16,7601,16haxm7553,16l7537,16hdc7533,16,7529,12,7529,8c7529,3,7533,0,7537,0hal7553,0hdc7558,0,7561,3,7561,8c7561,12,7558,16,7553,16haxm7505,16l7489,16hdc7485,16,7481,12,7481,8c7481,3,7485,0,7489,0hal7505,0hdc7510,0,7513,3,7513,8c7513,12,7510,16,7505,16haxm7457,16l7441,16hdc7437,16,7433,12,7433,8c7433,3,7437,0,7441,0hal7457,0hdc7462,0,7465,3,7465,8c7465,12,7462,16,7457,16haxm7409,16l7393,16hdc7389,16,7385,12,7385,8c7385,3,7389,0,7393,0hal7409,0hdc7414,0,7417,3,7417,8c7417,12,7414,16,7409,16haxm7361,16l7345,16hdc7341,16,7337,12,7337,8c7337,3,7341,0,7345,0hal7361,0hdc7366,0,7369,3,7369,8c7369,12,7366,16,7361,16haxm7313,16l7297,16hdc7293,16,7289,12,7289,8c7289,3,7293,0,7297,0hal7313,0hdc7318,0,7321,3,7321,8c7321,12,7318,16,7313,16haxm7265,16l7249,16hdc7245,16,7241,12,7241,8c7241,3,7245,0,7249,0hal7265,0hdc7270,0,7273,3,7273,8c7273,12,7270,16,7265,16haxm7217,16l7201,16hdc7197,16,7193,12,7193,8c7193,3,7197,0,7201,0hal7217,0hdc7221,0,7225,3,7225,8c7225,12,7221,16,7217,16haxm7169,16l7153,16hdc7149,16,7145,12,7145,8c7145,3,7149,0,7153,0hal7169,0hdc7173,0,7177,3,7177,8c7177,12,7173,16,7169,16haxm7121,16l7105,16hdc7101,16,7097,12,7097,8c7097,3,7101,0,7105,0hal7121,0hdc7125,0,7129,3,7129,8c7129,12,7125,16,7121,16haxm7073,16l7057,16hdc7052,16,7049,12,7049,8c7049,3,7052,0,7057,0hal7073,0hdc7077,0,7081,3,7081,8c7081,12,7077,16,7073,16haxm7025,16l7009,16hdc7004,16,7001,12,7001,8c7001,3,7004,0,7009,0hal7025,0hdc7029,0,7033,3,7033,8c7033,12,7029,16,7025,16haxm6977,16l6961,16hdc6956,16,6953,12,6953,8c6953,3,6956,0,6961,0hal6977,0hdc6981,0,6985,3,6985,8c6985,12,6981,16,6977,16haxm6929,16l6913,16hdc6908,16,6905,12,6905,8c6905,3,6908,0,6913,0hal6929,0hdc6933,0,6937,3,6937,8c6937,12,6933,16,6929,16haxm6881,16l6865,16hdc6860,16,6857,12,6857,8c6857,3,6860,0,6865,0hal6881,0hdc6885,0,6889,3,6889,8c6889,12,6885,16,6881,16haxm6833,16l6817,16hdc6812,16,6809,12,6809,8c6809,3,6812,0,6817,0hal6833,0hdc6837,0,6841,3,6841,8c6841,12,6837,16,6833,16haxm6785,16l6769,16hdc6764,16,6761,12,6761,8c6761,3,6764,0,6769,0hal6785,0hdc6789,0,6793,3,6793,8c6793,12,6789,16,6785,16haxm6737,16l6721,16hdc6716,16,6713,12,6713,8c6713,3,6716,0,6721,0hal6737,0hdc6741,0,6745,3,6745,8c6745,12,6741,16,6737,16haxm6689,16l6672,16hdc6668,16,6664,12,6664,8c6664,3,6668,0,6672,0hal6689,0hdc6693,0,6697,3,6697,8c6697,12,6693,16,6689,16haxm6640,16l6624,16hdc6620,16,6616,12,6616,8c6616,3,6620,0,6624,0hal6640,0hdc6645,0,6648,3,6648,8c6648,12,6645,16,6640,16haxm6592,16l6576,16hdc6572,16,6568,12,6568,8c6568,3,6572,0,6576,0hal6592,0hdc6597,0,6600,3,6600,8c6600,12,6597,16,6592,16haxm6544,16l6528,16hdc6524,16,6520,12,6520,8c6520,3,6524,0,6528,0hal6544,0hdc6549,0,6552,3,6552,8c6552,12,6549,16,6544,16haxm6496,16l6480,16hdc6476,16,6472,12,6472,8c6472,3,6476,0,6480,0hal6496,0hdc6501,0,6504,3,6504,8c6504,12,6501,16,6496,16haxm6448,16l6432,16hdc6428,16,6424,12,6424,8c6424,3,6428,0,6432,0hal6448,0hdc6453,0,6456,3,6456,8c6456,12,6453,16,6448,16haxm6400,16l6384,16hdc6380,16,6376,12,6376,8c6376,3,6380,0,6384,0hal6400,0hdc6405,0,6408,3,6408,8c6408,12,6405,16,6400,16haxm6352,16l6336,16hdc6332,16,6328,12,6328,8c6328,3,6332,0,6336,0hal6352,0hdc6357,0,6360,3,6360,8c6360,12,6357,16,6352,16haxm6304,16l6288,16hdc6284,16,6280,12,6280,8c6280,3,6284,0,6288,0hal6304,0hdc6309,0,6312,3,6312,8c6312,12,6309,16,6304,16haxm6256,16l6240,16hdc6236,16,6232,12,6232,8c6232,3,6236,0,6240,0hal6256,0hdc6260,0,6264,3,6264,8c6264,12,6260,16,6256,16haxm6208,16l6192,16hdc6188,16,6184,12,6184,8c6184,3,6188,0,6192,0hal6208,0hdc6212,0,6216,3,6216,8c6216,12,6212,16,6208,16haxm6160,16l6144,16hdc6140,16,6136,12,6136,8c6136,3,6140,0,6144,0hal6160,0hdc6164,0,6168,3,6168,8c6168,12,6164,16,6160,16haxm6112,16l6096,16hdc6091,16,6088,12,6088,8c6088,3,6091,0,6096,0hal6112,0hdc6116,0,6120,3,6120,8c6120,12,6116,16,6112,16haxm6064,16l6048,16hdc6043,16,6040,12,6040,8c6040,3,6043,0,6048,0hal6064,0hdc6068,0,6072,3,6072,8c6072,12,6068,16,6064,16haxm6016,16l6000,16hdc5995,16,5992,12,5992,8c5992,3,5995,0,6000,0hal6016,0hdc6020,0,6024,3,6024,8c6024,12,6020,16,6016,16haxm5968,16l5952,16hdc5947,16,5944,12,5944,8c5944,3,5947,0,5952,0hal5968,0hdc5972,0,5976,3,5976,8c5976,12,5972,16,5968,16haxm5920,16l5904,16hdc5899,16,5896,12,5896,8c5896,3,5899,0,5904,0hal5920,0hdc5924,0,5928,3,5928,8c5928,12,5924,16,5920,16haxm5872,16l5856,16hdc5851,16,5848,12,5848,8c5848,3,5851,0,5856,0hal5872,0hdc5876,0,5880,3,5880,8c5880,12,5876,16,5872,16haxm5824,16l5808,16hdc5803,16,5800,12,5800,8c5800,3,5803,0,5808,0hal5824,0hdc5828,0,5832,3,5832,8c5832,12,5828,16,5824,16haxm5776,16l5760,16hdc5755,16,5752,12,5752,8c5752,3,5755,0,5760,0hal5776,0hdc5780,0,5784,3,5784,8c5784,12,5780,16,5776,16haxm5728,16l5712,16hdc5707,16,5704,12,5704,8c5704,3,5707,0,5712,0hal5728,0hdc5732,0,5736,3,5736,8c5736,12,5732,16,5728,16haxm5679,16l5663,16hdc5659,16,5655,12,5655,8c5655,3,5659,0,5663,0hal5679,0hdc5684,0,5687,3,5687,8c5687,12,5684,16,5679,16haxm5631,16l5615,16hdc5611,16,5607,12,5607,8c5607,3,5611,0,5615,0hal5631,0hdc5636,0,5639,3,5639,8c5639,12,5636,16,5631,16haxm5583,16l5567,16hdc5563,16,5559,12,5559,8c5559,3,5563,0,5567,0hal5583,0hdc5588,0,5591,3,5591,8c5591,12,5588,16,5583,16haxm5535,16l5519,16hdc5515,16,5511,12,5511,8c5511,3,5515,0,5519,0hal5535,0hdc5540,0,5543,3,5543,8c5543,12,5540,16,5535,16haxm5487,16l5471,16hdc5467,16,5463,12,5463,8c5463,3,5467,0,5471,0hal5487,0hdc5492,0,5495,3,5495,8c5495,12,5492,16,5487,16haxm5439,16l5423,16hdc5419,16,5415,12,5415,8c5415,3,5419,0,5423,0hal5439,0hdc5444,0,5447,3,5447,8c5447,12,5444,16,5439,16haxm5391,16l5375,16hdc5371,16,5367,12,5367,8c5367,3,5371,0,5375,0hal5391,0hdc5396,0,5399,3,5399,8c5399,12,5396,16,5391,16haxm5343,16l5327,16hdc5323,16,5319,12,5319,8c5319,3,5323,0,5327,0hal5343,0hdc5348,0,5351,3,5351,8c5351,12,5348,16,5343,16haxm5295,16l5279,16hdc5275,16,5271,12,5271,8c5271,3,5275,0,5279,0hal5295,0hdc5300,0,5303,3,5303,8c5303,12,5300,16,5295,16haxm5247,16l5231,16hdc5227,16,5223,12,5223,8c5223,3,5227,0,5231,0hal5247,0hdc5251,0,5255,3,5255,8c5255,12,5251,16,5247,16haxm5199,16l5183,16hdc5179,16,5175,12,5175,8c5175,3,5179,0,5183,0hal5199,0hdc5203,0,5207,3,5207,8c5207,12,5203,16,5199,16haxm5151,16l5135,16hdc5131,16,5127,12,5127,8c5127,3,5131,0,5135,0hal5151,0hdc5155,0,5159,3,5159,8c5159,12,5155,16,5151,16haxm5103,16l5087,16hdc5082,16,5079,12,5079,8c5079,3,5082,0,5087,0hal5103,0hdc5107,0,5111,3,5111,8c5111,12,5107,16,5103,16haxm5055,16l5039,16hdc5034,16,5031,12,5031,8c5031,3,5034,0,5039,0hal5055,0hdc5059,0,5063,3,5063,8c5063,12,5059,16,5055,16haxm5007,16l4991,16hdc4986,16,4983,12,4983,8c4983,3,4986,0,4991,0hal5007,0hdc5011,0,5015,3,5015,8c5015,12,5011,16,5007,16haxm4959,16l4943,16hdc4938,16,4935,12,4935,8c4935,3,4938,0,4943,0hal4959,0hdc4963,0,4967,3,4967,8c4967,12,4963,16,4959,16haxm4911,16l4895,16hdc4890,16,4887,12,4887,8c4887,3,4890,0,4895,0hal4911,0hdc4915,0,4919,3,4919,8c4919,12,4915,16,4911,16haxm4863,16l4847,16hdc4842,16,4839,12,4839,8c4839,3,4842,0,4847,0hal4863,0hdc4867,0,4871,3,4871,8c4871,12,4867,16,4863,16haxm4815,16l4799,16hdc4794,16,4791,12,4791,8c4791,3,4794,0,4799,0hal4815,0hdc4819,0,4823,3,4823,8c4823,12,4819,16,4815,16haxm4767,16l4751,16hdc4746,16,4743,12,4743,8c4743,3,4746,0,4751,0hal4767,0hdc4771,0,4775,3,4775,8c4775,12,4771,16,4767,16haxm4719,16l4702,16hdc4698,16,4694,12,4694,8c4694,3,4698,0,4702,0hal4719,0hdc4723,0,4727,3,4727,8c4727,12,4723,16,4719,16haxm4670,16l4654,16hdc4650,16,4646,12,4646,8c4646,3,4650,0,4654,0hal4670,0hdc4675,0,4678,3,4678,8c4678,12,4675,16,4670,16haxm4622,16l4606,16hdc4602,16,4598,12,4598,8c4598,3,4602,0,4606,0hal4622,0hdc4627,0,4630,3,4630,8c4630,12,4627,16,4622,16haxm4574,16l4558,16hdc4554,16,4550,12,4550,8c4550,3,4554,0,4558,0hal4574,0hdc4579,0,4582,3,4582,8c4582,12,4579,16,4574,16haxm4526,16l4510,16hdc4506,16,4502,12,4502,8c4502,3,4506,0,4510,0hal4526,0hdc4531,0,4534,3,4534,8c4534,12,4531,16,4526,16haxm4478,16l4462,16hdc4458,16,4454,12,4454,8c4454,3,4458,0,4462,0hal4478,0hdc4483,0,4486,3,4486,8c4486,12,4483,16,4478,16haxm4430,16l4414,16hdc4410,16,4406,12,4406,8c4406,3,4410,0,4414,0hal4430,0hdc4435,0,4438,3,4438,8c4438,12,4435,16,4430,16haxm4382,16l4366,16hdc4362,16,4358,12,4358,8c4358,3,4362,0,4366,0hal4382,0hdc4387,0,4390,3,4390,8c4390,12,4387,16,4382,16haxm4334,16l4318,16hdc4314,16,4310,12,4310,8c4310,3,4314,0,4318,0hal4334,0hdc4339,0,4342,3,4342,8c4342,12,4339,16,4334,16haxm4286,16l4270,16hdc4266,16,4262,12,4262,8c4262,3,4266,0,4270,0hal4286,0hdc4290,0,4294,3,4294,8c4294,12,4290,16,4286,16haxm4238,16l4222,16hdc4218,16,4214,12,4214,8c4214,3,4218,0,4222,0hal4238,0hdc4242,0,4246,3,4246,8c4246,12,4242,16,4238,16haxm4190,16l4174,16hdc4170,16,4166,12,4166,8c4166,3,4170,0,4174,0hal4190,0hdc4194,0,4198,3,4198,8c4198,12,4194,16,4190,16haxm4142,16l4126,16hdc4121,16,4118,12,4118,8c4118,3,4121,0,4126,0hal4142,0hdc4146,0,4150,3,4150,8c4150,12,4146,16,4142,16haxm4094,16l4078,16hdc4073,16,4070,12,4070,8c4070,3,4073,0,4078,0hal4094,0hdc4098,0,4102,3,4102,8c4102,12,4098,16,4094,16haxm4046,16l4030,16hdc4025,16,4022,12,4022,8c4022,3,4025,0,4030,0hal4046,0hdc4050,0,4054,3,4054,8c4054,12,4050,16,4046,16haxm3998,16l3982,16hdc3977,16,3974,12,3974,8c3974,3,3977,0,3982,0hal3998,0hdc4002,0,4006,3,4006,8c4006,12,4002,16,3998,16haxm3950,16l3934,16hdc3929,16,3926,12,3926,8c3926,3,3929,0,3934,0hal3950,0hdc3954,0,3958,3,3958,8c3958,12,3954,16,3950,16haxm3902,16l3886,16hdc3881,16,3878,12,3878,8c3878,3,3881,0,3886,0hal3902,0hdc3906,0,3910,3,3910,8c3910,12,3906,16,3902,16haxm3854,16l3838,16hdc3833,16,3830,12,3830,8c3830,3,3833,0,3838,0hal3854,0hdc3858,0,3862,3,3862,8c3862,12,3858,16,3854,16haxm3806,16l3790,16hdc3785,16,3782,12,3782,8c3782,3,3785,0,3790,0hal3806,0hdc3810,0,3814,3,3814,8c3814,12,3810,16,3806,16haxm3758,16l3742,16hdc3737,16,3734,12,3734,8c3734,3,3737,0,3742,0hal3758,0hdc3762,0,3766,3,3766,8c3766,12,3762,16,3758,16haxm3709,16l3693,16hdc3689,16,3685,12,3685,8c3685,3,3689,0,3693,0hal3709,0hdc3714,0,3717,3,3717,8c3717,12,3714,16,3709,16haxm3661,16l3645,16hdc3641,16,3637,12,3637,8c3637,3,3641,0,3645,0hal3661,0hdc3666,0,3669,3,3669,8c3669,12,3666,16,3661,16haxm3613,16l3597,16hdc3593,16,3589,12,3589,8c3589,3,3593,0,3597,0hal3613,0hdc3618,0,3621,3,3621,8c3621,12,3618,16,3613,16haxm3565,16l3549,16hdc3545,16,3541,12,3541,8c3541,3,3545,0,3549,0hal3565,0hdc3570,0,3573,3,3573,8c3573,12,3570,16,3565,16haxm3517,16l3501,16hdc3497,16,3493,12,3493,8c3493,3,3497,0,3501,0hal3517,0hdc3522,0,3525,3,3525,8c3525,12,3522,16,3517,16haxm3469,16l3453,16hdc3449,16,3445,12,3445,8c3445,3,3449,0,3453,0hal3469,0hdc3474,0,3477,3,3477,8c3477,12,3474,16,3469,16haxm3421,16l3405,16hdc3401,16,3397,12,3397,8c3397,3,3401,0,3405,0hal3421,0hdc3426,0,3429,3,3429,8c3429,12,3426,16,3421,16haxm3373,16l3357,16hdc3353,16,3349,12,3349,8c3349,3,3353,0,3357,0hal3373,0hdc3378,0,3381,3,3381,8c3381,12,3378,16,3373,16haxm3325,16l3309,16hdc3305,16,3301,12,3301,8c3301,3,3305,0,3309,0hal3325,0hdc3330,0,3333,3,3333,8c3333,12,3330,16,3325,16haxm3277,16l3261,16hdc3257,16,3253,12,3253,8c3253,3,3257,0,3261,0hal3277,0hdc3281,0,3285,3,3285,8c3285,12,3281,16,3277,16haxm3229,16l3213,16hdc3209,16,3205,12,3205,8c3205,3,3209,0,3213,0hal3229,0hdc3233,0,3237,3,3237,8c3237,12,3233,16,3229,16haxm3181,16l3165,16hdc3161,16,3157,12,3157,8c3157,3,3161,0,3165,0hal3181,0hdc3185,0,3189,3,3189,8c3189,12,3185,16,3181,16haxm3133,16l3117,16hdc3112,16,3109,12,3109,8c3109,3,3112,0,3117,0hal3133,0hdc3137,0,3141,3,3141,8c3141,12,3137,16,3133,16haxm3085,16l3069,16hdc3064,16,3061,12,3061,8c3061,3,3064,0,3069,0hal3085,0hdc3089,0,3093,3,3093,8c3093,12,3089,16,3085,16haxm3037,16l3021,16hdc3016,16,3013,12,3013,8c3013,3,3016,0,3021,0hal3037,0hdc3041,0,3045,3,3045,8c3045,12,3041,16,3037,16haxm2989,16l2973,16hdc2968,16,2965,12,2965,8c2965,3,2968,0,2973,0hal2989,0hdc2993,0,2997,3,2997,8c2997,12,2993,16,2989,16haxm2941,16l2925,16hdc2920,16,2917,12,2917,8c2917,3,2920,0,2925,0hal2941,0hdc2945,0,2949,3,2949,8c2949,12,2945,16,2941,16haxm2893,16l2877,16hdc2872,16,2869,12,2869,8c2869,3,2872,0,2877,0hal2893,0hdc2897,0,2901,3,2901,8c2901,12,2897,16,2893,16haxm2845,16l2829,16hdc2824,16,2821,12,2821,8c2821,3,2824,0,2829,0hal2845,0hdc2849,0,2853,3,2853,8c2853,12,2849,16,2845,16haxm2797,16l2781,16hdc2776,16,2773,12,2773,8c2773,3,2776,0,2781,0hal2797,0hdc2801,0,2805,3,2805,8c2805,12,2801,16,2797,16haxm2749,16l2733,16hdc2728,16,2724,12,2724,8c2724,3,2728,0,2733,0hal2749,0hdc2753,0,2757,3,2757,8c2757,12,2753,16,2749,16haxm2700,16l2684,16hdc2680,16,2676,12,2676,8c2676,3,2680,0,2684,0hal2700,0hdc2705,0,2708,3,2708,8c2708,12,2705,16,2700,16haxm2652,16l2636,16hdc2632,16,2628,12,2628,8c2628,3,2632,0,2636,0hal2652,0hdc2657,0,2660,3,2660,8c2660,12,2657,16,2652,16haxm2604,16l2588,16hdc2584,16,2580,12,2580,8c2580,3,2584,0,2588,0hal2604,0hdc2609,0,2612,3,2612,8c2612,12,2609,16,2604,16haxm2556,16l2540,16hdc2536,16,2532,12,2532,8c2532,3,2536,0,2540,0hal2556,0hdc2561,0,2564,3,2564,8c2564,12,2561,16,2556,16haxm2508,16l2492,16hdc2488,16,2484,12,2484,8c2484,3,2488,0,2492,0hal2508,0hdc2513,0,2516,3,2516,8c2516,12,2513,16,2508,16haxm2460,16l2444,16hdc2440,16,2436,12,2436,8c2436,3,2440,0,2444,0hal2460,0hdc2465,0,2468,3,2468,8c2468,12,2465,16,2460,16haxm2412,16l2396,16hdc2392,16,2388,12,2388,8c2388,3,2392,0,2396,0hal2412,0hdc2417,0,2420,3,2420,8c2420,12,2417,16,2412,16haxm2364,16l2348,16hdc2344,16,2340,12,2340,8c2340,3,2344,0,2348,0hal2364,0hdc2369,0,2372,3,2372,8c2372,12,2369,16,2364,16haxm2316,16l2300,16hdc2296,16,2292,12,2292,8c2292,3,2296,0,2300,0hal2316,0hdc2321,0,2324,3,2324,8c2324,12,2321,16,2316,16haxm2268,16l2252,16hdc2248,16,2244,12,2244,8c2244,3,2248,0,2252,0hal2268,0hdc2272,0,2276,3,2276,8c2276,12,2272,16,2268,16haxm2220,16l2204,16hdc2200,16,2196,12,2196,8c2196,3,2200,0,2204,0hal2220,0hdc2224,0,2228,3,2228,8c2228,12,2224,16,2220,16haxm2172,16l2156,16hdc2152,16,2148,12,2148,8c2148,3,2152,0,2156,0hal2172,0hdc2176,0,2180,3,2180,8c2180,12,2176,16,2172,16haxm2124,16l2108,16hdc2103,16,2100,12,2100,8c2100,3,2103,0,2108,0hal2124,0hdc2128,0,2132,3,2132,8c2132,12,2128,16,2124,16haxm2076,16l2060,16hdc2055,16,2052,12,2052,8c2052,3,2055,0,2060,0hal2076,0hdc2080,0,2084,3,2084,8c2084,12,2080,16,2076,16haxm2028,16l2012,16hdc2007,16,2004,12,2004,8c2004,3,2007,0,2012,0hal2028,0hdc2032,0,2036,3,2036,8c2036,12,2032,16,2028,16haxm1980,16l1964,16hdc1959,16,1956,12,1956,8c1956,3,1959,0,1964,0hal1980,0hdc1984,0,1988,3,1988,8c1988,12,1984,16,1980,16haxm1932,16l1916,16hdc1911,16,1908,12,1908,8c1908,3,1911,0,1916,0hal1932,0hdc1936,0,1940,3,1940,8c1940,12,1936,16,1932,16haxm1884,16l1868,16hdc1863,16,1860,12,1860,8c1860,3,1863,0,1868,0hal1884,0hdc1888,0,1892,3,1892,8c1892,12,1888,16,1884,16haxm1836,16l1820,16hdc1815,16,1812,12,1812,8c1812,3,1815,0,1820,0hal1836,0hdc1840,0,1844,3,1844,8c1844,12,1840,16,1836,16haxm1788,16l1772,16hdc1767,16,1764,12,1764,8c1764,3,1767,0,1772,0hal1788,0hdc1792,0,1796,3,1796,8c1796,12,1792,16,1788,16haxm1740,16l1723,16hdc1719,16,1715,12,1715,8c1715,3,1719,0,1723,0hal1740,0hdc1744,0,1748,3,1748,8c1748,12,1744,16,1740,16haxm1691,16l1675,16hdc1671,16,1667,12,1667,8c1667,3,1671,0,1675,0hal1691,0hdc1696,0,1699,3,1699,8c1699,12,1696,16,1691,16haxm1643,16l1627,16hdc1623,16,1619,12,1619,8c1619,3,1623,0,1627,0hal1643,0hdc1648,0,1651,3,1651,8c1651,12,1648,16,1643,16haxm1595,16l1579,16hdc1575,16,1571,12,1571,8c1571,3,1575,0,1579,0hal1595,0hdc1600,0,1603,3,1603,8c1603,12,1600,16,1595,16haxm1547,16l1531,16hdc1527,16,1523,12,1523,8c1523,3,1527,0,1531,0hal1547,0hdc1552,0,1555,3,1555,8c1555,12,1552,16,1547,16haxm1499,16l1483,16hdc1479,16,1475,12,1475,8c1475,3,1479,0,1483,0hal1499,0hdc1504,0,1507,3,1507,8c1507,12,1504,16,1499,16haxm1451,16l1435,16hdc1431,16,1427,12,1427,8c1427,3,1431,0,1435,0hal1451,0hdc1456,0,1459,3,1459,8c1459,12,1456,16,1451,16haxm1403,16l1387,16hdc1383,16,1379,12,1379,8c1379,3,1383,0,1387,0hal1403,0hdc1408,0,1411,3,1411,8c1411,12,1408,16,1403,16haxm1355,16l1339,16hdc1335,16,1331,12,1331,8c1331,3,1335,0,1339,0hal1355,0hdc1360,0,1363,3,1363,8c1363,12,1360,16,1355,16haxm1307,16l1291,16hdc1287,16,1283,12,1283,8c1283,3,1287,0,1291,0hal1307,0hdc1311,0,1315,3,1315,8c1315,12,1311,16,1307,16haxm1259,16l1243,16hdc1239,16,1235,12,1235,8c1235,3,1239,0,1243,0hal1259,0hdc1263,0,1267,3,1267,8c1267,12,1263,16,1259,16haxm1211,16l1195,16hdc1191,16,1187,12,1187,8c1187,3,1191,0,1195,0hal1211,0hdc1215,0,1219,3,1219,8c1219,12,1215,16,1211,16haxm1163,16l1147,16hdc1142,16,1139,12,1139,8c1139,3,1142,0,1147,0hal1163,0hdc1167,0,1171,3,1171,8c1171,12,1167,16,1163,16haxm1115,16l1099,16hdc1094,16,1091,12,1091,8c1091,3,1094,0,1099,0hal1115,0hdc1119,0,1123,3,1123,8c1123,12,1119,16,1115,16haxm1067,16l1051,16hdc1046,16,1043,12,1043,8c1043,3,1046,0,1051,0hal1067,0hdc1071,0,1075,3,1075,8c1075,12,1071,16,1067,16haxm1019,16l1003,16hdc998,16,995,12,995,8c995,3,998,0,1003,0hal1019,0hdc1023,0,1027,3,1027,8c1027,12,1023,16,1019,16haxm971,16l955,16hdc950,16,947,12,947,8c947,3,950,0,955,0hal971,0hdc975,0,979,3,979,8c979,12,975,16,971,16haxm923,16l907,16hdc902,16,899,12,899,8c899,3,902,0,907,0hal923,0hdc927,0,931,3,931,8c931,12,927,16,923,16haxm875,16l859,16hdc854,16,851,12,851,8c851,3,854,0,859,0hal875,0hdc879,0,883,3,883,8c883,12,879,16,875,16haxm827,16l811,16hdc806,16,803,12,803,8c803,3,806,0,811,0hal827,0hdc831,0,835,3,835,8c835,12,831,16,827,16haxm779,16l763,16hdc758,16,755,12,755,8c755,3,758,0,763,0hal779,0hdc783,0,787,3,787,8c787,12,783,16,779,16haxm730,16l714,16hdc710,16,706,12,706,8c706,3,710,0,714,0hal730,0hdc735,0,739,3,739,8c739,12,735,16,730,16haxm682,16l666,16hdc662,16,658,12,658,8c658,3,662,0,666,0hal682,0hdc687,0,690,3,690,8c690,12,687,16,682,16haxm634,16l618,16hdc614,16,610,12,610,8c610,3,614,0,618,0hal634,0hdc639,0,642,3,642,8c642,12,639,16,634,16haxm586,16l570,16hdc566,16,562,12,562,8c562,3,566,0,570,0hal586,0hdc591,0,594,3,594,8c594,12,591,16,586,16haxm538,16l522,16hdc518,16,514,12,514,8c514,3,518,0,522,0hal538,0hdc543,0,546,3,546,8c546,12,543,16,538,16haxm490,16l474,16hdc470,16,466,12,466,8c466,3,470,0,474,0hal490,0hdc495,0,498,3,498,8c498,12,495,16,490,16haxm442,16l426,16hdc422,16,418,12,418,8c418,3,422,0,426,0hal442,0hdc447,0,450,3,450,8c450,12,447,16,442,16haxm394,16l378,16hdc374,16,370,12,370,8c370,3,374,0,378,0hal394,0hdc399,0,402,3,402,8c402,12,399,16,394,16haxm346,16l330,16hdc326,16,322,12,322,8c322,3,326,0,330,0hal346,0hdc351,0,354,3,354,8c354,12,351,16,346,16haxm298,16l282,16hdc278,16,274,12,274,8c274,3,278,0,282,0hal298,0hdc302,0,306,3,306,8c306,12,302,16,298,16haxm250,16l234,16hdc230,16,226,12,226,8c226,3,230,0,234,0hal250,0hdc254,0,258,3,258,8c258,12,254,16,250,16haxm202,16l186,16hdc182,16,178,12,178,8c178,3,182,0,186,0hal202,0hdc206,0,210,3,210,8c210,12,206,16,202,16haxm154,16l138,16hdc133,16,130,12,130,8c130,3,133,0,138,0hal154,0hdc158,0,162,3,162,8c162,12,158,16,154,16haxm106,16l90,16hdc85,16,82,12,82,8c82,3,85,0,90,0hal106,0hdc110,0,114,3,114,8c114,12,110,16,106,16haxm58,16l42,16hdc37,16,34,12,34,8c34,3,37,0,42,0hal58,0hdc62,0,66,3,66,8c66,12,62,16,58,16haxm10,16l8,16hdc4,16,0,12,0,8c0,3,4,0,8,0hal10,0hdc14,0,18,3,18,8c18,12,14,16,10,16haxe">
              <v:path arrowok="t" o:connecttype="segments"/>
              <v:fill on="t" focussize="0,0"/>
              <v:stroke weight="0.05pt" color="#7F7F7F" joinstyle="round"/>
              <v:imagedata o:title=""/>
              <o:lock v:ext="edit"/>
            </v:shape>
            <v:shape id="_x0000_s1246" o:spid="_x0000_s1246" style="position:absolute;left:316;top:3936;height:437;width:5488;" coordsize="9252,739" path="m0,124hdc0,56,41,0,92,0hal9161,0hdc9212,0,9252,56,9252,124hal9252,616hdc9252,684,9212,739,9161,739hal92,739hdc41,739,0,684,0,616hal0,124hdxe">
              <v:path arrowok="t"/>
              <v:fill focussize="0,0"/>
              <v:stroke weight="0pt"/>
              <v:imagedata o:title=""/>
              <o:lock v:ext="edit"/>
            </v:shape>
            <v:shape id="_x0000_s1247" o:spid="_x0000_s1247" style="position:absolute;left:316;top:3936;height:437;width:5488;" filled="f" coordsize="9252,739" path="m0,124hdc0,56,41,0,92,0hal9161,0hdc9212,0,9252,56,9252,124hal9252,616hdc9252,684,9212,739,9161,739hal92,739hdc41,739,0,684,0,616hal0,124hdxe">
              <v:path arrowok="t"/>
              <v:fill on="f" focussize="0,0"/>
              <v:stroke weight="1.45pt" endcap="round"/>
              <v:imagedata o:title=""/>
              <o:lock v:ext="edit"/>
            </v:shape>
            <v:rect id="_x0000_s1248" o:spid="_x0000_s1248" o:spt="1" style="position:absolute;left:761;top:4116;height:156;width:722;mso-wrap-style:none;" filled="f" stroked="f" coordsize="21600,21600">
              <v:path/>
              <v:fill on="f" focussize="0,0"/>
              <v:stroke on="f"/>
              <v:imagedata o:title=""/>
              <o:lock v:ext="edit"/>
              <v:textbox inset="0mm,0mm,0mm,0mm" style="mso-fit-shape-to-text:t;">
                <w:txbxContent>
                  <w:p>
                    <w:pPr>
                      <w:ind w:firstLine="241"/>
                    </w:pPr>
                    <w:r>
                      <w:rPr>
                        <w:rFonts w:hint="eastAsia" w:ascii="宋体" w:cs="宋体"/>
                        <w:b/>
                        <w:bCs/>
                        <w:color w:val="0D0D0D"/>
                        <w:sz w:val="12"/>
                        <w:szCs w:val="12"/>
                      </w:rPr>
                      <w:t>基础资源</w:t>
                    </w:r>
                  </w:p>
                </w:txbxContent>
              </v:textbox>
            </v:rect>
            <v:shape id="_x0000_s1249" o:spid="_x0000_s1249" style="position:absolute;left:403;top:3159;height:383;width:1294;" coordsize="2181,649" path="m0,109hdc0,49,48,0,108,0hal2073,0hdc2133,0,2181,49,2181,109hal2181,541hdc2181,600,2133,649,2073,649hal108,649hdc48,649,0,600,0,541hal0,109hdxe">
              <v:path arrowok="t"/>
              <v:fill focussize="0,0"/>
              <v:stroke weight="0pt"/>
              <v:imagedata o:title=""/>
              <o:lock v:ext="edit"/>
            </v:shape>
            <v:shape id="_x0000_s1250" o:spid="_x0000_s1250" style="position:absolute;left:403;top:3159;height:383;width:1294;" filled="f" coordsize="2181,649" path="m0,109hdc0,49,48,0,108,0hal2073,0hdc2133,0,2181,49,2181,109hal2181,541hdc2181,600,2133,649,2073,649hal108,649hdc48,649,0,600,0,541hal0,109hdxe">
              <v:path arrowok="t"/>
              <v:fill on="f" focussize="0,0"/>
              <v:stroke weight="1.45pt" endcap="round"/>
              <v:imagedata o:title=""/>
              <o:lock v:ext="edit"/>
            </v:shape>
            <v:rect id="_x0000_s1251" o:spid="_x0000_s1251" o:spt="1" style="position:absolute;left:945;top:3293;height:156;width:723;mso-wrap-style:none;" filled="f" stroked="f" coordsize="21600,21600">
              <v:path/>
              <v:fill on="f" focussize="0,0"/>
              <v:stroke on="f"/>
              <v:imagedata o:title=""/>
              <o:lock v:ext="edit"/>
              <v:textbox inset="0mm,0mm,0mm,0mm" style="mso-fit-shape-to-text:t;">
                <w:txbxContent>
                  <w:p>
                    <w:pPr>
                      <w:ind w:firstLine="241"/>
                    </w:pPr>
                    <w:r>
                      <w:rPr>
                        <w:rFonts w:hint="eastAsia" w:ascii="宋体" w:cs="宋体"/>
                        <w:b/>
                        <w:bCs/>
                        <w:color w:val="0D0D0D"/>
                        <w:sz w:val="12"/>
                        <w:szCs w:val="12"/>
                      </w:rPr>
                      <w:t>共享平台</w:t>
                    </w:r>
                  </w:p>
                </w:txbxContent>
              </v:textbox>
            </v:rect>
            <v:rect id="_x0000_s1252" o:spid="_x0000_s1252" o:spt="1" style="position:absolute;left:2297;top:4108;height:156;width:964;mso-wrap-style:none;" filled="f" stroked="f" coordsize="21600,21600">
              <v:path/>
              <v:fill on="f" focussize="0,0"/>
              <v:stroke on="f"/>
              <v:imagedata o:title=""/>
              <o:lock v:ext="edit"/>
              <v:textbox inset="0mm,0mm,0mm,0mm" style="mso-fit-shape-to-text:t;">
                <w:txbxContent>
                  <w:p>
                    <w:pPr>
                      <w:ind w:firstLine="241"/>
                    </w:pPr>
                    <w:r>
                      <w:rPr>
                        <w:rFonts w:hint="eastAsia" w:ascii="宋体" w:cs="宋体"/>
                        <w:b/>
                        <w:bCs/>
                        <w:color w:val="000000"/>
                        <w:sz w:val="12"/>
                        <w:szCs w:val="12"/>
                      </w:rPr>
                      <w:t>部分二类点位</w:t>
                    </w:r>
                  </w:p>
                </w:txbxContent>
              </v:textbox>
            </v:rect>
            <v:rect id="_x0000_s1253" o:spid="_x0000_s1253" o:spt="1" style="position:absolute;left:4030;top:4108;height:156;width:723;mso-wrap-style:none;" filled="f" stroked="f" coordsize="21600,21600">
              <v:path/>
              <v:fill on="f" focussize="0,0"/>
              <v:stroke on="f"/>
              <v:imagedata o:title=""/>
              <o:lock v:ext="edit"/>
              <v:textbox inset="0mm,0mm,0mm,0mm" style="mso-fit-shape-to-text:t;">
                <w:txbxContent>
                  <w:p>
                    <w:pPr>
                      <w:ind w:firstLine="241"/>
                    </w:pPr>
                    <w:r>
                      <w:rPr>
                        <w:rFonts w:hint="eastAsia" w:ascii="宋体" w:cs="宋体"/>
                        <w:b/>
                        <w:bCs/>
                        <w:color w:val="000000"/>
                        <w:sz w:val="12"/>
                        <w:szCs w:val="12"/>
                      </w:rPr>
                      <w:t>一类点位</w:t>
                    </w:r>
                  </w:p>
                </w:txbxContent>
              </v:textbox>
            </v:rect>
            <v:shape id="_x0000_s1254" o:spid="_x0000_s1254" style="position:absolute;left:2271;top:3143;height:422;width:984;" coordsize="1658,715" path="m0,119hdc0,54,38,0,85,0hal1573,0hdc1620,0,1658,54,1658,119hal1658,596hdc1658,662,1620,715,1573,715hal85,715hdc38,715,0,662,0,596hal0,119hdxe">
              <v:path arrowok="t"/>
              <v:fill focussize="0,0"/>
              <v:stroke weight="0pt"/>
              <v:imagedata o:title=""/>
              <o:lock v:ext="edit"/>
            </v:shape>
            <v:shape id="_x0000_s1255" o:spid="_x0000_s1255" style="position:absolute;left:2271;top:3143;height:422;width:984;" filled="f" coordsize="1658,715" path="m0,119hdc0,54,38,0,85,0hal1573,0hdc1620,0,1658,54,1658,119hal1658,596hdc1658,662,1620,715,1573,715hal85,715hdc38,715,0,662,0,596hal0,119hdxe">
              <v:path arrowok="t"/>
              <v:fill on="f" focussize="0,0"/>
              <v:stroke weight="1.45pt" endcap="round"/>
              <v:imagedata o:title=""/>
              <o:lock v:ext="edit"/>
            </v:shape>
            <v:rect id="_x0000_s1256" o:spid="_x0000_s1256" o:spt="1" style="position:absolute;left:2596;top:3293;height:156;width:723;mso-wrap-style:none;" filled="f" stroked="f" coordsize="21600,21600">
              <v:path/>
              <v:fill on="f" focussize="0,0"/>
              <v:stroke on="f"/>
              <v:imagedata o:title=""/>
              <o:lock v:ext="edit"/>
              <v:textbox inset="0mm,0mm,0mm,0mm" style="mso-fit-shape-to-text:t;">
                <w:txbxContent>
                  <w:p>
                    <w:pPr>
                      <w:ind w:firstLine="241"/>
                    </w:pPr>
                    <w:r>
                      <w:rPr>
                        <w:rFonts w:hint="eastAsia" w:ascii="宋体" w:cs="宋体"/>
                        <w:b/>
                        <w:bCs/>
                        <w:color w:val="0D0D0D"/>
                        <w:sz w:val="12"/>
                        <w:szCs w:val="12"/>
                      </w:rPr>
                      <w:t>解析系统</w:t>
                    </w:r>
                  </w:p>
                </w:txbxContent>
              </v:textbox>
            </v:rect>
            <v:shape id="_x0000_s1257" o:spid="_x0000_s1257" style="position:absolute;left:3825;top:3174;height:386;width:1771;" coordsize="2986,652" path="m0,109hdc0,49,59,0,130,0hal2857,0hdc2928,0,2986,49,2986,109hal2986,543hdc2986,603,2928,652,2857,652hal130,652hdc59,652,0,603,0,543hal0,109hdxe">
              <v:path arrowok="t"/>
              <v:fill focussize="0,0"/>
              <v:stroke weight="0pt"/>
              <v:imagedata o:title=""/>
              <o:lock v:ext="edit"/>
            </v:shape>
            <v:shape id="_x0000_s1258" o:spid="_x0000_s1258" style="position:absolute;left:3825;top:3174;height:386;width:1771;" filled="f" coordsize="2986,652" path="m0,109hdc0,49,59,0,130,0hal2857,0hdc2928,0,2986,49,2986,109hal2986,543hdc2986,603,2928,652,2857,652hal130,652hdc59,652,0,603,0,543hal0,109hdxe">
              <v:path arrowok="t"/>
              <v:fill on="f" focussize="0,0"/>
              <v:stroke weight="1.45pt" endcap="round"/>
              <v:imagedata o:title=""/>
              <o:lock v:ext="edit"/>
            </v:shape>
            <v:rect id="_x0000_s1259" o:spid="_x0000_s1259" o:spt="1" style="position:absolute;left:4461;top:3305;height:156;width:723;mso-wrap-style:none;" filled="f" stroked="f" coordsize="21600,21600">
              <v:path/>
              <v:fill on="f" focussize="0,0"/>
              <v:stroke on="f"/>
              <v:imagedata o:title=""/>
              <o:lock v:ext="edit"/>
              <v:textbox inset="0mm,0mm,0mm,0mm" style="mso-fit-shape-to-text:t;">
                <w:txbxContent>
                  <w:p>
                    <w:pPr>
                      <w:ind w:firstLine="241"/>
                    </w:pPr>
                    <w:r>
                      <w:rPr>
                        <w:rFonts w:hint="eastAsia" w:ascii="宋体" w:cs="宋体"/>
                        <w:b/>
                        <w:bCs/>
                        <w:color w:val="000000"/>
                        <w:sz w:val="12"/>
                        <w:szCs w:val="12"/>
                      </w:rPr>
                      <w:t>数据仓库</w:t>
                    </w:r>
                  </w:p>
                </w:txbxContent>
              </v:textbox>
            </v:rect>
            <v:line id="_x0000_s1260" o:spid="_x0000_s1260" o:spt="20" style="position:absolute;left:3449;top:3350;height:0;width:239;" coordsize="21600,21600">
              <v:path arrowok="t"/>
              <v:fill focussize="0,0"/>
              <v:stroke weight="1.45pt" endcap="round"/>
              <v:imagedata o:title=""/>
              <o:lock v:ext="edit"/>
            </v:line>
            <v:shape id="_x0000_s1261" o:spid="_x0000_s1261" style="position:absolute;left:3283;top:3291;height:120;width:181;" fillcolor="#000000" filled="t" stroked="f" coordsize="181,120" path="m181,120l0,59,181,0,181,120xe">
              <v:path arrowok="t"/>
              <v:fill on="t" focussize="0,0"/>
              <v:stroke on="f"/>
              <v:imagedata o:title=""/>
              <o:lock v:ext="edit"/>
            </v:shape>
            <v:shape id="_x0000_s1262" o:spid="_x0000_s1262" style="position:absolute;left:3673;top:3291;height:120;width:181;" fillcolor="#000000" filled="t" stroked="f" coordsize="181,120" path="m0,0l181,59,0,120,0,0xe">
              <v:path arrowok="t"/>
              <v:fill on="t" focussize="0,0"/>
              <v:stroke on="f"/>
              <v:imagedata o:title=""/>
              <o:lock v:ext="edit"/>
            </v:shape>
            <v:rect id="_x0000_s1263" o:spid="_x0000_s1263" o:spt="1" style="position:absolute;left:345;top:738;height:1919;width:1220;" fillcolor="#FCEBDD" filled="t" stroked="f" coordsize="21600,21600">
              <v:path/>
              <v:fill on="t" focussize="0,0"/>
              <v:stroke on="f"/>
              <v:imagedata o:title=""/>
              <o:lock v:ext="edit"/>
            </v:rect>
            <v:shape id="_x0000_s1264" o:spid="_x0000_s1264" o:spt="100" style="position:absolute;left:338;top:731;height:1933;width:1233;" fillcolor="#EA700D" filled="t" stroked="t" coordsize="2079,3271" adj="," path="m22,32l22,53hdc22,59,17,64,11,64c5,64,0,59,0,53hal0,32hdc0,26,5,21,11,21c17,21,22,26,22,32haxm22,96l22,117hdc22,123,17,128,11,128c5,128,0,123,0,117hal0,96hdc0,90,5,85,11,85c17,85,22,90,22,96haxm22,160l22,181hdc22,187,17,192,11,192c5,192,0,187,0,181hal0,160hdc0,154,5,149,11,149c17,149,22,154,22,160haxm22,224l22,245hdc22,251,17,256,11,256c5,256,0,251,0,245hal0,224hdc0,218,5,213,11,213c17,213,22,218,22,224haxm22,288l22,309hdc22,315,17,320,11,320c5,320,0,315,0,309hal0,288hdc0,282,5,277,11,277c17,277,22,282,22,288haxm22,352l22,373hdc22,379,17,384,11,384c5,384,0,379,0,373hal0,352hdc0,346,5,341,11,341c17,341,22,346,22,352haxm22,416l22,437hdc22,443,17,448,11,448c5,448,0,443,0,437hal0,416hdc0,410,5,405,11,405c17,405,22,410,22,416haxm22,480l22,501hdc22,507,17,512,11,512c5,512,0,507,0,501hal0,480hdc0,474,5,469,11,469c17,469,22,474,22,480haxm22,544l22,565hdc22,571,17,576,11,576c5,576,0,571,0,565hal0,544hdc0,538,5,533,11,533c17,533,22,538,22,544haxm22,608l22,629hdc22,635,17,640,11,640c5,640,0,635,0,629hal0,608hdc0,602,5,597,11,597c17,597,22,602,22,608haxm22,672l22,693hdc22,699,17,704,11,704c5,704,0,699,0,693hal0,672hdc0,666,5,661,11,661c17,661,22,666,22,672haxm22,736l22,757hdc22,763,17,768,11,768c5,768,0,763,0,757hal0,736hdc0,730,5,725,11,725c17,725,22,730,22,736haxm22,800l22,821hdc22,827,17,832,11,832c5,832,0,827,0,821hal0,800hdc0,794,5,789,11,789c17,789,22,794,22,800haxm22,864l22,885hdc22,891,17,896,11,896c5,896,0,891,0,885hal0,864hdc0,858,5,853,11,853c17,853,22,858,22,864haxm22,928l22,949hdc22,955,17,960,11,960c5,960,0,955,0,949hal0,928hdc0,922,5,917,11,917c17,917,22,922,22,928haxm22,992l22,1013hdc22,1019,17,1024,11,1024c5,1024,0,1019,0,1013hal0,992hdc0,986,5,981,11,981c17,981,22,986,22,992haxm22,1056l22,1077hdc22,1083,17,1088,11,1088c5,1088,0,1083,0,1077hal0,1056hdc0,1050,5,1045,11,1045c17,1045,22,1050,22,1056haxm22,1120l22,1141hdc22,1147,17,1152,11,1152c5,1152,0,1147,0,1141hal0,1120hdc0,1114,5,1109,11,1109c17,1109,22,1114,22,1120haxm22,1184l22,1205hdc22,1211,17,1216,11,1216c5,1216,0,1211,0,1205hal0,1184hdc0,1178,5,1173,11,1173c17,1173,22,1178,22,1184haxm22,1248l22,1269hdc22,1275,17,1280,11,1280c5,1280,0,1275,0,1269hal0,1248hdc0,1242,5,1237,11,1237c17,1237,22,1242,22,1248haxm22,1312l22,1333hdc22,1339,17,1344,11,1344c5,1344,0,1339,0,1333hal0,1312hdc0,1306,5,1301,11,1301c17,1301,22,1306,22,1312haxm22,1376l22,1397hdc22,1403,17,1408,11,1408c5,1408,0,1403,0,1397hal0,1376hdc0,1370,5,1365,11,1365c17,1365,22,1370,22,1376haxm22,1440l22,1461hdc22,1467,17,1472,11,1472c5,1472,0,1467,0,1461hal0,1440hdc0,1434,5,1429,11,1429c17,1429,22,1434,22,1440haxm22,1504l22,1525hdc22,1531,17,1536,11,1536c5,1536,0,1531,0,1525hal0,1504hdc0,1498,5,1493,11,1493c17,1493,22,1498,22,1504haxm22,1568l22,1589hdc22,1595,17,1600,11,1600c5,1600,0,1595,0,1589hal0,1568hdc0,1562,5,1557,11,1557c17,1557,22,1562,22,1568haxm22,1632l22,1653hdc22,1659,17,1664,11,1664c5,1664,0,1659,0,1653hal0,1632hdc0,1626,5,1621,11,1621c17,1621,22,1626,22,1632haxm22,1696l22,1717hdc22,1723,17,1728,11,1728c5,1728,0,1723,0,1717hal0,1696hdc0,1690,5,1685,11,1685c17,1685,22,1690,22,1696haxm22,1760l22,1781hdc22,1787,17,1792,11,1792c5,1792,0,1787,0,1781hal0,1760hdc0,1754,5,1749,11,1749c17,1749,22,1754,22,1760haxm22,1824l22,1845hdc22,1851,17,1856,11,1856c5,1856,0,1851,0,1845hal0,1824hdc0,1818,5,1813,11,1813c17,1813,22,1818,22,1824haxm22,1888l22,1909hdc22,1915,17,1920,11,1920c5,1920,0,1915,0,1909hal0,1888hdc0,1882,5,1877,11,1877c17,1877,22,1882,22,1888haxm22,1952l22,1973hdc22,1979,17,1984,11,1984c5,1984,0,1979,0,1973hal0,1952hdc0,1946,5,1941,11,1941c17,1941,22,1946,22,1952haxm22,2016l22,2037hdc22,2043,17,2048,11,2048c5,2048,0,2043,0,2037hal0,2016hdc0,2010,5,2005,11,2005c17,2005,22,2010,22,2016haxm22,2080l22,2101hdc22,2107,17,2112,11,2112c5,2112,0,2107,0,2101hal0,2080hdc0,2074,5,2069,11,2069c17,2069,22,2074,22,2080haxm22,2144l22,2165hdc22,2171,17,2176,11,2176c5,2176,0,2171,0,2165hal0,2144hdc0,2138,5,2133,11,2133c17,2133,22,2138,22,2144haxm22,2208l22,2229hdc22,2235,17,2240,11,2240c5,2240,0,2235,0,2229hal0,2208hdc0,2202,5,2197,11,2197c17,2197,22,2202,22,2208haxm22,2272l22,2293hdc22,2299,17,2304,11,2304c5,2304,0,2299,0,2293hal0,2272hdc0,2266,5,2261,11,2261c17,2261,22,2266,22,2272haxm22,2336l22,2357hdc22,2363,17,2368,11,2368c5,2368,0,2363,0,2357hal0,2336hdc0,2330,5,2325,11,2325c17,2325,22,2330,22,2336haxm22,2400l22,2421hdc22,2427,17,2432,11,2432c5,2432,0,2427,0,2421hal0,2400hdc0,2394,5,2389,11,2389c17,2389,22,2394,22,2400haxm22,2464l22,2485hdc22,2491,17,2496,11,2496c5,2496,0,2491,0,2485hal0,2464hdc0,2458,5,2453,11,2453c17,2453,22,2458,22,2464haxm22,2528l22,2549hdc22,2555,17,2560,11,2560c5,2560,0,2555,0,2549hal0,2528hdc0,2522,5,2517,11,2517c17,2517,22,2522,22,2528haxm22,2592l22,2613hdc22,2619,17,2624,11,2624c5,2624,0,2619,0,2613hal0,2592hdc0,2586,5,2581,11,2581c17,2581,22,2586,22,2592haxm22,2656l22,2677hdc22,2683,17,2688,11,2688c5,2688,0,2683,0,2677hal0,2656hdc0,2650,5,2645,11,2645c17,2645,22,2650,22,2656haxm22,2720l22,2741hdc22,2747,17,2752,11,2752c5,2752,0,2747,0,2741hal0,2720hdc0,2714,5,2709,11,2709c17,2709,22,2714,22,2720haxm22,2784l22,2805hdc22,2811,17,2816,11,2816c5,2816,0,2811,0,2805hal0,2784hdc0,2778,5,2773,11,2773c17,2773,22,2778,22,2784haxm22,2848l22,2869hdc22,2875,17,2880,11,2880c5,2880,0,2875,0,2869hal0,2848hdc0,2842,5,2837,11,2837c17,2837,22,2842,22,2848haxm22,2912l22,2933hdc22,2939,17,2944,11,2944c5,2944,0,2939,0,2933hal0,2912hdc0,2906,5,2901,11,2901c17,2901,22,2906,22,2912haxm22,2976l22,2997hdc22,3003,17,3008,11,3008c5,3008,0,3003,0,2997hal0,2976hdc0,2970,5,2965,11,2965c17,2965,22,2970,22,2976haxm22,3040l22,3061hdc22,3067,17,3072,11,3072c5,3072,0,3067,0,3061hal0,3040hdc0,3034,5,3029,11,3029c17,3029,22,3034,22,3040haxm22,3104l22,3125hdc22,3131,17,3136,11,3136c5,3136,0,3131,0,3125hal0,3104hdc0,3098,5,3093,11,3093c17,3093,22,3098,22,3104haxm22,3168l22,3189hdc22,3195,17,3200,11,3200c5,3200,0,3195,0,3189hal0,3168hdc0,3162,5,3157,11,3157c17,3157,22,3162,22,3168haxm22,3232l22,3253hdc22,3259,17,3264,11,3264c5,3264,0,3259,0,3253hal0,3232hdc0,3226,5,3221,11,3221c17,3221,22,3226,22,3232haxm47,3249l68,3249hdc74,3249,79,3254,79,3260c79,3266,74,3271,68,3271hal47,3271hdc41,3271,36,3266,36,3260c36,3254,41,3249,47,3249haxm111,3249l132,3249hdc138,3249,143,3254,143,3260c143,3266,138,3271,132,3271hal111,3271hdc105,3271,100,3266,100,3260c100,3254,105,3249,111,3249haxm175,3249l196,3249hdc202,3249,207,3254,207,3260c207,3266,202,3271,196,3271hal175,3271hdc169,3271,164,3266,164,3260c164,3254,169,3249,175,3249haxm239,3249l260,3249hdc266,3249,271,3254,271,3260c271,3266,266,3271,260,3271hal239,3271hdc233,3271,228,3266,228,3260c228,3254,233,3249,239,3249haxm303,3249l324,3249hdc330,3249,335,3254,335,3260c335,3266,330,3271,324,3271hal303,3271hdc297,3271,292,3266,292,3260c292,3254,297,3249,303,3249haxm367,3249l388,3249hdc394,3249,399,3254,399,3260c399,3266,394,3271,388,3271hal367,3271hdc361,3271,356,3266,356,3260c356,3254,361,3249,367,3249haxm431,3249l452,3249hdc458,3249,463,3254,463,3260c463,3266,458,3271,452,3271hal431,3271hdc425,3271,420,3266,420,3260c420,3254,425,3249,431,3249haxm495,3249l516,3249hdc522,3249,527,3254,527,3260c527,3266,522,3271,516,3271hal495,3271hdc489,3271,484,3266,484,3260c484,3254,489,3249,495,3249haxm559,3249l580,3249hdc586,3249,591,3254,591,3260c591,3266,586,3271,580,3271hal559,3271hdc553,3271,548,3266,548,3260c548,3254,553,3249,559,3249haxm623,3249l644,3249hdc650,3249,655,3254,655,3260c655,3266,650,3271,644,3271hal623,3271hdc617,3271,612,3266,612,3260c612,3254,617,3249,623,3249haxm687,3249l708,3249hdc714,3249,719,3254,719,3260c719,3266,714,3271,708,3271hal687,3271hdc681,3271,676,3266,676,3260c676,3254,681,3249,687,3249haxm751,3249l772,3249hdc778,3249,783,3254,783,3260c783,3266,778,3271,772,3271hal751,3271hdc745,3271,740,3266,740,3260c740,3254,745,3249,751,3249haxm815,3249l836,3249hdc842,3249,847,3254,847,3260c847,3266,842,3271,836,3271hal815,3271hdc809,3271,804,3266,804,3260c804,3254,809,3249,815,3249haxm879,3249l900,3249hdc906,3249,911,3254,911,3260c911,3266,906,3271,900,3271hal879,3271hdc873,3271,868,3266,868,3260c868,3254,873,3249,879,3249haxm943,3249l964,3249hdc970,3249,975,3254,975,3260c975,3266,970,3271,964,3271hal943,3271hdc937,3271,932,3266,932,3260c932,3254,937,3249,943,3249haxm1007,3249l1028,3249hdc1034,3249,1039,3254,1039,3260c1039,3266,1034,3271,1028,3271hal1007,3271hdc1001,3271,996,3266,996,3260c996,3254,1001,3249,1007,3249haxm1071,3249l1092,3249hdc1098,3249,1103,3254,1103,3260c1103,3266,1098,3271,1092,3271hal1071,3271hdc1065,3271,1060,3266,1060,3260c1060,3254,1065,3249,1071,3249haxm1135,3249l1156,3249hdc1162,3249,1167,3254,1167,3260c1167,3266,1162,3271,1156,3271hal1135,3271hdc1129,3271,1124,3266,1124,3260c1124,3254,1129,3249,1135,3249haxm1199,3249l1220,3249hdc1226,3249,1231,3254,1231,3260c1231,3266,1226,3271,1220,3271hal1199,3271hdc1193,3271,1188,3266,1188,3260c1188,3254,1193,3249,1199,3249haxm1263,3249l1284,3249hdc1290,3249,1295,3254,1295,3260c1295,3266,1290,3271,1284,3271hal1263,3271hdc1257,3271,1252,3266,1252,3260c1252,3254,1257,3249,1263,3249haxm1327,3249l1348,3249hdc1354,3249,1359,3254,1359,3260c1359,3266,1354,3271,1348,3271hal1327,3271hdc1321,3271,1316,3266,1316,3260c1316,3254,1321,3249,1327,3249haxm1391,3249l1412,3249hdc1418,3249,1423,3254,1423,3260c1423,3266,1418,3271,1412,3271hal1391,3271hdc1385,3271,1380,3266,1380,3260c1380,3254,1385,3249,1391,3249haxm1455,3249l1476,3249hdc1482,3249,1487,3254,1487,3260c1487,3266,1482,3271,1476,3271hal1455,3271hdc1449,3271,1444,3266,1444,3260c1444,3254,1449,3249,1455,3249haxm1519,3249l1540,3249hdc1546,3249,1551,3254,1551,3260c1551,3266,1546,3271,1540,3271hal1519,3271hdc1513,3271,1508,3266,1508,3260c1508,3254,1513,3249,1519,3249haxm1583,3249l1604,3249hdc1610,3249,1615,3254,1615,3260c1615,3266,1610,3271,1604,3271hal1583,3271hdc1577,3271,1572,3266,1572,3260c1572,3254,1577,3249,1583,3249haxm1647,3249l1668,3249hdc1674,3249,1679,3254,1679,3260c1679,3266,1674,3271,1668,3271hal1647,3271hdc1641,3271,1636,3266,1636,3260c1636,3254,1641,3249,1647,3249haxm1711,3249l1732,3249hdc1738,3249,1743,3254,1743,3260c1743,3266,1738,3271,1732,3271hal1711,3271hdc1705,3271,1700,3266,1700,3260c1700,3254,1705,3249,1711,3249haxm1775,3249l1796,3249hdc1802,3249,1807,3254,1807,3260c1807,3266,1802,3271,1796,3271hal1775,3271hdc1769,3271,1764,3266,1764,3260c1764,3254,1769,3249,1775,3249haxm1839,3249l1860,3249hdc1866,3249,1871,3254,1871,3260c1871,3266,1866,3271,1860,3271hal1839,3271hdc1833,3271,1828,3266,1828,3260c1828,3254,1833,3249,1839,3249haxm1903,3249l1924,3249hdc1930,3249,1935,3254,1935,3260c1935,3266,1930,3271,1924,3271hal1903,3271hdc1897,3271,1892,3266,1892,3260c1892,3254,1897,3249,1903,3249haxm1967,3249l1988,3249hdc1994,3249,1999,3254,1999,3260c1999,3266,1994,3271,1988,3271hal1967,3271hdc1961,3271,1956,3266,1956,3260c1956,3254,1961,3249,1967,3249haxm2031,3249l2052,3249hdc2058,3249,2063,3254,2063,3260c2063,3266,2058,3271,2052,3271hal2031,3271hdc2025,3271,2020,3266,2020,3260c2020,3254,2025,3249,2031,3249haxm2057,3233l2057,3212hdc2057,3206,2062,3201,2068,3201c2074,3201,2079,3206,2079,3212hal2079,3233hdc2079,3239,2074,3244,2068,3244c2062,3244,2057,3239,2057,3233haxm2057,3169l2057,3148hdc2057,3142,2062,3137,2068,3137c2074,3137,2079,3142,2079,3148hal2079,3169hdc2079,3175,2074,3180,2068,3180c2062,3180,2057,3175,2057,3169haxm2057,3105l2057,3084hdc2057,3078,2062,3073,2068,3073c2074,3073,2079,3078,2079,3084hal2079,3105hdc2079,3111,2074,3116,2068,3116c2062,3116,2057,3111,2057,3105haxm2057,3041l2057,3020hdc2057,3014,2062,3009,2068,3009c2074,3009,2079,3014,2079,3020hal2079,3041hdc2079,3047,2074,3052,2068,3052c2062,3052,2057,3047,2057,3041haxm2057,2977l2057,2956hdc2057,2950,2062,2945,2068,2945c2074,2945,2079,2950,2079,2956hal2079,2977hdc2079,2983,2074,2988,2068,2988c2062,2988,2057,2983,2057,2977haxm2057,2913l2057,2892hdc2057,2886,2062,2881,2068,2881c2074,2881,2079,2886,2079,2892hal2079,2913hdc2079,2919,2074,2924,2068,2924c2062,2924,2057,2919,2057,2913haxm2057,2849l2057,2828hdc2057,2822,2062,2817,2068,2817c2074,2817,2079,2822,2079,2828hal2079,2849hdc2079,2855,2074,2860,2068,2860c2062,2860,2057,2855,2057,2849haxm2057,2785l2057,2764hdc2057,2758,2062,2753,2068,2753c2074,2753,2079,2758,2079,2764hal2079,2785hdc2079,2791,2074,2796,2068,2796c2062,2796,2057,2791,2057,2785haxm2057,2721l2057,2700hdc2057,2694,2062,2689,2068,2689c2074,2689,2079,2694,2079,2700hal2079,2721hdc2079,2727,2074,2732,2068,2732c2062,2732,2057,2727,2057,2721haxm2057,2657l2057,2636hdc2057,2630,2062,2625,2068,2625c2074,2625,2079,2630,2079,2636hal2079,2657hdc2079,2663,2074,2668,2068,2668c2062,2668,2057,2663,2057,2657haxm2057,2593l2057,2572hdc2057,2566,2062,2561,2068,2561c2074,2561,2079,2566,2079,2572hal2079,2593hdc2079,2599,2074,2604,2068,2604c2062,2604,2057,2599,2057,2593haxm2057,2529l2057,2508hdc2057,2502,2062,2497,2068,2497c2074,2497,2079,2502,2079,2508hal2079,2529hdc2079,2535,2074,2540,2068,2540c2062,2540,2057,2535,2057,2529haxm2057,2465l2057,2444hdc2057,2438,2062,2433,2068,2433c2074,2433,2079,2438,2079,2444hal2079,2465hdc2079,2471,2074,2476,2068,2476c2062,2476,2057,2471,2057,2465haxm2057,2401l2057,2380hdc2057,2374,2062,2369,2068,2369c2074,2369,2079,2374,2079,2380hal2079,2401hdc2079,2407,2074,2412,2068,2412c2062,2412,2057,2407,2057,2401haxm2057,2337l2057,2316hdc2057,2310,2062,2305,2068,2305c2074,2305,2079,2310,2079,2316hal2079,2337hdc2079,2343,2074,2348,2068,2348c2062,2348,2057,2343,2057,2337haxm2057,2273l2057,2252hdc2057,2246,2062,2241,2068,2241c2074,2241,2079,2246,2079,2252hal2079,2273hdc2079,2279,2074,2284,2068,2284c2062,2284,2057,2279,2057,2273haxm2057,2209l2057,2188hdc2057,2182,2062,2177,2068,2177c2074,2177,2079,2182,2079,2188hal2079,2209hdc2079,2215,2074,2220,2068,2220c2062,2220,2057,2215,2057,2209haxm2057,2145l2057,2124hdc2057,2118,2062,2113,2068,2113c2074,2113,2079,2118,2079,2124hal2079,2145hdc2079,2151,2074,2156,2068,2156c2062,2156,2057,2151,2057,2145haxm2057,2081l2057,2060hdc2057,2054,2062,2049,2068,2049c2074,2049,2079,2054,2079,2060hal2079,2081hdc2079,2087,2074,2092,2068,2092c2062,2092,2057,2087,2057,2081haxm2057,2017l2057,1996hdc2057,1990,2062,1985,2068,1985c2074,1985,2079,1990,2079,1996hal2079,2017hdc2079,2023,2074,2028,2068,2028c2062,2028,2057,2023,2057,2017haxm2057,1953l2057,1932hdc2057,1926,2062,1921,2068,1921c2074,1921,2079,1926,2079,1932hal2079,1953hdc2079,1959,2074,1964,2068,1964c2062,1964,2057,1959,2057,1953haxm2057,1889l2057,1868hdc2057,1862,2062,1857,2068,1857c2074,1857,2079,1862,2079,1868hal2079,1889hdc2079,1895,2074,1900,2068,1900c2062,1900,2057,1895,2057,1889haxm2057,1825l2057,1804hdc2057,1798,2062,1793,2068,1793c2074,1793,2079,1798,2079,1804hal2079,1825hdc2079,1831,2074,1836,2068,1836c2062,1836,2057,1831,2057,1825haxm2057,1761l2057,1740hdc2057,1734,2062,1729,2068,1729c2074,1729,2079,1734,2079,1740hal2079,1761hdc2079,1767,2074,1772,2068,1772c2062,1772,2057,1767,2057,1761haxm2057,1697l2057,1676hdc2057,1670,2062,1665,2068,1665c2074,1665,2079,1670,2079,1676hal2079,1697hdc2079,1703,2074,1708,2068,1708c2062,1708,2057,1703,2057,1697haxm2057,1633l2057,1612hdc2057,1606,2062,1601,2068,1601c2074,1601,2079,1606,2079,1612hal2079,1633hdc2079,1639,2074,1644,2068,1644c2062,1644,2057,1639,2057,1633haxm2057,1569l2057,1548hdc2057,1542,2062,1537,2068,1537c2074,1537,2079,1542,2079,1548hal2079,1569hdc2079,1575,2074,1580,2068,1580c2062,1580,2057,1575,2057,1569haxm2057,1505l2057,1484hdc2057,1478,2062,1473,2068,1473c2074,1473,2079,1478,2079,1484hal2079,1505hdc2079,1511,2074,1516,2068,1516c2062,1516,2057,1511,2057,1505haxm2057,1441l2057,1420hdc2057,1414,2062,1409,2068,1409c2074,1409,2079,1414,2079,1420hal2079,1441hdc2079,1447,2074,1452,2068,1452c2062,1452,2057,1447,2057,1441haxm2057,1377l2057,1356hdc2057,1350,2062,1345,2068,1345c2074,1345,2079,1350,2079,1356hal2079,1377hdc2079,1383,2074,1388,2068,1388c2062,1388,2057,1383,2057,1377haxm2057,1313l2057,1292hdc2057,1286,2062,1281,2068,1281c2074,1281,2079,1286,2079,1292hal2079,1313hdc2079,1319,2074,1324,2068,1324c2062,1324,2057,1319,2057,1313haxm2057,1249l2057,1228hdc2057,1222,2062,1217,2068,1217c2074,1217,2079,1222,2079,1228hal2079,1249hdc2079,1255,2074,1260,2068,1260c2062,1260,2057,1255,2057,1249haxm2057,1185l2057,1164hdc2057,1158,2062,1153,2068,1153c2074,1153,2079,1158,2079,1164hal2079,1185hdc2079,1191,2074,1196,2068,1196c2062,1196,2057,1191,2057,1185haxm2057,1121l2057,1100hdc2057,1094,2062,1089,2068,1089c2074,1089,2079,1094,2079,1100hal2079,1121hdc2079,1127,2074,1132,2068,1132c2062,1132,2057,1127,2057,1121haxm2057,1057l2057,1036hdc2057,1030,2062,1025,2068,1025c2074,1025,2079,1030,2079,1036hal2079,1057hdc2079,1063,2074,1068,2068,1068c2062,1068,2057,1063,2057,1057haxm2057,993l2057,972hdc2057,966,2062,961,2068,961c2074,961,2079,966,2079,972hal2079,993hdc2079,999,2074,1004,2068,1004c2062,1004,2057,999,2057,993haxm2057,929l2057,908hdc2057,902,2062,897,2068,897c2074,897,2079,902,2079,908hal2079,929hdc2079,935,2074,940,2068,940c2062,940,2057,935,2057,929haxm2057,865l2057,844hdc2057,838,2062,833,2068,833c2074,833,2079,838,2079,844hal2079,865hdc2079,871,2074,876,2068,876c2062,876,2057,871,2057,865haxm2057,801l2057,780hdc2057,774,2062,769,2068,769c2074,769,2079,774,2079,780hal2079,801hdc2079,807,2074,812,2068,812c2062,812,2057,807,2057,801haxm2057,737l2057,716hdc2057,710,2062,705,2068,705c2074,705,2079,710,2079,716hal2079,737hdc2079,743,2074,748,2068,748c2062,748,2057,743,2057,737haxm2057,673l2057,652hdc2057,646,2062,641,2068,641c2074,641,2079,646,2079,652hal2079,673hdc2079,679,2074,684,2068,684c2062,684,2057,679,2057,673haxm2057,609l2057,588hdc2057,582,2062,577,2068,577c2074,577,2079,582,2079,588hal2079,609hdc2079,615,2074,620,2068,620c2062,620,2057,615,2057,609haxm2057,545l2057,524hdc2057,518,2062,513,2068,513c2074,513,2079,518,2079,524hal2079,545hdc2079,551,2074,556,2068,556c2062,556,2057,551,2057,545haxm2057,481l2057,460hdc2057,454,2062,449,2068,449c2074,449,2079,454,2079,460hal2079,481hdc2079,487,2074,492,2068,492c2062,492,2057,487,2057,481haxm2057,417l2057,396hdc2057,390,2062,385,2068,385c2074,385,2079,390,2079,396hal2079,417hdc2079,423,2074,428,2068,428c2062,428,2057,423,2057,417haxm2057,353l2057,332hdc2057,326,2062,321,2068,321c2074,321,2079,326,2079,332hal2079,353hdc2079,359,2074,364,2068,364c2062,364,2057,359,2057,353haxm2057,289l2057,268hdc2057,262,2062,257,2068,257c2074,257,2079,262,2079,268hal2079,289hdc2079,295,2074,300,2068,300c2062,300,2057,295,2057,289haxm2057,225l2057,204hdc2057,198,2062,193,2068,193c2074,193,2079,198,2079,204hal2079,225hdc2079,231,2074,236,2068,236c2062,236,2057,231,2057,225haxm2057,161l2057,140hdc2057,134,2062,129,2068,129c2074,129,2079,134,2079,140hal2079,161hdc2079,167,2074,172,2068,172c2062,172,2057,167,2057,161haxm2057,97l2057,76hdc2057,70,2062,65,2068,65c2074,65,2079,70,2079,76hal2079,97hdc2079,103,2074,108,2068,108c2062,108,2057,103,2057,97haxm2057,33l2057,12hdc2057,6,2062,1,2068,1c2074,1,2079,6,2079,12hal2079,33hdc2079,39,2074,44,2068,44c2062,44,2057,39,2057,33haxm2027,21l2006,21hdc2000,21,1995,16,1995,11c1995,5,2000,0,2006,0hal2027,0hdc2033,0,2038,5,2038,11c2038,16,2033,21,2027,21haxm1963,21l1942,21hdc1936,21,1931,16,1931,11c1931,5,1936,0,1942,0hal1963,0hdc1969,0,1974,5,1974,11c1974,16,1969,21,1963,21haxm1899,21l1878,21hdc1872,21,1867,16,1867,11c1867,5,1872,0,1878,0hal1899,0hdc1905,0,1910,5,1910,11c1910,16,1905,21,1899,21haxm1835,21l1814,21hdc1808,21,1803,16,1803,11c1803,5,1808,0,1814,0hal1835,0hdc1841,0,1846,5,1846,11c1846,16,1841,21,1835,21haxm1771,21l1750,21hdc1744,21,1739,16,1739,11c1739,5,1744,0,1750,0hal1771,0hdc1777,0,1782,5,1782,11c1782,16,1777,21,1771,21haxm1707,21l1686,21hdc1680,21,1675,16,1675,11c1675,5,1680,0,1686,0hal1707,0hdc1713,0,1718,5,1718,11c1718,16,1713,21,1707,21haxm1643,21l1622,21hdc1616,21,1611,16,1611,11c1611,5,1616,0,1622,0hal1643,0hdc1649,0,1654,5,1654,11c1654,16,1649,21,1643,21haxm1579,21l1558,21hdc1552,21,1547,16,1547,11c1547,5,1552,0,1558,0hal1579,0hdc1585,0,1590,5,1590,11c1590,16,1585,21,1579,21haxm1515,21l1494,21hdc1488,21,1483,16,1483,11c1483,5,1488,0,1494,0hal1515,0hdc1521,0,1526,5,1526,11c1526,16,1521,21,1515,21haxm1451,21l1430,21hdc1424,21,1419,16,1419,11c1419,5,1424,0,1430,0hal1451,0hdc1457,0,1462,5,1462,11c1462,16,1457,21,1451,21haxm1387,21l1366,21hdc1360,21,1355,16,1355,11c1355,5,1360,0,1366,0hal1387,0hdc1393,0,1398,5,1398,11c1398,16,1393,21,1387,21haxm1323,21l1302,21hdc1296,21,1291,16,1291,11c1291,5,1296,0,1302,0hal1323,0hdc1329,0,1334,5,1334,11c1334,16,1329,21,1323,21haxm1259,21l1238,21hdc1232,21,1227,16,1227,11c1227,5,1232,0,1238,0hal1259,0hdc1265,0,1270,5,1270,11c1270,16,1265,21,1259,21haxm1195,21l1174,21hdc1168,21,1163,16,1163,11c1163,5,1168,0,1174,0hal1195,0hdc1201,0,1206,5,1206,11c1206,16,1201,21,1195,21haxm1131,21l1110,21hdc1104,21,1099,16,1099,11c1099,5,1104,0,1110,0hal1131,0hdc1137,0,1142,5,1142,11c1142,16,1137,21,1131,21haxm1067,21l1046,21hdc1040,21,1035,16,1035,11c1035,5,1040,0,1046,0hal1067,0hdc1073,0,1078,5,1078,11c1078,16,1073,21,1067,21haxm1003,21l982,21hdc976,21,971,16,971,11c971,5,976,0,982,0hal1003,0hdc1009,0,1014,5,1014,11c1014,16,1009,21,1003,21haxm939,21l918,21hdc912,21,907,16,907,11c907,5,912,0,918,0hal939,0hdc945,0,950,5,950,11c950,16,945,21,939,21haxm875,21l854,21hdc848,21,843,16,843,11c843,5,848,0,854,0hal875,0hdc881,0,886,5,886,11c886,16,881,21,875,21haxm811,21l790,21hdc784,21,779,16,779,11c779,5,784,0,790,0hal811,0hdc817,0,822,5,822,11c822,16,817,21,811,21haxm747,21l726,21hdc720,21,715,16,715,11c715,5,720,0,726,0hal747,0hdc753,0,758,5,758,11c758,16,753,21,747,21haxm683,21l662,21hdc656,21,651,16,651,11c651,5,656,0,662,0hal683,0hdc689,0,694,5,694,11c694,16,689,21,683,21haxm619,21l598,21hdc592,21,587,16,587,11c587,5,592,0,598,0hal619,0hdc625,0,630,5,630,11c630,16,625,21,619,21haxm555,21l534,21hdc528,21,523,16,523,11c523,5,528,0,534,0hal555,0hdc561,0,566,5,566,11c566,16,561,21,555,21haxm491,21l470,21hdc464,21,459,16,459,11c459,5,464,0,470,0hal491,0hdc497,0,502,5,502,11c502,16,497,21,491,21haxm427,21l406,21hdc400,21,395,16,395,11c395,5,400,0,406,0hal427,0hdc433,0,438,5,438,11c438,16,433,21,427,21haxm363,21l342,21hdc336,21,331,16,331,11c331,5,336,0,342,0hal363,0hdc369,0,374,5,374,11c374,16,369,21,363,21haxm299,21l278,21hdc272,21,267,16,267,11c267,5,272,0,278,0hal299,0hdc305,0,310,5,310,11c310,16,305,21,299,21haxm235,21l214,21hdc208,21,203,16,203,11c203,5,208,0,214,0hal235,0hdc241,0,246,5,246,11c246,16,241,21,235,21haxm171,21l150,21hdc144,21,139,16,139,11c139,5,144,0,150,0hal171,0hdc177,0,182,5,182,11c182,16,177,21,171,21haxm107,21l86,21hdc80,21,75,16,75,11c75,5,80,0,86,0hal107,0hdc113,0,118,5,118,11c118,16,113,21,107,21haxm43,21l22,21hdc16,21,11,16,11,11c11,5,16,0,22,0hal43,0hdc49,0,54,5,54,11c54,16,49,21,43,21haxe">
              <v:path arrowok="t" o:connecttype="segments"/>
              <v:fill on="t" focussize="0,0"/>
              <v:stroke weight="0.05pt" color="#EA700D" joinstyle="round"/>
              <v:imagedata o:title=""/>
              <o:lock v:ext="edit"/>
            </v:shape>
            <v:rect id="_x0000_s1265" o:spid="_x0000_s1265" o:spt="1" style="position:absolute;left:604;top:844;height:206;width:961;mso-wrap-style:none;" filled="f" stroked="f" coordsize="21600,21600">
              <v:path/>
              <v:fill on="f" focussize="0,0"/>
              <v:stroke on="f"/>
              <v:imagedata o:title=""/>
              <o:lock v:ext="edit"/>
              <v:textbox inset="0mm,0mm,0mm,0mm" style="mso-fit-shape-to-text:t;">
                <w:txbxContent>
                  <w:p>
                    <w:pPr>
                      <w:ind w:firstLine="240"/>
                    </w:pPr>
                    <w:r>
                      <w:rPr>
                        <w:rFonts w:hint="eastAsia" w:ascii="微软雅黑" w:eastAsia="微软雅黑" w:cs="微软雅黑"/>
                        <w:b/>
                        <w:bCs/>
                        <w:color w:val="000000"/>
                        <w:sz w:val="12"/>
                        <w:szCs w:val="12"/>
                      </w:rPr>
                      <w:t>视频萃取应用</w:t>
                    </w:r>
                  </w:p>
                </w:txbxContent>
              </v:textbox>
            </v:rect>
            <v:shape id="_x0000_s1266" o:spid="_x0000_s1266" o:spt="75" type="#_x0000_t75" style="position:absolute;left:408;top:1134;height:397;width:1158;" filled="f" o:preferrelative="t" stroked="f" coordsize="21600,21600">
              <v:path/>
              <v:fill on="f" focussize="0,0"/>
              <v:stroke on="f" joinstyle="miter"/>
              <v:imagedata r:id="rId50" o:title=""/>
              <o:lock v:ext="edit" aspectratio="t"/>
            </v:shape>
            <v:shape id="_x0000_s1267" o:spid="_x0000_s1267" o:spt="75" type="#_x0000_t75" style="position:absolute;left:408;top:1134;height:397;width:1158;" filled="f" o:preferrelative="t" stroked="f" coordsize="21600,21600">
              <v:path/>
              <v:fill on="f" focussize="0,0"/>
              <v:stroke on="f" joinstyle="miter"/>
              <v:imagedata r:id="rId51" o:title=""/>
              <o:lock v:ext="edit" aspectratio="t"/>
            </v:shape>
            <v:rect id="_x0000_s1268" o:spid="_x0000_s1268" o:spt="1" style="position:absolute;left:447;top:1172;height:260;width:1015;" fillcolor="#F9C499" filled="t" stroked="f" coordsize="21600,21600">
              <v:path/>
              <v:fill on="t" focussize="0,0"/>
              <v:stroke on="f"/>
              <v:imagedata o:title=""/>
              <o:lock v:ext="edit"/>
            </v:rect>
            <v:rect id="_x0000_s1269" o:spid="_x0000_s1269" o:spt="1" style="position:absolute;left:447;top:1172;height:260;width:1015;" filled="f" stroked="t" coordsize="21600,21600">
              <v:path/>
              <v:fill on="f" focussize="0,0"/>
              <v:stroke weight="0.5pt" color="#BFBFBF" joinstyle="round" endcap="round"/>
              <v:imagedata o:title=""/>
              <o:lock v:ext="edit"/>
            </v:rect>
            <v:rect id="_x0000_s1270" o:spid="_x0000_s1270" o:spt="1" style="position:absolute;left:706;top:1211;height:206;width:721;mso-wrap-style:none;" filled="f" stroked="f" coordsize="21600,21600">
              <v:path/>
              <v:fill on="f" focussize="0,0"/>
              <v:stroke on="f"/>
              <v:imagedata o:title=""/>
              <o:lock v:ext="edit"/>
              <v:textbox inset="0mm,0mm,0mm,0mm" style="mso-fit-shape-to-text:t;">
                <w:txbxContent>
                  <w:p>
                    <w:pPr>
                      <w:ind w:firstLine="240"/>
                    </w:pPr>
                    <w:r>
                      <w:rPr>
                        <w:rFonts w:hint="eastAsia" w:ascii="微软雅黑" w:eastAsia="微软雅黑" w:cs="微软雅黑"/>
                        <w:color w:val="000000"/>
                        <w:sz w:val="12"/>
                        <w:szCs w:val="12"/>
                      </w:rPr>
                      <w:t>智能检索</w:t>
                    </w:r>
                  </w:p>
                </w:txbxContent>
              </v:textbox>
            </v:rect>
            <v:shape id="_x0000_s1271" o:spid="_x0000_s1271" o:spt="75" type="#_x0000_t75" style="position:absolute;left:408;top:1645;height:397;width:1158;" filled="f" o:preferrelative="t" stroked="f" coordsize="21600,21600">
              <v:path/>
              <v:fill on="f" focussize="0,0"/>
              <v:stroke on="f" joinstyle="miter"/>
              <v:imagedata r:id="rId52" o:title=""/>
              <o:lock v:ext="edit" aspectratio="t"/>
            </v:shape>
            <v:shape id="_x0000_s1272" o:spid="_x0000_s1272" o:spt="75" type="#_x0000_t75" style="position:absolute;left:408;top:1645;height:397;width:1158;" filled="f" o:preferrelative="t" stroked="f" coordsize="21600,21600">
              <v:path/>
              <v:fill on="f" focussize="0,0"/>
              <v:stroke on="f" joinstyle="miter"/>
              <v:imagedata r:id="rId53" o:title=""/>
              <o:lock v:ext="edit" aspectratio="t"/>
            </v:shape>
            <v:rect id="_x0000_s1273" o:spid="_x0000_s1273" o:spt="1" style="position:absolute;left:447;top:1680;height:261;width:1015;" fillcolor="#F9C499" filled="t" stroked="f" coordsize="21600,21600">
              <v:path/>
              <v:fill on="t" focussize="0,0"/>
              <v:stroke on="f"/>
              <v:imagedata o:title=""/>
              <o:lock v:ext="edit"/>
            </v:rect>
            <v:rect id="_x0000_s1274" o:spid="_x0000_s1274" o:spt="1" style="position:absolute;left:447;top:1680;height:261;width:1015;" filled="f" stroked="t" coordsize="21600,21600">
              <v:path/>
              <v:fill on="f" focussize="0,0"/>
              <v:stroke weight="0.5pt" color="#BFBFBF" joinstyle="round" endcap="round"/>
              <v:imagedata o:title=""/>
              <o:lock v:ext="edit"/>
            </v:rect>
            <v:rect id="_x0000_s1275" o:spid="_x0000_s1275" o:spt="1" style="position:absolute;left:706;top:1721;height:206;width:721;mso-wrap-style:none;" filled="f" stroked="f" coordsize="21600,21600">
              <v:path/>
              <v:fill on="f" focussize="0,0"/>
              <v:stroke on="f"/>
              <v:imagedata o:title=""/>
              <o:lock v:ext="edit"/>
              <v:textbox inset="0mm,0mm,0mm,0mm" style="mso-fit-shape-to-text:t;">
                <w:txbxContent>
                  <w:p>
                    <w:pPr>
                      <w:ind w:firstLine="240"/>
                    </w:pPr>
                    <w:r>
                      <w:rPr>
                        <w:rFonts w:hint="eastAsia" w:ascii="微软雅黑" w:eastAsia="微软雅黑" w:cs="微软雅黑"/>
                        <w:color w:val="000000"/>
                        <w:sz w:val="12"/>
                        <w:szCs w:val="12"/>
                      </w:rPr>
                      <w:t>全局分析</w:t>
                    </w:r>
                  </w:p>
                </w:txbxContent>
              </v:textbox>
            </v:rect>
            <v:shape id="_x0000_s1276" o:spid="_x0000_s1276" o:spt="75" type="#_x0000_t75" style="position:absolute;left:408;top:2174;height:407;width:1158;" filled="f" o:preferrelative="t" stroked="f" coordsize="21600,21600">
              <v:path/>
              <v:fill on="f" focussize="0,0"/>
              <v:stroke on="f" joinstyle="miter"/>
              <v:imagedata r:id="rId54" o:title=""/>
              <o:lock v:ext="edit" aspectratio="t"/>
            </v:shape>
            <v:shape id="_x0000_s1277" o:spid="_x0000_s1277" o:spt="75" type="#_x0000_t75" style="position:absolute;left:408;top:2174;height:407;width:1158;" filled="f" o:preferrelative="t" stroked="f" coordsize="21600,21600">
              <v:path/>
              <v:fill on="f" focussize="0,0"/>
              <v:stroke on="f" joinstyle="miter"/>
              <v:imagedata r:id="rId55" o:title=""/>
              <o:lock v:ext="edit" aspectratio="t"/>
            </v:shape>
            <v:rect id="_x0000_s1278" o:spid="_x0000_s1278" o:spt="1" style="position:absolute;left:447;top:2216;height:261;width:1015;" fillcolor="#F9C499" filled="t" stroked="f" coordsize="21600,21600">
              <v:path/>
              <v:fill on="t" focussize="0,0"/>
              <v:stroke on="f"/>
              <v:imagedata o:title=""/>
              <o:lock v:ext="edit"/>
            </v:rect>
            <v:rect id="_x0000_s1279" o:spid="_x0000_s1279" o:spt="1" style="position:absolute;left:447;top:2216;height:261;width:1015;" filled="f" stroked="t" coordsize="21600,21600">
              <v:path/>
              <v:fill on="f" focussize="0,0"/>
              <v:stroke weight="0.5pt" color="#BFBFBF" joinstyle="round" endcap="round"/>
              <v:imagedata o:title=""/>
              <o:lock v:ext="edit"/>
            </v:rect>
            <v:rect id="_x0000_s1280" o:spid="_x0000_s1280" o:spt="1" style="position:absolute;left:706;top:2257;height:206;width:721;mso-wrap-style:none;" filled="f" stroked="f" coordsize="21600,21600">
              <v:path/>
              <v:fill on="f" focussize="0,0"/>
              <v:stroke on="f"/>
              <v:imagedata o:title=""/>
              <o:lock v:ext="edit"/>
              <v:textbox inset="0mm,0mm,0mm,0mm" style="mso-fit-shape-to-text:t;">
                <w:txbxContent>
                  <w:p>
                    <w:pPr>
                      <w:ind w:firstLine="240"/>
                    </w:pPr>
                    <w:r>
                      <w:rPr>
                        <w:rFonts w:hint="eastAsia" w:ascii="微软雅黑" w:eastAsia="微软雅黑" w:cs="微软雅黑"/>
                        <w:color w:val="000000"/>
                        <w:sz w:val="12"/>
                        <w:szCs w:val="12"/>
                      </w:rPr>
                      <w:t>图片处理</w:t>
                    </w:r>
                  </w:p>
                </w:txbxContent>
              </v:textbox>
            </v:rect>
            <v:rect id="_x0000_s1281" o:spid="_x0000_s1281" o:spt="1" style="position:absolute;left:1768;top:738;height:1919;width:1220;" fillcolor="#FCEBDD" filled="t" stroked="f" coordsize="21600,21600">
              <v:path/>
              <v:fill on="t" focussize="0,0"/>
              <v:stroke on="f"/>
              <v:imagedata o:title=""/>
              <o:lock v:ext="edit"/>
            </v:rect>
            <v:shape id="_x0000_s1282" o:spid="_x0000_s1282" o:spt="100" style="position:absolute;left:1762;top:731;height:1933;width:1232;" fillcolor="#EA700D" filled="t" stroked="t" coordsize="2078,3271" adj="," path="m21,32l21,53hdc21,59,16,64,11,64c5,64,0,59,0,53hal0,32hdc0,26,5,21,11,21c16,21,21,26,21,32haxm21,96l21,117hdc21,123,16,128,11,128c5,128,0,123,0,117hal0,96hdc0,90,5,85,11,85c16,85,21,90,21,96haxm21,160l21,181hdc21,187,16,192,11,192c5,192,0,187,0,181hal0,160hdc0,154,5,149,11,149c16,149,21,154,21,160haxm21,224l21,245hdc21,251,16,256,11,256c5,256,0,251,0,245hal0,224hdc0,218,5,213,11,213c16,213,21,218,21,224haxm21,288l21,309hdc21,315,16,320,11,320c5,320,0,315,0,309hal0,288hdc0,282,5,277,11,277c16,277,21,282,21,288haxm21,352l21,373hdc21,379,16,384,11,384c5,384,0,379,0,373hal0,352hdc0,346,5,341,11,341c16,341,21,346,21,352haxm21,416l21,437hdc21,443,16,448,11,448c5,448,0,443,0,437hal0,416hdc0,410,5,405,11,405c16,405,21,410,21,416haxm21,480l21,501hdc21,507,16,512,11,512c5,512,0,507,0,501hal0,480hdc0,474,5,469,11,469c16,469,21,474,21,480haxm21,544l21,565hdc21,571,16,576,11,576c5,576,0,571,0,565hal0,544hdc0,538,5,533,11,533c16,533,21,538,21,544haxm21,608l21,629hdc21,635,16,640,11,640c5,640,0,635,0,629hal0,608hdc0,602,5,597,11,597c16,597,21,602,21,608haxm21,672l21,693hdc21,699,16,704,11,704c5,704,0,699,0,693hal0,672hdc0,666,5,661,11,661c16,661,21,666,21,672haxm21,736l21,757hdc21,763,16,768,11,768c5,768,0,763,0,757hal0,736hdc0,730,5,725,11,725c16,725,21,730,21,736haxm21,800l21,821hdc21,827,16,832,11,832c5,832,0,827,0,821hal0,800hdc0,794,5,789,11,789c16,789,21,794,21,800haxm21,864l21,885hdc21,891,16,896,11,896c5,896,0,891,0,885hal0,864hdc0,858,5,853,11,853c16,853,21,858,21,864haxm21,928l21,949hdc21,955,16,960,11,960c5,960,0,955,0,949hal0,928hdc0,922,5,917,11,917c16,917,21,922,21,928haxm21,992l21,1013hdc21,1019,16,1024,11,1024c5,1024,0,1019,0,1013hal0,992hdc0,986,5,981,11,981c16,981,21,986,21,992haxm21,1056l21,1077hdc21,1083,16,1088,11,1088c5,1088,0,1083,0,1077hal0,1056hdc0,1050,5,1045,11,1045c16,1045,21,1050,21,1056haxm21,1120l21,1141hdc21,1147,16,1152,11,1152c5,1152,0,1147,0,1141hal0,1120hdc0,1114,5,1109,11,1109c16,1109,21,1114,21,1120haxm21,1184l21,1205hdc21,1211,16,1216,11,1216c5,1216,0,1211,0,1205hal0,1184hdc0,1178,5,1173,11,1173c16,1173,21,1178,21,1184haxm21,1248l21,1269hdc21,1275,16,1280,11,1280c5,1280,0,1275,0,1269hal0,1248hdc0,1242,5,1237,11,1237c16,1237,21,1242,21,1248haxm21,1312l21,1333hdc21,1339,16,1344,11,1344c5,1344,0,1339,0,1333hal0,1312hdc0,1306,5,1301,11,1301c16,1301,21,1306,21,1312haxm21,1376l21,1397hdc21,1403,16,1408,11,1408c5,1408,0,1403,0,1397hal0,1376hdc0,1370,5,1365,11,1365c16,1365,21,1370,21,1376haxm21,1440l21,1461hdc21,1467,16,1472,11,1472c5,1472,0,1467,0,1461hal0,1440hdc0,1434,5,1429,11,1429c16,1429,21,1434,21,1440haxm21,1504l21,1525hdc21,1531,16,1536,11,1536c5,1536,0,1531,0,1525hal0,1504hdc0,1498,5,1493,11,1493c16,1493,21,1498,21,1504haxm21,1568l21,1589hdc21,1595,16,1600,11,1600c5,1600,0,1595,0,1589hal0,1568hdc0,1562,5,1557,11,1557c16,1557,21,1562,21,1568haxm21,1632l21,1653hdc21,1659,16,1664,11,1664c5,1664,0,1659,0,1653hal0,1632hdc0,1626,5,1621,11,1621c16,1621,21,1626,21,1632haxm21,1696l21,1717hdc21,1723,16,1728,11,1728c5,1728,0,1723,0,1717hal0,1696hdc0,1690,5,1685,11,1685c16,1685,21,1690,21,1696haxm21,1760l21,1781hdc21,1787,16,1792,11,1792c5,1792,0,1787,0,1781hal0,1760hdc0,1754,5,1749,11,1749c16,1749,21,1754,21,1760haxm21,1824l21,1845hdc21,1851,16,1856,11,1856c5,1856,0,1851,0,1845hal0,1824hdc0,1818,5,1813,11,1813c16,1813,21,1818,21,1824haxm21,1888l21,1909hdc21,1915,16,1920,11,1920c5,1920,0,1915,0,1909hal0,1888hdc0,1882,5,1877,11,1877c16,1877,21,1882,21,1888haxm21,1952l21,1973hdc21,1979,16,1984,11,1984c5,1984,0,1979,0,1973hal0,1952hdc0,1946,5,1941,11,1941c16,1941,21,1946,21,1952haxm21,2016l21,2037hdc21,2043,16,2048,11,2048c5,2048,0,2043,0,2037hal0,2016hdc0,2010,5,2005,11,2005c16,2005,21,2010,21,2016haxm21,2080l21,2101hdc21,2107,16,2112,11,2112c5,2112,0,2107,0,2101hal0,2080hdc0,2074,5,2069,11,2069c16,2069,21,2074,21,2080haxm21,2144l21,2165hdc21,2171,16,2176,11,2176c5,2176,0,2171,0,2165hal0,2144hdc0,2138,5,2133,11,2133c16,2133,21,2138,21,2144haxm21,2208l21,2229hdc21,2235,16,2240,11,2240c5,2240,0,2235,0,2229hal0,2208hdc0,2202,5,2197,11,2197c16,2197,21,2202,21,2208haxm21,2272l21,2293hdc21,2299,16,2304,11,2304c5,2304,0,2299,0,2293hal0,2272hdc0,2266,5,2261,11,2261c16,2261,21,2266,21,2272haxm21,2336l21,2357hdc21,2363,16,2368,11,2368c5,2368,0,2363,0,2357hal0,2336hdc0,2330,5,2325,11,2325c16,2325,21,2330,21,2336haxm21,2400l21,2421hdc21,2427,16,2432,11,2432c5,2432,0,2427,0,2421hal0,2400hdc0,2394,5,2389,11,2389c16,2389,21,2394,21,2400haxm21,2464l21,2485hdc21,2491,16,2496,11,2496c5,2496,0,2491,0,2485hal0,2464hdc0,2458,5,2453,11,2453c16,2453,21,2458,21,2464haxm21,2528l21,2549hdc21,2555,16,2560,11,2560c5,2560,0,2555,0,2549hal0,2528hdc0,2522,5,2517,11,2517c16,2517,21,2522,21,2528haxm21,2592l21,2613hdc21,2619,16,2624,11,2624c5,2624,0,2619,0,2613hal0,2592hdc0,2586,5,2581,11,2581c16,2581,21,2586,21,2592haxm21,2656l21,2677hdc21,2683,16,2688,11,2688c5,2688,0,2683,0,2677hal0,2656hdc0,2650,5,2645,11,2645c16,2645,21,2650,21,2656haxm21,2720l21,2741hdc21,2747,16,2752,11,2752c5,2752,0,2747,0,2741hal0,2720hdc0,2714,5,2709,11,2709c16,2709,21,2714,21,2720haxm21,2784l21,2805hdc21,2811,16,2816,11,2816c5,2816,0,2811,0,2805hal0,2784hdc0,2778,5,2773,11,2773c16,2773,21,2778,21,2784haxm21,2848l21,2869hdc21,2875,16,2880,11,2880c5,2880,0,2875,0,2869hal0,2848hdc0,2842,5,2837,11,2837c16,2837,21,2842,21,2848haxm21,2912l21,2933hdc21,2939,16,2944,11,2944c5,2944,0,2939,0,2933hal0,2912hdc0,2906,5,2901,11,2901c16,2901,21,2906,21,2912haxm21,2976l21,2997hdc21,3003,16,3008,11,3008c5,3008,0,3003,0,2997hal0,2976hdc0,2970,5,2965,11,2965c16,2965,21,2970,21,2976haxm21,3040l21,3061hdc21,3067,16,3072,11,3072c5,3072,0,3067,0,3061hal0,3040hdc0,3034,5,3029,11,3029c16,3029,21,3034,21,3040haxm21,3104l21,3125hdc21,3131,16,3136,11,3136c5,3136,0,3131,0,3125hal0,3104hdc0,3098,5,3093,11,3093c16,3093,21,3098,21,3104haxm21,3168l21,3189hdc21,3195,16,3200,11,3200c5,3200,0,3195,0,3189hal0,3168hdc0,3162,5,3157,11,3157c16,3157,21,3162,21,3168haxm21,3232l21,3253hdc21,3259,16,3264,11,3264c5,3264,0,3259,0,3253hal0,3232hdc0,3226,5,3221,11,3221c16,3221,21,3226,21,3232haxm46,3249l68,3249hdc74,3249,78,3254,78,3260c78,3266,74,3271,68,3271hal46,3271hdc40,3271,36,3266,36,3260c36,3254,40,3249,46,3249haxm110,3249l132,3249hdc138,3249,142,3254,142,3260c142,3266,138,3271,132,3271hal110,3271hdc104,3271,100,3266,100,3260c100,3254,104,3249,110,3249haxm174,3249l196,3249hdc202,3249,206,3254,206,3260c206,3266,202,3271,196,3271hal174,3271hdc168,3271,164,3266,164,3260c164,3254,168,3249,174,3249haxm238,3249l260,3249hdc266,3249,270,3254,270,3260c270,3266,266,3271,260,3271hal238,3271hdc232,3271,228,3266,228,3260c228,3254,232,3249,238,3249haxm302,3249l324,3249hdc330,3249,334,3254,334,3260c334,3266,330,3271,324,3271hal302,3271hdc296,3271,292,3266,292,3260c292,3254,296,3249,302,3249haxm366,3249l388,3249hdc394,3249,398,3254,398,3260c398,3266,394,3271,388,3271hal366,3271hdc360,3271,356,3266,356,3260c356,3254,360,3249,366,3249haxm430,3249l452,3249hdc458,3249,462,3254,462,3260c462,3266,458,3271,452,3271hal430,3271hdc424,3271,420,3266,420,3260c420,3254,424,3249,430,3249haxm494,3249l516,3249hdc522,3249,526,3254,526,3260c526,3266,522,3271,516,3271hal494,3271hdc488,3271,484,3266,484,3260c484,3254,488,3249,494,3249haxm558,3249l580,3249hdc586,3249,590,3254,590,3260c590,3266,586,3271,580,3271hal558,3271hdc552,3271,548,3266,548,3260c548,3254,552,3249,558,3249haxm622,3249l644,3249hdc650,3249,654,3254,654,3260c654,3266,650,3271,644,3271hal622,3271hdc616,3271,612,3266,612,3260c612,3254,616,3249,622,3249haxm686,3249l708,3249hdc714,3249,718,3254,718,3260c718,3266,714,3271,708,3271hal686,3271hdc680,3271,676,3266,676,3260c676,3254,680,3249,686,3249haxm750,3249l772,3249hdc778,3249,782,3254,782,3260c782,3266,778,3271,772,3271hal750,3271hdc744,3271,740,3266,740,3260c740,3254,744,3249,750,3249haxm814,3249l836,3249hdc842,3249,846,3254,846,3260c846,3266,842,3271,836,3271hal814,3271hdc808,3271,804,3266,804,3260c804,3254,808,3249,814,3249haxm878,3249l900,3249hdc906,3249,910,3254,910,3260c910,3266,906,3271,900,3271hal878,3271hdc872,3271,868,3266,868,3260c868,3254,872,3249,878,3249haxm942,3249l964,3249hdc970,3249,974,3254,974,3260c974,3266,970,3271,964,3271hal942,3271hdc936,3271,932,3266,932,3260c932,3254,936,3249,942,3249haxm1006,3249l1028,3249hdc1034,3249,1038,3254,1038,3260c1038,3266,1034,3271,1028,3271hal1006,3271hdc1000,3271,996,3266,996,3260c996,3254,1000,3249,1006,3249haxm1070,3249l1092,3249hdc1098,3249,1102,3254,1102,3260c1102,3266,1098,3271,1092,3271hal1070,3271hdc1064,3271,1060,3266,1060,3260c1060,3254,1064,3249,1070,3249haxm1134,3249l1156,3249hdc1162,3249,1166,3254,1166,3260c1166,3266,1162,3271,1156,3271hal1134,3271hdc1128,3271,1124,3266,1124,3260c1124,3254,1128,3249,1134,3249haxm1198,3249l1220,3249hdc1226,3249,1230,3254,1230,3260c1230,3266,1226,3271,1220,3271hal1198,3271hdc1192,3271,1188,3266,1188,3260c1188,3254,1192,3249,1198,3249haxm1262,3249l1284,3249hdc1290,3249,1294,3254,1294,3260c1294,3266,1290,3271,1284,3271hal1262,3271hdc1256,3271,1252,3266,1252,3260c1252,3254,1256,3249,1262,3249haxm1326,3249l1348,3249hdc1354,3249,1358,3254,1358,3260c1358,3266,1354,3271,1348,3271hal1326,3271hdc1320,3271,1316,3266,1316,3260c1316,3254,1320,3249,1326,3249haxm1390,3249l1412,3249hdc1418,3249,1422,3254,1422,3260c1422,3266,1418,3271,1412,3271hal1390,3271hdc1384,3271,1380,3266,1380,3260c1380,3254,1384,3249,1390,3249haxm1454,3249l1476,3249hdc1482,3249,1486,3254,1486,3260c1486,3266,1482,3271,1476,3271hal1454,3271hdc1448,3271,1444,3266,1444,3260c1444,3254,1448,3249,1454,3249haxm1518,3249l1540,3249hdc1546,3249,1550,3254,1550,3260c1550,3266,1546,3271,1540,3271hal1518,3271hdc1512,3271,1508,3266,1508,3260c1508,3254,1512,3249,1518,3249haxm1582,3249l1604,3249hdc1610,3249,1614,3254,1614,3260c1614,3266,1610,3271,1604,3271hal1582,3271hdc1576,3271,1572,3266,1572,3260c1572,3254,1576,3249,1582,3249haxm1646,3249l1668,3249hdc1674,3249,1678,3254,1678,3260c1678,3266,1674,3271,1668,3271hal1646,3271hdc1640,3271,1636,3266,1636,3260c1636,3254,1640,3249,1646,3249haxm1710,3249l1732,3249hdc1738,3249,1742,3254,1742,3260c1742,3266,1738,3271,1732,3271hal1710,3271hdc1704,3271,1700,3266,1700,3260c1700,3254,1704,3249,1710,3249haxm1774,3249l1796,3249hdc1802,3249,1806,3254,1806,3260c1806,3266,1802,3271,1796,3271hal1774,3271hdc1768,3271,1764,3266,1764,3260c1764,3254,1768,3249,1774,3249haxm1838,3249l1860,3249hdc1866,3249,1870,3254,1870,3260c1870,3266,1866,3271,1860,3271hal1838,3271hdc1832,3271,1828,3266,1828,3260c1828,3254,1832,3249,1838,3249haxm1902,3249l1924,3249hdc1930,3249,1934,3254,1934,3260c1934,3266,1930,3271,1924,3271hal1902,3271hdc1896,3271,1892,3266,1892,3260c1892,3254,1896,3249,1902,3249haxm1966,3249l1988,3249hdc1994,3249,1998,3254,1998,3260c1998,3266,1994,3271,1988,3271hal1966,3271hdc1960,3271,1956,3266,1956,3260c1956,3254,1960,3249,1966,3249haxm2030,3249l2052,3249hdc2058,3249,2062,3254,2062,3260c2062,3266,2058,3271,2052,3271hal2030,3271hdc2024,3271,2020,3266,2020,3260c2020,3254,2024,3249,2030,3249haxm2057,3233l2057,3212hdc2057,3206,2062,3201,2068,3201c2074,3201,2078,3206,2078,3212hal2078,3233hdc2078,3239,2074,3244,2068,3244c2062,3244,2057,3239,2057,3233haxm2057,3169l2057,3148hdc2057,3142,2062,3137,2068,3137c2074,3137,2078,3142,2078,3148hal2078,3169hdc2078,3175,2074,3180,2068,3180c2062,3180,2057,3175,2057,3169haxm2057,3105l2057,3084hdc2057,3078,2062,3073,2068,3073c2074,3073,2078,3078,2078,3084hal2078,3105hdc2078,3111,2074,3116,2068,3116c2062,3116,2057,3111,2057,3105haxm2057,3041l2057,3020hdc2057,3014,2062,3009,2068,3009c2074,3009,2078,3014,2078,3020hal2078,3041hdc2078,3047,2074,3052,2068,3052c2062,3052,2057,3047,2057,3041haxm2057,2977l2057,2956hdc2057,2950,2062,2945,2068,2945c2074,2945,2078,2950,2078,2956hal2078,2977hdc2078,2983,2074,2988,2068,2988c2062,2988,2057,2983,2057,2977haxm2057,2913l2057,2892hdc2057,2886,2062,2881,2068,2881c2074,2881,2078,2886,2078,2892hal2078,2913hdc2078,2919,2074,2924,2068,2924c2062,2924,2057,2919,2057,2913haxm2057,2849l2057,2828hdc2057,2822,2062,2817,2068,2817c2074,2817,2078,2822,2078,2828hal2078,2849hdc2078,2855,2074,2860,2068,2860c2062,2860,2057,2855,2057,2849haxm2057,2785l2057,2764hdc2057,2758,2062,2753,2068,2753c2074,2753,2078,2758,2078,2764hal2078,2785hdc2078,2791,2074,2796,2068,2796c2062,2796,2057,2791,2057,2785haxm2057,2721l2057,2700hdc2057,2694,2062,2689,2068,2689c2074,2689,2078,2694,2078,2700hal2078,2721hdc2078,2727,2074,2732,2068,2732c2062,2732,2057,2727,2057,2721haxm2057,2657l2057,2636hdc2057,2630,2062,2625,2068,2625c2074,2625,2078,2630,2078,2636hal2078,2657hdc2078,2663,2074,2668,2068,2668c2062,2668,2057,2663,2057,2657haxm2057,2593l2057,2572hdc2057,2566,2062,2561,2068,2561c2074,2561,2078,2566,2078,2572hal2078,2593hdc2078,2599,2074,2604,2068,2604c2062,2604,2057,2599,2057,2593haxm2057,2529l2057,2508hdc2057,2502,2062,2497,2068,2497c2074,2497,2078,2502,2078,2508hal2078,2529hdc2078,2535,2074,2540,2068,2540c2062,2540,2057,2535,2057,2529haxm2057,2465l2057,2444hdc2057,2438,2062,2433,2068,2433c2074,2433,2078,2438,2078,2444hal2078,2465hdc2078,2471,2074,2476,2068,2476c2062,2476,2057,2471,2057,2465haxm2057,2401l2057,2380hdc2057,2374,2062,2369,2068,2369c2074,2369,2078,2374,2078,2380hal2078,2401hdc2078,2407,2074,2412,2068,2412c2062,2412,2057,2407,2057,2401haxm2057,2337l2057,2316hdc2057,2310,2062,2305,2068,2305c2074,2305,2078,2310,2078,2316hal2078,2337hdc2078,2343,2074,2348,2068,2348c2062,2348,2057,2343,2057,2337haxm2057,2273l2057,2252hdc2057,2246,2062,2241,2068,2241c2074,2241,2078,2246,2078,2252hal2078,2273hdc2078,2279,2074,2284,2068,2284c2062,2284,2057,2279,2057,2273haxm2057,2209l2057,2188hdc2057,2182,2062,2177,2068,2177c2074,2177,2078,2182,2078,2188hal2078,2209hdc2078,2215,2074,2220,2068,2220c2062,2220,2057,2215,2057,2209haxm2057,2145l2057,2124hdc2057,2118,2062,2113,2068,2113c2074,2113,2078,2118,2078,2124hal2078,2145hdc2078,2151,2074,2156,2068,2156c2062,2156,2057,2151,2057,2145haxm2057,2081l2057,2060hdc2057,2054,2062,2049,2068,2049c2074,2049,2078,2054,2078,2060hal2078,2081hdc2078,2087,2074,2092,2068,2092c2062,2092,2057,2087,2057,2081haxm2057,2017l2057,1996hdc2057,1990,2062,1985,2068,1985c2074,1985,2078,1990,2078,1996hal2078,2017hdc2078,2023,2074,2028,2068,2028c2062,2028,2057,2023,2057,2017haxm2057,1953l2057,1932hdc2057,1926,2062,1921,2068,1921c2074,1921,2078,1926,2078,1932hal2078,1953hdc2078,1959,2074,1964,2068,1964c2062,1964,2057,1959,2057,1953haxm2057,1889l2057,1868hdc2057,1862,2062,1857,2068,1857c2074,1857,2078,1862,2078,1868hal2078,1889hdc2078,1895,2074,1900,2068,1900c2062,1900,2057,1895,2057,1889haxm2057,1825l2057,1804hdc2057,1798,2062,1793,2068,1793c2074,1793,2078,1798,2078,1804hal2078,1825hdc2078,1831,2074,1836,2068,1836c2062,1836,2057,1831,2057,1825haxm2057,1761l2057,1740hdc2057,1734,2062,1729,2068,1729c2074,1729,2078,1734,2078,1740hal2078,1761hdc2078,1767,2074,1772,2068,1772c2062,1772,2057,1767,2057,1761haxm2057,1697l2057,1676hdc2057,1670,2062,1665,2068,1665c2074,1665,2078,1670,2078,1676hal2078,1697hdc2078,1703,2074,1708,2068,1708c2062,1708,2057,1703,2057,1697haxm2057,1633l2057,1612hdc2057,1606,2062,1601,2068,1601c2074,1601,2078,1606,2078,1612hal2078,1633hdc2078,1639,2074,1644,2068,1644c2062,1644,2057,1639,2057,1633haxm2057,1569l2057,1548hdc2057,1542,2062,1537,2068,1537c2074,1537,2078,1542,2078,1548hal2078,1569hdc2078,1575,2074,1580,2068,1580c2062,1580,2057,1575,2057,1569haxm2057,1505l2057,1484hdc2057,1478,2062,1473,2068,1473c2074,1473,2078,1478,2078,1484hal2078,1505hdc2078,1511,2074,1516,2068,1516c2062,1516,2057,1511,2057,1505haxm2057,1441l2057,1420hdc2057,1414,2062,1409,2068,1409c2074,1409,2078,1414,2078,1420hal2078,1441hdc2078,1447,2074,1452,2068,1452c2062,1452,2057,1447,2057,1441haxm2057,1377l2057,1356hdc2057,1350,2062,1345,2068,1345c2074,1345,2078,1350,2078,1356hal2078,1377hdc2078,1383,2074,1388,2068,1388c2062,1388,2057,1383,2057,1377haxm2057,1313l2057,1292hdc2057,1286,2062,1281,2068,1281c2074,1281,2078,1286,2078,1292hal2078,1313hdc2078,1319,2074,1324,2068,1324c2062,1324,2057,1319,2057,1313haxm2057,1249l2057,1228hdc2057,1222,2062,1217,2068,1217c2074,1217,2078,1222,2078,1228hal2078,1249hdc2078,1255,2074,1260,2068,1260c2062,1260,2057,1255,2057,1249haxm2057,1185l2057,1164hdc2057,1158,2062,1153,2068,1153c2074,1153,2078,1158,2078,1164hal2078,1185hdc2078,1191,2074,1196,2068,1196c2062,1196,2057,1191,2057,1185haxm2057,1121l2057,1100hdc2057,1094,2062,1089,2068,1089c2074,1089,2078,1094,2078,1100hal2078,1121hdc2078,1127,2074,1132,2068,1132c2062,1132,2057,1127,2057,1121haxm2057,1057l2057,1036hdc2057,1030,2062,1025,2068,1025c2074,1025,2078,1030,2078,1036hal2078,1057hdc2078,1063,2074,1068,2068,1068c2062,1068,2057,1063,2057,1057haxm2057,993l2057,972hdc2057,966,2062,961,2068,961c2074,961,2078,966,2078,972hal2078,993hdc2078,999,2074,1004,2068,1004c2062,1004,2057,999,2057,993haxm2057,929l2057,908hdc2057,902,2062,897,2068,897c2074,897,2078,902,2078,908hal2078,929hdc2078,935,2074,940,2068,940c2062,940,2057,935,2057,929haxm2057,865l2057,844hdc2057,838,2062,833,2068,833c2074,833,2078,838,2078,844hal2078,865hdc2078,871,2074,876,2068,876c2062,876,2057,871,2057,865haxm2057,801l2057,780hdc2057,774,2062,769,2068,769c2074,769,2078,774,2078,780hal2078,801hdc2078,807,2074,812,2068,812c2062,812,2057,807,2057,801haxm2057,737l2057,716hdc2057,710,2062,705,2068,705c2074,705,2078,710,2078,716hal2078,737hdc2078,743,2074,748,2068,748c2062,748,2057,743,2057,737haxm2057,673l2057,652hdc2057,646,2062,641,2068,641c2074,641,2078,646,2078,652hal2078,673hdc2078,679,2074,684,2068,684c2062,684,2057,679,2057,673haxm2057,609l2057,588hdc2057,582,2062,577,2068,577c2074,577,2078,582,2078,588hal2078,609hdc2078,615,2074,620,2068,620c2062,620,2057,615,2057,609haxm2057,545l2057,524hdc2057,518,2062,513,2068,513c2074,513,2078,518,2078,524hal2078,545hdc2078,551,2074,556,2068,556c2062,556,2057,551,2057,545haxm2057,481l2057,460hdc2057,454,2062,449,2068,449c2074,449,2078,454,2078,460hal2078,481hdc2078,487,2074,492,2068,492c2062,492,2057,487,2057,481haxm2057,417l2057,396hdc2057,390,2062,385,2068,385c2074,385,2078,390,2078,396hal2078,417hdc2078,423,2074,428,2068,428c2062,428,2057,423,2057,417haxm2057,353l2057,332hdc2057,326,2062,321,2068,321c2074,321,2078,326,2078,332hal2078,353hdc2078,359,2074,364,2068,364c2062,364,2057,359,2057,353haxm2057,289l2057,268hdc2057,262,2062,257,2068,257c2074,257,2078,262,2078,268hal2078,289hdc2078,295,2074,300,2068,300c2062,300,2057,295,2057,289haxm2057,225l2057,204hdc2057,198,2062,193,2068,193c2074,193,2078,198,2078,204hal2078,225hdc2078,231,2074,236,2068,236c2062,236,2057,231,2057,225haxm2057,161l2057,140hdc2057,134,2062,129,2068,129c2074,129,2078,134,2078,140hal2078,161hdc2078,167,2074,172,2068,172c2062,172,2057,167,2057,161haxm2057,97l2057,76hdc2057,70,2062,65,2068,65c2074,65,2078,70,2078,76hal2078,97hdc2078,103,2074,108,2068,108c2062,108,2057,103,2057,97haxm2057,33l2057,12hdc2057,6,2062,1,2068,1c2074,1,2078,6,2078,12hal2078,33hdc2078,39,2074,44,2068,44c2062,44,2057,39,2057,33haxm2027,21l2005,21hdc1999,21,1995,16,1995,11c1995,5,1999,0,2005,0hal2027,0hdc2033,0,2037,5,2037,11c2037,16,2033,21,2027,21haxm1963,21l1941,21hdc1935,21,1931,16,1931,11c1931,5,1935,0,1941,0hal1963,0hdc1969,0,1973,5,1973,11c1973,16,1969,21,1963,21haxm1899,21l1877,21hdc1871,21,1867,16,1867,11c1867,5,1871,0,1877,0hal1899,0hdc1905,0,1909,5,1909,11c1909,16,1905,21,1899,21haxm1835,21l1813,21hdc1807,21,1803,16,1803,11c1803,5,1807,0,1813,0hal1835,0hdc1841,0,1845,5,1845,11c1845,16,1841,21,1835,21haxm1771,21l1749,21hdc1743,21,1739,16,1739,11c1739,5,1743,0,1749,0hal1771,0hdc1777,0,1781,5,1781,11c1781,16,1777,21,1771,21haxm1707,21l1685,21hdc1679,21,1675,16,1675,11c1675,5,1679,0,1685,0hal1707,0hdc1713,0,1717,5,1717,11c1717,16,1713,21,1707,21haxm1643,21l1621,21hdc1615,21,1611,16,1611,11c1611,5,1615,0,1621,0hal1643,0hdc1649,0,1653,5,1653,11c1653,16,1649,21,1643,21haxm1579,21l1557,21hdc1551,21,1547,16,1547,11c1547,5,1551,0,1557,0hal1579,0hdc1585,0,1589,5,1589,11c1589,16,1585,21,1579,21haxm1515,21l1493,21hdc1487,21,1483,16,1483,11c1483,5,1487,0,1493,0hal1515,0hdc1521,0,1525,5,1525,11c1525,16,1521,21,1515,21haxm1451,21l1429,21hdc1423,21,1419,16,1419,11c1419,5,1423,0,1429,0hal1451,0hdc1457,0,1461,5,1461,11c1461,16,1457,21,1451,21haxm1387,21l1365,21hdc1359,21,1355,16,1355,11c1355,5,1359,0,1365,0hal1387,0hdc1393,0,1397,5,1397,11c1397,16,1393,21,1387,21haxm1323,21l1301,21hdc1295,21,1291,16,1291,11c1291,5,1295,0,1301,0hal1323,0hdc1329,0,1333,5,1333,11c1333,16,1329,21,1323,21haxm1259,21l1237,21hdc1231,21,1227,16,1227,11c1227,5,1231,0,1237,0hal1259,0hdc1265,0,1269,5,1269,11c1269,16,1265,21,1259,21haxm1195,21l1173,21hdc1167,21,1163,16,1163,11c1163,5,1167,0,1173,0hal1195,0hdc1201,0,1205,5,1205,11c1205,16,1201,21,1195,21haxm1131,21l1109,21hdc1103,21,1099,16,1099,11c1099,5,1103,0,1109,0hal1131,0hdc1137,0,1141,5,1141,11c1141,16,1137,21,1131,21haxm1067,21l1045,21hdc1039,21,1035,16,1035,11c1035,5,1039,0,1045,0hal1067,0hdc1073,0,1077,5,1077,11c1077,16,1073,21,1067,21haxm1003,21l981,21hdc975,21,971,16,971,11c971,5,975,0,981,0hal1003,0hdc1009,0,1013,5,1013,11c1013,16,1009,21,1003,21haxm939,21l917,21hdc911,21,907,16,907,11c907,5,911,0,917,0hal939,0hdc945,0,949,5,949,11c949,16,945,21,939,21haxm875,21l853,21hdc847,21,843,16,843,11c843,5,847,0,853,0hal875,0hdc881,0,885,5,885,11c885,16,881,21,875,21haxm811,21l789,21hdc783,21,779,16,779,11c779,5,783,0,789,0hal811,0hdc817,0,821,5,821,11c821,16,817,21,811,21haxm747,21l725,21hdc719,21,715,16,715,11c715,5,719,0,725,0hal747,0hdc753,0,757,5,757,11c757,16,753,21,747,21haxm683,21l661,21hdc655,21,651,16,651,11c651,5,655,0,661,0hal683,0hdc689,0,693,5,693,11c693,16,689,21,683,21haxm619,21l597,21hdc591,21,587,16,587,11c587,5,591,0,597,0hal619,0hdc625,0,629,5,629,11c629,16,625,21,619,21haxm555,21l533,21hdc527,21,523,16,523,11c523,5,527,0,533,0hal555,0hdc561,0,565,5,565,11c565,16,561,21,555,21haxm491,21l469,21hdc463,21,459,16,459,11c459,5,463,0,469,0hal491,0hdc497,0,501,5,501,11c501,16,497,21,491,21haxm427,21l405,21hdc399,21,395,16,395,11c395,5,399,0,405,0hal427,0hdc433,0,437,5,437,11c437,16,433,21,427,21haxm363,21l341,21hdc335,21,331,16,331,11c331,5,335,0,341,0hal363,0hdc369,0,373,5,373,11c373,16,369,21,363,21haxm299,21l277,21hdc271,21,267,16,267,11c267,5,271,0,277,0hal299,0hdc305,0,309,5,309,11c309,16,305,21,299,21haxm235,21l213,21hdc207,21,203,16,203,11c203,5,207,0,213,0hal235,0hdc241,0,245,5,245,11c245,16,241,21,235,21haxm171,21l149,21hdc143,21,139,16,139,11c139,5,143,0,149,0hal171,0hdc177,0,181,5,181,11c181,16,177,21,171,21haxm107,21l85,21hdc79,21,75,16,75,11c75,5,79,0,85,0hal107,0hdc113,0,117,5,117,11c117,16,113,21,107,21haxm43,21l21,21hdc15,21,11,16,11,11c11,5,15,0,21,0hal43,0hdc49,0,53,5,53,11c53,16,49,21,43,21haxe">
              <v:path arrowok="t" o:connecttype="segments"/>
              <v:fill on="t" focussize="0,0"/>
              <v:stroke weight="0.05pt" color="#EA700D" joinstyle="round"/>
              <v:imagedata o:title=""/>
              <o:lock v:ext="edit"/>
            </v:shape>
            <v:rect id="_x0000_s1283" o:spid="_x0000_s1283" o:spt="1" style="position:absolute;left:2090;top:844;height:206;width:841;mso-wrap-style:none;" filled="f" stroked="f" coordsize="21600,21600">
              <v:path/>
              <v:fill on="f" focussize="0,0"/>
              <v:stroke on="f"/>
              <v:imagedata o:title=""/>
              <o:lock v:ext="edit"/>
              <v:textbox inset="0mm,0mm,0mm,0mm" style="mso-fit-shape-to-text:t;">
                <w:txbxContent>
                  <w:p>
                    <w:pPr>
                      <w:ind w:firstLine="240"/>
                    </w:pPr>
                    <w:r>
                      <w:rPr>
                        <w:rFonts w:hint="eastAsia" w:ascii="微软雅黑" w:eastAsia="微软雅黑" w:cs="微软雅黑"/>
                        <w:b/>
                        <w:bCs/>
                        <w:color w:val="000000"/>
                        <w:sz w:val="12"/>
                        <w:szCs w:val="12"/>
                      </w:rPr>
                      <w:t>车辆大数据</w:t>
                    </w:r>
                  </w:p>
                </w:txbxContent>
              </v:textbox>
            </v:rect>
            <v:shape id="_x0000_s1284" o:spid="_x0000_s1284" o:spt="75" type="#_x0000_t75" style="position:absolute;left:1832;top:1106;height:359;width:1158;" filled="f" o:preferrelative="t" stroked="f" coordsize="21600,21600">
              <v:path/>
              <v:fill on="f" focussize="0,0"/>
              <v:stroke on="f" joinstyle="miter"/>
              <v:imagedata r:id="rId56" o:title=""/>
              <o:lock v:ext="edit" aspectratio="t"/>
            </v:shape>
            <v:shape id="_x0000_s1285" o:spid="_x0000_s1285" o:spt="75" type="#_x0000_t75" style="position:absolute;left:1832;top:1106;height:359;width:1158;" filled="f" o:preferrelative="t" stroked="f" coordsize="21600,21600">
              <v:path/>
              <v:fill on="f" focussize="0,0"/>
              <v:stroke on="f" joinstyle="miter"/>
              <v:imagedata r:id="rId57" o:title=""/>
              <o:lock v:ext="edit" aspectratio="t"/>
            </v:shape>
            <v:rect id="_x0000_s1286" o:spid="_x0000_s1286" o:spt="1" style="position:absolute;left:1871;top:1144;height:218;width:1014;" fillcolor="#F9C499" filled="t" stroked="f" coordsize="21600,21600">
              <v:path/>
              <v:fill on="t" focussize="0,0"/>
              <v:stroke on="f"/>
              <v:imagedata o:title=""/>
              <o:lock v:ext="edit"/>
            </v:rect>
            <v:rect id="_x0000_s1287" o:spid="_x0000_s1287" o:spt="1" style="position:absolute;left:1871;top:1144;height:218;width:1014;" filled="f" stroked="t" coordsize="21600,21600">
              <v:path/>
              <v:fill on="f" focussize="0,0"/>
              <v:stroke weight="0.5pt" color="#BFBFBF" joinstyle="round" endcap="round"/>
              <v:imagedata o:title=""/>
              <o:lock v:ext="edit"/>
            </v:rect>
            <v:rect id="_x0000_s1288" o:spid="_x0000_s1288" o:spt="1" style="position:absolute;left:2041;top:1177;height:206;width:961;mso-wrap-style:none;" filled="f" stroked="f" coordsize="21600,21600">
              <v:path/>
              <v:fill on="f" focussize="0,0"/>
              <v:stroke on="f"/>
              <v:imagedata o:title=""/>
              <o:lock v:ext="edit"/>
              <v:textbox inset="0mm,0mm,0mm,0mm" style="mso-fit-shape-to-text:t;">
                <w:txbxContent>
                  <w:p>
                    <w:pPr>
                      <w:ind w:firstLine="240"/>
                    </w:pPr>
                    <w:r>
                      <w:rPr>
                        <w:rFonts w:hint="eastAsia" w:ascii="微软雅黑" w:eastAsia="微软雅黑" w:cs="微软雅黑"/>
                        <w:color w:val="00B050"/>
                        <w:sz w:val="12"/>
                        <w:szCs w:val="12"/>
                      </w:rPr>
                      <w:t>车辆稽查布控</w:t>
                    </w:r>
                  </w:p>
                </w:txbxContent>
              </v:textbox>
            </v:rect>
            <v:shape id="_x0000_s1289" o:spid="_x0000_s1289" o:spt="75" type="#_x0000_t75" style="position:absolute;left:1832;top:1437;height:359;width:1158;" filled="f" o:preferrelative="t" stroked="f" coordsize="21600,21600">
              <v:path/>
              <v:fill on="f" focussize="0,0"/>
              <v:stroke on="f" joinstyle="miter"/>
              <v:imagedata r:id="rId58" o:title=""/>
              <o:lock v:ext="edit" aspectratio="t"/>
            </v:shape>
            <v:shape id="_x0000_s1290" o:spid="_x0000_s1290" o:spt="75" type="#_x0000_t75" style="position:absolute;left:1832;top:1437;height:359;width:1158;" filled="f" o:preferrelative="t" stroked="f" coordsize="21600,21600">
              <v:path/>
              <v:fill on="f" focussize="0,0"/>
              <v:stroke on="f" joinstyle="miter"/>
              <v:imagedata r:id="rId59" o:title=""/>
              <o:lock v:ext="edit" aspectratio="t"/>
            </v:shape>
            <v:rect id="_x0000_s1291" o:spid="_x0000_s1291" o:spt="1" style="position:absolute;left:1871;top:1475;height:218;width:1014;" fillcolor="#F9C499" filled="t" stroked="f" coordsize="21600,21600">
              <v:path/>
              <v:fill on="t" focussize="0,0"/>
              <v:stroke on="f"/>
              <v:imagedata o:title=""/>
              <o:lock v:ext="edit"/>
            </v:rect>
            <v:rect id="_x0000_s1292" o:spid="_x0000_s1292" o:spt="1" style="position:absolute;left:1871;top:1475;height:218;width:1014;" filled="f" stroked="t" coordsize="21600,21600">
              <v:path/>
              <v:fill on="f" focussize="0,0"/>
              <v:stroke weight="0.5pt" color="#BFBFBF" joinstyle="round" endcap="round"/>
              <v:imagedata o:title=""/>
              <o:lock v:ext="edit"/>
            </v:rect>
            <v:rect id="_x0000_s1293" o:spid="_x0000_s1293" o:spt="1" style="position:absolute;left:1927;top:1508;height:206;width:1201;mso-wrap-style:none;" filled="f" stroked="f" coordsize="21600,21600">
              <v:path/>
              <v:fill on="f" focussize="0,0"/>
              <v:stroke on="f"/>
              <v:imagedata o:title=""/>
              <o:lock v:ext="edit"/>
              <v:textbox inset="0mm,0mm,0mm,0mm" style="mso-fit-shape-to-text:t;">
                <w:txbxContent>
                  <w:p>
                    <w:pPr>
                      <w:ind w:firstLine="240"/>
                    </w:pPr>
                    <w:r>
                      <w:rPr>
                        <w:rFonts w:hint="eastAsia" w:ascii="微软雅黑" w:eastAsia="微软雅黑" w:cs="微软雅黑"/>
                        <w:color w:val="00B050"/>
                        <w:sz w:val="12"/>
                        <w:szCs w:val="12"/>
                      </w:rPr>
                      <w:t>车辆二次识别展现</w:t>
                    </w:r>
                  </w:p>
                </w:txbxContent>
              </v:textbox>
            </v:rect>
            <v:shape id="_x0000_s1294" o:spid="_x0000_s1294" o:spt="75" type="#_x0000_t75" style="position:absolute;left:1832;top:1720;height:360;width:1158;" filled="f" o:preferrelative="t" stroked="f" coordsize="21600,21600">
              <v:path/>
              <v:fill on="f" focussize="0,0"/>
              <v:stroke on="f" joinstyle="miter"/>
              <v:imagedata r:id="rId60" o:title=""/>
              <o:lock v:ext="edit" aspectratio="t"/>
            </v:shape>
            <v:shape id="_x0000_s1295" o:spid="_x0000_s1295" o:spt="75" type="#_x0000_t75" style="position:absolute;left:1832;top:1720;height:360;width:1158;" filled="f" o:preferrelative="t" stroked="f" coordsize="21600,21600">
              <v:path/>
              <v:fill on="f" focussize="0,0"/>
              <v:stroke on="f" joinstyle="miter"/>
              <v:imagedata r:id="rId61" o:title=""/>
              <o:lock v:ext="edit" aspectratio="t"/>
            </v:shape>
            <v:rect id="_x0000_s1296" o:spid="_x0000_s1296" o:spt="1" style="position:absolute;left:1871;top:1762;height:218;width:1014;" fillcolor="#F9C499" filled="t" stroked="f" coordsize="21600,21600">
              <v:path/>
              <v:fill on="t" focussize="0,0"/>
              <v:stroke on="f"/>
              <v:imagedata o:title=""/>
              <o:lock v:ext="edit"/>
            </v:rect>
            <v:rect id="_x0000_s1297" o:spid="_x0000_s1297" o:spt="1" style="position:absolute;left:1871;top:1762;height:218;width:1014;" filled="f" stroked="t" coordsize="21600,21600">
              <v:path/>
              <v:fill on="f" focussize="0,0"/>
              <v:stroke weight="0.5pt" color="#BFBFBF" joinstyle="round" endcap="round"/>
              <v:imagedata o:title=""/>
              <o:lock v:ext="edit"/>
            </v:rect>
            <v:rect id="_x0000_s1298" o:spid="_x0000_s1298" o:spt="1" style="position:absolute;left:2041;top:1797;height:206;width:961;mso-wrap-style:none;" filled="f" stroked="f" coordsize="21600,21600">
              <v:path/>
              <v:fill on="f" focussize="0,0"/>
              <v:stroke on="f"/>
              <v:imagedata o:title=""/>
              <o:lock v:ext="edit"/>
              <v:textbox inset="0mm,0mm,0mm,0mm" style="mso-fit-shape-to-text:t;">
                <w:txbxContent>
                  <w:p>
                    <w:pPr>
                      <w:ind w:firstLine="240"/>
                    </w:pPr>
                    <w:r>
                      <w:rPr>
                        <w:rFonts w:hint="eastAsia" w:ascii="微软雅黑" w:eastAsia="微软雅黑" w:cs="微软雅黑"/>
                        <w:color w:val="00B050"/>
                        <w:sz w:val="12"/>
                        <w:szCs w:val="12"/>
                      </w:rPr>
                      <w:t>多维特征检索</w:t>
                    </w:r>
                  </w:p>
                </w:txbxContent>
              </v:textbox>
            </v:rect>
            <v:rect id="_x0000_s1299" o:spid="_x0000_s1299" o:spt="1" style="position:absolute;left:3168;top:738;height:1919;width:1220;" fillcolor="#FCEBDD" filled="t" stroked="f" coordsize="21600,21600">
              <v:path/>
              <v:fill on="t" focussize="0,0"/>
              <v:stroke on="f"/>
              <v:imagedata o:title=""/>
              <o:lock v:ext="edit"/>
            </v:rect>
            <v:shape id="_x0000_s1300" o:spid="_x0000_s1300" o:spt="100" style="position:absolute;left:3161;top:731;height:1933;width:1233;" fillcolor="#EA700D" filled="t" stroked="t" coordsize="2079,3271" adj="," path="m22,32l22,53hdc22,59,17,64,11,64c5,64,0,59,0,53hal0,32hdc0,26,5,21,11,21c17,21,22,26,22,32haxm22,96l22,117hdc22,123,17,128,11,128c5,128,0,123,0,117hal0,96hdc0,90,5,85,11,85c17,85,22,90,22,96haxm22,160l22,181hdc22,187,17,192,11,192c5,192,0,187,0,181hal0,160hdc0,154,5,149,11,149c17,149,22,154,22,160haxm22,224l22,245hdc22,251,17,256,11,256c5,256,0,251,0,245hal0,224hdc0,218,5,213,11,213c17,213,22,218,22,224haxm22,288l22,309hdc22,315,17,320,11,320c5,320,0,315,0,309hal0,288hdc0,282,5,277,11,277c17,277,22,282,22,288haxm22,352l22,373hdc22,379,17,384,11,384c5,384,0,379,0,373hal0,352hdc0,346,5,341,11,341c17,341,22,346,22,352haxm22,416l22,437hdc22,443,17,448,11,448c5,448,0,443,0,437hal0,416hdc0,410,5,405,11,405c17,405,22,410,22,416haxm22,480l22,501hdc22,507,17,512,11,512c5,512,0,507,0,501hal0,480hdc0,474,5,469,11,469c17,469,22,474,22,480haxm22,544l22,565hdc22,571,17,576,11,576c5,576,0,571,0,565hal0,544hdc0,538,5,533,11,533c17,533,22,538,22,544haxm22,608l22,629hdc22,635,17,640,11,640c5,640,0,635,0,629hal0,608hdc0,602,5,597,11,597c17,597,22,602,22,608haxm22,672l22,693hdc22,699,17,704,11,704c5,704,0,699,0,693hal0,672hdc0,666,5,661,11,661c17,661,22,666,22,672haxm22,736l22,757hdc22,763,17,768,11,768c5,768,0,763,0,757hal0,736hdc0,730,5,725,11,725c17,725,22,730,22,736haxm22,800l22,821hdc22,827,17,832,11,832c5,832,0,827,0,821hal0,800hdc0,794,5,789,11,789c17,789,22,794,22,800haxm22,864l22,885hdc22,891,17,896,11,896c5,896,0,891,0,885hal0,864hdc0,858,5,853,11,853c17,853,22,858,22,864haxm22,928l22,949hdc22,955,17,960,11,960c5,960,0,955,0,949hal0,928hdc0,922,5,917,11,917c17,917,22,922,22,928haxm22,992l22,1013hdc22,1019,17,1024,11,1024c5,1024,0,1019,0,1013hal0,992hdc0,986,5,981,11,981c17,981,22,986,22,992haxm22,1056l22,1077hdc22,1083,17,1088,11,1088c5,1088,0,1083,0,1077hal0,1056hdc0,1050,5,1045,11,1045c17,1045,22,1050,22,1056haxm22,1120l22,1141hdc22,1147,17,1152,11,1152c5,1152,0,1147,0,1141hal0,1120hdc0,1114,5,1109,11,1109c17,1109,22,1114,22,1120haxm22,1184l22,1205hdc22,1211,17,1216,11,1216c5,1216,0,1211,0,1205hal0,1184hdc0,1178,5,1173,11,1173c17,1173,22,1178,22,1184haxm22,1248l22,1269hdc22,1275,17,1280,11,1280c5,1280,0,1275,0,1269hal0,1248hdc0,1242,5,1237,11,1237c17,1237,22,1242,22,1248haxm22,1312l22,1333hdc22,1339,17,1344,11,1344c5,1344,0,1339,0,1333hal0,1312hdc0,1306,5,1301,11,1301c17,1301,22,1306,22,1312haxm22,1376l22,1397hdc22,1403,17,1408,11,1408c5,1408,0,1403,0,1397hal0,1376hdc0,1370,5,1365,11,1365c17,1365,22,1370,22,1376haxm22,1440l22,1461hdc22,1467,17,1472,11,1472c5,1472,0,1467,0,1461hal0,1440hdc0,1434,5,1429,11,1429c17,1429,22,1434,22,1440haxm22,1504l22,1525hdc22,1531,17,1536,11,1536c5,1536,0,1531,0,1525hal0,1504hdc0,1498,5,1493,11,1493c17,1493,22,1498,22,1504haxm22,1568l22,1589hdc22,1595,17,1600,11,1600c5,1600,0,1595,0,1589hal0,1568hdc0,1562,5,1557,11,1557c17,1557,22,1562,22,1568haxm22,1632l22,1653hdc22,1659,17,1664,11,1664c5,1664,0,1659,0,1653hal0,1632hdc0,1626,5,1621,11,1621c17,1621,22,1626,22,1632haxm22,1696l22,1717hdc22,1723,17,1728,11,1728c5,1728,0,1723,0,1717hal0,1696hdc0,1690,5,1685,11,1685c17,1685,22,1690,22,1696haxm22,1760l22,1781hdc22,1787,17,1792,11,1792c5,1792,0,1787,0,1781hal0,1760hdc0,1754,5,1749,11,1749c17,1749,22,1754,22,1760haxm22,1824l22,1845hdc22,1851,17,1856,11,1856c5,1856,0,1851,0,1845hal0,1824hdc0,1818,5,1813,11,1813c17,1813,22,1818,22,1824haxm22,1888l22,1909hdc22,1915,17,1920,11,1920c5,1920,0,1915,0,1909hal0,1888hdc0,1882,5,1877,11,1877c17,1877,22,1882,22,1888haxm22,1952l22,1973hdc22,1979,17,1984,11,1984c5,1984,0,1979,0,1973hal0,1952hdc0,1946,5,1941,11,1941c17,1941,22,1946,22,1952haxm22,2016l22,2037hdc22,2043,17,2048,11,2048c5,2048,0,2043,0,2037hal0,2016hdc0,2010,5,2005,11,2005c17,2005,22,2010,22,2016haxm22,2080l22,2101hdc22,2107,17,2112,11,2112c5,2112,0,2107,0,2101hal0,2080hdc0,2074,5,2069,11,2069c17,2069,22,2074,22,2080haxm22,2144l22,2165hdc22,2171,17,2176,11,2176c5,2176,0,2171,0,2165hal0,2144hdc0,2138,5,2133,11,2133c17,2133,22,2138,22,2144haxm22,2208l22,2229hdc22,2235,17,2240,11,2240c5,2240,0,2235,0,2229hal0,2208hdc0,2202,5,2197,11,2197c17,2197,22,2202,22,2208haxm22,2272l22,2293hdc22,2299,17,2304,11,2304c5,2304,0,2299,0,2293hal0,2272hdc0,2266,5,2261,11,2261c17,2261,22,2266,22,2272haxm22,2336l22,2357hdc22,2363,17,2368,11,2368c5,2368,0,2363,0,2357hal0,2336hdc0,2330,5,2325,11,2325c17,2325,22,2330,22,2336haxm22,2400l22,2421hdc22,2427,17,2432,11,2432c5,2432,0,2427,0,2421hal0,2400hdc0,2394,5,2389,11,2389c17,2389,22,2394,22,2400haxm22,2464l22,2485hdc22,2491,17,2496,11,2496c5,2496,0,2491,0,2485hal0,2464hdc0,2458,5,2453,11,2453c17,2453,22,2458,22,2464haxm22,2528l22,2549hdc22,2555,17,2560,11,2560c5,2560,0,2555,0,2549hal0,2528hdc0,2522,5,2517,11,2517c17,2517,22,2522,22,2528haxm22,2592l22,2613hdc22,2619,17,2624,11,2624c5,2624,0,2619,0,2613hal0,2592hdc0,2586,5,2581,11,2581c17,2581,22,2586,22,2592haxm22,2656l22,2677hdc22,2683,17,2688,11,2688c5,2688,0,2683,0,2677hal0,2656hdc0,2650,5,2645,11,2645c17,2645,22,2650,22,2656haxm22,2720l22,2741hdc22,2747,17,2752,11,2752c5,2752,0,2747,0,2741hal0,2720hdc0,2714,5,2709,11,2709c17,2709,22,2714,22,2720haxm22,2784l22,2805hdc22,2811,17,2816,11,2816c5,2816,0,2811,0,2805hal0,2784hdc0,2778,5,2773,11,2773c17,2773,22,2778,22,2784haxm22,2848l22,2869hdc22,2875,17,2880,11,2880c5,2880,0,2875,0,2869hal0,2848hdc0,2842,5,2837,11,2837c17,2837,22,2842,22,2848haxm22,2912l22,2933hdc22,2939,17,2944,11,2944c5,2944,0,2939,0,2933hal0,2912hdc0,2906,5,2901,11,2901c17,2901,22,2906,22,2912haxm22,2976l22,2997hdc22,3003,17,3008,11,3008c5,3008,0,3003,0,2997hal0,2976hdc0,2970,5,2965,11,2965c17,2965,22,2970,22,2976haxm22,3040l22,3061hdc22,3067,17,3072,11,3072c5,3072,0,3067,0,3061hal0,3040hdc0,3034,5,3029,11,3029c17,3029,22,3034,22,3040haxm22,3104l22,3125hdc22,3131,17,3136,11,3136c5,3136,0,3131,0,3125hal0,3104hdc0,3098,5,3093,11,3093c17,3093,22,3098,22,3104haxm22,3168l22,3189hdc22,3195,17,3200,11,3200c5,3200,0,3195,0,3189hal0,3168hdc0,3162,5,3157,11,3157c17,3157,22,3162,22,3168haxm22,3232l22,3253hdc22,3259,17,3264,11,3264c5,3264,0,3259,0,3253hal0,3232hdc0,3226,5,3221,11,3221c17,3221,22,3226,22,3232haxm47,3249l68,3249hdc74,3249,79,3254,79,3260c79,3266,74,3271,68,3271hal47,3271hdc41,3271,36,3266,36,3260c36,3254,41,3249,47,3249haxm111,3249l132,3249hdc138,3249,143,3254,143,3260c143,3266,138,3271,132,3271hal111,3271hdc105,3271,100,3266,100,3260c100,3254,105,3249,111,3249haxm175,3249l196,3249hdc202,3249,207,3254,207,3260c207,3266,202,3271,196,3271hal175,3271hdc169,3271,164,3266,164,3260c164,3254,169,3249,175,3249haxm239,3249l260,3249hdc266,3249,271,3254,271,3260c271,3266,266,3271,260,3271hal239,3271hdc233,3271,228,3266,228,3260c228,3254,233,3249,239,3249haxm303,3249l324,3249hdc330,3249,335,3254,335,3260c335,3266,330,3271,324,3271hal303,3271hdc297,3271,292,3266,292,3260c292,3254,297,3249,303,3249haxm367,3249l388,3249hdc394,3249,399,3254,399,3260c399,3266,394,3271,388,3271hal367,3271hdc361,3271,356,3266,356,3260c356,3254,361,3249,367,3249haxm431,3249l452,3249hdc458,3249,463,3254,463,3260c463,3266,458,3271,452,3271hal431,3271hdc425,3271,420,3266,420,3260c420,3254,425,3249,431,3249haxm495,3249l516,3249hdc522,3249,527,3254,527,3260c527,3266,522,3271,516,3271hal495,3271hdc489,3271,484,3266,484,3260c484,3254,489,3249,495,3249haxm559,3249l580,3249hdc586,3249,591,3254,591,3260c591,3266,586,3271,580,3271hal559,3271hdc553,3271,548,3266,548,3260c548,3254,553,3249,559,3249haxm623,3249l644,3249hdc650,3249,655,3254,655,3260c655,3266,650,3271,644,3271hal623,3271hdc617,3271,612,3266,612,3260c612,3254,617,3249,623,3249haxm687,3249l708,3249hdc714,3249,719,3254,719,3260c719,3266,714,3271,708,3271hal687,3271hdc681,3271,676,3266,676,3260c676,3254,681,3249,687,3249haxm751,3249l772,3249hdc778,3249,783,3254,783,3260c783,3266,778,3271,772,3271hal751,3271hdc745,3271,740,3266,740,3260c740,3254,745,3249,751,3249haxm815,3249l836,3249hdc842,3249,847,3254,847,3260c847,3266,842,3271,836,3271hal815,3271hdc809,3271,804,3266,804,3260c804,3254,809,3249,815,3249haxm879,3249l900,3249hdc906,3249,911,3254,911,3260c911,3266,906,3271,900,3271hal879,3271hdc873,3271,868,3266,868,3260c868,3254,873,3249,879,3249haxm943,3249l964,3249hdc970,3249,975,3254,975,3260c975,3266,970,3271,964,3271hal943,3271hdc937,3271,932,3266,932,3260c932,3254,937,3249,943,3249haxm1007,3249l1028,3249hdc1034,3249,1039,3254,1039,3260c1039,3266,1034,3271,1028,3271hal1007,3271hdc1001,3271,996,3266,996,3260c996,3254,1001,3249,1007,3249haxm1071,3249l1092,3249hdc1098,3249,1103,3254,1103,3260c1103,3266,1098,3271,1092,3271hal1071,3271hdc1065,3271,1060,3266,1060,3260c1060,3254,1065,3249,1071,3249haxm1135,3249l1156,3249hdc1162,3249,1167,3254,1167,3260c1167,3266,1162,3271,1156,3271hal1135,3271hdc1129,3271,1124,3266,1124,3260c1124,3254,1129,3249,1135,3249haxm1199,3249l1220,3249hdc1226,3249,1231,3254,1231,3260c1231,3266,1226,3271,1220,3271hal1199,3271hdc1193,3271,1188,3266,1188,3260c1188,3254,1193,3249,1199,3249haxm1263,3249l1284,3249hdc1290,3249,1295,3254,1295,3260c1295,3266,1290,3271,1284,3271hal1263,3271hdc1257,3271,1252,3266,1252,3260c1252,3254,1257,3249,1263,3249haxm1327,3249l1348,3249hdc1354,3249,1359,3254,1359,3260c1359,3266,1354,3271,1348,3271hal1327,3271hdc1321,3271,1316,3266,1316,3260c1316,3254,1321,3249,1327,3249haxm1391,3249l1412,3249hdc1418,3249,1423,3254,1423,3260c1423,3266,1418,3271,1412,3271hal1391,3271hdc1385,3271,1380,3266,1380,3260c1380,3254,1385,3249,1391,3249haxm1455,3249l1476,3249hdc1482,3249,1487,3254,1487,3260c1487,3266,1482,3271,1476,3271hal1455,3271hdc1449,3271,1444,3266,1444,3260c1444,3254,1449,3249,1455,3249haxm1519,3249l1540,3249hdc1546,3249,1551,3254,1551,3260c1551,3266,1546,3271,1540,3271hal1519,3271hdc1513,3271,1508,3266,1508,3260c1508,3254,1513,3249,1519,3249haxm1583,3249l1604,3249hdc1610,3249,1615,3254,1615,3260c1615,3266,1610,3271,1604,3271hal1583,3271hdc1577,3271,1572,3266,1572,3260c1572,3254,1577,3249,1583,3249haxm1647,3249l1668,3249hdc1674,3249,1679,3254,1679,3260c1679,3266,1674,3271,1668,3271hal1647,3271hdc1641,3271,1636,3266,1636,3260c1636,3254,1641,3249,1647,3249haxm1711,3249l1732,3249hdc1738,3249,1743,3254,1743,3260c1743,3266,1738,3271,1732,3271hal1711,3271hdc1705,3271,1700,3266,1700,3260c1700,3254,1705,3249,1711,3249haxm1775,3249l1796,3249hdc1802,3249,1807,3254,1807,3260c1807,3266,1802,3271,1796,3271hal1775,3271hdc1769,3271,1764,3266,1764,3260c1764,3254,1769,3249,1775,3249haxm1839,3249l1860,3249hdc1866,3249,1871,3254,1871,3260c1871,3266,1866,3271,1860,3271hal1839,3271hdc1833,3271,1828,3266,1828,3260c1828,3254,1833,3249,1839,3249haxm1903,3249l1924,3249hdc1930,3249,1935,3254,1935,3260c1935,3266,1930,3271,1924,3271hal1903,3271hdc1897,3271,1892,3266,1892,3260c1892,3254,1897,3249,1903,3249haxm1967,3249l1988,3249hdc1994,3249,1999,3254,1999,3260c1999,3266,1994,3271,1988,3271hal1967,3271hdc1961,3271,1956,3266,1956,3260c1956,3254,1961,3249,1967,3249haxm2031,3249l2052,3249hdc2058,3249,2063,3254,2063,3260c2063,3266,2058,3271,2052,3271hal2031,3271hdc2025,3271,2020,3266,2020,3260c2020,3254,2025,3249,2031,3249haxm2058,3233l2058,3212hdc2058,3206,2062,3201,2068,3201c2074,3201,2079,3206,2079,3212hal2079,3233hdc2079,3239,2074,3244,2068,3244c2062,3244,2058,3239,2058,3233haxm2058,3169l2058,3148hdc2058,3142,2062,3137,2068,3137c2074,3137,2079,3142,2079,3148hal2079,3169hdc2079,3175,2074,3180,2068,3180c2062,3180,2058,3175,2058,3169haxm2058,3105l2058,3084hdc2058,3078,2062,3073,2068,3073c2074,3073,2079,3078,2079,3084hal2079,3105hdc2079,3111,2074,3116,2068,3116c2062,3116,2058,3111,2058,3105haxm2058,3041l2058,3020hdc2058,3014,2062,3009,2068,3009c2074,3009,2079,3014,2079,3020hal2079,3041hdc2079,3047,2074,3052,2068,3052c2062,3052,2058,3047,2058,3041haxm2058,2977l2058,2956hdc2058,2950,2062,2945,2068,2945c2074,2945,2079,2950,2079,2956hal2079,2977hdc2079,2983,2074,2988,2068,2988c2062,2988,2058,2983,2058,2977haxm2058,2913l2058,2892hdc2058,2886,2062,2881,2068,2881c2074,2881,2079,2886,2079,2892hal2079,2913hdc2079,2919,2074,2924,2068,2924c2062,2924,2058,2919,2058,2913haxm2058,2849l2058,2828hdc2058,2822,2062,2817,2068,2817c2074,2817,2079,2822,2079,2828hal2079,2849hdc2079,2855,2074,2860,2068,2860c2062,2860,2058,2855,2058,2849haxm2058,2785l2058,2764hdc2058,2758,2062,2753,2068,2753c2074,2753,2079,2758,2079,2764hal2079,2785hdc2079,2791,2074,2796,2068,2796c2062,2796,2058,2791,2058,2785haxm2058,2721l2058,2700hdc2058,2694,2062,2689,2068,2689c2074,2689,2079,2694,2079,2700hal2079,2721hdc2079,2727,2074,2732,2068,2732c2062,2732,2058,2727,2058,2721haxm2058,2657l2058,2636hdc2058,2630,2062,2625,2068,2625c2074,2625,2079,2630,2079,2636hal2079,2657hdc2079,2663,2074,2668,2068,2668c2062,2668,2058,2663,2058,2657haxm2058,2593l2058,2572hdc2058,2566,2062,2561,2068,2561c2074,2561,2079,2566,2079,2572hal2079,2593hdc2079,2599,2074,2604,2068,2604c2062,2604,2058,2599,2058,2593haxm2058,2529l2058,2508hdc2058,2502,2062,2497,2068,2497c2074,2497,2079,2502,2079,2508hal2079,2529hdc2079,2535,2074,2540,2068,2540c2062,2540,2058,2535,2058,2529haxm2058,2465l2058,2444hdc2058,2438,2062,2433,2068,2433c2074,2433,2079,2438,2079,2444hal2079,2465hdc2079,2471,2074,2476,2068,2476c2062,2476,2058,2471,2058,2465haxm2058,2401l2058,2380hdc2058,2374,2062,2369,2068,2369c2074,2369,2079,2374,2079,2380hal2079,2401hdc2079,2407,2074,2412,2068,2412c2062,2412,2058,2407,2058,2401haxm2058,2337l2058,2316hdc2058,2310,2062,2305,2068,2305c2074,2305,2079,2310,2079,2316hal2079,2337hdc2079,2343,2074,2348,2068,2348c2062,2348,2058,2343,2058,2337haxm2058,2273l2058,2252hdc2058,2246,2062,2241,2068,2241c2074,2241,2079,2246,2079,2252hal2079,2273hdc2079,2279,2074,2284,2068,2284c2062,2284,2058,2279,2058,2273haxm2058,2209l2058,2188hdc2058,2182,2062,2177,2068,2177c2074,2177,2079,2182,2079,2188hal2079,2209hdc2079,2215,2074,2220,2068,2220c2062,2220,2058,2215,2058,2209haxm2058,2145l2058,2124hdc2058,2118,2062,2113,2068,2113c2074,2113,2079,2118,2079,2124hal2079,2145hdc2079,2151,2074,2156,2068,2156c2062,2156,2058,2151,2058,2145haxm2058,2081l2058,2060hdc2058,2054,2062,2049,2068,2049c2074,2049,2079,2054,2079,2060hal2079,2081hdc2079,2087,2074,2092,2068,2092c2062,2092,2058,2087,2058,2081haxm2058,2017l2058,1996hdc2058,1990,2062,1985,2068,1985c2074,1985,2079,1990,2079,1996hal2079,2017hdc2079,2023,2074,2028,2068,2028c2062,2028,2058,2023,2058,2017haxm2058,1953l2058,1932hdc2058,1926,2062,1921,2068,1921c2074,1921,2079,1926,2079,1932hal2079,1953hdc2079,1959,2074,1964,2068,1964c2062,1964,2058,1959,2058,1953haxm2058,1889l2058,1868hdc2058,1862,2062,1857,2068,1857c2074,1857,2079,1862,2079,1868hal2079,1889hdc2079,1895,2074,1900,2068,1900c2062,1900,2058,1895,2058,1889haxm2058,1825l2058,1804hdc2058,1798,2062,1793,2068,1793c2074,1793,2079,1798,2079,1804hal2079,1825hdc2079,1831,2074,1836,2068,1836c2062,1836,2058,1831,2058,1825haxm2058,1761l2058,1740hdc2058,1734,2062,1729,2068,1729c2074,1729,2079,1734,2079,1740hal2079,1761hdc2079,1767,2074,1772,2068,1772c2062,1772,2058,1767,2058,1761haxm2058,1697l2058,1676hdc2058,1670,2062,1665,2068,1665c2074,1665,2079,1670,2079,1676hal2079,1697hdc2079,1703,2074,1708,2068,1708c2062,1708,2058,1703,2058,1697haxm2058,1633l2058,1612hdc2058,1606,2062,1601,2068,1601c2074,1601,2079,1606,2079,1612hal2079,1633hdc2079,1639,2074,1644,2068,1644c2062,1644,2058,1639,2058,1633haxm2058,1569l2058,1548hdc2058,1542,2062,1537,2068,1537c2074,1537,2079,1542,2079,1548hal2079,1569hdc2079,1575,2074,1580,2068,1580c2062,1580,2058,1575,2058,1569haxm2058,1505l2058,1484hdc2058,1478,2062,1473,2068,1473c2074,1473,2079,1478,2079,1484hal2079,1505hdc2079,1511,2074,1516,2068,1516c2062,1516,2058,1511,2058,1505haxm2058,1441l2058,1420hdc2058,1414,2062,1409,2068,1409c2074,1409,2079,1414,2079,1420hal2079,1441hdc2079,1447,2074,1452,2068,1452c2062,1452,2058,1447,2058,1441haxm2058,1377l2058,1356hdc2058,1350,2062,1345,2068,1345c2074,1345,2079,1350,2079,1356hal2079,1377hdc2079,1383,2074,1388,2068,1388c2062,1388,2058,1383,2058,1377haxm2058,1313l2058,1292hdc2058,1286,2062,1281,2068,1281c2074,1281,2079,1286,2079,1292hal2079,1313hdc2079,1319,2074,1324,2068,1324c2062,1324,2058,1319,2058,1313haxm2058,1249l2058,1228hdc2058,1222,2062,1217,2068,1217c2074,1217,2079,1222,2079,1228hal2079,1249hdc2079,1255,2074,1260,2068,1260c2062,1260,2058,1255,2058,1249haxm2058,1185l2058,1164hdc2058,1158,2062,1153,2068,1153c2074,1153,2079,1158,2079,1164hal2079,1185hdc2079,1191,2074,1196,2068,1196c2062,1196,2058,1191,2058,1185haxm2058,1121l2058,1100hdc2058,1094,2062,1089,2068,1089c2074,1089,2079,1094,2079,1100hal2079,1121hdc2079,1127,2074,1132,2068,1132c2062,1132,2058,1127,2058,1121haxm2058,1057l2058,1036hdc2058,1030,2062,1025,2068,1025c2074,1025,2079,1030,2079,1036hal2079,1057hdc2079,1063,2074,1068,2068,1068c2062,1068,2058,1063,2058,1057haxm2058,993l2058,972hdc2058,966,2062,961,2068,961c2074,961,2079,966,2079,972hal2079,993hdc2079,999,2074,1004,2068,1004c2062,1004,2058,999,2058,993haxm2058,929l2058,908hdc2058,902,2062,897,2068,897c2074,897,2079,902,2079,908hal2079,929hdc2079,935,2074,940,2068,940c2062,940,2058,935,2058,929haxm2058,865l2058,844hdc2058,838,2062,833,2068,833c2074,833,2079,838,2079,844hal2079,865hdc2079,871,2074,876,2068,876c2062,876,2058,871,2058,865haxm2058,801l2058,780hdc2058,774,2062,769,2068,769c2074,769,2079,774,2079,780hal2079,801hdc2079,807,2074,812,2068,812c2062,812,2058,807,2058,801haxm2058,737l2058,716hdc2058,710,2062,705,2068,705c2074,705,2079,710,2079,716hal2079,737hdc2079,743,2074,748,2068,748c2062,748,2058,743,2058,737haxm2058,673l2058,652hdc2058,646,2062,641,2068,641c2074,641,2079,646,2079,652hal2079,673hdc2079,679,2074,684,2068,684c2062,684,2058,679,2058,673haxm2058,609l2058,588hdc2058,582,2062,577,2068,577c2074,577,2079,582,2079,588hal2079,609hdc2079,615,2074,620,2068,620c2062,620,2058,615,2058,609haxm2058,545l2058,524hdc2058,518,2062,513,2068,513c2074,513,2079,518,2079,524hal2079,545hdc2079,551,2074,556,2068,556c2062,556,2058,551,2058,545haxm2058,481l2058,460hdc2058,454,2062,449,2068,449c2074,449,2079,454,2079,460hal2079,481hdc2079,487,2074,492,2068,492c2062,492,2058,487,2058,481haxm2058,417l2058,396hdc2058,390,2062,385,2068,385c2074,385,2079,390,2079,396hal2079,417hdc2079,423,2074,428,2068,428c2062,428,2058,423,2058,417haxm2058,353l2058,332hdc2058,326,2062,321,2068,321c2074,321,2079,326,2079,332hal2079,353hdc2079,359,2074,364,2068,364c2062,364,2058,359,2058,353haxm2058,289l2058,268hdc2058,262,2062,257,2068,257c2074,257,2079,262,2079,268hal2079,289hdc2079,295,2074,300,2068,300c2062,300,2058,295,2058,289haxm2058,225l2058,204hdc2058,198,2062,193,2068,193c2074,193,2079,198,2079,204hal2079,225hdc2079,231,2074,236,2068,236c2062,236,2058,231,2058,225haxm2058,161l2058,140hdc2058,134,2062,129,2068,129c2074,129,2079,134,2079,140hal2079,161hdc2079,167,2074,172,2068,172c2062,172,2058,167,2058,161haxm2058,97l2058,76hdc2058,70,2062,65,2068,65c2074,65,2079,70,2079,76hal2079,97hdc2079,103,2074,108,2068,108c2062,108,2058,103,2058,97haxm2058,33l2058,12hdc2058,6,2062,1,2068,1c2074,1,2079,6,2079,12hal2079,33hdc2079,39,2074,44,2068,44c2062,44,2058,39,2058,33haxm2027,21l2006,21hdc2000,21,1995,16,1995,11c1995,5,2000,0,2006,0hal2027,0hdc2033,0,2038,5,2038,11c2038,16,2033,21,2027,21haxm1963,21l1942,21hdc1936,21,1931,16,1931,11c1931,5,1936,0,1942,0hal1963,0hdc1969,0,1974,5,1974,11c1974,16,1969,21,1963,21haxm1899,21l1878,21hdc1872,21,1867,16,1867,11c1867,5,1872,0,1878,0hal1899,0hdc1905,0,1910,5,1910,11c1910,16,1905,21,1899,21haxm1835,21l1814,21hdc1808,21,1803,16,1803,11c1803,5,1808,0,1814,0hal1835,0hdc1841,0,1846,5,1846,11c1846,16,1841,21,1835,21haxm1771,21l1750,21hdc1744,21,1739,16,1739,11c1739,5,1744,0,1750,0hal1771,0hdc1777,0,1782,5,1782,11c1782,16,1777,21,1771,21haxm1707,21l1686,21hdc1680,21,1675,16,1675,11c1675,5,1680,0,1686,0hal1707,0hdc1713,0,1718,5,1718,11c1718,16,1713,21,1707,21haxm1643,21l1622,21hdc1616,21,1611,16,1611,11c1611,5,1616,0,1622,0hal1643,0hdc1649,0,1654,5,1654,11c1654,16,1649,21,1643,21haxm1579,21l1558,21hdc1552,21,1547,16,1547,11c1547,5,1552,0,1558,0hal1579,0hdc1585,0,1590,5,1590,11c1590,16,1585,21,1579,21haxm1515,21l1494,21hdc1488,21,1483,16,1483,11c1483,5,1488,0,1494,0hal1515,0hdc1521,0,1526,5,1526,11c1526,16,1521,21,1515,21haxm1451,21l1430,21hdc1424,21,1419,16,1419,11c1419,5,1424,0,1430,0hal1451,0hdc1457,0,1462,5,1462,11c1462,16,1457,21,1451,21haxm1387,21l1366,21hdc1360,21,1355,16,1355,11c1355,5,1360,0,1366,0hal1387,0hdc1393,0,1398,5,1398,11c1398,16,1393,21,1387,21haxm1323,21l1302,21hdc1296,21,1291,16,1291,11c1291,5,1296,0,1302,0hal1323,0hdc1329,0,1334,5,1334,11c1334,16,1329,21,1323,21haxm1259,21l1238,21hdc1232,21,1227,16,1227,11c1227,5,1232,0,1238,0hal1259,0hdc1265,0,1270,5,1270,11c1270,16,1265,21,1259,21haxm1195,21l1174,21hdc1168,21,1163,16,1163,11c1163,5,1168,0,1174,0hal1195,0hdc1201,0,1206,5,1206,11c1206,16,1201,21,1195,21haxm1131,21l1110,21hdc1104,21,1099,16,1099,11c1099,5,1104,0,1110,0hal1131,0hdc1137,0,1142,5,1142,11c1142,16,1137,21,1131,21haxm1067,21l1046,21hdc1040,21,1035,16,1035,11c1035,5,1040,0,1046,0hal1067,0hdc1073,0,1078,5,1078,11c1078,16,1073,21,1067,21haxm1003,21l982,21hdc976,21,971,16,971,11c971,5,976,0,982,0hal1003,0hdc1009,0,1014,5,1014,11c1014,16,1009,21,1003,21haxm939,21l918,21hdc912,21,907,16,907,11c907,5,912,0,918,0hal939,0hdc945,0,950,5,950,11c950,16,945,21,939,21haxm875,21l854,21hdc848,21,843,16,843,11c843,5,848,0,854,0hal875,0hdc881,0,886,5,886,11c886,16,881,21,875,21haxm811,21l790,21hdc784,21,779,16,779,11c779,5,784,0,790,0hal811,0hdc817,0,822,5,822,11c822,16,817,21,811,21haxm747,21l726,21hdc720,21,715,16,715,11c715,5,720,0,726,0hal747,0hdc753,0,758,5,758,11c758,16,753,21,747,21haxm683,21l662,21hdc656,21,651,16,651,11c651,5,656,0,662,0hal683,0hdc689,0,694,5,694,11c694,16,689,21,683,21haxm619,21l598,21hdc592,21,587,16,587,11c587,5,592,0,598,0hal619,0hdc625,0,630,5,630,11c630,16,625,21,619,21haxm555,21l534,21hdc528,21,523,16,523,11c523,5,528,0,534,0hal555,0hdc561,0,566,5,566,11c566,16,561,21,555,21haxm491,21l470,21hdc464,21,459,16,459,11c459,5,464,0,470,0hal491,0hdc497,0,502,5,502,11c502,16,497,21,491,21haxm427,21l406,21hdc400,21,395,16,395,11c395,5,400,0,406,0hal427,0hdc433,0,438,5,438,11c438,16,433,21,427,21haxm363,21l342,21hdc336,21,331,16,331,11c331,5,336,0,342,0hal363,0hdc369,0,374,5,374,11c374,16,369,21,363,21haxm299,21l278,21hdc272,21,267,16,267,11c267,5,272,0,278,0hal299,0hdc305,0,310,5,310,11c310,16,305,21,299,21haxm235,21l214,21hdc208,21,203,16,203,11c203,5,208,0,214,0hal235,0hdc241,0,246,5,246,11c246,16,241,21,235,21haxm171,21l150,21hdc144,21,139,16,139,11c139,5,144,0,150,0hal171,0hdc177,0,182,5,182,11c182,16,177,21,171,21haxm107,21l86,21hdc80,21,75,16,75,11c75,5,80,0,86,0hal107,0hdc113,0,118,5,118,11c118,16,113,21,107,21haxm43,21l22,21hdc16,21,11,16,11,11c11,5,16,0,22,0hal43,0hdc49,0,54,5,54,11c54,16,49,21,43,21haxe">
              <v:path arrowok="t" o:connecttype="segments"/>
              <v:fill on="t" focussize="0,0"/>
              <v:stroke weight="0.05pt" color="#EA700D" joinstyle="round"/>
              <v:imagedata o:title=""/>
              <o:lock v:ext="edit"/>
            </v:shape>
            <v:rect id="_x0000_s1301" o:spid="_x0000_s1301" o:spt="1" style="position:absolute;left:3497;top:844;height:206;width:841;mso-wrap-style:none;" filled="f" stroked="f" coordsize="21600,21600">
              <v:path/>
              <v:fill on="f" focussize="0,0"/>
              <v:stroke on="f"/>
              <v:imagedata o:title=""/>
              <o:lock v:ext="edit"/>
              <v:textbox inset="0mm,0mm,0mm,0mm" style="mso-fit-shape-to-text:t;">
                <w:txbxContent>
                  <w:p>
                    <w:pPr>
                      <w:ind w:firstLine="240"/>
                    </w:pPr>
                    <w:r>
                      <w:rPr>
                        <w:rFonts w:hint="eastAsia" w:ascii="微软雅黑" w:eastAsia="微软雅黑" w:cs="微软雅黑"/>
                        <w:b/>
                        <w:bCs/>
                        <w:color w:val="000000"/>
                        <w:sz w:val="12"/>
                        <w:szCs w:val="12"/>
                      </w:rPr>
                      <w:t>人像大数据</w:t>
                    </w:r>
                  </w:p>
                </w:txbxContent>
              </v:textbox>
            </v:rect>
            <v:shape id="_x0000_s1302" o:spid="_x0000_s1302" o:spt="75" type="#_x0000_t75" style="position:absolute;left:3227;top:1097;height:444;width:1158;" filled="f" o:preferrelative="t" stroked="f" coordsize="21600,21600">
              <v:path/>
              <v:fill on="f" focussize="0,0"/>
              <v:stroke on="f" joinstyle="miter"/>
              <v:imagedata r:id="rId62" o:title=""/>
              <o:lock v:ext="edit" aspectratio="t"/>
            </v:shape>
            <v:shape id="_x0000_s1303" o:spid="_x0000_s1303" o:spt="75" type="#_x0000_t75" style="position:absolute;left:3227;top:1097;height:444;width:1158;" filled="f" o:preferrelative="t" stroked="f" coordsize="21600,21600">
              <v:path/>
              <v:fill on="f" focussize="0,0"/>
              <v:stroke on="f" joinstyle="miter"/>
              <v:imagedata r:id="rId63" o:title=""/>
              <o:lock v:ext="edit" aspectratio="t"/>
            </v:shape>
            <v:rect id="_x0000_s1304" o:spid="_x0000_s1304" o:spt="1" style="position:absolute;left:3270;top:1140;height:296;width:1015;" fillcolor="#F9C499" filled="t" stroked="f" coordsize="21600,21600">
              <v:path/>
              <v:fill on="t" focussize="0,0"/>
              <v:stroke on="f"/>
              <v:imagedata o:title=""/>
              <o:lock v:ext="edit"/>
            </v:rect>
            <v:rect id="_x0000_s1305" o:spid="_x0000_s1305" o:spt="1" style="position:absolute;left:3270;top:1140;height:296;width:1015;" filled="f" stroked="t" coordsize="21600,21600">
              <v:path/>
              <v:fill on="f" focussize="0,0"/>
              <v:stroke weight="0.5pt" color="#BFBFBF" joinstyle="round" endcap="round"/>
              <v:imagedata o:title=""/>
              <o:lock v:ext="edit"/>
            </v:rect>
            <v:rect id="_x0000_s1306" o:spid="_x0000_s1306" o:spt="1" style="position:absolute;left:3440;top:1212;height:206;width:961;mso-wrap-style:none;" filled="f" stroked="f" coordsize="21600,21600">
              <v:path/>
              <v:fill on="f" focussize="0,0"/>
              <v:stroke on="f"/>
              <v:imagedata o:title=""/>
              <o:lock v:ext="edit"/>
              <v:textbox inset="0mm,0mm,0mm,0mm" style="mso-fit-shape-to-text:t;">
                <w:txbxContent>
                  <w:p>
                    <w:pPr>
                      <w:ind w:firstLine="240"/>
                    </w:pPr>
                    <w:r>
                      <w:rPr>
                        <w:rFonts w:hint="eastAsia" w:ascii="微软雅黑" w:eastAsia="微软雅黑" w:cs="微软雅黑"/>
                        <w:color w:val="000000"/>
                        <w:sz w:val="12"/>
                        <w:szCs w:val="12"/>
                      </w:rPr>
                      <w:t>人脸动态应用</w:t>
                    </w:r>
                  </w:p>
                </w:txbxContent>
              </v:textbox>
            </v:rect>
            <v:shape id="_x0000_s1307" o:spid="_x0000_s1307" o:spt="75" type="#_x0000_t75" style="position:absolute;left:3227;top:2108;height:444;width:1158;" filled="f" o:preferrelative="t" stroked="f" coordsize="21600,21600">
              <v:path/>
              <v:fill on="f" focussize="0,0"/>
              <v:stroke on="f" joinstyle="miter"/>
              <v:imagedata r:id="rId64" o:title=""/>
              <o:lock v:ext="edit" aspectratio="t"/>
            </v:shape>
            <v:shape id="_x0000_s1308" o:spid="_x0000_s1308" o:spt="75" type="#_x0000_t75" style="position:absolute;left:3227;top:2108;height:444;width:1158;" filled="f" o:preferrelative="t" stroked="f" coordsize="21600,21600">
              <v:path/>
              <v:fill on="f" focussize="0,0"/>
              <v:stroke on="f" joinstyle="miter"/>
              <v:imagedata r:id="rId65" o:title=""/>
              <o:lock v:ext="edit" aspectratio="t"/>
            </v:shape>
            <v:rect id="_x0000_s1309" o:spid="_x0000_s1309" o:spt="1" style="position:absolute;left:3270;top:2151;height:296;width:1015;" fillcolor="#F9C499" filled="t" stroked="f" coordsize="21600,21600">
              <v:path/>
              <v:fill on="t" focussize="0,0"/>
              <v:stroke on="f"/>
              <v:imagedata o:title=""/>
              <o:lock v:ext="edit"/>
            </v:rect>
            <v:rect id="_x0000_s1310" o:spid="_x0000_s1310" o:spt="1" style="position:absolute;left:3270;top:2151;height:296;width:1015;" filled="f" stroked="t" coordsize="21600,21600">
              <v:path/>
              <v:fill on="f" focussize="0,0"/>
              <v:stroke weight="0.5pt" color="#BFBFBF" joinstyle="round" endcap="round"/>
              <v:imagedata o:title=""/>
              <o:lock v:ext="edit"/>
            </v:rect>
            <v:rect id="_x0000_s1311" o:spid="_x0000_s1311" o:spt="1" style="position:absolute;left:3440;top:2224;height:206;width:961;mso-wrap-style:none;" filled="f" stroked="f" coordsize="21600,21600">
              <v:path/>
              <v:fill on="f" focussize="0,0"/>
              <v:stroke on="f"/>
              <v:imagedata o:title=""/>
              <o:lock v:ext="edit"/>
              <v:textbox inset="0mm,0mm,0mm,0mm" style="mso-fit-shape-to-text:t;">
                <w:txbxContent>
                  <w:p>
                    <w:pPr>
                      <w:ind w:firstLine="240"/>
                    </w:pPr>
                    <w:r>
                      <w:rPr>
                        <w:rFonts w:hint="eastAsia" w:ascii="微软雅黑" w:eastAsia="微软雅黑" w:cs="微软雅黑"/>
                        <w:color w:val="000000"/>
                        <w:sz w:val="12"/>
                        <w:szCs w:val="12"/>
                      </w:rPr>
                      <w:t>人像统计分析</w:t>
                    </w:r>
                  </w:p>
                </w:txbxContent>
              </v:textbox>
            </v:rect>
            <v:shape id="_x0000_s1312" o:spid="_x0000_s1312" o:spt="75" type="#_x0000_t75" style="position:absolute;left:1822;top:2042;height:359;width:1158;" filled="f" o:preferrelative="t" stroked="f" coordsize="21600,21600">
              <v:path/>
              <v:fill on="f" focussize="0,0"/>
              <v:stroke on="f" joinstyle="miter"/>
              <v:imagedata r:id="rId66" o:title=""/>
              <o:lock v:ext="edit" aspectratio="t"/>
            </v:shape>
            <v:shape id="_x0000_s1313" o:spid="_x0000_s1313" o:spt="75" type="#_x0000_t75" style="position:absolute;left:1822;top:2042;height:359;width:1158;" filled="f" o:preferrelative="t" stroked="f" coordsize="21600,21600">
              <v:path/>
              <v:fill on="f" focussize="0,0"/>
              <v:stroke on="f" joinstyle="miter"/>
              <v:imagedata r:id="rId67" o:title=""/>
              <o:lock v:ext="edit" aspectratio="t"/>
            </v:shape>
            <v:rect id="_x0000_s1314" o:spid="_x0000_s1314" o:spt="1" style="position:absolute;left:1864;top:2080;height:218;width:1015;" fillcolor="#F9C499" filled="t" stroked="f" coordsize="21600,21600">
              <v:path/>
              <v:fill on="t" focussize="0,0"/>
              <v:stroke on="f"/>
              <v:imagedata o:title=""/>
              <o:lock v:ext="edit"/>
            </v:rect>
            <v:rect id="_x0000_s1315" o:spid="_x0000_s1315" o:spt="1" style="position:absolute;left:1864;top:2080;height:218;width:1015;" filled="f" stroked="t" coordsize="21600,21600">
              <v:path/>
              <v:fill on="f" focussize="0,0"/>
              <v:stroke weight="0.5pt" color="#BFBFBF" joinstyle="round" endcap="round"/>
              <v:imagedata o:title=""/>
              <o:lock v:ext="edit"/>
            </v:rect>
            <v:rect id="_x0000_s1316" o:spid="_x0000_s1316" o:spt="1" style="position:absolute;left:2035;top:2115;height:206;width:961;mso-wrap-style:none;" filled="f" stroked="f" coordsize="21600,21600">
              <v:path/>
              <v:fill on="f" focussize="0,0"/>
              <v:stroke on="f"/>
              <v:imagedata o:title=""/>
              <o:lock v:ext="edit"/>
              <v:textbox inset="0mm,0mm,0mm,0mm" style="mso-fit-shape-to-text:t;">
                <w:txbxContent>
                  <w:p>
                    <w:pPr>
                      <w:ind w:firstLine="240"/>
                    </w:pPr>
                    <w:r>
                      <w:rPr>
                        <w:rFonts w:hint="eastAsia" w:ascii="微软雅黑" w:eastAsia="微软雅黑" w:cs="微软雅黑"/>
                        <w:color w:val="00B050"/>
                        <w:sz w:val="12"/>
                        <w:szCs w:val="12"/>
                      </w:rPr>
                      <w:t>车辆预警研判</w:t>
                    </w:r>
                  </w:p>
                </w:txbxContent>
              </v:textbox>
            </v:rect>
            <v:shape id="_x0000_s1317" o:spid="_x0000_s1317" o:spt="75" type="#_x0000_t75" style="position:absolute;left:1822;top:2325;height:360;width:1158;" filled="f" o:preferrelative="t" stroked="f" coordsize="21600,21600">
              <v:path/>
              <v:fill on="f" focussize="0,0"/>
              <v:stroke on="f" joinstyle="miter"/>
              <v:imagedata r:id="rId68" o:title=""/>
              <o:lock v:ext="edit" aspectratio="t"/>
            </v:shape>
            <v:shape id="_x0000_s1318" o:spid="_x0000_s1318" o:spt="75" type="#_x0000_t75" style="position:absolute;left:1822;top:2325;height:360;width:1158;" filled="f" o:preferrelative="t" stroked="f" coordsize="21600,21600">
              <v:path/>
              <v:fill on="f" focussize="0,0"/>
              <v:stroke on="f" joinstyle="miter"/>
              <v:imagedata r:id="rId69" o:title=""/>
              <o:lock v:ext="edit" aspectratio="t"/>
            </v:shape>
            <v:rect id="_x0000_s1319" o:spid="_x0000_s1319" o:spt="1" style="position:absolute;left:1860;top:2368;height:218;width:1015;" fillcolor="#F9C499" filled="t" stroked="f" coordsize="21600,21600">
              <v:path/>
              <v:fill on="t" focussize="0,0"/>
              <v:stroke on="f"/>
              <v:imagedata o:title=""/>
              <o:lock v:ext="edit"/>
            </v:rect>
            <v:rect id="_x0000_s1320" o:spid="_x0000_s1320" o:spt="1" style="position:absolute;left:1860;top:2368;height:218;width:1015;" filled="f" stroked="t" coordsize="21600,21600">
              <v:path/>
              <v:fill on="f" focussize="0,0"/>
              <v:stroke weight="0.5pt" color="#BFBFBF" joinstyle="round" endcap="round"/>
              <v:imagedata o:title=""/>
              <o:lock v:ext="edit"/>
            </v:rect>
            <v:rect id="_x0000_s1321" o:spid="_x0000_s1321" o:spt="1" style="position:absolute;left:2030;top:2403;height:206;width:961;mso-wrap-style:none;" filled="f" stroked="f" coordsize="21600,21600">
              <v:path/>
              <v:fill on="f" focussize="0,0"/>
              <v:stroke on="f"/>
              <v:imagedata o:title=""/>
              <o:lock v:ext="edit"/>
              <v:textbox inset="0mm,0mm,0mm,0mm" style="mso-fit-shape-to-text:t;">
                <w:txbxContent>
                  <w:p>
                    <w:pPr>
                      <w:ind w:firstLine="240"/>
                    </w:pPr>
                    <w:r>
                      <w:rPr>
                        <w:rFonts w:hint="eastAsia" w:ascii="微软雅黑" w:eastAsia="微软雅黑" w:cs="微软雅黑"/>
                        <w:color w:val="00B050"/>
                        <w:sz w:val="12"/>
                        <w:szCs w:val="12"/>
                      </w:rPr>
                      <w:t>车辆统计分析</w:t>
                    </w:r>
                  </w:p>
                </w:txbxContent>
              </v:textbox>
            </v:rect>
            <v:line id="_x0000_s1322" o:spid="_x0000_s1322" o:spt="20" style="position:absolute;left:1863;top:3360;height:0;width:240;" coordsize="21600,21600">
              <v:path arrowok="t"/>
              <v:fill focussize="0,0"/>
              <v:stroke weight="1.45pt" endcap="round"/>
              <v:imagedata o:title=""/>
              <o:lock v:ext="edit"/>
            </v:line>
            <v:shape id="_x0000_s1323" o:spid="_x0000_s1323" style="position:absolute;left:1697;top:3300;height:120;width:182;" fillcolor="#000000" filled="t" stroked="f" coordsize="182,120" path="m182,120l0,60,182,0,182,120xe">
              <v:path arrowok="t"/>
              <v:fill on="t" focussize="0,0"/>
              <v:stroke on="f"/>
              <v:imagedata o:title=""/>
              <o:lock v:ext="edit"/>
            </v:shape>
            <v:shape id="_x0000_s1324" o:spid="_x0000_s1324" style="position:absolute;left:2088;top:3300;height:120;width:181;" fillcolor="#000000" filled="t" stroked="f" coordsize="181,120" path="m0,0l181,60,0,120,0,0xe">
              <v:path arrowok="t"/>
              <v:fill on="t" focussize="0,0"/>
              <v:stroke on="f"/>
              <v:imagedata o:title=""/>
              <o:lock v:ext="edit"/>
            </v:shape>
            <v:line id="_x0000_s1325" o:spid="_x0000_s1325" o:spt="20" style="position:absolute;left:1080;top:2865;flip:y;height:82;width:0;" coordsize="21600,21600">
              <v:path arrowok="t"/>
              <v:fill focussize="0,0"/>
              <v:stroke weight="1.45pt" endcap="round"/>
              <v:imagedata o:title=""/>
              <o:lock v:ext="edit"/>
            </v:line>
            <v:shape id="_x0000_s1326" o:spid="_x0000_s1326" style="position:absolute;left:1020;top:2932;height:180;width:120;" fillcolor="#000000" filled="t" stroked="f" coordsize="120,180" path="m120,0l60,180,0,0,120,0xe">
              <v:path arrowok="t"/>
              <v:fill on="t" focussize="0,0"/>
              <v:stroke on="f"/>
              <v:imagedata o:title=""/>
              <o:lock v:ext="edit"/>
            </v:shape>
            <v:shape id="_x0000_s1327" o:spid="_x0000_s1327" style="position:absolute;left:1020;top:2700;height:181;width:120;" fillcolor="#000000" filled="t" stroked="f" coordsize="120,181" path="m0,181l60,0,120,181,0,181xe">
              <v:path arrowok="t"/>
              <v:fill on="t" focussize="0,0"/>
              <v:stroke on="f"/>
              <v:imagedata o:title=""/>
              <o:lock v:ext="edit"/>
            </v:shape>
            <v:line id="_x0000_s1328" o:spid="_x0000_s1328" o:spt="20" style="position:absolute;left:2826;top:2897;flip:y;height:81;width:0;" coordsize="21600,21600">
              <v:path arrowok="t"/>
              <v:fill focussize="0,0"/>
              <v:stroke weight="1.45pt" endcap="round"/>
              <v:imagedata o:title=""/>
              <o:lock v:ext="edit"/>
            </v:line>
            <v:shape id="_x0000_s1329" o:spid="_x0000_s1329" style="position:absolute;left:2765;top:2963;height:180;width:121;" fillcolor="#000000" filled="t" stroked="f" coordsize="121,180" path="m121,0l61,180,0,0,121,0xe">
              <v:path arrowok="t"/>
              <v:fill on="t" focussize="0,0"/>
              <v:stroke on="f"/>
              <v:imagedata o:title=""/>
              <o:lock v:ext="edit"/>
            </v:shape>
            <v:shape id="_x0000_s1330" o:spid="_x0000_s1330" style="position:absolute;left:2765;top:2731;height:180;width:121;" fillcolor="#000000" filled="t" stroked="f" coordsize="121,180" path="m0,180l61,0,121,180,0,180xe">
              <v:path arrowok="t"/>
              <v:fill on="t" focussize="0,0"/>
              <v:stroke on="f"/>
              <v:imagedata o:title=""/>
              <o:lock v:ext="edit"/>
            </v:shape>
            <v:line id="_x0000_s1331" o:spid="_x0000_s1331" o:spt="20" style="position:absolute;left:4642;top:2901;flip:y;height:81;width:0;" coordsize="21600,21600">
              <v:path arrowok="t"/>
              <v:fill focussize="0,0"/>
              <v:stroke weight="1.45pt" endcap="round"/>
              <v:imagedata o:title=""/>
              <o:lock v:ext="edit"/>
            </v:line>
            <v:shape id="_x0000_s1332" o:spid="_x0000_s1332" style="position:absolute;left:4581;top:2968;height:180;width:121;" fillcolor="#000000" filled="t" stroked="f" coordsize="121,180" path="m121,0l61,180,0,0,121,0xe">
              <v:path arrowok="t"/>
              <v:fill on="t" focussize="0,0"/>
              <v:stroke on="f"/>
              <v:imagedata o:title=""/>
              <o:lock v:ext="edit"/>
            </v:shape>
            <v:shape id="_x0000_s1333" o:spid="_x0000_s1333" style="position:absolute;left:4581;top:2736;height:180;width:121;" fillcolor="#000000" filled="t" stroked="f" coordsize="121,180" path="m0,180l61,0,121,180,0,180xe">
              <v:path arrowok="t"/>
              <v:fill on="t" focussize="0,0"/>
              <v:stroke on="f"/>
              <v:imagedata o:title=""/>
              <o:lock v:ext="edit"/>
            </v:shape>
            <v:line id="_x0000_s1334" o:spid="_x0000_s1334" o:spt="20" style="position:absolute;left:836;top:3707;flip:y;height:82;width:0;" coordsize="21600,21600">
              <v:path arrowok="t"/>
              <v:fill focussize="0,0"/>
              <v:stroke weight="1.45pt" endcap="round"/>
              <v:imagedata o:title=""/>
              <o:lock v:ext="edit"/>
            </v:line>
            <v:shape id="_x0000_s1335" o:spid="_x0000_s1335" style="position:absolute;left:776;top:3774;height:180;width:121;" fillcolor="#000000" filled="t" stroked="f" coordsize="121,180" path="m121,0l60,180,0,0,121,0xe">
              <v:path arrowok="t"/>
              <v:fill on="t" focussize="0,0"/>
              <v:stroke on="f"/>
              <v:imagedata o:title=""/>
              <o:lock v:ext="edit"/>
            </v:shape>
            <v:shape id="_x0000_s1336" o:spid="_x0000_s1336" style="position:absolute;left:776;top:3542;height:181;width:121;" fillcolor="#000000" filled="t" stroked="f" coordsize="121,181" path="m0,181l60,0,121,181,0,181xe">
              <v:path arrowok="t"/>
              <v:fill on="t" focussize="0,0"/>
              <v:stroke on="f"/>
              <v:imagedata o:title=""/>
              <o:lock v:ext="edit"/>
            </v:shape>
            <v:line id="_x0000_s1337" o:spid="_x0000_s1337" o:spt="20" style="position:absolute;left:4782;top:3690;flip:y;height:80;width:0;" coordsize="21600,21600">
              <v:path arrowok="t"/>
              <v:fill focussize="0,0"/>
              <v:stroke weight="1.45pt" endcap="round"/>
              <v:imagedata o:title=""/>
              <o:lock v:ext="edit"/>
            </v:line>
            <v:shape id="_x0000_s1338" o:spid="_x0000_s1338" style="position:absolute;left:4722;top:3756;height:180;width:121;" fillcolor="#000000" filled="t" stroked="f" coordsize="121,180" path="m121,0l60,180,0,0,121,0xe">
              <v:path arrowok="t"/>
              <v:fill on="t" focussize="0,0"/>
              <v:stroke on="f"/>
              <v:imagedata o:title=""/>
              <o:lock v:ext="edit"/>
            </v:shape>
            <v:shape id="_x0000_s1339" o:spid="_x0000_s1339" style="position:absolute;left:4722;top:3524;height:180;width:121;" fillcolor="#000000" filled="t" stroked="f" coordsize="121,180" path="m0,180l60,0,121,180,0,180xe">
              <v:path arrowok="t"/>
              <v:fill on="t" focussize="0,0"/>
              <v:stroke on="f"/>
              <v:imagedata o:title=""/>
              <o:lock v:ext="edit"/>
            </v:shape>
            <v:shape id="_x0000_s1340" o:spid="_x0000_s1340" o:spt="75" type="#_x0000_t75" style="position:absolute;left:3227;top:1607;height:435;width:1158;" filled="f" o:preferrelative="t" stroked="f" coordsize="21600,21600">
              <v:path/>
              <v:fill on="f" focussize="0,0"/>
              <v:stroke on="f" joinstyle="miter"/>
              <v:imagedata r:id="rId70" o:title=""/>
              <o:lock v:ext="edit" aspectratio="t"/>
            </v:shape>
            <v:shape id="_x0000_s1341" o:spid="_x0000_s1341" o:spt="75" type="#_x0000_t75" style="position:absolute;left:3227;top:1607;height:435;width:1158;" filled="f" o:preferrelative="t" stroked="f" coordsize="21600,21600">
              <v:path/>
              <v:fill on="f" focussize="0,0"/>
              <v:stroke on="f" joinstyle="miter"/>
              <v:imagedata r:id="rId71" o:title=""/>
              <o:lock v:ext="edit" aspectratio="t"/>
            </v:shape>
            <v:rect id="_x0000_s1342" o:spid="_x0000_s1342" o:spt="1" style="position:absolute;left:3269;top:1645;height:296;width:1014;" fillcolor="#F9C499" filled="t" stroked="f" coordsize="21600,21600">
              <v:path/>
              <v:fill on="t" focussize="0,0"/>
              <v:stroke on="f"/>
              <v:imagedata o:title=""/>
              <o:lock v:ext="edit"/>
            </v:rect>
            <v:rect id="_x0000_s1343" o:spid="_x0000_s1343" o:spt="1" style="position:absolute;left:3269;top:1645;height:296;width:1014;" filled="f" stroked="t" coordsize="21600,21600">
              <v:path/>
              <v:fill on="f" focussize="0,0"/>
              <v:stroke weight="0.5pt" color="#BFBFBF" joinstyle="round" endcap="round"/>
              <v:imagedata o:title=""/>
              <o:lock v:ext="edit"/>
            </v:rect>
            <v:rect id="_x0000_s1344" o:spid="_x0000_s1344" o:spt="1" style="position:absolute;left:3439;top:1719;height:206;width:961;mso-wrap-style:none;" filled="f" stroked="f" coordsize="21600,21600">
              <v:path/>
              <v:fill on="f" focussize="0,0"/>
              <v:stroke on="f"/>
              <v:imagedata o:title=""/>
              <o:lock v:ext="edit"/>
              <v:textbox inset="0mm,0mm,0mm,0mm" style="mso-fit-shape-to-text:t;">
                <w:txbxContent>
                  <w:p>
                    <w:pPr>
                      <w:ind w:firstLine="240"/>
                    </w:pPr>
                    <w:r>
                      <w:rPr>
                        <w:rFonts w:hint="eastAsia" w:ascii="微软雅黑" w:eastAsia="微软雅黑" w:cs="微软雅黑"/>
                        <w:color w:val="000000"/>
                        <w:sz w:val="12"/>
                        <w:szCs w:val="12"/>
                      </w:rPr>
                      <w:t>人员布控预警</w:t>
                    </w:r>
                  </w:p>
                </w:txbxContent>
              </v:textbox>
            </v:rect>
            <v:rect id="_x0000_s1345" o:spid="_x0000_s1345" o:spt="1" style="position:absolute;left:2110;top:345;height:360;width:1741;mso-wrap-style:none;" filled="f" stroked="f" coordsize="21600,21600">
              <v:path/>
              <v:fill on="f" focussize="0,0"/>
              <v:stroke on="f"/>
              <v:imagedata o:title=""/>
              <o:lock v:ext="edit"/>
              <v:textbox inset="0mm,0mm,0mm,0mm" style="mso-fit-shape-to-text:t;">
                <w:txbxContent>
                  <w:p>
                    <w:pPr>
                      <w:ind w:firstLine="480"/>
                    </w:pPr>
                    <w:r>
                      <w:rPr>
                        <w:rFonts w:hint="eastAsia" w:ascii="微软雅黑" w:eastAsia="微软雅黑" w:cs="微软雅黑"/>
                        <w:b/>
                        <w:bCs/>
                        <w:color w:val="FF0000"/>
                      </w:rPr>
                      <w:t>视频综合应用</w:t>
                    </w:r>
                  </w:p>
                </w:txbxContent>
              </v:textbox>
            </v:rect>
            <v:rect id="_x0000_s1346" o:spid="_x0000_s1346" o:spt="1" style="position:absolute;left:4602;top:760;height:1920;width:1221;" fillcolor="#FCEBDD" filled="t" stroked="f" coordsize="21600,21600">
              <v:path/>
              <v:fill on="t" focussize="0,0"/>
              <v:stroke on="f"/>
              <v:imagedata o:title=""/>
              <o:lock v:ext="edit"/>
            </v:rect>
            <v:shape id="_x0000_s1347" o:spid="_x0000_s1347" o:spt="100" style="position:absolute;left:4596;top:754;height:1932;width:1233;" fillcolor="#EA700D" filled="t" stroked="t" coordsize="2079,3271" adj="," path="m22,32l22,53hdc22,59,17,64,11,64c5,64,0,59,0,53hal0,32hdc0,26,5,21,11,21c17,21,22,26,22,32haxm22,96l22,117hdc22,123,17,128,11,128c5,128,0,123,0,117hal0,96hdc0,90,5,85,11,85c17,85,22,90,22,96haxm22,160l22,181hdc22,187,17,192,11,192c5,192,0,187,0,181hal0,160hdc0,154,5,149,11,149c17,149,22,154,22,160haxm22,224l22,245hdc22,251,17,256,11,256c5,256,0,251,0,245hal0,224hdc0,218,5,213,11,213c17,213,22,218,22,224haxm22,288l22,309hdc22,315,17,320,11,320c5,320,0,315,0,309hal0,288hdc0,282,5,277,11,277c17,277,22,282,22,288haxm22,352l22,373hdc22,379,17,384,11,384c5,384,0,379,0,373hal0,352hdc0,346,5,341,11,341c17,341,22,346,22,352haxm22,416l22,437hdc22,443,17,448,11,448c5,448,0,443,0,437hal0,416hdc0,410,5,405,11,405c17,405,22,410,22,416haxm22,480l22,501hdc22,507,17,512,11,512c5,512,0,507,0,501hal0,480hdc0,474,5,469,11,469c17,469,22,474,22,480haxm22,544l22,565hdc22,571,17,576,11,576c5,576,0,571,0,565hal0,544hdc0,538,5,533,11,533c17,533,22,538,22,544haxm22,608l22,629hdc22,635,17,640,11,640c5,640,0,635,0,629hal0,608hdc0,602,5,597,11,597c17,597,22,602,22,608haxm22,672l22,693hdc22,699,17,704,11,704c5,704,0,699,0,693hal0,672hdc0,666,5,661,11,661c17,661,22,666,22,672haxm22,736l22,757hdc22,763,17,768,11,768c5,768,0,763,0,757hal0,736hdc0,730,5,725,11,725c17,725,22,730,22,736haxm22,800l22,821hdc22,827,17,832,11,832c5,832,0,827,0,821hal0,800hdc0,794,5,789,11,789c17,789,22,794,22,800haxm22,864l22,885hdc22,891,17,896,11,896c5,896,0,891,0,885hal0,864hdc0,858,5,853,11,853c17,853,22,858,22,864haxm22,928l22,949hdc22,955,17,960,11,960c5,960,0,955,0,949hal0,928hdc0,922,5,917,11,917c17,917,22,922,22,928haxm22,992l22,1013hdc22,1019,17,1024,11,1024c5,1024,0,1019,0,1013hal0,992hdc0,986,5,981,11,981c17,981,22,986,22,992haxm22,1056l22,1077hdc22,1083,17,1088,11,1088c5,1088,0,1083,0,1077hal0,1056hdc0,1050,5,1045,11,1045c17,1045,22,1050,22,1056haxm22,1120l22,1141hdc22,1147,17,1152,11,1152c5,1152,0,1147,0,1141hal0,1120hdc0,1114,5,1109,11,1109c17,1109,22,1114,22,1120haxm22,1184l22,1205hdc22,1211,17,1216,11,1216c5,1216,0,1211,0,1205hal0,1184hdc0,1178,5,1173,11,1173c17,1173,22,1178,22,1184haxm22,1248l22,1269hdc22,1275,17,1280,11,1280c5,1280,0,1275,0,1269hal0,1248hdc0,1242,5,1237,11,1237c17,1237,22,1242,22,1248haxm22,1312l22,1333hdc22,1339,17,1344,11,1344c5,1344,0,1339,0,1333hal0,1312hdc0,1306,5,1301,11,1301c17,1301,22,1306,22,1312haxm22,1376l22,1397hdc22,1403,17,1408,11,1408c5,1408,0,1403,0,1397hal0,1376hdc0,1370,5,1365,11,1365c17,1365,22,1370,22,1376haxm22,1440l22,1461hdc22,1467,17,1472,11,1472c5,1472,0,1467,0,1461hal0,1440hdc0,1434,5,1429,11,1429c17,1429,22,1434,22,1440haxm22,1504l22,1525hdc22,1531,17,1536,11,1536c5,1536,0,1531,0,1525hal0,1504hdc0,1498,5,1493,11,1493c17,1493,22,1498,22,1504haxm22,1568l22,1589hdc22,1595,17,1600,11,1600c5,1600,0,1595,0,1589hal0,1568hdc0,1562,5,1557,11,1557c17,1557,22,1562,22,1568haxm22,1632l22,1653hdc22,1659,17,1664,11,1664c5,1664,0,1659,0,1653hal0,1632hdc0,1626,5,1621,11,1621c17,1621,22,1626,22,1632haxm22,1696l22,1717hdc22,1723,17,1728,11,1728c5,1728,0,1723,0,1717hal0,1696hdc0,1690,5,1685,11,1685c17,1685,22,1690,22,1696haxm22,1760l22,1781hdc22,1787,17,1792,11,1792c5,1792,0,1787,0,1781hal0,1760hdc0,1754,5,1749,11,1749c17,1749,22,1754,22,1760haxm22,1824l22,1845hdc22,1851,17,1856,11,1856c5,1856,0,1851,0,1845hal0,1824hdc0,1818,5,1813,11,1813c17,1813,22,1818,22,1824haxm22,1888l22,1909hdc22,1915,17,1920,11,1920c5,1920,0,1915,0,1909hal0,1888hdc0,1882,5,1877,11,1877c17,1877,22,1882,22,1888haxm22,1952l22,1973hdc22,1979,17,1984,11,1984c5,1984,0,1979,0,1973hal0,1952hdc0,1946,5,1941,11,1941c17,1941,22,1946,22,1952haxm22,2016l22,2037hdc22,2043,17,2048,11,2048c5,2048,0,2043,0,2037hal0,2016hdc0,2010,5,2005,11,2005c17,2005,22,2010,22,2016haxm22,2080l22,2101hdc22,2107,17,2112,11,2112c5,2112,0,2107,0,2101hal0,2080hdc0,2074,5,2069,11,2069c17,2069,22,2074,22,2080haxm22,2144l22,2165hdc22,2171,17,2176,11,2176c5,2176,0,2171,0,2165hal0,2144hdc0,2138,5,2133,11,2133c17,2133,22,2138,22,2144haxm22,2208l22,2229hdc22,2235,17,2240,11,2240c5,2240,0,2235,0,2229hal0,2208hdc0,2202,5,2197,11,2197c17,2197,22,2202,22,2208haxm22,2272l22,2293hdc22,2299,17,2304,11,2304c5,2304,0,2299,0,2293hal0,2272hdc0,2266,5,2261,11,2261c17,2261,22,2266,22,2272haxm22,2336l22,2357hdc22,2363,17,2368,11,2368c5,2368,0,2363,0,2357hal0,2336hdc0,2330,5,2325,11,2325c17,2325,22,2330,22,2336haxm22,2400l22,2421hdc22,2427,17,2432,11,2432c5,2432,0,2427,0,2421hal0,2400hdc0,2394,5,2389,11,2389c17,2389,22,2394,22,2400haxm22,2464l22,2485hdc22,2491,17,2496,11,2496c5,2496,0,2491,0,2485hal0,2464hdc0,2458,5,2453,11,2453c17,2453,22,2458,22,2464haxm22,2528l22,2549hdc22,2555,17,2560,11,2560c5,2560,0,2555,0,2549hal0,2528hdc0,2522,5,2517,11,2517c17,2517,22,2522,22,2528haxm22,2592l22,2613hdc22,2619,17,2624,11,2624c5,2624,0,2619,0,2613hal0,2592hdc0,2586,5,2581,11,2581c17,2581,22,2586,22,2592haxm22,2656l22,2677hdc22,2683,17,2688,11,2688c5,2688,0,2683,0,2677hal0,2656hdc0,2650,5,2645,11,2645c17,2645,22,2650,22,2656haxm22,2720l22,2741hdc22,2747,17,2752,11,2752c5,2752,0,2747,0,2741hal0,2720hdc0,2714,5,2709,11,2709c17,2709,22,2714,22,2720haxm22,2784l22,2805hdc22,2811,17,2816,11,2816c5,2816,0,2811,0,2805hal0,2784hdc0,2778,5,2773,11,2773c17,2773,22,2778,22,2784haxm22,2848l22,2869hdc22,2875,17,2880,11,2880c5,2880,0,2875,0,2869hal0,2848hdc0,2842,5,2837,11,2837c17,2837,22,2842,22,2848haxm22,2912l22,2933hdc22,2939,17,2944,11,2944c5,2944,0,2939,0,2933hal0,2912hdc0,2906,5,2901,11,2901c17,2901,22,2906,22,2912haxm22,2976l22,2997hdc22,3003,17,3008,11,3008c5,3008,0,3003,0,2997hal0,2976hdc0,2970,5,2965,11,2965c17,2965,22,2970,22,2976haxm22,3040l22,3061hdc22,3067,17,3072,11,3072c5,3072,0,3067,0,3061hal0,3040hdc0,3034,5,3029,11,3029c17,3029,22,3034,22,3040haxm22,3104l22,3125hdc22,3131,17,3136,11,3136c5,3136,0,3131,0,3125hal0,3104hdc0,3098,5,3093,11,3093c17,3093,22,3098,22,3104haxm22,3168l22,3189hdc22,3195,17,3200,11,3200c5,3200,0,3195,0,3189hal0,3168hdc0,3162,5,3157,11,3157c17,3157,22,3162,22,3168haxm22,3232l22,3253hdc22,3259,17,3264,11,3264c5,3264,0,3259,0,3253hal0,3232hdc0,3226,5,3221,11,3221c17,3221,22,3226,22,3232haxm47,3249l68,3249hdc74,3249,79,3254,79,3260c79,3266,74,3271,68,3271hal47,3271hdc41,3271,36,3266,36,3260c36,3254,41,3249,47,3249haxm111,3249l132,3249hdc138,3249,143,3254,143,3260c143,3266,138,3271,132,3271hal111,3271hdc105,3271,100,3266,100,3260c100,3254,105,3249,111,3249haxm175,3249l196,3249hdc202,3249,207,3254,207,3260c207,3266,202,3271,196,3271hal175,3271hdc169,3271,164,3266,164,3260c164,3254,169,3249,175,3249haxm239,3249l260,3249hdc266,3249,271,3254,271,3260c271,3266,266,3271,260,3271hal239,3271hdc233,3271,228,3266,228,3260c228,3254,233,3249,239,3249haxm303,3249l324,3249hdc330,3249,335,3254,335,3260c335,3266,330,3271,324,3271hal303,3271hdc297,3271,292,3266,292,3260c292,3254,297,3249,303,3249haxm367,3249l388,3249hdc394,3249,399,3254,399,3260c399,3266,394,3271,388,3271hal367,3271hdc361,3271,356,3266,356,3260c356,3254,361,3249,367,3249haxm431,3249l452,3249hdc458,3249,463,3254,463,3260c463,3266,458,3271,452,3271hal431,3271hdc425,3271,420,3266,420,3260c420,3254,425,3249,431,3249haxm495,3249l516,3249hdc522,3249,527,3254,527,3260c527,3266,522,3271,516,3271hal495,3271hdc489,3271,484,3266,484,3260c484,3254,489,3249,495,3249haxm559,3249l580,3249hdc586,3249,591,3254,591,3260c591,3266,586,3271,580,3271hal559,3271hdc553,3271,548,3266,548,3260c548,3254,553,3249,559,3249haxm623,3249l644,3249hdc650,3249,655,3254,655,3260c655,3266,650,3271,644,3271hal623,3271hdc617,3271,612,3266,612,3260c612,3254,617,3249,623,3249haxm687,3249l708,3249hdc714,3249,719,3254,719,3260c719,3266,714,3271,708,3271hal687,3271hdc681,3271,676,3266,676,3260c676,3254,681,3249,687,3249haxm751,3249l772,3249hdc778,3249,783,3254,783,3260c783,3266,778,3271,772,3271hal751,3271hdc745,3271,740,3266,740,3260c740,3254,745,3249,751,3249haxm815,3249l836,3249hdc842,3249,847,3254,847,3260c847,3266,842,3271,836,3271hal815,3271hdc809,3271,804,3266,804,3260c804,3254,809,3249,815,3249haxm879,3249l900,3249hdc906,3249,911,3254,911,3260c911,3266,906,3271,900,3271hal879,3271hdc873,3271,868,3266,868,3260c868,3254,873,3249,879,3249haxm943,3249l964,3249hdc970,3249,975,3254,975,3260c975,3266,970,3271,964,3271hal943,3271hdc937,3271,932,3266,932,3260c932,3254,937,3249,943,3249haxm1007,3249l1028,3249hdc1034,3249,1039,3254,1039,3260c1039,3266,1034,3271,1028,3271hal1007,3271hdc1001,3271,996,3266,996,3260c996,3254,1001,3249,1007,3249haxm1071,3249l1092,3249hdc1098,3249,1103,3254,1103,3260c1103,3266,1098,3271,1092,3271hal1071,3271hdc1065,3271,1060,3266,1060,3260c1060,3254,1065,3249,1071,3249haxm1135,3249l1156,3249hdc1162,3249,1167,3254,1167,3260c1167,3266,1162,3271,1156,3271hal1135,3271hdc1129,3271,1124,3266,1124,3260c1124,3254,1129,3249,1135,3249haxm1199,3249l1220,3249hdc1226,3249,1231,3254,1231,3260c1231,3266,1226,3271,1220,3271hal1199,3271hdc1193,3271,1188,3266,1188,3260c1188,3254,1193,3249,1199,3249haxm1263,3249l1284,3249hdc1290,3249,1295,3254,1295,3260c1295,3266,1290,3271,1284,3271hal1263,3271hdc1257,3271,1252,3266,1252,3260c1252,3254,1257,3249,1263,3249haxm1327,3249l1348,3249hdc1354,3249,1359,3254,1359,3260c1359,3266,1354,3271,1348,3271hal1327,3271hdc1321,3271,1316,3266,1316,3260c1316,3254,1321,3249,1327,3249haxm1391,3249l1412,3249hdc1418,3249,1423,3254,1423,3260c1423,3266,1418,3271,1412,3271hal1391,3271hdc1385,3271,1380,3266,1380,3260c1380,3254,1385,3249,1391,3249haxm1455,3249l1476,3249hdc1482,3249,1487,3254,1487,3260c1487,3266,1482,3271,1476,3271hal1455,3271hdc1449,3271,1444,3266,1444,3260c1444,3254,1449,3249,1455,3249haxm1519,3249l1540,3249hdc1546,3249,1551,3254,1551,3260c1551,3266,1546,3271,1540,3271hal1519,3271hdc1513,3271,1508,3266,1508,3260c1508,3254,1513,3249,1519,3249haxm1583,3249l1604,3249hdc1610,3249,1615,3254,1615,3260c1615,3266,1610,3271,1604,3271hal1583,3271hdc1577,3271,1572,3266,1572,3260c1572,3254,1577,3249,1583,3249haxm1647,3249l1668,3249hdc1674,3249,1679,3254,1679,3260c1679,3266,1674,3271,1668,3271hal1647,3271hdc1641,3271,1636,3266,1636,3260c1636,3254,1641,3249,1647,3249haxm1711,3249l1732,3249hdc1738,3249,1743,3254,1743,3260c1743,3266,1738,3271,1732,3271hal1711,3271hdc1705,3271,1700,3266,1700,3260c1700,3254,1705,3249,1711,3249haxm1775,3249l1796,3249hdc1802,3249,1807,3254,1807,3260c1807,3266,1802,3271,1796,3271hal1775,3271hdc1769,3271,1764,3266,1764,3260c1764,3254,1769,3249,1775,3249haxm1839,3249l1860,3249hdc1866,3249,1871,3254,1871,3260c1871,3266,1866,3271,1860,3271hal1839,3271hdc1833,3271,1828,3266,1828,3260c1828,3254,1833,3249,1839,3249haxm1903,3249l1924,3249hdc1930,3249,1935,3254,1935,3260c1935,3266,1930,3271,1924,3271hal1903,3271hdc1897,3271,1892,3266,1892,3260c1892,3254,1897,3249,1903,3249haxm1967,3249l1988,3249hdc1994,3249,1999,3254,1999,3260c1999,3266,1994,3271,1988,3271hal1967,3271hdc1961,3271,1956,3266,1956,3260c1956,3254,1961,3249,1967,3249haxm2031,3249l2052,3249hdc2058,3249,2063,3254,2063,3260c2063,3266,2058,3271,2052,3271hal2031,3271hdc2025,3271,2020,3266,2020,3260c2020,3254,2025,3249,2031,3249haxm2057,3233l2057,3212hdc2057,3206,2062,3201,2068,3201c2074,3201,2079,3206,2079,3212hal2079,3233hdc2079,3239,2074,3244,2068,3244c2062,3244,2057,3239,2057,3233haxm2057,3169l2057,3148hdc2057,3142,2062,3137,2068,3137c2074,3137,2079,3142,2079,3148hal2079,3169hdc2079,3175,2074,3180,2068,3180c2062,3180,2057,3175,2057,3169haxm2057,3105l2057,3084hdc2057,3078,2062,3073,2068,3073c2074,3073,2079,3078,2079,3084hal2079,3105hdc2079,3111,2074,3116,2068,3116c2062,3116,2057,3111,2057,3105haxm2057,3041l2057,3020hdc2057,3014,2062,3009,2068,3009c2074,3009,2079,3014,2079,3020hal2079,3041hdc2079,3047,2074,3052,2068,3052c2062,3052,2057,3047,2057,3041haxm2057,2977l2057,2956hdc2057,2950,2062,2945,2068,2945c2074,2945,2079,2950,2079,2956hal2079,2977hdc2079,2983,2074,2988,2068,2988c2062,2988,2057,2983,2057,2977haxm2057,2913l2057,2892hdc2057,2886,2062,2881,2068,2881c2074,2881,2079,2886,2079,2892hal2079,2913hdc2079,2919,2074,2924,2068,2924c2062,2924,2057,2919,2057,2913haxm2057,2849l2057,2828hdc2057,2822,2062,2817,2068,2817c2074,2817,2079,2822,2079,2828hal2079,2849hdc2079,2855,2074,2860,2068,2860c2062,2860,2057,2855,2057,2849haxm2057,2785l2057,2764hdc2057,2758,2062,2753,2068,2753c2074,2753,2079,2758,2079,2764hal2079,2785hdc2079,2791,2074,2796,2068,2796c2062,2796,2057,2791,2057,2785haxm2057,2721l2057,2700hdc2057,2694,2062,2689,2068,2689c2074,2689,2079,2694,2079,2700hal2079,2721hdc2079,2727,2074,2732,2068,2732c2062,2732,2057,2727,2057,2721haxm2057,2657l2057,2636hdc2057,2630,2062,2625,2068,2625c2074,2625,2079,2630,2079,2636hal2079,2657hdc2079,2663,2074,2668,2068,2668c2062,2668,2057,2663,2057,2657haxm2057,2593l2057,2572hdc2057,2566,2062,2561,2068,2561c2074,2561,2079,2566,2079,2572hal2079,2593hdc2079,2599,2074,2604,2068,2604c2062,2604,2057,2599,2057,2593haxm2057,2529l2057,2508hdc2057,2502,2062,2497,2068,2497c2074,2497,2079,2502,2079,2508hal2079,2529hdc2079,2535,2074,2540,2068,2540c2062,2540,2057,2535,2057,2529haxm2057,2465l2057,2444hdc2057,2438,2062,2433,2068,2433c2074,2433,2079,2438,2079,2444hal2079,2465hdc2079,2471,2074,2476,2068,2476c2062,2476,2057,2471,2057,2465haxm2057,2401l2057,2380hdc2057,2374,2062,2369,2068,2369c2074,2369,2079,2374,2079,2380hal2079,2401hdc2079,2407,2074,2412,2068,2412c2062,2412,2057,2407,2057,2401haxm2057,2337l2057,2316hdc2057,2310,2062,2305,2068,2305c2074,2305,2079,2310,2079,2316hal2079,2337hdc2079,2343,2074,2348,2068,2348c2062,2348,2057,2343,2057,2337haxm2057,2273l2057,2252hdc2057,2246,2062,2241,2068,2241c2074,2241,2079,2246,2079,2252hal2079,2273hdc2079,2279,2074,2284,2068,2284c2062,2284,2057,2279,2057,2273haxm2057,2209l2057,2188hdc2057,2182,2062,2177,2068,2177c2074,2177,2079,2182,2079,2188hal2079,2209hdc2079,2215,2074,2220,2068,2220c2062,2220,2057,2215,2057,2209haxm2057,2145l2057,2124hdc2057,2118,2062,2113,2068,2113c2074,2113,2079,2118,2079,2124hal2079,2145hdc2079,2151,2074,2156,2068,2156c2062,2156,2057,2151,2057,2145haxm2057,2081l2057,2060hdc2057,2054,2062,2049,2068,2049c2074,2049,2079,2054,2079,2060hal2079,2081hdc2079,2087,2074,2092,2068,2092c2062,2092,2057,2087,2057,2081haxm2057,2017l2057,1996hdc2057,1990,2062,1985,2068,1985c2074,1985,2079,1990,2079,1996hal2079,2017hdc2079,2023,2074,2028,2068,2028c2062,2028,2057,2023,2057,2017haxm2057,1953l2057,1932hdc2057,1926,2062,1921,2068,1921c2074,1921,2079,1926,2079,1932hal2079,1953hdc2079,1959,2074,1964,2068,1964c2062,1964,2057,1959,2057,1953haxm2057,1889l2057,1868hdc2057,1862,2062,1857,2068,1857c2074,1857,2079,1862,2079,1868hal2079,1889hdc2079,1895,2074,1900,2068,1900c2062,1900,2057,1895,2057,1889haxm2057,1825l2057,1804hdc2057,1798,2062,1793,2068,1793c2074,1793,2079,1798,2079,1804hal2079,1825hdc2079,1831,2074,1836,2068,1836c2062,1836,2057,1831,2057,1825haxm2057,1761l2057,1740hdc2057,1734,2062,1729,2068,1729c2074,1729,2079,1734,2079,1740hal2079,1761hdc2079,1767,2074,1772,2068,1772c2062,1772,2057,1767,2057,1761haxm2057,1697l2057,1676hdc2057,1670,2062,1665,2068,1665c2074,1665,2079,1670,2079,1676hal2079,1697hdc2079,1703,2074,1708,2068,1708c2062,1708,2057,1703,2057,1697haxm2057,1633l2057,1612hdc2057,1606,2062,1601,2068,1601c2074,1601,2079,1606,2079,1612hal2079,1633hdc2079,1639,2074,1644,2068,1644c2062,1644,2057,1639,2057,1633haxm2057,1569l2057,1548hdc2057,1542,2062,1537,2068,1537c2074,1537,2079,1542,2079,1548hal2079,1569hdc2079,1575,2074,1580,2068,1580c2062,1580,2057,1575,2057,1569haxm2057,1505l2057,1484hdc2057,1478,2062,1473,2068,1473c2074,1473,2079,1478,2079,1484hal2079,1505hdc2079,1511,2074,1516,2068,1516c2062,1516,2057,1511,2057,1505haxm2057,1441l2057,1420hdc2057,1414,2062,1409,2068,1409c2074,1409,2079,1414,2079,1420hal2079,1441hdc2079,1447,2074,1452,2068,1452c2062,1452,2057,1447,2057,1441haxm2057,1377l2057,1356hdc2057,1350,2062,1345,2068,1345c2074,1345,2079,1350,2079,1356hal2079,1377hdc2079,1383,2074,1388,2068,1388c2062,1388,2057,1383,2057,1377haxm2057,1313l2057,1292hdc2057,1286,2062,1281,2068,1281c2074,1281,2079,1286,2079,1292hal2079,1313hdc2079,1319,2074,1324,2068,1324c2062,1324,2057,1319,2057,1313haxm2057,1249l2057,1228hdc2057,1222,2062,1217,2068,1217c2074,1217,2079,1222,2079,1228hal2079,1249hdc2079,1255,2074,1260,2068,1260c2062,1260,2057,1255,2057,1249haxm2057,1185l2057,1164hdc2057,1158,2062,1153,2068,1153c2074,1153,2079,1158,2079,1164hal2079,1185hdc2079,1191,2074,1196,2068,1196c2062,1196,2057,1191,2057,1185haxm2057,1121l2057,1100hdc2057,1094,2062,1089,2068,1089c2074,1089,2079,1094,2079,1100hal2079,1121hdc2079,1127,2074,1132,2068,1132c2062,1132,2057,1127,2057,1121haxm2057,1057l2057,1036hdc2057,1030,2062,1025,2068,1025c2074,1025,2079,1030,2079,1036hal2079,1057hdc2079,1063,2074,1068,2068,1068c2062,1068,2057,1063,2057,1057haxm2057,993l2057,972hdc2057,966,2062,961,2068,961c2074,961,2079,966,2079,972hal2079,993hdc2079,999,2074,1004,2068,1004c2062,1004,2057,999,2057,993haxm2057,929l2057,908hdc2057,902,2062,897,2068,897c2074,897,2079,902,2079,908hal2079,929hdc2079,935,2074,940,2068,940c2062,940,2057,935,2057,929haxm2057,865l2057,844hdc2057,838,2062,833,2068,833c2074,833,2079,838,2079,844hal2079,865hdc2079,871,2074,876,2068,876c2062,876,2057,871,2057,865haxm2057,801l2057,780hdc2057,774,2062,769,2068,769c2074,769,2079,774,2079,780hal2079,801hdc2079,807,2074,812,2068,812c2062,812,2057,807,2057,801haxm2057,737l2057,716hdc2057,710,2062,705,2068,705c2074,705,2079,710,2079,716hal2079,737hdc2079,743,2074,748,2068,748c2062,748,2057,743,2057,737haxm2057,673l2057,652hdc2057,646,2062,641,2068,641c2074,641,2079,646,2079,652hal2079,673hdc2079,679,2074,684,2068,684c2062,684,2057,679,2057,673haxm2057,609l2057,588hdc2057,582,2062,577,2068,577c2074,577,2079,582,2079,588hal2079,609hdc2079,615,2074,620,2068,620c2062,620,2057,615,2057,609haxm2057,545l2057,524hdc2057,518,2062,513,2068,513c2074,513,2079,518,2079,524hal2079,545hdc2079,551,2074,556,2068,556c2062,556,2057,551,2057,545haxm2057,481l2057,460hdc2057,454,2062,449,2068,449c2074,449,2079,454,2079,460hal2079,481hdc2079,487,2074,492,2068,492c2062,492,2057,487,2057,481haxm2057,417l2057,396hdc2057,390,2062,385,2068,385c2074,385,2079,390,2079,396hal2079,417hdc2079,423,2074,428,2068,428c2062,428,2057,423,2057,417haxm2057,353l2057,332hdc2057,326,2062,321,2068,321c2074,321,2079,326,2079,332hal2079,353hdc2079,359,2074,364,2068,364c2062,364,2057,359,2057,353haxm2057,289l2057,268hdc2057,262,2062,257,2068,257c2074,257,2079,262,2079,268hal2079,289hdc2079,295,2074,300,2068,300c2062,300,2057,295,2057,289haxm2057,225l2057,204hdc2057,198,2062,193,2068,193c2074,193,2079,198,2079,204hal2079,225hdc2079,231,2074,236,2068,236c2062,236,2057,231,2057,225haxm2057,161l2057,140hdc2057,134,2062,129,2068,129c2074,129,2079,134,2079,140hal2079,161hdc2079,167,2074,172,2068,172c2062,172,2057,167,2057,161haxm2057,97l2057,76hdc2057,70,2062,65,2068,65c2074,65,2079,70,2079,76hal2079,97hdc2079,103,2074,108,2068,108c2062,108,2057,103,2057,97haxm2057,33l2057,12hdc2057,6,2062,1,2068,1c2074,1,2079,6,2079,12hal2079,33hdc2079,39,2074,44,2068,44c2062,44,2057,39,2057,33haxm2027,21l2006,21hdc2000,21,1995,16,1995,10c1995,5,2000,0,2006,0hal2027,0hdc2033,0,2038,5,2038,10c2038,16,2033,21,2027,21haxm1963,21l1942,21hdc1936,21,1931,16,1931,10c1931,5,1936,0,1942,0hal1963,0hdc1969,0,1974,5,1974,10c1974,16,1969,21,1963,21haxm1899,21l1878,21hdc1872,21,1867,16,1867,10c1867,5,1872,0,1878,0hal1899,0hdc1905,0,1910,5,1910,10c1910,16,1905,21,1899,21haxm1835,21l1814,21hdc1808,21,1803,16,1803,10c1803,5,1808,0,1814,0hal1835,0hdc1841,0,1846,5,1846,10c1846,16,1841,21,1835,21haxm1771,21l1750,21hdc1744,21,1739,16,1739,10c1739,5,1744,0,1750,0hal1771,0hdc1777,0,1782,5,1782,10c1782,16,1777,21,1771,21haxm1707,21l1686,21hdc1680,21,1675,16,1675,10c1675,5,1680,0,1686,0hal1707,0hdc1713,0,1718,5,1718,10c1718,16,1713,21,1707,21haxm1643,21l1622,21hdc1616,21,1611,16,1611,10c1611,5,1616,0,1622,0hal1643,0hdc1649,0,1654,5,1654,10c1654,16,1649,21,1643,21haxm1579,21l1558,21hdc1552,21,1547,16,1547,10c1547,5,1552,0,1558,0hal1579,0hdc1585,0,1590,5,1590,10c1590,16,1585,21,1579,21haxm1515,21l1494,21hdc1488,21,1483,16,1483,10c1483,5,1488,0,1494,0hal1515,0hdc1521,0,1526,5,1526,10c1526,16,1521,21,1515,21haxm1451,21l1430,21hdc1424,21,1419,16,1419,10c1419,5,1424,0,1430,0hal1451,0hdc1457,0,1462,5,1462,10c1462,16,1457,21,1451,21haxm1387,21l1366,21hdc1360,21,1355,16,1355,10c1355,5,1360,0,1366,0hal1387,0hdc1393,0,1398,5,1398,10c1398,16,1393,21,1387,21haxm1323,21l1302,21hdc1296,21,1291,16,1291,10c1291,5,1296,0,1302,0hal1323,0hdc1329,0,1334,5,1334,10c1334,16,1329,21,1323,21haxm1259,21l1238,21hdc1232,21,1227,16,1227,10c1227,5,1232,0,1238,0hal1259,0hdc1265,0,1270,5,1270,10c1270,16,1265,21,1259,21haxm1195,21l1174,21hdc1168,21,1163,16,1163,10c1163,5,1168,0,1174,0hal1195,0hdc1201,0,1206,5,1206,10c1206,16,1201,21,1195,21haxm1131,21l1110,21hdc1104,21,1099,16,1099,10c1099,5,1104,0,1110,0hal1131,0hdc1137,0,1142,5,1142,10c1142,16,1137,21,1131,21haxm1067,21l1046,21hdc1040,21,1035,16,1035,10c1035,5,1040,0,1046,0hal1067,0hdc1073,0,1078,5,1078,10c1078,16,1073,21,1067,21haxm1003,21l982,21hdc976,21,971,16,971,10c971,5,976,0,982,0hal1003,0hdc1009,0,1014,5,1014,10c1014,16,1009,21,1003,21haxm939,21l918,21hdc912,21,907,16,907,10c907,5,912,0,918,0hal939,0hdc945,0,950,5,950,10c950,16,945,21,939,21haxm875,21l854,21hdc848,21,843,16,843,10c843,5,848,0,854,0hal875,0hdc881,0,886,5,886,10c886,16,881,21,875,21haxm811,21l790,21hdc784,21,779,16,779,10c779,5,784,0,790,0hal811,0hdc817,0,822,5,822,10c822,16,817,21,811,21haxm747,21l726,21hdc720,21,715,16,715,10c715,5,720,0,726,0hal747,0hdc753,0,758,5,758,10c758,16,753,21,747,21haxm683,21l662,21hdc656,21,651,16,651,10c651,5,656,0,662,0hal683,0hdc689,0,694,5,694,10c694,16,689,21,683,21haxm619,21l598,21hdc592,21,587,16,587,10c587,5,592,0,598,0hal619,0hdc625,0,630,5,630,10c630,16,625,21,619,21haxm555,21l534,21hdc528,21,523,16,523,10c523,5,528,0,534,0hal555,0hdc561,0,566,5,566,10c566,16,561,21,555,21haxm491,21l470,21hdc464,21,459,16,459,10c459,5,464,0,470,0hal491,0hdc497,0,502,5,502,10c502,16,497,21,491,21haxm427,21l406,21hdc400,21,395,16,395,10c395,5,400,0,406,0hal427,0hdc433,0,438,5,438,10c438,16,433,21,427,21haxm363,21l342,21hdc336,21,331,16,331,10c331,5,336,0,342,0hal363,0hdc369,0,374,5,374,10c374,16,369,21,363,21haxm299,21l278,21hdc272,21,267,16,267,10c267,5,272,0,278,0hal299,0hdc305,0,310,5,310,10c310,16,305,21,299,21haxm235,21l214,21hdc208,21,203,16,203,10c203,5,208,0,214,0hal235,0hdc241,0,246,5,246,10c246,16,241,21,235,21haxm171,21l150,21hdc144,21,139,16,139,10c139,5,144,0,150,0hal171,0hdc177,0,182,5,182,10c182,16,177,21,171,21haxm107,21l86,21hdc80,21,75,16,75,10c75,5,80,0,86,0hal107,0hdc113,0,118,5,118,10c118,16,113,21,107,21haxm43,21l22,21hdc16,21,11,16,11,10c11,5,16,0,22,0hal43,0hdc49,0,54,5,54,10c54,16,49,21,43,21haxe">
              <v:path arrowok="t" o:connecttype="segments"/>
              <v:fill on="t" focussize="0,0"/>
              <v:stroke weight="0.05pt" color="#EA700D" joinstyle="round"/>
              <v:imagedata o:title=""/>
              <o:lock v:ext="edit"/>
            </v:shape>
            <v:rect id="_x0000_s1348" o:spid="_x0000_s1348" o:spt="1" style="position:absolute;left:4683;top:1521;height:233;width:1446;mso-wrap-style:none;" filled="f" stroked="f" coordsize="21600,21600">
              <v:path/>
              <v:fill on="f" focussize="0,0"/>
              <v:stroke on="f"/>
              <v:imagedata o:title=""/>
              <o:lock v:ext="edit"/>
              <v:textbox inset="0mm,0mm,0mm,0mm" style="mso-fit-shape-to-text:t;">
                <w:txbxContent>
                  <w:p>
                    <w:pPr>
                      <w:ind w:firstLine="361"/>
                    </w:pPr>
                    <w:r>
                      <w:rPr>
                        <w:rFonts w:hint="eastAsia" w:ascii="宋体" w:cs="宋体"/>
                        <w:b/>
                        <w:bCs/>
                        <w:color w:val="000000"/>
                        <w:sz w:val="18"/>
                        <w:szCs w:val="18"/>
                      </w:rPr>
                      <w:t>重点区域安保</w:t>
                    </w:r>
                  </w:p>
                </w:txbxContent>
              </v:textbox>
            </v:rect>
            <v:rect id="_x0000_s1349" o:spid="_x0000_s1349" o:spt="1" style="position:absolute;left:5039;top:1731;height:233;width:723;mso-wrap-style:none;" filled="f" stroked="f" coordsize="21600,21600">
              <v:path/>
              <v:fill on="f" focussize="0,0"/>
              <v:stroke on="f"/>
              <v:imagedata o:title=""/>
              <o:lock v:ext="edit"/>
              <v:textbox inset="0mm,0mm,0mm,0mm" style="mso-fit-shape-to-text:t;">
                <w:txbxContent>
                  <w:p>
                    <w:pPr>
                      <w:ind w:firstLine="361"/>
                    </w:pPr>
                    <w:r>
                      <w:rPr>
                        <w:rFonts w:hint="eastAsia" w:ascii="宋体" w:cs="宋体"/>
                        <w:b/>
                        <w:bCs/>
                        <w:color w:val="000000"/>
                        <w:sz w:val="18"/>
                        <w:szCs w:val="18"/>
                      </w:rPr>
                      <w:t>应用</w:t>
                    </w:r>
                  </w:p>
                </w:txbxContent>
              </v:textbox>
            </v:rect>
            <w10:wrap type="none"/>
            <w10:anchorlock/>
          </v:group>
        </w:pict>
      </w:r>
    </w:p>
    <w:p>
      <w:pPr>
        <w:snapToGrid w:val="0"/>
        <w:jc w:val="center"/>
        <w:rPr>
          <w:rFonts w:ascii="仿宋_GB2312" w:hAnsi="宋体"/>
          <w:color w:val="000000" w:themeColor="text1"/>
        </w:rPr>
      </w:pPr>
      <w:r>
        <w:rPr>
          <w:rFonts w:hint="eastAsia" w:ascii="仿宋_GB2312" w:hAnsi="宋体"/>
          <w:color w:val="000000" w:themeColor="text1"/>
        </w:rPr>
        <w:t>视频综合应用总体架构图</w:t>
      </w:r>
    </w:p>
    <w:p>
      <w:pPr>
        <w:ind w:firstLine="480"/>
        <w:rPr>
          <w:color w:val="000000" w:themeColor="text1"/>
        </w:rPr>
      </w:pPr>
      <w:r>
        <w:rPr>
          <w:rFonts w:hint="eastAsia"/>
          <w:color w:val="000000" w:themeColor="text1"/>
        </w:rPr>
        <w:t>公安视频专网实战应用是以公安视频专网为基础，并通过GA/T1400协议中定义的数据服务接口，从数据仓库（公安视频专网）中获取海量的人员、车辆、物品等相关数据作为数据支撑来源，以视频特征分析、视频检索功能、大数据技术、物联网、AR视频感知等技术为核心，整合各实战子系统资源，实现查询、预警、布控、统计以及重点区域安保等应用。</w:t>
      </w:r>
    </w:p>
    <w:p>
      <w:pPr>
        <w:pStyle w:val="5"/>
        <w:spacing w:before="120" w:after="120"/>
        <w:ind w:firstLine="480"/>
        <w:rPr>
          <w:color w:val="000000" w:themeColor="text1"/>
        </w:rPr>
      </w:pPr>
      <w:r>
        <w:rPr>
          <w:color w:val="000000" w:themeColor="text1"/>
        </w:rPr>
        <w:t>1.1</w:t>
      </w:r>
      <w:r>
        <w:rPr>
          <w:rFonts w:hint="eastAsia"/>
          <w:color w:val="000000" w:themeColor="text1"/>
        </w:rPr>
        <w:t>解析中心</w:t>
      </w:r>
    </w:p>
    <w:p>
      <w:pPr>
        <w:pStyle w:val="6"/>
        <w:spacing w:before="120" w:after="120"/>
        <w:ind w:firstLine="480"/>
        <w:rPr>
          <w:color w:val="000000" w:themeColor="text1"/>
        </w:rPr>
      </w:pPr>
      <w:r>
        <w:rPr>
          <w:color w:val="000000" w:themeColor="text1"/>
        </w:rPr>
        <w:t>1.1.1</w:t>
      </w:r>
      <w:r>
        <w:rPr>
          <w:rFonts w:hint="eastAsia"/>
          <w:color w:val="000000" w:themeColor="text1"/>
        </w:rPr>
        <w:t>总体目标</w:t>
      </w:r>
    </w:p>
    <w:p>
      <w:pPr>
        <w:ind w:firstLine="480"/>
        <w:rPr>
          <w:color w:val="000000" w:themeColor="text1"/>
        </w:rPr>
      </w:pPr>
      <w:r>
        <w:rPr>
          <w:rFonts w:hint="eastAsia"/>
          <w:color w:val="000000" w:themeColor="text1"/>
        </w:rPr>
        <w:t>本项目建设全市统一的解析中心，实现全市统一的车辆二次分析、人像解析、视频萃取，各县（市、区）按需使用。解析中心将不同的解析任务下发到相应的服务器集群进行智能解析，将解析后的视频、图像、结构化信息等输出到相关应用系统。本次部署的系统处理能力能够支撑750路视频萃取、5454路人像解析（200路视频流）、4200万张日过车图片的车辆二次分析，投标时必须明确算法名称，且只能提供一个方案。</w:t>
      </w:r>
    </w:p>
    <w:p>
      <w:pPr>
        <w:pStyle w:val="6"/>
        <w:spacing w:before="120" w:after="120"/>
        <w:ind w:firstLine="480"/>
        <w:rPr>
          <w:color w:val="000000" w:themeColor="text1"/>
        </w:rPr>
      </w:pPr>
      <w:bookmarkStart w:id="395" w:name="_Toc521004105"/>
      <w:bookmarkStart w:id="396" w:name="_Toc521004103"/>
      <w:r>
        <w:rPr>
          <w:color w:val="000000" w:themeColor="text1"/>
        </w:rPr>
        <w:t>1.1.2</w:t>
      </w:r>
      <w:r>
        <w:rPr>
          <w:rFonts w:hint="eastAsia"/>
          <w:color w:val="000000" w:themeColor="text1"/>
        </w:rPr>
        <w:t>车辆</w:t>
      </w:r>
      <w:bookmarkEnd w:id="395"/>
      <w:r>
        <w:rPr>
          <w:rFonts w:hint="eastAsia"/>
          <w:color w:val="000000" w:themeColor="text1"/>
        </w:rPr>
        <w:t>二次分析</w:t>
      </w:r>
    </w:p>
    <w:p>
      <w:pPr>
        <w:snapToGrid w:val="0"/>
        <w:ind w:firstLine="480"/>
        <w:rPr>
          <w:rFonts w:ascii="宋体" w:hAnsi="宋体"/>
          <w:color w:val="000000" w:themeColor="text1"/>
        </w:rPr>
      </w:pPr>
      <w:r>
        <w:rPr>
          <w:rFonts w:hint="eastAsia" w:ascii="宋体" w:hAnsi="宋体"/>
          <w:color w:val="000000" w:themeColor="text1"/>
        </w:rPr>
        <w:t>车辆二次分析是解析中心的一部分，负责将车辆相关的非结构化视图数据解析成可供计算机识别的车辆结构化数据，为车辆应用平台提供视频图像数据解析支撑，本次部署为不少于4200万张日过车量的解析能力</w:t>
      </w:r>
    </w:p>
    <w:p>
      <w:pPr>
        <w:pStyle w:val="7"/>
        <w:spacing w:before="120" w:after="120"/>
        <w:ind w:firstLine="480"/>
        <w:rPr>
          <w:color w:val="000000" w:themeColor="text1"/>
        </w:rPr>
      </w:pPr>
      <w:bookmarkStart w:id="397" w:name="_Toc521004106"/>
      <w:r>
        <w:rPr>
          <w:color w:val="000000" w:themeColor="text1"/>
        </w:rPr>
        <w:t>1.1.2.1</w:t>
      </w:r>
      <w:r>
        <w:rPr>
          <w:rFonts w:hint="eastAsia"/>
          <w:color w:val="000000" w:themeColor="text1"/>
        </w:rPr>
        <w:t>数据处理流程</w:t>
      </w:r>
      <w:bookmarkEnd w:id="397"/>
    </w:p>
    <w:p>
      <w:pPr>
        <w:ind w:firstLine="480"/>
        <w:rPr>
          <w:color w:val="000000" w:themeColor="text1"/>
        </w:rPr>
      </w:pPr>
      <w:r>
        <w:rPr>
          <w:rFonts w:hint="eastAsia"/>
          <w:color w:val="000000" w:themeColor="text1"/>
        </w:rPr>
        <w:t>车辆解析数据处理流程示意图如下：</w:t>
      </w:r>
    </w:p>
    <w:p>
      <w:pPr>
        <w:keepNext/>
        <w:jc w:val="center"/>
        <w:rPr>
          <w:color w:val="000000" w:themeColor="text1"/>
        </w:rPr>
      </w:pPr>
      <w:r>
        <w:rPr>
          <w:color w:val="000000" w:themeColor="text1"/>
        </w:rPr>
        <w:drawing>
          <wp:inline distT="0" distB="0" distL="0" distR="0">
            <wp:extent cx="5114925" cy="3295650"/>
            <wp:effectExtent l="19050" t="0" r="9525" b="0"/>
            <wp:docPr id="4" name="图片 8"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C:\Users\Administrator\Desktop\1.jpg"/>
                    <pic:cNvPicPr>
                      <a:picLocks noChangeAspect="1" noChangeArrowheads="1"/>
                    </pic:cNvPicPr>
                  </pic:nvPicPr>
                  <pic:blipFill>
                    <a:blip r:embed="rId72"/>
                    <a:srcRect/>
                    <a:stretch>
                      <a:fillRect/>
                    </a:stretch>
                  </pic:blipFill>
                  <pic:spPr>
                    <a:xfrm>
                      <a:off x="0" y="0"/>
                      <a:ext cx="5114925" cy="3295650"/>
                    </a:xfrm>
                    <a:prstGeom prst="rect">
                      <a:avLst/>
                    </a:prstGeom>
                    <a:noFill/>
                    <a:ln w="9525">
                      <a:noFill/>
                      <a:miter lim="800000"/>
                      <a:headEnd/>
                      <a:tailEnd/>
                    </a:ln>
                  </pic:spPr>
                </pic:pic>
              </a:graphicData>
            </a:graphic>
          </wp:inline>
        </w:drawing>
      </w:r>
    </w:p>
    <w:p>
      <w:pPr>
        <w:snapToGrid w:val="0"/>
        <w:jc w:val="center"/>
        <w:rPr>
          <w:rFonts w:ascii="仿宋_GB2312" w:hAnsi="宋体"/>
          <w:color w:val="000000" w:themeColor="text1"/>
        </w:rPr>
      </w:pPr>
      <w:r>
        <w:rPr>
          <w:rFonts w:hint="eastAsia" w:ascii="仿宋_GB2312" w:hAnsi="宋体"/>
          <w:color w:val="000000" w:themeColor="text1"/>
        </w:rPr>
        <w:t>车辆数据处理流程图</w:t>
      </w:r>
    </w:p>
    <w:p>
      <w:pPr>
        <w:ind w:firstLine="480"/>
        <w:rPr>
          <w:color w:val="000000" w:themeColor="text1"/>
        </w:rPr>
      </w:pPr>
      <w:r>
        <w:rPr>
          <w:rFonts w:hint="eastAsia"/>
          <w:color w:val="000000" w:themeColor="text1"/>
        </w:rPr>
        <w:t>（1）车辆卡口产生过车记录（包含时间戳、通道编号、设备ID、消息ID、抓拍时间、抓拍地点、车牌号、车辆类型等），产生场景图、车牌小图；</w:t>
      </w:r>
    </w:p>
    <w:p>
      <w:pPr>
        <w:ind w:firstLine="480"/>
        <w:rPr>
          <w:color w:val="000000" w:themeColor="text1"/>
        </w:rPr>
      </w:pPr>
      <w:r>
        <w:rPr>
          <w:rFonts w:hint="eastAsia"/>
          <w:color w:val="000000" w:themeColor="text1"/>
        </w:rPr>
        <w:t>（2）图片及过车记录上传存入图片存储，生成URL，支持不低于三种标准协议调用；</w:t>
      </w:r>
    </w:p>
    <w:p>
      <w:pPr>
        <w:ind w:firstLine="480"/>
        <w:rPr>
          <w:color w:val="000000" w:themeColor="text1"/>
        </w:rPr>
      </w:pPr>
      <w:r>
        <w:rPr>
          <w:rFonts w:hint="eastAsia"/>
          <w:color w:val="000000" w:themeColor="text1"/>
        </w:rPr>
        <w:t>（3）过车记录及URL通过消息服务存入数据仓库；</w:t>
      </w:r>
    </w:p>
    <w:p>
      <w:pPr>
        <w:ind w:firstLine="480"/>
        <w:rPr>
          <w:color w:val="000000" w:themeColor="text1"/>
        </w:rPr>
      </w:pPr>
      <w:r>
        <w:rPr>
          <w:rFonts w:hint="eastAsia"/>
          <w:color w:val="000000" w:themeColor="text1"/>
        </w:rPr>
        <w:t>（4）解析中心从数据仓库获取过车记录及URL，通过URL调取图片云存储中的场景图进行解析，生成结构化数据（车辆品牌、型号、年款、颜色、类别、异常行为、局部特征等）及特征码；</w:t>
      </w:r>
    </w:p>
    <w:p>
      <w:pPr>
        <w:ind w:firstLine="480"/>
        <w:rPr>
          <w:color w:val="000000" w:themeColor="text1"/>
        </w:rPr>
      </w:pPr>
      <w:r>
        <w:rPr>
          <w:rFonts w:hint="eastAsia"/>
          <w:color w:val="000000" w:themeColor="text1"/>
        </w:rPr>
        <w:t>（5）解析中心通过数据服务接口将结构化信息存入数据仓库，特征码在解析服务器缓存，可供上层应用做比对分析。</w:t>
      </w:r>
    </w:p>
    <w:p>
      <w:pPr>
        <w:pStyle w:val="7"/>
        <w:spacing w:before="120" w:after="120"/>
        <w:ind w:firstLine="480"/>
        <w:rPr>
          <w:color w:val="000000" w:themeColor="text1"/>
        </w:rPr>
      </w:pPr>
      <w:r>
        <w:rPr>
          <w:color w:val="000000" w:themeColor="text1"/>
        </w:rPr>
        <w:t>1.1.2.2</w:t>
      </w:r>
      <w:r>
        <w:rPr>
          <w:rFonts w:hint="eastAsia"/>
          <w:color w:val="000000" w:themeColor="text1"/>
        </w:rPr>
        <w:t>业务流程</w:t>
      </w:r>
    </w:p>
    <w:p>
      <w:pPr>
        <w:snapToGrid w:val="0"/>
        <w:ind w:firstLine="480"/>
        <w:rPr>
          <w:rFonts w:ascii="宋体" w:hAnsi="宋体"/>
          <w:color w:val="000000" w:themeColor="text1"/>
        </w:rPr>
      </w:pPr>
      <w:r>
        <w:rPr>
          <w:rFonts w:hint="eastAsia" w:ascii="宋体" w:hAnsi="宋体"/>
          <w:color w:val="000000" w:themeColor="text1"/>
        </w:rPr>
        <w:t>（1）查询：应用通过URL访问图片云存储中的图片，通过数据服务接口访问数据仓库中的结构化信息及过车记录；</w:t>
      </w:r>
    </w:p>
    <w:p>
      <w:pPr>
        <w:snapToGrid w:val="0"/>
        <w:ind w:firstLine="480"/>
        <w:rPr>
          <w:rFonts w:ascii="宋体" w:hAnsi="宋体"/>
          <w:color w:val="000000" w:themeColor="text1"/>
        </w:rPr>
      </w:pPr>
      <w:r>
        <w:rPr>
          <w:rFonts w:hint="eastAsia" w:ascii="宋体" w:hAnsi="宋体"/>
          <w:color w:val="000000" w:themeColor="text1"/>
        </w:rPr>
        <w:t>（2）布控告警：应用下发布控指令，若前端抓拍的过车记录（车牌信息）与布控名单比中，则返回告警信息给应用。</w:t>
      </w:r>
    </w:p>
    <w:p>
      <w:pPr>
        <w:pStyle w:val="7"/>
        <w:spacing w:before="120" w:after="120"/>
        <w:ind w:firstLine="480"/>
        <w:rPr>
          <w:color w:val="000000" w:themeColor="text1"/>
        </w:rPr>
      </w:pPr>
      <w:bookmarkStart w:id="398" w:name="_Toc521004107"/>
      <w:r>
        <w:rPr>
          <w:color w:val="000000" w:themeColor="text1"/>
        </w:rPr>
        <w:t>1.1.2.3</w:t>
      </w:r>
      <w:r>
        <w:rPr>
          <w:rFonts w:hint="eastAsia"/>
          <w:color w:val="000000" w:themeColor="text1"/>
        </w:rPr>
        <w:t>功能要求</w:t>
      </w:r>
      <w:bookmarkEnd w:id="398"/>
    </w:p>
    <w:p>
      <w:pPr>
        <w:ind w:firstLine="480"/>
        <w:rPr>
          <w:color w:val="000000" w:themeColor="text1"/>
        </w:rPr>
      </w:pPr>
      <w:r>
        <w:rPr>
          <w:rFonts w:hint="eastAsia"/>
          <w:color w:val="000000" w:themeColor="text1"/>
        </w:rPr>
        <w:t>车辆二次分析提取出视频图像中车辆的详细特征信息：</w:t>
      </w:r>
    </w:p>
    <w:p>
      <w:pPr>
        <w:ind w:firstLine="480"/>
        <w:rPr>
          <w:color w:val="000000" w:themeColor="text1"/>
        </w:rPr>
      </w:pPr>
      <w:r>
        <w:rPr>
          <w:rFonts w:hint="eastAsia"/>
          <w:color w:val="000000" w:themeColor="text1"/>
        </w:rPr>
        <w:t>（1）车辆目标识别</w:t>
      </w:r>
    </w:p>
    <w:p>
      <w:pPr>
        <w:ind w:firstLine="480"/>
        <w:rPr>
          <w:color w:val="000000" w:themeColor="text1"/>
        </w:rPr>
      </w:pPr>
      <w:r>
        <w:rPr>
          <w:rFonts w:hint="eastAsia"/>
          <w:color w:val="000000" w:themeColor="text1"/>
        </w:rPr>
        <w:t>可对一张图片中多个车辆目标进行识别，每个车辆目标的输出内容如下：</w:t>
      </w:r>
    </w:p>
    <w:p>
      <w:pPr>
        <w:rPr>
          <w:color w:val="000000" w:themeColor="text1"/>
        </w:rPr>
      </w:pPr>
      <w:r>
        <w:rPr>
          <w:rFonts w:hint="eastAsia"/>
          <w:color w:val="000000" w:themeColor="text1"/>
        </w:rPr>
        <w:t>图片类型（自动识别图片是车头图片还是车尾图片）。</w:t>
      </w:r>
    </w:p>
    <w:p>
      <w:pPr>
        <w:ind w:firstLine="480"/>
        <w:rPr>
          <w:color w:val="000000" w:themeColor="text1"/>
        </w:rPr>
      </w:pPr>
      <w:r>
        <w:rPr>
          <w:rFonts w:hint="eastAsia"/>
          <w:color w:val="000000" w:themeColor="text1"/>
        </w:rPr>
        <w:t>（2）车牌信息识别</w:t>
      </w:r>
    </w:p>
    <w:p>
      <w:pPr>
        <w:ind w:firstLine="480"/>
        <w:rPr>
          <w:color w:val="000000" w:themeColor="text1"/>
        </w:rPr>
      </w:pPr>
      <w:r>
        <w:rPr>
          <w:rFonts w:hint="eastAsia"/>
          <w:color w:val="000000" w:themeColor="text1"/>
        </w:rPr>
        <w:t>可对一张图片中宽度大于100个像素的车辆号牌进行识别，每个车辆目标的输出内容如下：</w:t>
      </w:r>
    </w:p>
    <w:p>
      <w:pPr>
        <w:ind w:firstLine="480"/>
        <w:rPr>
          <w:rFonts w:cs="宋体"/>
          <w:color w:val="000000" w:themeColor="text1"/>
        </w:rPr>
      </w:pPr>
      <w:r>
        <w:rPr>
          <w:rFonts w:hint="eastAsia" w:ascii="MS Mincho" w:hAnsi="MS Mincho" w:eastAsia="MS Mincho" w:cs="MS Mincho"/>
          <w:color w:val="000000" w:themeColor="text1"/>
        </w:rPr>
        <w:t>➣</w:t>
      </w:r>
      <w:r>
        <w:rPr>
          <w:rFonts w:hint="eastAsia"/>
          <w:color w:val="000000" w:themeColor="text1"/>
        </w:rPr>
        <w:t>车牌号码；</w:t>
      </w:r>
    </w:p>
    <w:p>
      <w:pPr>
        <w:ind w:firstLine="480"/>
        <w:rPr>
          <w:color w:val="000000" w:themeColor="text1"/>
        </w:rPr>
      </w:pPr>
      <w:r>
        <w:rPr>
          <w:rFonts w:hint="eastAsia" w:ascii="MS Mincho" w:hAnsi="MS Mincho" w:eastAsia="MS Mincho" w:cs="MS Mincho"/>
          <w:color w:val="000000" w:themeColor="text1"/>
        </w:rPr>
        <w:t>➣</w:t>
      </w:r>
      <w:r>
        <w:rPr>
          <w:rFonts w:hint="eastAsia"/>
          <w:color w:val="000000" w:themeColor="text1"/>
        </w:rPr>
        <w:t>号牌类别，包括大型汽车-挂车号牌、小型汽车号牌、教练车号牌、警用车号牌（限定“警”）等；</w:t>
      </w:r>
    </w:p>
    <w:p>
      <w:pPr>
        <w:ind w:firstLine="480"/>
        <w:rPr>
          <w:color w:val="000000" w:themeColor="text1"/>
        </w:rPr>
      </w:pPr>
      <w:r>
        <w:rPr>
          <w:rFonts w:hint="eastAsia" w:ascii="MS Mincho" w:hAnsi="MS Mincho" w:eastAsia="MS Mincho" w:cs="MS Mincho"/>
          <w:color w:val="000000" w:themeColor="text1"/>
        </w:rPr>
        <w:t>➣</w:t>
      </w:r>
      <w:r>
        <w:rPr>
          <w:rFonts w:hint="eastAsia"/>
          <w:color w:val="000000" w:themeColor="text1"/>
        </w:rPr>
        <w:t>号牌颜色，包括蓝、黄、绿、白、黑、新能源绿等。</w:t>
      </w:r>
    </w:p>
    <w:p>
      <w:pPr>
        <w:ind w:firstLine="480"/>
        <w:rPr>
          <w:color w:val="000000" w:themeColor="text1"/>
        </w:rPr>
      </w:pPr>
      <w:r>
        <w:rPr>
          <w:rFonts w:hint="eastAsia"/>
          <w:color w:val="000000" w:themeColor="text1"/>
        </w:rPr>
        <w:t>（3）车辆目标基本特征识别</w:t>
      </w:r>
    </w:p>
    <w:p>
      <w:pPr>
        <w:ind w:firstLine="480"/>
        <w:rPr>
          <w:color w:val="000000" w:themeColor="text1"/>
        </w:rPr>
      </w:pPr>
      <w:r>
        <w:rPr>
          <w:rFonts w:hint="eastAsia"/>
          <w:color w:val="000000" w:themeColor="text1"/>
        </w:rPr>
        <w:t>可对一张图片中大于（256×256）像素的车辆目标基本特征进行识别，每个车辆目标的输出内容如下：</w:t>
      </w:r>
    </w:p>
    <w:p>
      <w:pPr>
        <w:ind w:firstLine="480"/>
        <w:rPr>
          <w:color w:val="000000" w:themeColor="text1"/>
        </w:rPr>
      </w:pPr>
      <w:r>
        <w:rPr>
          <w:rFonts w:hint="eastAsia" w:ascii="MS Mincho" w:hAnsi="MS Mincho" w:eastAsia="MS Mincho" w:cs="MS Mincho"/>
          <w:color w:val="000000" w:themeColor="text1"/>
        </w:rPr>
        <w:t>➣</w:t>
      </w:r>
      <w:r>
        <w:rPr>
          <w:rFonts w:hint="eastAsia"/>
          <w:color w:val="000000" w:themeColor="text1"/>
        </w:rPr>
        <w:t>车身颜色，包括红、黄、绿、蓝、紫、粉、棕、银、金、白、灰及黑等颜色；</w:t>
      </w:r>
    </w:p>
    <w:p>
      <w:pPr>
        <w:ind w:firstLine="480"/>
        <w:rPr>
          <w:color w:val="000000" w:themeColor="text1"/>
        </w:rPr>
      </w:pPr>
      <w:r>
        <w:rPr>
          <w:rFonts w:hint="eastAsia" w:ascii="MS Mincho" w:hAnsi="MS Mincho" w:eastAsia="MS Mincho" w:cs="MS Mincho"/>
          <w:color w:val="000000" w:themeColor="text1"/>
        </w:rPr>
        <w:t>➣</w:t>
      </w:r>
      <w:r>
        <w:rPr>
          <w:rFonts w:hint="eastAsia"/>
          <w:color w:val="000000" w:themeColor="text1"/>
        </w:rPr>
        <w:t>车辆类别，包括轿车、越野车、商务车、面包车、皮卡车、小型货车、大型货车、小型客车、大型客车、非机动车；</w:t>
      </w:r>
    </w:p>
    <w:p>
      <w:pPr>
        <w:ind w:firstLine="480"/>
        <w:rPr>
          <w:color w:val="000000" w:themeColor="text1"/>
        </w:rPr>
      </w:pPr>
      <w:r>
        <w:rPr>
          <w:rFonts w:hint="eastAsia" w:ascii="MS Mincho" w:hAnsi="MS Mincho" w:eastAsia="MS Mincho" w:cs="MS Mincho"/>
          <w:color w:val="000000" w:themeColor="text1"/>
        </w:rPr>
        <w:t>➣</w:t>
      </w:r>
      <w:r>
        <w:rPr>
          <w:rFonts w:hint="eastAsia"/>
          <w:color w:val="000000" w:themeColor="text1"/>
        </w:rPr>
        <w:t>车型，精确识别出车辆品牌（如大众）、车辆款型（如帕萨特）、车辆年款（如2016款）。能够通过车头图片或车尾图片识别200种品牌，不低于3000种的具体车型（即精确识别到品牌、型号、年款）。</w:t>
      </w:r>
    </w:p>
    <w:p>
      <w:pPr>
        <w:ind w:firstLine="480"/>
        <w:rPr>
          <w:color w:val="000000" w:themeColor="text1"/>
        </w:rPr>
      </w:pPr>
      <w:r>
        <w:rPr>
          <w:rFonts w:hint="eastAsia"/>
          <w:color w:val="000000" w:themeColor="text1"/>
        </w:rPr>
        <w:t>（4）车辆目标个体特征识别</w:t>
      </w:r>
    </w:p>
    <w:p>
      <w:pPr>
        <w:ind w:firstLine="480"/>
        <w:rPr>
          <w:color w:val="000000" w:themeColor="text1"/>
        </w:rPr>
      </w:pPr>
      <w:r>
        <w:rPr>
          <w:rFonts w:hint="eastAsia"/>
          <w:color w:val="000000" w:themeColor="text1"/>
        </w:rPr>
        <w:t>可对一张图片中大于（256×256）像素的车辆目标个体特征进行识别，每个车辆目标的输出内容如下：对车辆是否有摆件、挂件、纸巾盒、年检标等物品进行识别；</w:t>
      </w:r>
    </w:p>
    <w:p>
      <w:pPr>
        <w:ind w:firstLine="480"/>
        <w:rPr>
          <w:color w:val="000000" w:themeColor="text1"/>
        </w:rPr>
      </w:pPr>
      <w:r>
        <w:rPr>
          <w:rFonts w:hint="eastAsia"/>
          <w:color w:val="000000" w:themeColor="text1"/>
        </w:rPr>
        <w:t>（5）驾驶人员特征识别</w:t>
      </w:r>
    </w:p>
    <w:p>
      <w:pPr>
        <w:ind w:firstLine="480"/>
        <w:rPr>
          <w:color w:val="000000" w:themeColor="text1"/>
        </w:rPr>
      </w:pPr>
      <w:r>
        <w:rPr>
          <w:rFonts w:hint="eastAsia"/>
          <w:color w:val="000000" w:themeColor="text1"/>
        </w:rPr>
        <w:t>可对一张图片（车头图片）中大于（256×256）像素的车辆目标中驾驶人员特征进行识别，每个车辆目标的输出内容如下：</w:t>
      </w:r>
    </w:p>
    <w:p>
      <w:pPr>
        <w:ind w:firstLine="480"/>
        <w:rPr>
          <w:color w:val="000000" w:themeColor="text1"/>
        </w:rPr>
      </w:pPr>
      <w:r>
        <w:rPr>
          <w:rFonts w:hint="eastAsia" w:ascii="MS Mincho" w:hAnsi="MS Mincho" w:eastAsia="MS Mincho" w:cs="MS Mincho"/>
          <w:color w:val="000000" w:themeColor="text1"/>
        </w:rPr>
        <w:t>➣</w:t>
      </w:r>
      <w:r>
        <w:rPr>
          <w:rFonts w:hint="eastAsia"/>
          <w:color w:val="000000" w:themeColor="text1"/>
        </w:rPr>
        <w:t>主副驾区域是否有人；</w:t>
      </w:r>
    </w:p>
    <w:p>
      <w:pPr>
        <w:ind w:firstLine="480"/>
        <w:rPr>
          <w:color w:val="000000" w:themeColor="text1"/>
        </w:rPr>
      </w:pPr>
      <w:r>
        <w:rPr>
          <w:rFonts w:hint="eastAsia" w:ascii="MS Mincho" w:hAnsi="MS Mincho" w:eastAsia="MS Mincho" w:cs="MS Mincho"/>
          <w:color w:val="000000" w:themeColor="text1"/>
        </w:rPr>
        <w:t>➣</w:t>
      </w:r>
      <w:r>
        <w:rPr>
          <w:rFonts w:hint="eastAsia"/>
          <w:color w:val="000000" w:themeColor="text1"/>
        </w:rPr>
        <w:t>主副驾驶区域是否遮挡面部；</w:t>
      </w:r>
    </w:p>
    <w:p>
      <w:pPr>
        <w:ind w:firstLine="480"/>
        <w:rPr>
          <w:color w:val="000000" w:themeColor="text1"/>
        </w:rPr>
      </w:pPr>
      <w:r>
        <w:rPr>
          <w:rFonts w:hint="eastAsia" w:ascii="MS Mincho" w:hAnsi="MS Mincho" w:eastAsia="MS Mincho" w:cs="MS Mincho"/>
          <w:color w:val="000000" w:themeColor="text1"/>
        </w:rPr>
        <w:t>➣</w:t>
      </w:r>
      <w:r>
        <w:rPr>
          <w:rFonts w:hint="eastAsia"/>
          <w:color w:val="000000" w:themeColor="text1"/>
        </w:rPr>
        <w:t>主副驾人员是否未系安全带；</w:t>
      </w:r>
    </w:p>
    <w:p>
      <w:pPr>
        <w:ind w:firstLine="480"/>
        <w:rPr>
          <w:color w:val="000000" w:themeColor="text1"/>
        </w:rPr>
      </w:pPr>
      <w:r>
        <w:rPr>
          <w:rFonts w:hint="eastAsia" w:ascii="MS Mincho" w:hAnsi="MS Mincho" w:eastAsia="MS Mincho" w:cs="MS Mincho"/>
          <w:color w:val="000000" w:themeColor="text1"/>
        </w:rPr>
        <w:t>➣</w:t>
      </w:r>
      <w:r>
        <w:rPr>
          <w:rFonts w:hint="eastAsia"/>
          <w:color w:val="000000" w:themeColor="text1"/>
        </w:rPr>
        <w:t>主驾人员是否拨打电话。</w:t>
      </w:r>
    </w:p>
    <w:p>
      <w:pPr>
        <w:ind w:firstLine="480"/>
        <w:rPr>
          <w:color w:val="000000" w:themeColor="text1"/>
        </w:rPr>
      </w:pPr>
      <w:r>
        <w:rPr>
          <w:rFonts w:hint="eastAsia"/>
          <w:color w:val="000000" w:themeColor="text1"/>
        </w:rPr>
        <w:t>（6）重点车辆识别</w:t>
      </w:r>
    </w:p>
    <w:p>
      <w:pPr>
        <w:ind w:firstLine="480"/>
        <w:rPr>
          <w:color w:val="000000" w:themeColor="text1"/>
        </w:rPr>
      </w:pPr>
      <w:r>
        <w:rPr>
          <w:rFonts w:hint="eastAsia"/>
          <w:color w:val="000000" w:themeColor="text1"/>
        </w:rPr>
        <w:t>可对一张图片中大于（256×256）像素的车辆目标进行识别，识别是否为重点车辆及车辆特征，输出内容如下：包括二轮车、三轮车、渣土车、危险品运输车等。</w:t>
      </w:r>
    </w:p>
    <w:bookmarkEnd w:id="396"/>
    <w:p>
      <w:pPr>
        <w:pStyle w:val="6"/>
        <w:spacing w:before="120" w:after="120"/>
        <w:ind w:firstLine="480"/>
        <w:rPr>
          <w:color w:val="000000" w:themeColor="text1"/>
        </w:rPr>
      </w:pPr>
      <w:r>
        <w:rPr>
          <w:color w:val="000000" w:themeColor="text1"/>
        </w:rPr>
        <w:t>1.1.3</w:t>
      </w:r>
      <w:r>
        <w:rPr>
          <w:rFonts w:hint="eastAsia"/>
          <w:color w:val="000000" w:themeColor="text1"/>
        </w:rPr>
        <w:t>人像解析</w:t>
      </w:r>
    </w:p>
    <w:p>
      <w:pPr>
        <w:pStyle w:val="7"/>
        <w:spacing w:before="120" w:after="120"/>
        <w:ind w:firstLine="480"/>
        <w:rPr>
          <w:color w:val="000000" w:themeColor="text1"/>
        </w:rPr>
      </w:pPr>
      <w:r>
        <w:rPr>
          <w:color w:val="000000" w:themeColor="text1"/>
        </w:rPr>
        <w:t>1.1.3.1</w:t>
      </w:r>
      <w:r>
        <w:rPr>
          <w:rFonts w:hint="eastAsia"/>
          <w:color w:val="000000" w:themeColor="text1"/>
        </w:rPr>
        <w:t>技术路线</w:t>
      </w:r>
    </w:p>
    <w:p>
      <w:pPr>
        <w:ind w:firstLine="480"/>
        <w:rPr>
          <w:color w:val="000000" w:themeColor="text1"/>
        </w:rPr>
      </w:pPr>
      <w:r>
        <w:rPr>
          <w:rFonts w:hint="eastAsia"/>
          <w:color w:val="000000" w:themeColor="text1"/>
        </w:rPr>
        <w:t>目前人像数据采集主要有以下二种技术路线：视频流，前端设备只提供视频流，通过后台软件进行抓拍以及识别告警；图片流，由前端摄像机进行人像抓拍采集，后台服务器只负责图片获取和识别告警,本次部署5454路人像解析能力,其中视频流200路。两种技术路线分析如下：</w:t>
      </w:r>
    </w:p>
    <w:p>
      <w:pPr>
        <w:ind w:firstLine="480"/>
        <w:rPr>
          <w:color w:val="000000" w:themeColor="text1"/>
        </w:rPr>
      </w:pPr>
      <w:r>
        <w:rPr>
          <w:rFonts w:hint="eastAsia"/>
          <w:color w:val="000000" w:themeColor="text1"/>
        </w:rPr>
        <w:t>（1）视频流</w:t>
      </w:r>
    </w:p>
    <w:p>
      <w:pPr>
        <w:ind w:firstLine="480"/>
        <w:rPr>
          <w:color w:val="000000" w:themeColor="text1"/>
        </w:rPr>
      </w:pPr>
      <w:r>
        <w:rPr>
          <w:rFonts w:hint="eastAsia" w:ascii="MS Mincho" w:hAnsi="MS Mincho" w:eastAsia="MS Mincho" w:cs="MS Mincho"/>
          <w:color w:val="000000" w:themeColor="text1"/>
        </w:rPr>
        <w:t>➣</w:t>
      </w:r>
      <w:r>
        <w:rPr>
          <w:rFonts w:hint="eastAsia"/>
          <w:color w:val="000000" w:themeColor="text1"/>
        </w:rPr>
        <w:t>视频流在前端只需要使用普通高清摄像机，但对后端服务器的配置需求较高。</w:t>
      </w:r>
    </w:p>
    <w:p>
      <w:pPr>
        <w:ind w:firstLine="480"/>
        <w:rPr>
          <w:color w:val="000000" w:themeColor="text1"/>
        </w:rPr>
      </w:pPr>
      <w:r>
        <w:rPr>
          <w:rFonts w:hint="eastAsia" w:ascii="MS Mincho" w:hAnsi="MS Mincho" w:eastAsia="MS Mincho" w:cs="MS Mincho"/>
          <w:color w:val="000000" w:themeColor="text1"/>
        </w:rPr>
        <w:t>➣</w:t>
      </w:r>
      <w:r>
        <w:rPr>
          <w:rFonts w:hint="eastAsia"/>
          <w:color w:val="000000" w:themeColor="text1"/>
        </w:rPr>
        <w:t>后端服务器计算资源远超摄像机，避免了摄像机因计算能力不足，在画面中人员多的情况下捕获率下降严重的问题。</w:t>
      </w:r>
    </w:p>
    <w:p>
      <w:pPr>
        <w:ind w:firstLine="480"/>
        <w:rPr>
          <w:color w:val="000000" w:themeColor="text1"/>
        </w:rPr>
      </w:pPr>
      <w:r>
        <w:rPr>
          <w:rFonts w:hint="eastAsia" w:ascii="MS Mincho" w:hAnsi="MS Mincho" w:eastAsia="MS Mincho" w:cs="MS Mincho"/>
          <w:color w:val="000000" w:themeColor="text1"/>
        </w:rPr>
        <w:t>➣</w:t>
      </w:r>
      <w:r>
        <w:rPr>
          <w:rFonts w:hint="eastAsia"/>
          <w:color w:val="000000" w:themeColor="text1"/>
        </w:rPr>
        <w:t>由于视频流中的图像往往有不同的姿态。后端服务器在视频流中，每个过人事件会截取多张人脸进行比对，大大提升比对精度。</w:t>
      </w:r>
    </w:p>
    <w:p>
      <w:pPr>
        <w:ind w:firstLine="480"/>
        <w:rPr>
          <w:color w:val="000000" w:themeColor="text1"/>
        </w:rPr>
      </w:pPr>
      <w:r>
        <w:rPr>
          <w:rFonts w:hint="eastAsia" w:ascii="MS Mincho" w:hAnsi="MS Mincho" w:eastAsia="MS Mincho" w:cs="MS Mincho"/>
          <w:color w:val="000000" w:themeColor="text1"/>
        </w:rPr>
        <w:t>➣</w:t>
      </w:r>
      <w:r>
        <w:rPr>
          <w:rFonts w:hint="eastAsia"/>
          <w:color w:val="000000" w:themeColor="text1"/>
        </w:rPr>
        <w:t>充分利用服务器性能，可在后端加载大计算量的特征数据合成算法。能将抓拍效果优化，将焦距内外，模糊或清晰、角度各异的人脸自动合成一个最优特征数据用于比对识别。</w:t>
      </w:r>
    </w:p>
    <w:p>
      <w:pPr>
        <w:ind w:firstLine="480"/>
        <w:rPr>
          <w:color w:val="000000" w:themeColor="text1"/>
        </w:rPr>
      </w:pPr>
      <w:r>
        <w:rPr>
          <w:rFonts w:hint="eastAsia"/>
          <w:color w:val="000000" w:themeColor="text1"/>
        </w:rPr>
        <w:t>（2）图片流</w:t>
      </w:r>
    </w:p>
    <w:p>
      <w:pPr>
        <w:ind w:firstLine="480"/>
        <w:rPr>
          <w:color w:val="000000" w:themeColor="text1"/>
        </w:rPr>
      </w:pPr>
      <w:r>
        <w:rPr>
          <w:rFonts w:hint="eastAsia" w:ascii="MS Mincho" w:hAnsi="MS Mincho" w:eastAsia="MS Mincho" w:cs="MS Mincho"/>
          <w:color w:val="000000" w:themeColor="text1"/>
        </w:rPr>
        <w:t>➣</w:t>
      </w:r>
      <w:r>
        <w:rPr>
          <w:rFonts w:hint="eastAsia"/>
          <w:color w:val="000000" w:themeColor="text1"/>
        </w:rPr>
        <w:t>图片流前端需要使用人脸识别抓拍机，但对后端服务器配置需求较低。</w:t>
      </w:r>
    </w:p>
    <w:p>
      <w:pPr>
        <w:ind w:firstLine="480"/>
        <w:rPr>
          <w:color w:val="000000" w:themeColor="text1"/>
        </w:rPr>
      </w:pPr>
      <w:r>
        <w:rPr>
          <w:rFonts w:hint="eastAsia" w:ascii="MS Mincho" w:hAnsi="MS Mincho" w:eastAsia="MS Mincho" w:cs="MS Mincho"/>
          <w:color w:val="000000" w:themeColor="text1"/>
        </w:rPr>
        <w:t>➣</w:t>
      </w:r>
      <w:r>
        <w:rPr>
          <w:rFonts w:hint="eastAsia"/>
          <w:color w:val="000000" w:themeColor="text1"/>
        </w:rPr>
        <w:t>抓拍算法前置可降低服务器编解码性能，在服务器选型和性能利用和综合成本方面，前端抓拍更具性价比。</w:t>
      </w:r>
    </w:p>
    <w:p>
      <w:pPr>
        <w:pStyle w:val="7"/>
        <w:spacing w:before="120" w:after="120"/>
        <w:ind w:firstLine="480"/>
        <w:rPr>
          <w:color w:val="000000" w:themeColor="text1"/>
        </w:rPr>
      </w:pPr>
      <w:r>
        <w:rPr>
          <w:color w:val="000000" w:themeColor="text1"/>
        </w:rPr>
        <w:t>1.1.3.2</w:t>
      </w:r>
      <w:r>
        <w:rPr>
          <w:rFonts w:hint="eastAsia"/>
          <w:color w:val="000000" w:themeColor="text1"/>
        </w:rPr>
        <w:t>数据处理流程</w:t>
      </w:r>
    </w:p>
    <w:p>
      <w:pPr>
        <w:ind w:firstLine="480"/>
        <w:rPr>
          <w:color w:val="000000" w:themeColor="text1"/>
        </w:rPr>
      </w:pPr>
      <w:r>
        <w:rPr>
          <w:rFonts w:hint="eastAsia"/>
          <w:color w:val="000000" w:themeColor="text1"/>
        </w:rPr>
        <w:t>人像解析是解析中心的一部分，负责将视频、视图数据解析成可供计算机识别的人像结构化数据，为人像应用平台提供视频图像数据解析支撑。</w:t>
      </w:r>
    </w:p>
    <w:p>
      <w:pPr>
        <w:snapToGrid w:val="0"/>
        <w:ind w:firstLine="480"/>
        <w:rPr>
          <w:rFonts w:ascii="宋体" w:hAnsi="宋体"/>
          <w:color w:val="000000" w:themeColor="text1"/>
        </w:rPr>
      </w:pPr>
      <w:r>
        <w:rPr>
          <w:rFonts w:hint="eastAsia" w:ascii="宋体" w:hAnsi="宋体"/>
          <w:color w:val="000000" w:themeColor="text1"/>
        </w:rPr>
        <w:t>视频流处理流程：</w:t>
      </w:r>
    </w:p>
    <w:p>
      <w:pPr>
        <w:keepNext/>
        <w:snapToGrid w:val="0"/>
        <w:jc w:val="center"/>
        <w:rPr>
          <w:color w:val="000000" w:themeColor="text1"/>
        </w:rPr>
      </w:pPr>
      <w:r>
        <w:rPr>
          <w:color w:val="000000" w:themeColor="text1"/>
        </w:rPr>
        <w:drawing>
          <wp:inline distT="0" distB="0" distL="0" distR="0">
            <wp:extent cx="5278120" cy="3948430"/>
            <wp:effectExtent l="19050" t="0" r="0" b="0"/>
            <wp:docPr id="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278120" cy="3948430"/>
                    </a:xfrm>
                    <a:prstGeom prst="rect">
                      <a:avLst/>
                    </a:prstGeom>
                  </pic:spPr>
                </pic:pic>
              </a:graphicData>
            </a:graphic>
          </wp:inline>
        </w:drawing>
      </w:r>
    </w:p>
    <w:p>
      <w:pPr>
        <w:snapToGrid w:val="0"/>
        <w:jc w:val="center"/>
        <w:rPr>
          <w:rFonts w:ascii="仿宋_GB2312" w:hAnsi="宋体"/>
          <w:color w:val="000000" w:themeColor="text1"/>
        </w:rPr>
      </w:pPr>
      <w:r>
        <w:rPr>
          <w:rFonts w:hint="eastAsia" w:ascii="仿宋_GB2312" w:hAnsi="宋体"/>
          <w:color w:val="000000" w:themeColor="text1"/>
        </w:rPr>
        <w:t>人像视频流处理流程图</w:t>
      </w:r>
    </w:p>
    <w:p>
      <w:pPr>
        <w:ind w:firstLine="480"/>
        <w:rPr>
          <w:color w:val="000000" w:themeColor="text1"/>
        </w:rPr>
      </w:pPr>
      <w:r>
        <w:rPr>
          <w:rFonts w:hint="eastAsia"/>
          <w:color w:val="000000" w:themeColor="text1"/>
        </w:rPr>
        <w:t>（1）解析中心通过GB/T-28181向共享平台下发信令，从视频云存储调取视频流；</w:t>
      </w:r>
    </w:p>
    <w:p>
      <w:pPr>
        <w:ind w:firstLine="480"/>
        <w:rPr>
          <w:color w:val="000000" w:themeColor="text1"/>
        </w:rPr>
      </w:pPr>
      <w:r>
        <w:rPr>
          <w:rFonts w:hint="eastAsia"/>
          <w:color w:val="000000" w:themeColor="text1"/>
        </w:rPr>
        <w:t>（2）解析中心获取视频流，解析产生场景图、人脸小图、结构化数据、特征码，同时与人像解析服务器内存中的布控库（特征值）进行比对，生成识别结果、告警信息；</w:t>
      </w:r>
    </w:p>
    <w:p>
      <w:pPr>
        <w:ind w:firstLine="480"/>
        <w:rPr>
          <w:color w:val="000000" w:themeColor="text1"/>
        </w:rPr>
      </w:pPr>
      <w:r>
        <w:rPr>
          <w:rFonts w:hint="eastAsia"/>
          <w:color w:val="000000" w:themeColor="text1"/>
        </w:rPr>
        <w:t>（3）场景图、人脸小图存入图片云存储，生成URL，支持不低于三种标准协议调用；</w:t>
      </w:r>
    </w:p>
    <w:p>
      <w:pPr>
        <w:ind w:firstLine="480"/>
        <w:rPr>
          <w:color w:val="000000" w:themeColor="text1"/>
        </w:rPr>
      </w:pPr>
      <w:r>
        <w:rPr>
          <w:rFonts w:hint="eastAsia"/>
          <w:color w:val="000000" w:themeColor="text1"/>
        </w:rPr>
        <w:t>（4）解析中心通过数据服务接口经消息服务将结构化信息、URL、识别结果、告警信息等存入数据仓库。</w:t>
      </w:r>
    </w:p>
    <w:p>
      <w:pPr>
        <w:ind w:firstLine="480"/>
        <w:rPr>
          <w:color w:val="000000" w:themeColor="text1"/>
        </w:rPr>
      </w:pPr>
      <w:r>
        <w:rPr>
          <w:rFonts w:hint="eastAsia"/>
          <w:color w:val="000000" w:themeColor="text1"/>
        </w:rPr>
        <w:t>图片流处理流程：</w:t>
      </w:r>
    </w:p>
    <w:p>
      <w:pPr>
        <w:keepNext/>
        <w:snapToGrid w:val="0"/>
        <w:jc w:val="center"/>
        <w:rPr>
          <w:color w:val="000000" w:themeColor="text1"/>
        </w:rPr>
      </w:pPr>
      <w:r>
        <w:rPr>
          <w:color w:val="000000" w:themeColor="text1"/>
        </w:rPr>
        <w:drawing>
          <wp:inline distT="0" distB="0" distL="0" distR="0">
            <wp:extent cx="5278120" cy="3620135"/>
            <wp:effectExtent l="19050" t="0" r="0" b="0"/>
            <wp:docPr id="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278120" cy="3620135"/>
                    </a:xfrm>
                    <a:prstGeom prst="rect">
                      <a:avLst/>
                    </a:prstGeom>
                  </pic:spPr>
                </pic:pic>
              </a:graphicData>
            </a:graphic>
          </wp:inline>
        </w:drawing>
      </w:r>
    </w:p>
    <w:p>
      <w:pPr>
        <w:snapToGrid w:val="0"/>
        <w:jc w:val="center"/>
        <w:rPr>
          <w:rFonts w:ascii="宋体" w:hAnsi="宋体"/>
          <w:color w:val="000000" w:themeColor="text1"/>
        </w:rPr>
      </w:pPr>
      <w:r>
        <w:rPr>
          <w:rFonts w:hint="eastAsia" w:ascii="宋体" w:hAnsi="宋体"/>
          <w:color w:val="000000" w:themeColor="text1"/>
        </w:rPr>
        <w:t xml:space="preserve">  人像图片流处理流程图</w:t>
      </w:r>
    </w:p>
    <w:p>
      <w:pPr>
        <w:ind w:firstLine="480"/>
        <w:rPr>
          <w:color w:val="000000" w:themeColor="text1"/>
        </w:rPr>
      </w:pPr>
      <w:r>
        <w:rPr>
          <w:rFonts w:hint="eastAsia"/>
          <w:color w:val="000000" w:themeColor="text1"/>
        </w:rPr>
        <w:t>（1）人脸卡口产生过人记录（包含时间戳、通道编号、设备ID、消息ID、抓拍时间、抓拍地点等），产生场景图、人脸小图；</w:t>
      </w:r>
    </w:p>
    <w:p>
      <w:pPr>
        <w:ind w:firstLine="480"/>
        <w:rPr>
          <w:color w:val="000000" w:themeColor="text1"/>
        </w:rPr>
      </w:pPr>
      <w:r>
        <w:rPr>
          <w:rFonts w:hint="eastAsia"/>
          <w:color w:val="000000" w:themeColor="text1"/>
        </w:rPr>
        <w:t>（2）图片及过人记录上传至图片云存储，通过存储的消息服务一份写入图片存储，生成URL；为保证人像解析业务的实时性，同时转发一份至解析中心，通过GA/T1400协议转发；</w:t>
      </w:r>
    </w:p>
    <w:p>
      <w:pPr>
        <w:ind w:firstLine="480"/>
        <w:rPr>
          <w:color w:val="000000" w:themeColor="text1"/>
        </w:rPr>
      </w:pPr>
      <w:r>
        <w:rPr>
          <w:rFonts w:hint="eastAsia"/>
          <w:color w:val="000000" w:themeColor="text1"/>
        </w:rPr>
        <w:t>（3）解析中心对人脸小图进行解析，生成结构化数据及特征值，同时与人像解析服务器内存中的布控库（特征值）进行比对，生成识别结果、告警信息，通过数据服务接口经消息服务将结构化信息、识别结果、告警信息存入数据仓库；过人记录及URL通过消息服务存入数据仓库。</w:t>
      </w:r>
    </w:p>
    <w:p>
      <w:pPr>
        <w:pStyle w:val="7"/>
        <w:spacing w:before="120" w:after="120"/>
        <w:ind w:firstLine="480"/>
        <w:rPr>
          <w:color w:val="000000" w:themeColor="text1"/>
        </w:rPr>
      </w:pPr>
      <w:r>
        <w:rPr>
          <w:color w:val="000000" w:themeColor="text1"/>
        </w:rPr>
        <w:t>1.1.3.3</w:t>
      </w:r>
      <w:r>
        <w:rPr>
          <w:rFonts w:hint="eastAsia"/>
          <w:color w:val="000000" w:themeColor="text1"/>
        </w:rPr>
        <w:t>业务流程</w:t>
      </w:r>
    </w:p>
    <w:p>
      <w:pPr>
        <w:ind w:firstLine="480"/>
        <w:rPr>
          <w:color w:val="000000" w:themeColor="text1"/>
        </w:rPr>
      </w:pPr>
      <w:r>
        <w:rPr>
          <w:rFonts w:hint="eastAsia"/>
          <w:color w:val="000000" w:themeColor="text1"/>
        </w:rPr>
        <w:t>（1）查询：应用通过URL访问图片云存储中的图片，通过数据服务接口访问数据仓库中的结构化信息、过人记录、识别结果、告警信息；</w:t>
      </w:r>
    </w:p>
    <w:p>
      <w:pPr>
        <w:ind w:firstLine="480"/>
        <w:rPr>
          <w:color w:val="000000" w:themeColor="text1"/>
        </w:rPr>
      </w:pPr>
      <w:r>
        <w:rPr>
          <w:rFonts w:hint="eastAsia"/>
          <w:color w:val="000000" w:themeColor="text1"/>
        </w:rPr>
        <w:t>（2）布控告警：应用下发布控指令，若人像解析出的特征值与人像解析服务器内存中的布控库（特征值）一致，则返回告警信息给应用。原始布控库包含人脸小图、特征值等信息，省厅从公安信息网下发至市级公安信息网视图库，其中的特征值信息经过安全边界至公安视频专网数据仓库。应用时将布控库（特征值）置于解析中心人像服务器设备的内存中，实现实时布控。</w:t>
      </w:r>
    </w:p>
    <w:p>
      <w:pPr>
        <w:pStyle w:val="7"/>
        <w:spacing w:before="120" w:after="120"/>
        <w:ind w:firstLine="480"/>
        <w:rPr>
          <w:color w:val="000000" w:themeColor="text1"/>
        </w:rPr>
      </w:pPr>
      <w:r>
        <w:rPr>
          <w:color w:val="000000" w:themeColor="text1"/>
        </w:rPr>
        <w:t xml:space="preserve">1.1.3.4 </w:t>
      </w:r>
      <w:r>
        <w:rPr>
          <w:rFonts w:hint="eastAsia"/>
          <w:color w:val="000000" w:themeColor="text1"/>
        </w:rPr>
        <w:t>功能要求</w:t>
      </w:r>
    </w:p>
    <w:p>
      <w:pPr>
        <w:ind w:firstLine="480"/>
        <w:rPr>
          <w:color w:val="000000" w:themeColor="text1"/>
        </w:rPr>
      </w:pPr>
      <w:r>
        <w:rPr>
          <w:rFonts w:hint="eastAsia"/>
          <w:color w:val="000000" w:themeColor="text1"/>
        </w:rPr>
        <w:t>人像解析是将前端人像卡口抓拍图片或者视频中人像信息进行建模解析，并将解析数据进行存储。</w:t>
      </w:r>
      <w:bookmarkStart w:id="399" w:name="_Toc516246125"/>
    </w:p>
    <w:p>
      <w:pPr>
        <w:ind w:firstLine="480"/>
        <w:rPr>
          <w:color w:val="000000" w:themeColor="text1"/>
        </w:rPr>
      </w:pPr>
      <w:r>
        <w:rPr>
          <w:rFonts w:hint="eastAsia"/>
          <w:color w:val="000000" w:themeColor="text1"/>
        </w:rPr>
        <w:t>（1）人像卡口图片解析</w:t>
      </w:r>
      <w:bookmarkEnd w:id="399"/>
    </w:p>
    <w:p>
      <w:pPr>
        <w:ind w:firstLine="480"/>
        <w:rPr>
          <w:color w:val="000000" w:themeColor="text1"/>
        </w:rPr>
      </w:pPr>
      <w:r>
        <w:rPr>
          <w:rFonts w:hint="eastAsia"/>
          <w:color w:val="000000" w:themeColor="text1"/>
        </w:rPr>
        <w:t>前端人像卡口对每一个经过摄像机拍摄区域的人，选取其最正面的一张抓拍图片保存下来。人像解析中心实时的完成人像卡口抓拍照片的特征提取入库。</w:t>
      </w:r>
    </w:p>
    <w:p>
      <w:pPr>
        <w:ind w:firstLine="480"/>
        <w:rPr>
          <w:color w:val="000000" w:themeColor="text1"/>
        </w:rPr>
      </w:pPr>
      <w:r>
        <w:rPr>
          <w:rFonts w:hint="eastAsia"/>
          <w:color w:val="000000" w:themeColor="text1"/>
        </w:rPr>
        <w:t>系统能够对具体特定特征的人进行分类，比如是否戴眼镜、人员的年龄段、性别等人物属性，为相关部门提供有用的统计数据和预警信息。</w:t>
      </w:r>
    </w:p>
    <w:p>
      <w:pPr>
        <w:ind w:firstLine="480"/>
        <w:rPr>
          <w:color w:val="000000" w:themeColor="text1"/>
        </w:rPr>
      </w:pPr>
      <w:bookmarkStart w:id="400" w:name="_Toc516246129"/>
      <w:r>
        <w:rPr>
          <w:rFonts w:hint="eastAsia"/>
          <w:color w:val="000000" w:themeColor="text1"/>
        </w:rPr>
        <w:t>（2）视频流人脸解析</w:t>
      </w:r>
      <w:bookmarkEnd w:id="400"/>
    </w:p>
    <w:p>
      <w:pPr>
        <w:ind w:firstLine="480"/>
        <w:rPr>
          <w:color w:val="000000" w:themeColor="text1"/>
        </w:rPr>
      </w:pPr>
      <w:r>
        <w:rPr>
          <w:rFonts w:hint="eastAsia"/>
          <w:color w:val="000000" w:themeColor="text1"/>
        </w:rPr>
        <w:t>从前端摄像机上传的视频流中提取人脸信息进行分析和存储，后续可以作为检索数据库使用，便于分析。系统应支持市面上主流的视频数据类型，保障系统适用性和使用范围。</w:t>
      </w:r>
    </w:p>
    <w:p>
      <w:pPr>
        <w:ind w:firstLine="480"/>
        <w:rPr>
          <w:color w:val="000000" w:themeColor="text1"/>
        </w:rPr>
      </w:pPr>
      <w:bookmarkStart w:id="401" w:name="_Toc516246126"/>
      <w:r>
        <w:rPr>
          <w:rFonts w:hint="eastAsia"/>
          <w:color w:val="000000" w:themeColor="text1"/>
        </w:rPr>
        <w:t>（3）人像建库与布控报警</w:t>
      </w:r>
      <w:bookmarkEnd w:id="401"/>
    </w:p>
    <w:p>
      <w:pPr>
        <w:ind w:firstLine="480"/>
        <w:rPr>
          <w:color w:val="000000" w:themeColor="text1"/>
        </w:rPr>
      </w:pPr>
      <w:r>
        <w:rPr>
          <w:rFonts w:hint="eastAsia"/>
          <w:color w:val="000000" w:themeColor="text1"/>
        </w:rPr>
        <w:t>通过使用动态人像系统建立布控库，对布控人员实时布控，第一时间为公安民警提供最有价值的信息，公安民警抓捕嫌疑人的效率将得到极大提高。</w:t>
      </w:r>
    </w:p>
    <w:p>
      <w:pPr>
        <w:ind w:firstLine="480"/>
        <w:rPr>
          <w:color w:val="000000" w:themeColor="text1"/>
        </w:rPr>
      </w:pPr>
      <w:bookmarkStart w:id="402" w:name="_Toc516246128"/>
      <w:r>
        <w:rPr>
          <w:rFonts w:hint="eastAsia"/>
          <w:color w:val="000000" w:themeColor="text1"/>
        </w:rPr>
        <w:t>（4）路人检索需求</w:t>
      </w:r>
      <w:bookmarkEnd w:id="402"/>
    </w:p>
    <w:p>
      <w:pPr>
        <w:ind w:firstLine="480"/>
        <w:rPr>
          <w:color w:val="000000" w:themeColor="text1"/>
        </w:rPr>
      </w:pPr>
      <w:r>
        <w:rPr>
          <w:rFonts w:hint="eastAsia"/>
          <w:color w:val="000000" w:themeColor="text1"/>
        </w:rPr>
        <w:t>系统应支持将重点人员的照片导入路人库中进行检索，进一步使用路人检索可以分析重点人员的出现频率及出行特征，从而为办案提供线索。</w:t>
      </w:r>
    </w:p>
    <w:p>
      <w:pPr>
        <w:ind w:firstLine="480"/>
        <w:rPr>
          <w:color w:val="000000" w:themeColor="text1"/>
        </w:rPr>
      </w:pPr>
      <w:r>
        <w:rPr>
          <w:rFonts w:hint="eastAsia"/>
          <w:color w:val="000000" w:themeColor="text1"/>
        </w:rPr>
        <w:t>（5）升级维护</w:t>
      </w:r>
    </w:p>
    <w:p>
      <w:pPr>
        <w:ind w:firstLine="480"/>
        <w:rPr>
          <w:color w:val="000000" w:themeColor="text1"/>
        </w:rPr>
      </w:pPr>
      <w:r>
        <w:rPr>
          <w:rFonts w:hint="eastAsia"/>
          <w:color w:val="000000" w:themeColor="text1"/>
        </w:rPr>
        <w:t>在项目建设及运维期间提供相应算法及平台免费更新升级，新功能不在另行收费。</w:t>
      </w:r>
    </w:p>
    <w:p>
      <w:pPr>
        <w:pStyle w:val="6"/>
        <w:spacing w:before="120" w:after="120"/>
        <w:ind w:firstLine="480"/>
        <w:rPr>
          <w:color w:val="000000" w:themeColor="text1"/>
        </w:rPr>
      </w:pPr>
      <w:bookmarkStart w:id="403" w:name="_Toc521004109"/>
      <w:r>
        <w:rPr>
          <w:color w:val="000000" w:themeColor="text1"/>
        </w:rPr>
        <w:t>1.1.4</w:t>
      </w:r>
      <w:r>
        <w:rPr>
          <w:rFonts w:hint="eastAsia"/>
          <w:color w:val="000000" w:themeColor="text1"/>
        </w:rPr>
        <w:t>视频萃取</w:t>
      </w:r>
      <w:bookmarkEnd w:id="403"/>
    </w:p>
    <w:p>
      <w:pPr>
        <w:pStyle w:val="7"/>
        <w:spacing w:before="120" w:after="120"/>
        <w:ind w:firstLine="480"/>
        <w:rPr>
          <w:color w:val="000000" w:themeColor="text1"/>
        </w:rPr>
      </w:pPr>
      <w:bookmarkStart w:id="404" w:name="_Toc521004110"/>
      <w:r>
        <w:rPr>
          <w:color w:val="000000" w:themeColor="text1"/>
        </w:rPr>
        <w:t>1.1.4.1</w:t>
      </w:r>
      <w:r>
        <w:rPr>
          <w:rFonts w:hint="eastAsia"/>
          <w:color w:val="000000" w:themeColor="text1"/>
        </w:rPr>
        <w:t>数据处理流程</w:t>
      </w:r>
      <w:bookmarkEnd w:id="404"/>
    </w:p>
    <w:p>
      <w:pPr>
        <w:ind w:firstLine="480"/>
        <w:rPr>
          <w:color w:val="000000" w:themeColor="text1"/>
        </w:rPr>
      </w:pPr>
      <w:r>
        <w:rPr>
          <w:rFonts w:hint="eastAsia"/>
          <w:color w:val="000000" w:themeColor="text1"/>
        </w:rPr>
        <w:t>视频萃取数据处理流程示意图如下：</w:t>
      </w:r>
    </w:p>
    <w:p>
      <w:pPr>
        <w:keepNext/>
        <w:jc w:val="center"/>
        <w:rPr>
          <w:color w:val="000000" w:themeColor="text1"/>
        </w:rPr>
      </w:pPr>
      <w:r>
        <w:rPr>
          <w:color w:val="000000" w:themeColor="text1"/>
        </w:rPr>
        <w:drawing>
          <wp:inline distT="0" distB="0" distL="0" distR="0">
            <wp:extent cx="5278120" cy="3808730"/>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278120" cy="3808730"/>
                    </a:xfrm>
                    <a:prstGeom prst="rect">
                      <a:avLst/>
                    </a:prstGeom>
                  </pic:spPr>
                </pic:pic>
              </a:graphicData>
            </a:graphic>
          </wp:inline>
        </w:drawing>
      </w:r>
    </w:p>
    <w:p>
      <w:pPr>
        <w:snapToGrid w:val="0"/>
        <w:jc w:val="center"/>
        <w:rPr>
          <w:rFonts w:ascii="宋体" w:hAnsi="宋体"/>
          <w:color w:val="000000" w:themeColor="text1"/>
        </w:rPr>
      </w:pPr>
      <w:r>
        <w:rPr>
          <w:rFonts w:hint="eastAsia" w:ascii="宋体" w:hAnsi="宋体"/>
          <w:color w:val="000000" w:themeColor="text1"/>
        </w:rPr>
        <w:t>视频萃取流程图</w:t>
      </w:r>
    </w:p>
    <w:p>
      <w:pPr>
        <w:ind w:firstLine="480"/>
        <w:rPr>
          <w:color w:val="000000" w:themeColor="text1"/>
        </w:rPr>
      </w:pPr>
      <w:r>
        <w:rPr>
          <w:rFonts w:hint="eastAsia"/>
          <w:color w:val="000000" w:themeColor="text1"/>
        </w:rPr>
        <w:t>（1）解析中心通过GB/T28181向共享平台下发信令，从视频云存储调取视频流；</w:t>
      </w:r>
    </w:p>
    <w:p>
      <w:pPr>
        <w:ind w:firstLine="480"/>
        <w:rPr>
          <w:color w:val="000000" w:themeColor="text1"/>
        </w:rPr>
      </w:pPr>
      <w:r>
        <w:rPr>
          <w:rFonts w:hint="eastAsia"/>
          <w:color w:val="000000" w:themeColor="text1"/>
        </w:rPr>
        <w:t>（2）解析中心获取视频流，萃取产生场景图、人车物图片、视频片段、结构化数据、特征码（供查询比对）；</w:t>
      </w:r>
    </w:p>
    <w:p>
      <w:pPr>
        <w:ind w:firstLine="480"/>
        <w:rPr>
          <w:color w:val="000000" w:themeColor="text1"/>
        </w:rPr>
      </w:pPr>
      <w:r>
        <w:rPr>
          <w:rFonts w:hint="eastAsia"/>
          <w:color w:val="000000" w:themeColor="text1"/>
        </w:rPr>
        <w:t>（3）图片、视频片段存入图片云存储，生成URL，支持不低于三种标准协议调用；</w:t>
      </w:r>
    </w:p>
    <w:p>
      <w:pPr>
        <w:ind w:firstLine="480"/>
        <w:rPr>
          <w:color w:val="000000" w:themeColor="text1"/>
        </w:rPr>
      </w:pPr>
      <w:r>
        <w:rPr>
          <w:rFonts w:hint="eastAsia"/>
          <w:color w:val="000000" w:themeColor="text1"/>
        </w:rPr>
        <w:t>（4）解析中心通过数据服务接口经消息服务将结构化信息及URL存入数据仓库。</w:t>
      </w:r>
    </w:p>
    <w:p>
      <w:pPr>
        <w:pStyle w:val="7"/>
        <w:spacing w:before="120" w:after="120"/>
        <w:ind w:firstLine="480"/>
        <w:rPr>
          <w:color w:val="000000" w:themeColor="text1"/>
        </w:rPr>
      </w:pPr>
      <w:r>
        <w:rPr>
          <w:color w:val="000000" w:themeColor="text1"/>
        </w:rPr>
        <w:t>1.1.4.2</w:t>
      </w:r>
      <w:r>
        <w:rPr>
          <w:rFonts w:hint="eastAsia"/>
          <w:color w:val="000000" w:themeColor="text1"/>
        </w:rPr>
        <w:t>业务流程</w:t>
      </w:r>
    </w:p>
    <w:p>
      <w:pPr>
        <w:ind w:firstLine="480"/>
        <w:rPr>
          <w:color w:val="000000" w:themeColor="text1"/>
        </w:rPr>
      </w:pPr>
      <w:r>
        <w:rPr>
          <w:rFonts w:hint="eastAsia"/>
          <w:color w:val="000000" w:themeColor="text1"/>
        </w:rPr>
        <w:t>检索：应用通过URL访问图片云存储中的图片及视频片段，通过数据服务接口访问数据仓库中的结构化数据，通过GB/T28181协议经过视频共享平台从视频存储中获取视频流。</w:t>
      </w:r>
    </w:p>
    <w:p>
      <w:pPr>
        <w:pStyle w:val="7"/>
        <w:spacing w:before="120" w:after="120"/>
        <w:ind w:firstLine="480"/>
        <w:rPr>
          <w:color w:val="000000" w:themeColor="text1"/>
        </w:rPr>
      </w:pPr>
      <w:r>
        <w:rPr>
          <w:color w:val="000000" w:themeColor="text1"/>
        </w:rPr>
        <w:t>1.1.4.3</w:t>
      </w:r>
      <w:r>
        <w:rPr>
          <w:rFonts w:hint="eastAsia"/>
          <w:color w:val="000000" w:themeColor="text1"/>
        </w:rPr>
        <w:t>功能要求</w:t>
      </w:r>
    </w:p>
    <w:p>
      <w:pPr>
        <w:ind w:firstLine="480"/>
        <w:rPr>
          <w:color w:val="000000" w:themeColor="text1"/>
        </w:rPr>
      </w:pPr>
      <w:r>
        <w:rPr>
          <w:rFonts w:hint="eastAsia"/>
          <w:color w:val="000000" w:themeColor="text1"/>
        </w:rPr>
        <w:t>萃取系统按照后端结构化服务分类，进行人车物分离。</w:t>
      </w:r>
    </w:p>
    <w:p>
      <w:pPr>
        <w:ind w:firstLine="480"/>
        <w:rPr>
          <w:color w:val="000000" w:themeColor="text1"/>
        </w:rPr>
      </w:pPr>
      <w:r>
        <w:rPr>
          <w:rFonts w:hint="eastAsia"/>
          <w:color w:val="000000" w:themeColor="text1"/>
        </w:rPr>
        <w:t>（1）人车物分离</w:t>
      </w:r>
    </w:p>
    <w:p>
      <w:pPr>
        <w:ind w:firstLine="480"/>
        <w:rPr>
          <w:color w:val="000000" w:themeColor="text1"/>
        </w:rPr>
      </w:pPr>
      <w:r>
        <w:rPr>
          <w:rFonts w:hint="eastAsia"/>
          <w:color w:val="000000" w:themeColor="text1"/>
        </w:rPr>
        <w:t>视频人车物分离针对平台/设备的视频/录像进行结构化处理，将视频中的运动目标进行人、车、物的区分，同时提取目标基本的信息：主体颜色、目标大小、目标速度、运动方向。</w:t>
      </w:r>
    </w:p>
    <w:p>
      <w:pPr>
        <w:ind w:firstLine="480"/>
        <w:rPr>
          <w:color w:val="000000" w:themeColor="text1"/>
        </w:rPr>
      </w:pPr>
      <w:r>
        <w:rPr>
          <w:rFonts w:hint="eastAsia"/>
          <w:color w:val="000000" w:themeColor="text1"/>
        </w:rPr>
        <w:t>（2）萃取内容</w:t>
      </w:r>
    </w:p>
    <w:p>
      <w:pPr>
        <w:ind w:firstLine="480"/>
        <w:rPr>
          <w:color w:val="000000" w:themeColor="text1"/>
        </w:rPr>
      </w:pPr>
      <w:r>
        <w:rPr>
          <w:rFonts w:hint="eastAsia"/>
          <w:color w:val="000000" w:themeColor="text1"/>
        </w:rPr>
        <w:t>车牌类型识别:支持包括民用车牌、警用车牌、军用车牌、武警车牌的车牌类型及号码的识别。</w:t>
      </w:r>
    </w:p>
    <w:p>
      <w:pPr>
        <w:ind w:firstLine="480"/>
        <w:rPr>
          <w:color w:val="000000" w:themeColor="text1"/>
        </w:rPr>
      </w:pPr>
      <w:r>
        <w:rPr>
          <w:rFonts w:hint="eastAsia"/>
          <w:color w:val="000000" w:themeColor="text1"/>
        </w:rPr>
        <w:t>车身颜色，包括红、黄、绿、蓝、紫、粉、棕、金、白、灰及黑等颜色；</w:t>
      </w:r>
    </w:p>
    <w:p>
      <w:pPr>
        <w:ind w:firstLine="480"/>
        <w:rPr>
          <w:color w:val="000000" w:themeColor="text1"/>
        </w:rPr>
      </w:pPr>
      <w:r>
        <w:rPr>
          <w:rFonts w:hint="eastAsia"/>
          <w:color w:val="000000" w:themeColor="text1"/>
        </w:rPr>
        <w:t>车辆类别，包括轿车、越野车、商务车、面包车、皮卡车、小型货车、大型货车、小型客车、大型客车、非机动车；</w:t>
      </w:r>
    </w:p>
    <w:p>
      <w:pPr>
        <w:ind w:firstLine="480"/>
        <w:rPr>
          <w:color w:val="000000" w:themeColor="text1"/>
        </w:rPr>
      </w:pPr>
      <w:r>
        <w:rPr>
          <w:rFonts w:hint="eastAsia"/>
          <w:color w:val="000000" w:themeColor="text1"/>
        </w:rPr>
        <w:t>车系识别：支持不少于200种机动车车辆品牌的识别，支持不少于3000种车辆子品牌和年款的识别。</w:t>
      </w:r>
    </w:p>
    <w:p>
      <w:pPr>
        <w:ind w:firstLine="480"/>
        <w:rPr>
          <w:color w:val="000000" w:themeColor="text1"/>
        </w:rPr>
      </w:pPr>
      <w:r>
        <w:rPr>
          <w:rFonts w:hint="eastAsia"/>
          <w:color w:val="000000" w:themeColor="text1"/>
        </w:rPr>
        <w:t>危险品车检测：支持危险品车辆的检测识别。</w:t>
      </w:r>
    </w:p>
    <w:p>
      <w:pPr>
        <w:ind w:firstLine="480"/>
        <w:rPr>
          <w:color w:val="000000" w:themeColor="text1"/>
        </w:rPr>
      </w:pPr>
      <w:r>
        <w:rPr>
          <w:rFonts w:hint="eastAsia"/>
          <w:color w:val="000000" w:themeColor="text1"/>
        </w:rPr>
        <w:t>车辆及驾驶员附属属性：主副驾驶是否系安全带、是否打电话、有无遮阳板、有无挂坠、有无年检标。</w:t>
      </w:r>
    </w:p>
    <w:p>
      <w:pPr>
        <w:ind w:firstLine="480"/>
        <w:rPr>
          <w:color w:val="000000" w:themeColor="text1"/>
        </w:rPr>
      </w:pPr>
      <w:r>
        <w:rPr>
          <w:rFonts w:hint="eastAsia"/>
          <w:color w:val="000000" w:themeColor="text1"/>
        </w:rPr>
        <w:t>人体特征检测：支持人体上、下身颜色、运动方向、年龄段、性别、是否骑车、是否背包/拎包、雨伞识别、是否戴眼镜、是否戴帽子。</w:t>
      </w:r>
    </w:p>
    <w:p>
      <w:pPr>
        <w:pStyle w:val="6"/>
        <w:spacing w:before="120" w:after="120"/>
        <w:ind w:firstLine="480"/>
        <w:rPr>
          <w:color w:val="000000" w:themeColor="text1"/>
        </w:rPr>
      </w:pPr>
      <w:r>
        <w:rPr>
          <w:color w:val="000000" w:themeColor="text1"/>
        </w:rPr>
        <w:t>1.1.5</w:t>
      </w:r>
      <w:r>
        <w:rPr>
          <w:rFonts w:hint="eastAsia"/>
          <w:color w:val="000000" w:themeColor="text1"/>
        </w:rPr>
        <w:t>计算资源需求</w:t>
      </w:r>
    </w:p>
    <w:p>
      <w:pPr>
        <w:ind w:firstLine="480"/>
        <w:rPr>
          <w:color w:val="000000" w:themeColor="text1"/>
        </w:rPr>
      </w:pPr>
      <w:r>
        <w:rPr>
          <w:rFonts w:hint="eastAsia"/>
          <w:color w:val="000000" w:themeColor="text1"/>
        </w:rPr>
        <w:t>计算资源需满足不同的业务对不同计算的需求，解析中心需要高性能的GPU计算与图形化计算能力，用于人像分析、车辆分析、视频萃取等业务，从视频流、图片中提取人像、车牌等半结构化数据和结构化数据，视频、图形高质量处理要求提供高性能计算能力和GPU处理能力，可通过服务器集群形式实现计算资源的灵活调度。</w:t>
      </w:r>
    </w:p>
    <w:p>
      <w:pPr>
        <w:ind w:firstLine="480"/>
        <w:rPr>
          <w:color w:val="000000" w:themeColor="text1"/>
        </w:rPr>
      </w:pPr>
      <w:r>
        <w:rPr>
          <w:rFonts w:hint="eastAsia"/>
          <w:color w:val="000000" w:themeColor="text1"/>
        </w:rPr>
        <w:t>本项目在公安视频专网建设全市统一的解析中心，对视频图像数据做结构化解析，当前规划的系统处理能力能够支撑750路视频萃取、5454路人像解析、4200万张日过车图片的车辆二次分析。</w:t>
      </w:r>
    </w:p>
    <w:p>
      <w:pPr>
        <w:pStyle w:val="7"/>
        <w:spacing w:before="120" w:after="120"/>
        <w:ind w:firstLine="480"/>
        <w:rPr>
          <w:color w:val="000000" w:themeColor="text1"/>
        </w:rPr>
      </w:pPr>
      <w:r>
        <w:rPr>
          <w:color w:val="000000" w:themeColor="text1"/>
        </w:rPr>
        <w:t>1.1.5.1</w:t>
      </w:r>
      <w:r>
        <w:rPr>
          <w:rFonts w:hint="eastAsia"/>
          <w:color w:val="000000" w:themeColor="text1"/>
        </w:rPr>
        <w:t>车辆二次分析</w:t>
      </w:r>
    </w:p>
    <w:p>
      <w:pPr>
        <w:ind w:firstLine="480"/>
        <w:rPr>
          <w:color w:val="000000" w:themeColor="text1"/>
        </w:rPr>
      </w:pPr>
      <w:r>
        <w:rPr>
          <w:rFonts w:hint="eastAsia"/>
          <w:color w:val="000000" w:themeColor="text1"/>
        </w:rPr>
        <w:t>1、车辆二次分析服务器通过对接卡口系统获取卡口过车图片，并对图片进行特征识别后将品牌、车系、年检标、挂件、纸巾盒等结构化信息存储到数据库中，需采用最新一代CPU。</w:t>
      </w:r>
    </w:p>
    <w:p>
      <w:pPr>
        <w:ind w:firstLine="480"/>
        <w:rPr>
          <w:color w:val="000000" w:themeColor="text1"/>
        </w:rPr>
      </w:pPr>
      <w:r>
        <w:rPr>
          <w:rFonts w:hint="eastAsia"/>
          <w:color w:val="000000" w:themeColor="text1"/>
        </w:rPr>
        <w:t>单节点车辆二次分析服务器要求支持不少于300万日过车量</w:t>
      </w:r>
    </w:p>
    <w:p>
      <w:pPr>
        <w:ind w:firstLine="480"/>
        <w:rPr>
          <w:color w:val="000000" w:themeColor="text1"/>
        </w:rPr>
      </w:pPr>
      <w:r>
        <w:rPr>
          <w:rFonts w:hint="eastAsia"/>
          <w:color w:val="000000" w:themeColor="text1"/>
        </w:rPr>
        <w:t>2、同时为利用车辆特征值进行相似车辆图片的检索，为公安、交警等查找假牌、套牌、无牌等嫌疑车辆提供新的排查手段，需配置以图搜车服务器，单节点支持30亿数据特征数据存储，支持3000万数据以图搜车秒级检索，需采用最新一代CPU。</w:t>
      </w:r>
    </w:p>
    <w:p>
      <w:pPr>
        <w:ind w:firstLine="480"/>
        <w:rPr>
          <w:color w:val="000000" w:themeColor="text1"/>
        </w:rPr>
      </w:pPr>
      <w:r>
        <w:rPr>
          <w:rFonts w:hint="eastAsia"/>
          <w:color w:val="000000" w:themeColor="text1"/>
        </w:rPr>
        <w:t>以图搜车服务器数量为：特征向量存储三个月，特征向量信息数=4200万×90天=37.8亿条，冗余一台，即需3节点。</w:t>
      </w:r>
    </w:p>
    <w:p>
      <w:pPr>
        <w:ind w:firstLine="480"/>
        <w:rPr>
          <w:color w:val="000000" w:themeColor="text1"/>
        </w:rPr>
      </w:pPr>
      <w:r>
        <w:rPr>
          <w:rFonts w:hint="eastAsia"/>
          <w:color w:val="000000" w:themeColor="text1"/>
        </w:rPr>
        <w:t>综上，车辆二次分析模块共需要车辆二次分析服务器14节点、以图搜车服务器3节点。</w:t>
      </w:r>
    </w:p>
    <w:p>
      <w:pPr>
        <w:pStyle w:val="7"/>
        <w:spacing w:before="120" w:after="120"/>
        <w:ind w:firstLine="480"/>
        <w:rPr>
          <w:color w:val="000000" w:themeColor="text1"/>
        </w:rPr>
      </w:pPr>
      <w:r>
        <w:rPr>
          <w:color w:val="000000" w:themeColor="text1"/>
        </w:rPr>
        <w:t>1.1.5.2</w:t>
      </w:r>
      <w:r>
        <w:rPr>
          <w:rFonts w:hint="eastAsia"/>
          <w:color w:val="000000" w:themeColor="text1"/>
        </w:rPr>
        <w:t>人像解析</w:t>
      </w:r>
    </w:p>
    <w:p>
      <w:pPr>
        <w:ind w:firstLine="480"/>
        <w:rPr>
          <w:color w:val="000000" w:themeColor="text1"/>
        </w:rPr>
      </w:pPr>
      <w:r>
        <w:rPr>
          <w:rFonts w:hint="eastAsia"/>
          <w:color w:val="000000" w:themeColor="text1"/>
        </w:rPr>
        <w:t>人像解析支持5454路的人像卡口，其中按5254路人像抓拍机、200路人像视频流相机计算，同时要求支持人脸布控，布控库30万。</w:t>
      </w:r>
    </w:p>
    <w:p>
      <w:pPr>
        <w:ind w:firstLine="480"/>
        <w:rPr>
          <w:color w:val="000000" w:themeColor="text1"/>
        </w:rPr>
      </w:pPr>
      <w:r>
        <w:rPr>
          <w:rFonts w:hint="eastAsia"/>
          <w:color w:val="000000" w:themeColor="text1"/>
        </w:rPr>
        <w:t>单NVIDIA Tesla P4GPU支持不少于70路图片流解析，不少于10路视频流解析。</w:t>
      </w:r>
    </w:p>
    <w:p>
      <w:pPr>
        <w:pStyle w:val="7"/>
        <w:spacing w:before="120" w:after="120"/>
        <w:ind w:firstLine="480"/>
        <w:rPr>
          <w:color w:val="000000" w:themeColor="text1"/>
        </w:rPr>
      </w:pPr>
      <w:r>
        <w:rPr>
          <w:color w:val="000000" w:themeColor="text1"/>
        </w:rPr>
        <w:t>1.1.5.3</w:t>
      </w:r>
      <w:r>
        <w:rPr>
          <w:rFonts w:hint="eastAsia"/>
          <w:color w:val="000000" w:themeColor="text1"/>
        </w:rPr>
        <w:t>视频萃取</w:t>
      </w:r>
    </w:p>
    <w:p>
      <w:pPr>
        <w:ind w:firstLine="480"/>
        <w:rPr>
          <w:color w:val="000000" w:themeColor="text1"/>
        </w:rPr>
      </w:pPr>
      <w:r>
        <w:rPr>
          <w:rFonts w:hint="eastAsia"/>
          <w:color w:val="000000" w:themeColor="text1"/>
        </w:rPr>
        <w:t>视频萃取服务器支持视频人车物分离、车辆特征分析、人体特征分析，单GPU支持不少于10路解析。</w:t>
      </w:r>
    </w:p>
    <w:p>
      <w:pPr>
        <w:ind w:firstLine="480"/>
        <w:rPr>
          <w:color w:val="000000" w:themeColor="text1"/>
        </w:rPr>
      </w:pPr>
      <w:r>
        <w:rPr>
          <w:rFonts w:hint="eastAsia"/>
          <w:color w:val="000000" w:themeColor="text1"/>
        </w:rPr>
        <w:t>解析中心设备组网如下图所示：</w:t>
      </w:r>
    </w:p>
    <w:p>
      <w:pPr>
        <w:ind w:firstLine="480"/>
        <w:rPr>
          <w:color w:val="000000" w:themeColor="text1"/>
          <w:lang w:val="zh-CN"/>
        </w:rPr>
      </w:pPr>
    </w:p>
    <w:p>
      <w:pPr>
        <w:keepNext/>
        <w:jc w:val="center"/>
        <w:rPr>
          <w:color w:val="000000" w:themeColor="text1"/>
        </w:rPr>
      </w:pPr>
      <w:r>
        <w:rPr>
          <w:color w:val="000000" w:themeColor="text1"/>
        </w:rPr>
        <w:drawing>
          <wp:inline distT="0" distB="0" distL="0" distR="0">
            <wp:extent cx="4438650" cy="3314700"/>
            <wp:effectExtent l="19050" t="0" r="0" b="0"/>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1" noChangeArrowheads="1"/>
                    </pic:cNvPicPr>
                  </pic:nvPicPr>
                  <pic:blipFill>
                    <a:blip r:embed="rId76"/>
                    <a:srcRect/>
                    <a:stretch>
                      <a:fillRect/>
                    </a:stretch>
                  </pic:blipFill>
                  <pic:spPr>
                    <a:xfrm>
                      <a:off x="0" y="0"/>
                      <a:ext cx="4438650" cy="3314700"/>
                    </a:xfrm>
                    <a:prstGeom prst="rect">
                      <a:avLst/>
                    </a:prstGeom>
                    <a:noFill/>
                    <a:ln w="9525">
                      <a:noFill/>
                      <a:miter lim="800000"/>
                      <a:headEnd/>
                      <a:tailEnd/>
                    </a:ln>
                  </pic:spPr>
                </pic:pic>
              </a:graphicData>
            </a:graphic>
          </wp:inline>
        </w:drawing>
      </w:r>
    </w:p>
    <w:p>
      <w:pPr>
        <w:snapToGrid w:val="0"/>
        <w:jc w:val="center"/>
        <w:rPr>
          <w:rFonts w:ascii="宋体" w:hAnsi="宋体"/>
          <w:color w:val="000000" w:themeColor="text1"/>
        </w:rPr>
      </w:pPr>
      <w:r>
        <w:rPr>
          <w:rFonts w:hint="eastAsia" w:ascii="宋体" w:hAnsi="宋体"/>
          <w:color w:val="000000" w:themeColor="text1"/>
        </w:rPr>
        <w:t>解析中心设备组网图</w:t>
      </w:r>
    </w:p>
    <w:p>
      <w:pPr>
        <w:pStyle w:val="6"/>
        <w:spacing w:before="120" w:after="120"/>
        <w:ind w:firstLine="480"/>
        <w:rPr>
          <w:color w:val="000000" w:themeColor="text1"/>
        </w:rPr>
      </w:pPr>
      <w:r>
        <w:rPr>
          <w:color w:val="000000" w:themeColor="text1"/>
        </w:rPr>
        <w:t>1.1.6</w:t>
      </w:r>
      <w:r>
        <w:rPr>
          <w:rFonts w:hint="eastAsia"/>
          <w:color w:val="000000" w:themeColor="text1"/>
        </w:rPr>
        <w:t>解析中心技术路线分析</w:t>
      </w:r>
    </w:p>
    <w:p>
      <w:pPr>
        <w:ind w:firstLine="480"/>
        <w:rPr>
          <w:color w:val="000000" w:themeColor="text1"/>
        </w:rPr>
      </w:pPr>
      <w:r>
        <w:rPr>
          <w:rFonts w:hint="eastAsia"/>
          <w:color w:val="000000" w:themeColor="text1"/>
        </w:rPr>
        <w:t>传统视频厂家一体化设备，算法和硬件资源进行优化和固化，能用较低的配置实现一定的功能。但一体化设备一般通过堆叠扩容性能，不利于硬件资源调度能力开放，导致系统的灵活性和扩展性差。本项目解析中心建设遵循软硬件解耦的思路，通过配置高性能硬件设备，搭配算法实现配置的归一化。解析中心集群目前主要是通过物理设备集群方式搭建。</w:t>
      </w:r>
    </w:p>
    <w:p>
      <w:pPr>
        <w:pStyle w:val="6"/>
        <w:spacing w:before="120" w:after="120"/>
        <w:ind w:firstLine="480"/>
        <w:rPr>
          <w:color w:val="000000" w:themeColor="text1"/>
        </w:rPr>
      </w:pPr>
      <w:r>
        <w:rPr>
          <w:color w:val="000000" w:themeColor="text1"/>
        </w:rPr>
        <w:t xml:space="preserve">1.1.7 </w:t>
      </w:r>
      <w:r>
        <w:rPr>
          <w:rFonts w:hint="eastAsia"/>
          <w:color w:val="000000" w:themeColor="text1"/>
        </w:rPr>
        <w:t>解析中心资源管理平台</w:t>
      </w:r>
    </w:p>
    <w:p>
      <w:pPr>
        <w:ind w:firstLine="480"/>
        <w:rPr>
          <w:color w:val="000000" w:themeColor="text1"/>
        </w:rPr>
      </w:pPr>
      <w:r>
        <w:rPr>
          <w:rFonts w:hint="eastAsia"/>
          <w:color w:val="000000" w:themeColor="text1"/>
        </w:rPr>
        <w:t>现有视频图像IT基础设施已越来越难以满足海量视频图像信息存储汇聚、解析处理和深层次挖掘分析的要求，主要由于缺乏统一的视频图像基础设施，各种系统采用独立的IT硬件基础设施，计算资源无法统一管理和运维，不同厂商之间的同类设备与系统无法实现资源共享，已经建设的各种智能视频解析系统相互独立、自成体系，缺少统一的IT资源管理。</w:t>
      </w:r>
    </w:p>
    <w:p>
      <w:pPr>
        <w:ind w:firstLine="480"/>
        <w:rPr>
          <w:color w:val="000000" w:themeColor="text1"/>
        </w:rPr>
      </w:pPr>
      <w:r>
        <w:rPr>
          <w:rFonts w:hint="eastAsia"/>
          <w:color w:val="000000" w:themeColor="text1"/>
        </w:rPr>
        <w:t>本项目通过软件与硬件解耦，实现视频解析系统硬件资源标准化和归一化，为视频建设提供易扩展、高性能、低成本、可靠性的解析能力，并部署一套资源管理平台以保障解析系统高效、稳定运行。平台要求包括但不限于以下功能：</w:t>
      </w:r>
    </w:p>
    <w:p>
      <w:pPr>
        <w:ind w:firstLine="480"/>
        <w:rPr>
          <w:color w:val="000000" w:themeColor="text1"/>
        </w:rPr>
      </w:pPr>
      <w:r>
        <w:rPr>
          <w:rFonts w:hint="eastAsia"/>
          <w:color w:val="000000" w:themeColor="text1"/>
        </w:rPr>
        <w:t>（1）提供统一管理门户，实现计算资源、网络设备等的统一管理、业务配置下发、资源调度、负载均衡等功能；</w:t>
      </w:r>
    </w:p>
    <w:p>
      <w:pPr>
        <w:ind w:firstLine="480"/>
        <w:rPr>
          <w:color w:val="000000" w:themeColor="text1"/>
        </w:rPr>
      </w:pPr>
      <w:r>
        <w:rPr>
          <w:rFonts w:hint="eastAsia"/>
          <w:color w:val="000000" w:themeColor="text1"/>
        </w:rPr>
        <w:t>（2）提供统一运维门户，支持资源申请、资源状态检查、资源使用统计、故障排查等功能，并对收集到的运维信息（告警、拓扑、性能等）进行综合分析和呈现；</w:t>
      </w:r>
    </w:p>
    <w:p>
      <w:pPr>
        <w:pStyle w:val="6"/>
        <w:spacing w:before="120" w:after="120"/>
        <w:ind w:firstLine="480"/>
        <w:rPr>
          <w:color w:val="000000" w:themeColor="text1"/>
        </w:rPr>
      </w:pPr>
      <w:bookmarkStart w:id="405" w:name="_Toc532520543"/>
      <w:r>
        <w:rPr>
          <w:color w:val="000000" w:themeColor="text1"/>
        </w:rPr>
        <w:t>1.1.8</w:t>
      </w:r>
      <w:r>
        <w:rPr>
          <w:rFonts w:hint="eastAsia"/>
          <w:color w:val="000000" w:themeColor="text1"/>
        </w:rPr>
        <w:t>解析中心性能指标</w:t>
      </w:r>
      <w:bookmarkEnd w:id="405"/>
    </w:p>
    <w:p>
      <w:pPr>
        <w:pStyle w:val="7"/>
        <w:spacing w:before="120" w:after="120"/>
        <w:ind w:firstLine="480"/>
        <w:rPr>
          <w:color w:val="000000" w:themeColor="text1"/>
        </w:rPr>
      </w:pPr>
      <w:r>
        <w:rPr>
          <w:color w:val="000000" w:themeColor="text1"/>
        </w:rPr>
        <w:t>1.1.8.1</w:t>
      </w:r>
      <w:r>
        <w:rPr>
          <w:rFonts w:hint="eastAsia"/>
          <w:color w:val="000000" w:themeColor="text1"/>
        </w:rPr>
        <w:t>车辆二次分析性能指标</w:t>
      </w:r>
    </w:p>
    <w:p>
      <w:pPr>
        <w:ind w:firstLine="480"/>
        <w:rPr>
          <w:color w:val="000000" w:themeColor="text1"/>
        </w:rPr>
      </w:pPr>
      <w:r>
        <w:rPr>
          <w:rFonts w:hint="eastAsia"/>
          <w:color w:val="000000" w:themeColor="text1"/>
        </w:rPr>
        <w:t>（1）车辆目标检出准确率</w:t>
      </w:r>
    </w:p>
    <w:p>
      <w:pPr>
        <w:ind w:firstLine="480"/>
        <w:rPr>
          <w:color w:val="000000" w:themeColor="text1"/>
        </w:rPr>
      </w:pPr>
      <w:r>
        <w:rPr>
          <w:rFonts w:hint="eastAsia"/>
          <w:color w:val="000000" w:themeColor="text1"/>
        </w:rPr>
        <w:t>对视频图像中车辆视频图像质量良好的车辆目标进行检测，应符合以下要求：</w:t>
      </w:r>
    </w:p>
    <w:p>
      <w:pPr>
        <w:ind w:firstLine="480"/>
        <w:rPr>
          <w:color w:val="000000" w:themeColor="text1"/>
        </w:rPr>
      </w:pPr>
      <w:r>
        <w:rPr>
          <w:rFonts w:hint="eastAsia"/>
          <w:color w:val="000000" w:themeColor="text1"/>
        </w:rPr>
        <w:t>检测率应不低于90%</w:t>
      </w:r>
    </w:p>
    <w:p>
      <w:pPr>
        <w:ind w:firstLine="480"/>
        <w:rPr>
          <w:color w:val="000000" w:themeColor="text1"/>
        </w:rPr>
      </w:pPr>
      <w:r>
        <w:rPr>
          <w:rFonts w:hint="eastAsia"/>
          <w:color w:val="000000" w:themeColor="text1"/>
        </w:rPr>
        <w:t>误检率应不高于10%</w:t>
      </w:r>
    </w:p>
    <w:p>
      <w:pPr>
        <w:ind w:firstLine="480"/>
        <w:rPr>
          <w:color w:val="000000" w:themeColor="text1"/>
        </w:rPr>
      </w:pPr>
      <w:r>
        <w:rPr>
          <w:rFonts w:hint="eastAsia"/>
          <w:color w:val="000000" w:themeColor="text1"/>
        </w:rPr>
        <w:t>（2）车辆号牌检出准确率</w:t>
      </w:r>
    </w:p>
    <w:p>
      <w:pPr>
        <w:ind w:firstLine="480"/>
        <w:rPr>
          <w:color w:val="000000" w:themeColor="text1"/>
        </w:rPr>
      </w:pPr>
      <w:r>
        <w:rPr>
          <w:rFonts w:hint="eastAsia"/>
          <w:color w:val="000000" w:themeColor="text1"/>
        </w:rPr>
        <w:t>对视频图像中宽度大于100像素或车辆视频图像质量良好的车辆号牌进行检测，应符合以下要求：</w:t>
      </w:r>
    </w:p>
    <w:p>
      <w:pPr>
        <w:ind w:firstLine="480"/>
        <w:rPr>
          <w:color w:val="000000" w:themeColor="text1"/>
        </w:rPr>
      </w:pPr>
      <w:r>
        <w:rPr>
          <w:rFonts w:hint="eastAsia"/>
          <w:color w:val="000000" w:themeColor="text1"/>
        </w:rPr>
        <w:t>白天：车头方向的车辆号牌号码识别正确率不小于90%，车尾方向的车辆号牌号码识别正确率不小于80%</w:t>
      </w:r>
    </w:p>
    <w:p>
      <w:pPr>
        <w:ind w:firstLine="480"/>
        <w:rPr>
          <w:color w:val="000000" w:themeColor="text1"/>
        </w:rPr>
      </w:pPr>
      <w:r>
        <w:rPr>
          <w:rFonts w:hint="eastAsia"/>
          <w:color w:val="000000" w:themeColor="text1"/>
        </w:rPr>
        <w:t>夜间：车头方向的车辆号牌号码识别正确率不小于85%，车尾方向的车辆号牌号码识别正确率不小于70%</w:t>
      </w:r>
    </w:p>
    <w:p>
      <w:pPr>
        <w:ind w:firstLine="480"/>
        <w:rPr>
          <w:color w:val="000000" w:themeColor="text1"/>
        </w:rPr>
      </w:pPr>
      <w:r>
        <w:rPr>
          <w:rFonts w:hint="eastAsia"/>
          <w:color w:val="000000" w:themeColor="text1"/>
        </w:rPr>
        <w:t>日间号牌颜色识别正确率应不小于90%，夜间号牌颜色识别正确率应不小于80%</w:t>
      </w:r>
    </w:p>
    <w:p>
      <w:pPr>
        <w:ind w:firstLine="480"/>
        <w:rPr>
          <w:color w:val="000000" w:themeColor="text1"/>
        </w:rPr>
      </w:pPr>
      <w:r>
        <w:rPr>
          <w:rFonts w:hint="eastAsia"/>
          <w:color w:val="000000" w:themeColor="text1"/>
        </w:rPr>
        <w:t>号牌种类识别正确率应不小于90%</w:t>
      </w:r>
    </w:p>
    <w:p>
      <w:pPr>
        <w:ind w:firstLine="480"/>
        <w:rPr>
          <w:color w:val="000000" w:themeColor="text1"/>
        </w:rPr>
      </w:pPr>
      <w:r>
        <w:rPr>
          <w:rFonts w:hint="eastAsia"/>
          <w:color w:val="000000" w:themeColor="text1"/>
        </w:rPr>
        <w:t>（3）车辆目标基本特征检出准确率</w:t>
      </w:r>
    </w:p>
    <w:p>
      <w:pPr>
        <w:ind w:firstLine="480"/>
        <w:rPr>
          <w:color w:val="000000" w:themeColor="text1"/>
        </w:rPr>
      </w:pPr>
      <w:r>
        <w:rPr>
          <w:rFonts w:hint="eastAsia"/>
          <w:color w:val="000000" w:themeColor="text1"/>
        </w:rPr>
        <w:t>对视频图像中大于（256×256）像素或车辆视频图像质量良好的车辆目标的基本特征进行检测，应符合以下要求：</w:t>
      </w:r>
    </w:p>
    <w:p>
      <w:pPr>
        <w:ind w:firstLine="480"/>
        <w:rPr>
          <w:color w:val="000000" w:themeColor="text1"/>
        </w:rPr>
      </w:pPr>
      <w:r>
        <w:rPr>
          <w:rFonts w:hint="eastAsia"/>
          <w:color w:val="000000" w:themeColor="text1"/>
        </w:rPr>
        <w:t>车身颜色的识别正确率应不低于70%</w:t>
      </w:r>
    </w:p>
    <w:p>
      <w:pPr>
        <w:ind w:firstLine="480"/>
        <w:rPr>
          <w:color w:val="000000" w:themeColor="text1"/>
        </w:rPr>
      </w:pPr>
      <w:r>
        <w:rPr>
          <w:rFonts w:hint="eastAsia"/>
          <w:color w:val="000000" w:themeColor="text1"/>
        </w:rPr>
        <w:t>车辆类别的识别正确率应不低于90%</w:t>
      </w:r>
    </w:p>
    <w:p>
      <w:pPr>
        <w:ind w:firstLine="480"/>
        <w:rPr>
          <w:color w:val="000000" w:themeColor="text1"/>
        </w:rPr>
      </w:pPr>
      <w:r>
        <w:rPr>
          <w:rFonts w:hint="eastAsia"/>
          <w:color w:val="000000" w:themeColor="text1"/>
        </w:rPr>
        <w:t>车型的识别正确率应不低于90%</w:t>
      </w:r>
    </w:p>
    <w:p>
      <w:pPr>
        <w:ind w:firstLine="480"/>
        <w:rPr>
          <w:color w:val="000000" w:themeColor="text1"/>
        </w:rPr>
      </w:pPr>
      <w:r>
        <w:rPr>
          <w:rFonts w:hint="eastAsia"/>
          <w:color w:val="000000" w:themeColor="text1"/>
        </w:rPr>
        <w:t>（4）其他特征检出准确率</w:t>
      </w:r>
    </w:p>
    <w:p>
      <w:pPr>
        <w:ind w:firstLine="480"/>
        <w:rPr>
          <w:color w:val="000000" w:themeColor="text1"/>
        </w:rPr>
      </w:pPr>
      <w:r>
        <w:rPr>
          <w:rFonts w:hint="eastAsia"/>
          <w:color w:val="000000" w:themeColor="text1"/>
        </w:rPr>
        <w:t>未系安全带检测准确率不低于90%</w:t>
      </w:r>
    </w:p>
    <w:p>
      <w:pPr>
        <w:ind w:firstLine="480"/>
        <w:rPr>
          <w:color w:val="000000" w:themeColor="text1"/>
        </w:rPr>
      </w:pPr>
      <w:r>
        <w:rPr>
          <w:rFonts w:hint="eastAsia"/>
          <w:color w:val="000000" w:themeColor="text1"/>
        </w:rPr>
        <w:t>主驾驶员开车打电话检测准确率不低于90%</w:t>
      </w:r>
    </w:p>
    <w:p>
      <w:pPr>
        <w:ind w:firstLine="480"/>
        <w:rPr>
          <w:color w:val="000000" w:themeColor="text1"/>
        </w:rPr>
      </w:pPr>
      <w:r>
        <w:rPr>
          <w:rFonts w:hint="eastAsia"/>
          <w:color w:val="000000" w:themeColor="text1"/>
        </w:rPr>
        <w:t>（5）车身特征码处理要求</w:t>
      </w:r>
    </w:p>
    <w:p>
      <w:pPr>
        <w:ind w:firstLine="480"/>
        <w:rPr>
          <w:color w:val="000000" w:themeColor="text1"/>
        </w:rPr>
      </w:pPr>
      <w:r>
        <w:rPr>
          <w:rFonts w:hint="eastAsia"/>
          <w:color w:val="000000" w:themeColor="text1"/>
        </w:rPr>
        <w:t>车辆解析中心对视频图像进行结构化处理后，生成车身特征码，包含但不仅限于车辆的车牌号、基本特征、个体特征内容，以二进制格式描述图片中车辆个性化特征信息，用于快速特征检索。</w:t>
      </w:r>
    </w:p>
    <w:p>
      <w:pPr>
        <w:ind w:firstLine="480"/>
        <w:rPr>
          <w:color w:val="000000" w:themeColor="text1"/>
        </w:rPr>
      </w:pPr>
      <w:r>
        <w:rPr>
          <w:rFonts w:hint="eastAsia"/>
          <w:color w:val="000000" w:themeColor="text1"/>
        </w:rPr>
        <w:t>（6）视频图像的结构化处理要求</w:t>
      </w:r>
    </w:p>
    <w:p>
      <w:pPr>
        <w:ind w:firstLine="480"/>
        <w:rPr>
          <w:color w:val="000000" w:themeColor="text1"/>
        </w:rPr>
      </w:pPr>
      <w:r>
        <w:rPr>
          <w:rFonts w:hint="eastAsia"/>
          <w:color w:val="000000" w:themeColor="text1"/>
        </w:rPr>
        <w:t>市级系统在接收到车辆图片后，能够在秒级响应车辆的各类特征识别。</w:t>
      </w:r>
    </w:p>
    <w:p>
      <w:pPr>
        <w:pStyle w:val="7"/>
        <w:spacing w:before="120" w:after="120"/>
        <w:ind w:firstLine="480"/>
        <w:rPr>
          <w:color w:val="000000" w:themeColor="text1"/>
        </w:rPr>
      </w:pPr>
      <w:r>
        <w:rPr>
          <w:color w:val="000000" w:themeColor="text1"/>
        </w:rPr>
        <w:t>1.1.8.2</w:t>
      </w:r>
      <w:r>
        <w:rPr>
          <w:rFonts w:hint="eastAsia"/>
          <w:color w:val="000000" w:themeColor="text1"/>
        </w:rPr>
        <w:t>人像解析性能指标</w:t>
      </w:r>
    </w:p>
    <w:p>
      <w:pPr>
        <w:ind w:firstLine="480"/>
        <w:rPr>
          <w:color w:val="000000" w:themeColor="text1"/>
        </w:rPr>
      </w:pPr>
      <w:r>
        <w:rPr>
          <w:rFonts w:hint="eastAsia"/>
          <w:color w:val="000000" w:themeColor="text1"/>
        </w:rPr>
        <w:t xml:space="preserve"> (1)人脸捕获</w:t>
      </w:r>
    </w:p>
    <w:p>
      <w:pPr>
        <w:ind w:firstLine="480"/>
        <w:rPr>
          <w:color w:val="000000" w:themeColor="text1"/>
        </w:rPr>
      </w:pPr>
      <w:r>
        <w:rPr>
          <w:rFonts w:hint="eastAsia"/>
          <w:color w:val="000000" w:themeColor="text1"/>
        </w:rPr>
        <w:t>系统通过国际领先的人脸识别算法，为了保证系统在人流量较大的点位仍能维持高捕获率，采集视频流中人脸拍摄区域如同时出现多个人脸，至少可同时检测抓拍30个人脸；</w:t>
      </w:r>
    </w:p>
    <w:p>
      <w:pPr>
        <w:ind w:firstLine="480"/>
        <w:rPr>
          <w:color w:val="000000" w:themeColor="text1"/>
        </w:rPr>
      </w:pPr>
      <w:r>
        <w:rPr>
          <w:rFonts w:hint="eastAsia"/>
          <w:color w:val="000000" w:themeColor="text1"/>
        </w:rPr>
        <w:t>人像抓拍捕获率&gt;97%。</w:t>
      </w:r>
    </w:p>
    <w:p>
      <w:pPr>
        <w:ind w:firstLine="480"/>
        <w:rPr>
          <w:color w:val="000000" w:themeColor="text1"/>
        </w:rPr>
      </w:pPr>
      <w:r>
        <w:rPr>
          <w:rFonts w:hint="eastAsia"/>
          <w:color w:val="000000" w:themeColor="text1"/>
        </w:rPr>
        <w:t>人像误抓拍率&lt;0.1%。</w:t>
      </w:r>
    </w:p>
    <w:p>
      <w:pPr>
        <w:ind w:firstLine="480"/>
        <w:rPr>
          <w:color w:val="000000" w:themeColor="text1"/>
        </w:rPr>
      </w:pPr>
      <w:r>
        <w:rPr>
          <w:rFonts w:hint="eastAsia"/>
          <w:color w:val="000000" w:themeColor="text1"/>
        </w:rPr>
        <w:t>（2）布控</w:t>
      </w:r>
    </w:p>
    <w:p>
      <w:pPr>
        <w:ind w:firstLine="480"/>
        <w:rPr>
          <w:color w:val="000000" w:themeColor="text1"/>
        </w:rPr>
      </w:pPr>
      <w:r>
        <w:rPr>
          <w:rFonts w:hint="eastAsia"/>
          <w:color w:val="000000" w:themeColor="text1"/>
        </w:rPr>
        <w:t>a)</w:t>
      </w:r>
      <w:r>
        <w:rPr>
          <w:rFonts w:hint="eastAsia"/>
          <w:color w:val="000000" w:themeColor="text1"/>
        </w:rPr>
        <w:tab/>
      </w:r>
      <w:r>
        <w:rPr>
          <w:rFonts w:hint="eastAsia"/>
          <w:color w:val="000000" w:themeColor="text1"/>
        </w:rPr>
        <w:t>在10万布控库下，当目标人出现于摄像机画面时，系统应实时报警，报警延迟不超过3秒；</w:t>
      </w:r>
    </w:p>
    <w:p>
      <w:pPr>
        <w:ind w:firstLine="480"/>
        <w:rPr>
          <w:color w:val="000000" w:themeColor="text1"/>
        </w:rPr>
      </w:pPr>
      <w:r>
        <w:rPr>
          <w:rFonts w:hint="eastAsia"/>
          <w:color w:val="000000" w:themeColor="text1"/>
        </w:rPr>
        <w:t>b)</w:t>
      </w:r>
      <w:r>
        <w:rPr>
          <w:rFonts w:hint="eastAsia"/>
          <w:color w:val="000000" w:themeColor="text1"/>
        </w:rPr>
        <w:tab/>
      </w:r>
      <w:r>
        <w:rPr>
          <w:rFonts w:hint="eastAsia"/>
          <w:color w:val="000000" w:themeColor="text1"/>
        </w:rPr>
        <w:t>在非布控名单误报率不大于0.1%的情况下，系统应满足以下识别指标：</w:t>
      </w:r>
    </w:p>
    <w:p>
      <w:pPr>
        <w:ind w:firstLine="480"/>
        <w:rPr>
          <w:color w:val="000000" w:themeColor="text1"/>
        </w:rPr>
      </w:pPr>
      <w:r>
        <w:rPr>
          <w:rFonts w:hint="eastAsia"/>
          <w:color w:val="000000" w:themeColor="text1"/>
        </w:rPr>
        <w:t>布控名单长度</w:t>
      </w:r>
      <w:r>
        <w:rPr>
          <w:rFonts w:hint="eastAsia"/>
          <w:color w:val="000000" w:themeColor="text1"/>
        </w:rPr>
        <w:tab/>
      </w:r>
      <w:r>
        <w:rPr>
          <w:rFonts w:hint="eastAsia"/>
          <w:color w:val="000000" w:themeColor="text1"/>
        </w:rPr>
        <w:t>布控名单命中率</w:t>
      </w:r>
    </w:p>
    <w:p>
      <w:pPr>
        <w:ind w:firstLine="480"/>
        <w:rPr>
          <w:color w:val="000000" w:themeColor="text1"/>
        </w:rPr>
      </w:pPr>
      <w:r>
        <w:rPr>
          <w:rFonts w:hint="eastAsia"/>
          <w:color w:val="000000" w:themeColor="text1"/>
        </w:rPr>
        <w:t>［1，10000］≥90%</w:t>
      </w:r>
    </w:p>
    <w:p>
      <w:pPr>
        <w:ind w:firstLine="480"/>
        <w:rPr>
          <w:color w:val="000000" w:themeColor="text1"/>
        </w:rPr>
      </w:pPr>
      <w:r>
        <w:rPr>
          <w:rFonts w:hint="eastAsia"/>
          <w:color w:val="000000" w:themeColor="text1"/>
        </w:rPr>
        <w:t>［10001，100000］≥85%</w:t>
      </w:r>
    </w:p>
    <w:p>
      <w:pPr>
        <w:ind w:firstLine="480"/>
        <w:rPr>
          <w:color w:val="000000" w:themeColor="text1"/>
        </w:rPr>
      </w:pPr>
      <w:r>
        <w:rPr>
          <w:rFonts w:hint="eastAsia"/>
          <w:color w:val="000000" w:themeColor="text1"/>
        </w:rPr>
        <w:t>c)</w:t>
      </w:r>
      <w:r>
        <w:rPr>
          <w:rFonts w:hint="eastAsia"/>
          <w:color w:val="000000" w:themeColor="text1"/>
        </w:rPr>
        <w:tab/>
      </w:r>
      <w:r>
        <w:rPr>
          <w:rFonts w:hint="eastAsia"/>
          <w:color w:val="000000" w:themeColor="text1"/>
        </w:rPr>
        <w:t>系统应自动向各级报警中心提供报警信息并发出声音提示，同时显示抓拍人员的人脸照片、场景图片及人脸布控库比对命中照片。</w:t>
      </w:r>
    </w:p>
    <w:p>
      <w:pPr>
        <w:ind w:firstLine="480"/>
        <w:rPr>
          <w:color w:val="000000" w:themeColor="text1"/>
        </w:rPr>
      </w:pPr>
      <w:r>
        <w:rPr>
          <w:rFonts w:hint="eastAsia"/>
          <w:color w:val="000000" w:themeColor="text1"/>
        </w:rPr>
        <w:t>d)</w:t>
      </w:r>
      <w:r>
        <w:rPr>
          <w:rFonts w:hint="eastAsia"/>
          <w:color w:val="000000" w:themeColor="text1"/>
        </w:rPr>
        <w:tab/>
      </w:r>
      <w:r>
        <w:rPr>
          <w:rFonts w:hint="eastAsia"/>
          <w:color w:val="000000" w:themeColor="text1"/>
        </w:rPr>
        <w:t>布控库可根据警种、管控需求不同设置多个布控子库，根据设定选择可向不同类别用户推送各自需求的报警信息。</w:t>
      </w:r>
    </w:p>
    <w:p>
      <w:pPr>
        <w:ind w:firstLine="480"/>
        <w:rPr>
          <w:color w:val="000000" w:themeColor="text1"/>
        </w:rPr>
      </w:pPr>
      <w:r>
        <w:rPr>
          <w:rFonts w:hint="eastAsia"/>
          <w:color w:val="000000" w:themeColor="text1"/>
        </w:rPr>
        <w:t>（3）建库</w:t>
      </w:r>
    </w:p>
    <w:p>
      <w:pPr>
        <w:ind w:firstLine="480"/>
        <w:rPr>
          <w:color w:val="000000" w:themeColor="text1"/>
        </w:rPr>
      </w:pPr>
      <w:r>
        <w:rPr>
          <w:rFonts w:hint="eastAsia"/>
          <w:color w:val="000000" w:themeColor="text1"/>
        </w:rPr>
        <w:t>a)</w:t>
      </w:r>
      <w:r>
        <w:rPr>
          <w:rFonts w:hint="eastAsia"/>
          <w:color w:val="000000" w:themeColor="text1"/>
        </w:rPr>
        <w:tab/>
      </w:r>
      <w:r>
        <w:rPr>
          <w:rFonts w:hint="eastAsia"/>
          <w:color w:val="000000" w:themeColor="text1"/>
        </w:rPr>
        <w:t>建库指对人像基础库进行特征抽取，建成基础人像特征库；</w:t>
      </w:r>
    </w:p>
    <w:p>
      <w:pPr>
        <w:ind w:firstLine="480"/>
        <w:rPr>
          <w:color w:val="000000" w:themeColor="text1"/>
        </w:rPr>
      </w:pPr>
      <w:r>
        <w:rPr>
          <w:rFonts w:hint="eastAsia"/>
          <w:color w:val="000000" w:themeColor="text1"/>
        </w:rPr>
        <w:t>b)</w:t>
      </w:r>
      <w:r>
        <w:rPr>
          <w:rFonts w:hint="eastAsia"/>
          <w:color w:val="000000" w:themeColor="text1"/>
        </w:rPr>
        <w:tab/>
      </w:r>
      <w:r>
        <w:rPr>
          <w:rFonts w:hint="eastAsia"/>
          <w:color w:val="000000" w:themeColor="text1"/>
        </w:rPr>
        <w:t>入库成功率应达到99%以上；</w:t>
      </w:r>
    </w:p>
    <w:p>
      <w:pPr>
        <w:ind w:firstLine="480"/>
        <w:rPr>
          <w:color w:val="000000" w:themeColor="text1"/>
        </w:rPr>
      </w:pPr>
      <w:r>
        <w:rPr>
          <w:rFonts w:hint="eastAsia"/>
          <w:color w:val="000000" w:themeColor="text1"/>
        </w:rPr>
        <w:t>c)</w:t>
      </w:r>
      <w:r>
        <w:rPr>
          <w:rFonts w:hint="eastAsia"/>
          <w:color w:val="000000" w:themeColor="text1"/>
        </w:rPr>
        <w:tab/>
      </w:r>
      <w:r>
        <w:rPr>
          <w:rFonts w:hint="eastAsia"/>
          <w:color w:val="000000" w:themeColor="text1"/>
        </w:rPr>
        <w:t>10000张人脸库导入建模时间&lt;5分钟</w:t>
      </w:r>
    </w:p>
    <w:p>
      <w:pPr>
        <w:ind w:firstLine="480"/>
        <w:rPr>
          <w:color w:val="000000" w:themeColor="text1"/>
        </w:rPr>
      </w:pPr>
      <w:r>
        <w:rPr>
          <w:rFonts w:hint="eastAsia"/>
          <w:color w:val="000000" w:themeColor="text1"/>
        </w:rPr>
        <w:t>d)</w:t>
      </w:r>
      <w:r>
        <w:rPr>
          <w:rFonts w:hint="eastAsia"/>
          <w:color w:val="000000" w:themeColor="text1"/>
        </w:rPr>
        <w:tab/>
      </w:r>
      <w:r>
        <w:rPr>
          <w:rFonts w:hint="eastAsia"/>
          <w:color w:val="000000" w:themeColor="text1"/>
        </w:rPr>
        <w:t>人脸图片建模成功率达到99%以上。</w:t>
      </w:r>
    </w:p>
    <w:p>
      <w:pPr>
        <w:ind w:firstLine="480"/>
        <w:rPr>
          <w:color w:val="000000" w:themeColor="text1"/>
        </w:rPr>
      </w:pPr>
      <w:r>
        <w:rPr>
          <w:rFonts w:hint="eastAsia"/>
          <w:color w:val="000000" w:themeColor="text1"/>
        </w:rPr>
        <w:t>（4）人脸以图搜图（1：N）</w:t>
      </w:r>
    </w:p>
    <w:p>
      <w:pPr>
        <w:ind w:firstLine="480"/>
        <w:rPr>
          <w:color w:val="000000" w:themeColor="text1"/>
        </w:rPr>
      </w:pPr>
      <w:r>
        <w:rPr>
          <w:rFonts w:hint="eastAsia"/>
          <w:color w:val="000000" w:themeColor="text1"/>
        </w:rPr>
        <w:t>a)</w:t>
      </w:r>
      <w:r>
        <w:rPr>
          <w:rFonts w:hint="eastAsia"/>
          <w:color w:val="000000" w:themeColor="text1"/>
        </w:rPr>
        <w:tab/>
      </w:r>
      <w:r>
        <w:rPr>
          <w:rFonts w:hint="eastAsia"/>
          <w:color w:val="000000" w:themeColor="text1"/>
        </w:rPr>
        <w:t>支持上传一张照片，在路人库中检索（路人检索），找出相似度最高的图片的功能，系统根据相似度高低排序；</w:t>
      </w:r>
    </w:p>
    <w:p>
      <w:pPr>
        <w:ind w:firstLine="480"/>
        <w:rPr>
          <w:color w:val="000000" w:themeColor="text1"/>
        </w:rPr>
      </w:pPr>
      <w:r>
        <w:rPr>
          <w:rFonts w:hint="eastAsia"/>
          <w:color w:val="000000" w:themeColor="text1"/>
        </w:rPr>
        <w:t>b)</w:t>
      </w:r>
      <w:r>
        <w:rPr>
          <w:rFonts w:hint="eastAsia"/>
          <w:color w:val="000000" w:themeColor="text1"/>
        </w:rPr>
        <w:tab/>
      </w:r>
      <w:r>
        <w:rPr>
          <w:rFonts w:hint="eastAsia"/>
          <w:color w:val="000000" w:themeColor="text1"/>
        </w:rPr>
        <w:t>1000万证件照人像库检索首位命中率应达到90%以上，检索秒级响应。</w:t>
      </w:r>
    </w:p>
    <w:p>
      <w:pPr>
        <w:pStyle w:val="118"/>
        <w:spacing w:before="120" w:after="120"/>
        <w:rPr>
          <w:color w:val="000000" w:themeColor="text1"/>
        </w:rPr>
      </w:pPr>
      <w:r>
        <w:rPr>
          <w:rFonts w:hint="eastAsia"/>
          <w:color w:val="000000" w:themeColor="text1"/>
        </w:rPr>
        <w:t>须实现人像的实时在线解析，部署一人一档软件平台，系统支持对</w:t>
      </w:r>
      <w:r>
        <w:rPr>
          <w:color w:val="000000" w:themeColor="text1"/>
        </w:rPr>
        <w:t>1</w:t>
      </w:r>
      <w:r>
        <w:rPr>
          <w:rFonts w:hint="eastAsia"/>
          <w:color w:val="000000" w:themeColor="text1"/>
        </w:rPr>
        <w:t>万路以上前端设备采集的人脸照片进行聚档，路人轨迹、同行人分析、落脚点分析、昼伏夜出、频繁路人、轨迹展示等功能，可支持查询一年的档案数据，查询结果</w:t>
      </w:r>
      <w:r>
        <w:rPr>
          <w:color w:val="000000" w:themeColor="text1"/>
        </w:rPr>
        <w:t>3</w:t>
      </w:r>
      <w:r>
        <w:rPr>
          <w:rFonts w:hint="eastAsia"/>
          <w:color w:val="000000" w:themeColor="text1"/>
        </w:rPr>
        <w:t>秒内返回，相应的数据接口必须按照采购人要求进行开放。支持前端摄像头的动态分配。</w:t>
      </w:r>
    </w:p>
    <w:p>
      <w:pPr>
        <w:pStyle w:val="7"/>
        <w:spacing w:before="120" w:after="120"/>
        <w:ind w:firstLine="480"/>
        <w:rPr>
          <w:color w:val="000000" w:themeColor="text1"/>
        </w:rPr>
      </w:pPr>
      <w:r>
        <w:rPr>
          <w:color w:val="000000" w:themeColor="text1"/>
        </w:rPr>
        <w:t>1.1.8.3</w:t>
      </w:r>
      <w:r>
        <w:rPr>
          <w:rFonts w:hint="eastAsia"/>
          <w:color w:val="000000" w:themeColor="text1"/>
        </w:rPr>
        <w:t>视频萃取性能指标</w:t>
      </w:r>
    </w:p>
    <w:p>
      <w:pPr>
        <w:ind w:firstLine="480"/>
        <w:rPr>
          <w:color w:val="000000" w:themeColor="text1"/>
        </w:rPr>
      </w:pPr>
      <w:r>
        <w:rPr>
          <w:rFonts w:hint="eastAsia"/>
          <w:color w:val="000000" w:themeColor="text1"/>
        </w:rPr>
        <w:t>行人目标识别性能：对白天对比度良好的720P/1080P视频中大于64X64像素的无遮挡行人进行检索，识别准确率不低于90%。</w:t>
      </w:r>
    </w:p>
    <w:p>
      <w:pPr>
        <w:ind w:firstLine="480"/>
        <w:rPr>
          <w:color w:val="000000" w:themeColor="text1"/>
        </w:rPr>
      </w:pPr>
      <w:r>
        <w:rPr>
          <w:rFonts w:hint="eastAsia"/>
          <w:color w:val="000000" w:themeColor="text1"/>
        </w:rPr>
        <w:t>行人性别识别性能：对白天对比度良好的720P/1080P视频中大于256X256像素的无遮挡行人进行检索，识别准确率不低于90%。</w:t>
      </w:r>
    </w:p>
    <w:p>
      <w:pPr>
        <w:ind w:firstLine="480"/>
        <w:rPr>
          <w:color w:val="000000" w:themeColor="text1"/>
        </w:rPr>
      </w:pPr>
      <w:r>
        <w:rPr>
          <w:rFonts w:hint="eastAsia"/>
          <w:color w:val="000000" w:themeColor="text1"/>
        </w:rPr>
        <w:t>行人上半身衣着颜色结构化检索性能：对白天对比度良好的720P/1080P视频中大于256X256像素的无遮挡行人进行上半身颜色（红、黄、绿、蓝、白、黑）结构化分类检索，识别准确率不低于85%。</w:t>
      </w:r>
    </w:p>
    <w:p>
      <w:pPr>
        <w:pStyle w:val="7"/>
        <w:spacing w:before="120" w:after="120"/>
        <w:ind w:firstLine="480"/>
        <w:rPr>
          <w:color w:val="000000" w:themeColor="text1"/>
        </w:rPr>
      </w:pPr>
      <w:bookmarkStart w:id="406" w:name="_Toc532520544"/>
      <w:r>
        <w:rPr>
          <w:color w:val="000000" w:themeColor="text1"/>
        </w:rPr>
        <w:t>1.1.8.4</w:t>
      </w:r>
      <w:r>
        <w:rPr>
          <w:rFonts w:hint="eastAsia"/>
          <w:color w:val="000000" w:themeColor="text1"/>
        </w:rPr>
        <w:t>网络指标</w:t>
      </w:r>
      <w:bookmarkEnd w:id="406"/>
    </w:p>
    <w:p>
      <w:pPr>
        <w:ind w:firstLine="480"/>
        <w:rPr>
          <w:color w:val="000000" w:themeColor="text1"/>
        </w:rPr>
      </w:pPr>
      <w:r>
        <w:rPr>
          <w:rFonts w:hint="eastAsia"/>
          <w:color w:val="000000" w:themeColor="text1"/>
        </w:rPr>
        <w:t>公安视频专网内各个交换机满足本次高峰期业务量转发需求，各条链路满足高峰期数据的传输要求。市局及市交警汇聚交换机与公安视频专网核心交换机之间的链路分别为2条10G链路，各县（市、区）核心交换机至市本级核心交换机之间为2条10G链路，市本级核心设备与解析中心核心设备之间为2条40G链路。同时满足独立组网、高带宽、双路由、双万兆的需求。</w:t>
      </w:r>
    </w:p>
    <w:p>
      <w:pPr>
        <w:pStyle w:val="5"/>
        <w:spacing w:before="120" w:after="120"/>
        <w:ind w:firstLine="480"/>
        <w:rPr>
          <w:color w:val="000000" w:themeColor="text1"/>
        </w:rPr>
      </w:pPr>
      <w:r>
        <w:rPr>
          <w:color w:val="000000" w:themeColor="text1"/>
        </w:rPr>
        <w:t>1.2</w:t>
      </w:r>
      <w:r>
        <w:rPr>
          <w:rFonts w:hint="eastAsia"/>
          <w:color w:val="000000" w:themeColor="text1"/>
        </w:rPr>
        <w:t>视频萃取应用</w:t>
      </w:r>
    </w:p>
    <w:p>
      <w:pPr>
        <w:ind w:firstLine="480"/>
        <w:rPr>
          <w:color w:val="000000" w:themeColor="text1"/>
        </w:rPr>
      </w:pPr>
      <w:r>
        <w:rPr>
          <w:rFonts w:hint="eastAsia"/>
          <w:color w:val="000000" w:themeColor="text1"/>
        </w:rPr>
        <w:t>在公安实战应用需要视频结构化技术将视频内容中的重要信息进行结构化提取，按照语义关系，采用时空分割、特征提取、对象识别、深度学习等处理手段，组织成可供计算机和人理解的文本信息或可视化图形信息，从而实现视频数据向有效情报的转化。</w:t>
      </w:r>
    </w:p>
    <w:p>
      <w:pPr>
        <w:pStyle w:val="7"/>
        <w:spacing w:before="120" w:after="120"/>
        <w:ind w:firstLine="480"/>
        <w:rPr>
          <w:color w:val="000000" w:themeColor="text1"/>
        </w:rPr>
      </w:pPr>
      <w:r>
        <w:rPr>
          <w:color w:val="000000" w:themeColor="text1"/>
        </w:rPr>
        <w:t>1.2.1</w:t>
      </w:r>
      <w:r>
        <w:rPr>
          <w:rFonts w:hint="eastAsia"/>
          <w:color w:val="000000" w:themeColor="text1"/>
        </w:rPr>
        <w:t>系统架构</w:t>
      </w:r>
    </w:p>
    <w:p>
      <w:pPr>
        <w:keepNext/>
        <w:jc w:val="center"/>
        <w:rPr>
          <w:rFonts w:ascii="宋体" w:hAnsi="宋体"/>
          <w:color w:val="000000" w:themeColor="text1"/>
        </w:rPr>
      </w:pPr>
      <w:r>
        <w:rPr>
          <w:rFonts w:ascii="宋体" w:hAnsi="宋体"/>
          <w:color w:val="000000" w:themeColor="text1"/>
        </w:rPr>
        <w:drawing>
          <wp:inline distT="0" distB="0" distL="0" distR="0">
            <wp:extent cx="4629150" cy="3381375"/>
            <wp:effectExtent l="19050" t="0" r="0" b="0"/>
            <wp:docPr id="37" name="图片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94"/>
                    <pic:cNvPicPr>
                      <a:picLocks noChangeAspect="1" noChangeArrowheads="1"/>
                    </pic:cNvPicPr>
                  </pic:nvPicPr>
                  <pic:blipFill>
                    <a:blip r:embed="rId77"/>
                    <a:srcRect/>
                    <a:stretch>
                      <a:fillRect/>
                    </a:stretch>
                  </pic:blipFill>
                  <pic:spPr>
                    <a:xfrm>
                      <a:off x="0" y="0"/>
                      <a:ext cx="4629150" cy="3381375"/>
                    </a:xfrm>
                    <a:prstGeom prst="rect">
                      <a:avLst/>
                    </a:prstGeom>
                    <a:noFill/>
                    <a:ln w="9525">
                      <a:noFill/>
                      <a:miter lim="800000"/>
                      <a:headEnd/>
                      <a:tailEnd/>
                    </a:ln>
                  </pic:spPr>
                </pic:pic>
              </a:graphicData>
            </a:graphic>
          </wp:inline>
        </w:drawing>
      </w:r>
    </w:p>
    <w:p>
      <w:pPr>
        <w:snapToGrid w:val="0"/>
        <w:jc w:val="center"/>
        <w:rPr>
          <w:rFonts w:ascii="宋体" w:hAnsi="宋体"/>
          <w:color w:val="000000" w:themeColor="text1"/>
        </w:rPr>
      </w:pPr>
      <w:r>
        <w:rPr>
          <w:rFonts w:hint="eastAsia" w:ascii="宋体" w:hAnsi="宋体"/>
          <w:color w:val="000000" w:themeColor="text1"/>
        </w:rPr>
        <w:t>视频萃取应用系统架构图</w:t>
      </w:r>
    </w:p>
    <w:p>
      <w:pPr>
        <w:ind w:firstLine="480"/>
        <w:rPr>
          <w:color w:val="000000" w:themeColor="text1"/>
        </w:rPr>
      </w:pPr>
      <w:r>
        <w:rPr>
          <w:rFonts w:hint="eastAsia"/>
          <w:color w:val="000000" w:themeColor="text1"/>
        </w:rPr>
        <w:t>视图萃取系统主要对前端的实时视频和录像，通过任务调度功能，进行人、车、物分离，对视图中的高价值信息进行长期保存，从看视频变成搜视频，从而形成智能检索、图片智能处理和全局搜索分析应用，大大节约视频侦查时间和人力成本。</w:t>
      </w:r>
    </w:p>
    <w:p>
      <w:pPr>
        <w:pStyle w:val="7"/>
        <w:spacing w:before="120" w:after="120"/>
        <w:ind w:firstLine="480"/>
        <w:rPr>
          <w:color w:val="000000" w:themeColor="text1"/>
        </w:rPr>
      </w:pPr>
      <w:r>
        <w:rPr>
          <w:color w:val="000000" w:themeColor="text1"/>
        </w:rPr>
        <w:t>1.2.2</w:t>
      </w:r>
      <w:r>
        <w:rPr>
          <w:rFonts w:hint="eastAsia"/>
          <w:color w:val="000000" w:themeColor="text1"/>
        </w:rPr>
        <w:t>功能模块</w:t>
      </w:r>
    </w:p>
    <w:p>
      <w:pPr>
        <w:ind w:firstLine="480"/>
        <w:rPr>
          <w:color w:val="000000" w:themeColor="text1"/>
        </w:rPr>
      </w:pPr>
      <w:r>
        <w:rPr>
          <w:rFonts w:hint="eastAsia"/>
          <w:color w:val="000000" w:themeColor="text1"/>
        </w:rPr>
        <w:t>系统主要功能包括：</w:t>
      </w:r>
    </w:p>
    <w:p>
      <w:pPr>
        <w:ind w:firstLine="480"/>
        <w:rPr>
          <w:color w:val="000000" w:themeColor="text1"/>
        </w:rPr>
      </w:pPr>
      <w:r>
        <w:rPr>
          <w:rFonts w:hint="eastAsia"/>
          <w:color w:val="000000" w:themeColor="text1"/>
        </w:rPr>
        <w:t>1、智能检索</w:t>
      </w:r>
    </w:p>
    <w:p>
      <w:pPr>
        <w:ind w:firstLine="480"/>
        <w:rPr>
          <w:color w:val="000000" w:themeColor="text1"/>
        </w:rPr>
      </w:pPr>
      <w:r>
        <w:rPr>
          <w:rFonts w:hint="eastAsia"/>
          <w:color w:val="000000" w:themeColor="text1"/>
        </w:rPr>
        <w:t>视频萃取应用智能检索具备的功能如下：</w:t>
      </w:r>
    </w:p>
    <w:p>
      <w:pPr>
        <w:ind w:firstLine="480"/>
        <w:rPr>
          <w:color w:val="000000" w:themeColor="text1"/>
        </w:rPr>
      </w:pPr>
      <w:r>
        <w:rPr>
          <w:rFonts w:hint="eastAsia"/>
          <w:color w:val="000000" w:themeColor="text1"/>
        </w:rPr>
        <w:t>目标类型检索</w:t>
      </w:r>
      <w:r>
        <w:rPr>
          <w:rFonts w:hint="eastAsia"/>
          <w:color w:val="000000" w:themeColor="text1"/>
        </w:rPr>
        <w:tab/>
      </w:r>
    </w:p>
    <w:p>
      <w:pPr>
        <w:ind w:firstLine="480"/>
        <w:rPr>
          <w:color w:val="000000" w:themeColor="text1"/>
        </w:rPr>
      </w:pPr>
      <w:r>
        <w:rPr>
          <w:rFonts w:hint="eastAsia"/>
          <w:color w:val="000000" w:themeColor="text1"/>
        </w:rPr>
        <w:t>支持以人、机动车、非机动车为条件进行智能检索；</w:t>
      </w:r>
    </w:p>
    <w:p>
      <w:pPr>
        <w:ind w:firstLine="480"/>
        <w:rPr>
          <w:color w:val="000000" w:themeColor="text1"/>
        </w:rPr>
      </w:pPr>
      <w:r>
        <w:rPr>
          <w:rFonts w:hint="eastAsia"/>
          <w:color w:val="000000" w:themeColor="text1"/>
        </w:rPr>
        <w:t>按时间段检索</w:t>
      </w:r>
      <w:r>
        <w:rPr>
          <w:rFonts w:hint="eastAsia"/>
          <w:color w:val="000000" w:themeColor="text1"/>
        </w:rPr>
        <w:tab/>
      </w:r>
    </w:p>
    <w:p>
      <w:pPr>
        <w:ind w:firstLine="480"/>
        <w:rPr>
          <w:color w:val="000000" w:themeColor="text1"/>
        </w:rPr>
      </w:pPr>
      <w:r>
        <w:rPr>
          <w:rFonts w:hint="eastAsia"/>
          <w:color w:val="000000" w:themeColor="text1"/>
        </w:rPr>
        <w:t>支持按时间段检索目标，可设置检索的起始和结束时间；</w:t>
      </w:r>
    </w:p>
    <w:p>
      <w:pPr>
        <w:ind w:firstLine="480"/>
        <w:rPr>
          <w:color w:val="000000" w:themeColor="text1"/>
        </w:rPr>
      </w:pPr>
      <w:r>
        <w:rPr>
          <w:rFonts w:hint="eastAsia"/>
          <w:color w:val="000000" w:themeColor="text1"/>
        </w:rPr>
        <w:t>车辆信息检索</w:t>
      </w:r>
      <w:r>
        <w:rPr>
          <w:rFonts w:hint="eastAsia"/>
          <w:color w:val="000000" w:themeColor="text1"/>
        </w:rPr>
        <w:tab/>
      </w:r>
    </w:p>
    <w:p>
      <w:pPr>
        <w:ind w:firstLine="480"/>
        <w:rPr>
          <w:color w:val="000000" w:themeColor="text1"/>
        </w:rPr>
      </w:pPr>
      <w:r>
        <w:rPr>
          <w:rFonts w:hint="eastAsia"/>
          <w:color w:val="000000" w:themeColor="text1"/>
        </w:rPr>
        <w:t>支持以设备通道、过车时间、车牌号、车辆颜色、车辆类型、车辆品牌为条件对车辆进行检索；</w:t>
      </w:r>
    </w:p>
    <w:p>
      <w:pPr>
        <w:ind w:firstLine="480"/>
        <w:rPr>
          <w:color w:val="000000" w:themeColor="text1"/>
        </w:rPr>
      </w:pPr>
      <w:r>
        <w:rPr>
          <w:rFonts w:hint="eastAsia"/>
          <w:color w:val="000000" w:themeColor="text1"/>
        </w:rPr>
        <w:t>支持车牌号码模糊检索功能；</w:t>
      </w:r>
    </w:p>
    <w:p>
      <w:pPr>
        <w:ind w:firstLine="480"/>
        <w:rPr>
          <w:color w:val="000000" w:themeColor="text1"/>
        </w:rPr>
      </w:pPr>
      <w:r>
        <w:rPr>
          <w:rFonts w:hint="eastAsia"/>
          <w:color w:val="000000" w:themeColor="text1"/>
        </w:rPr>
        <w:t>行人信息检索</w:t>
      </w:r>
      <w:r>
        <w:rPr>
          <w:rFonts w:hint="eastAsia"/>
          <w:color w:val="000000" w:themeColor="text1"/>
        </w:rPr>
        <w:tab/>
      </w:r>
    </w:p>
    <w:p>
      <w:pPr>
        <w:ind w:firstLine="480"/>
        <w:rPr>
          <w:color w:val="000000" w:themeColor="text1"/>
        </w:rPr>
      </w:pPr>
      <w:r>
        <w:rPr>
          <w:rFonts w:hint="eastAsia"/>
          <w:color w:val="000000" w:themeColor="text1"/>
        </w:rPr>
        <w:t>支持以通道、经过时间、支持性别、主体颜色等特征进行人体特征检索；</w:t>
      </w:r>
    </w:p>
    <w:p>
      <w:pPr>
        <w:ind w:firstLine="480"/>
        <w:rPr>
          <w:color w:val="000000" w:themeColor="text1"/>
        </w:rPr>
      </w:pPr>
      <w:r>
        <w:rPr>
          <w:rFonts w:hint="eastAsia"/>
          <w:color w:val="000000" w:themeColor="text1"/>
        </w:rPr>
        <w:t>检索结果</w:t>
      </w:r>
    </w:p>
    <w:p>
      <w:pPr>
        <w:ind w:firstLine="480"/>
        <w:rPr>
          <w:color w:val="000000" w:themeColor="text1"/>
        </w:rPr>
      </w:pPr>
      <w:r>
        <w:rPr>
          <w:rFonts w:hint="eastAsia"/>
          <w:color w:val="000000" w:themeColor="text1"/>
        </w:rPr>
        <w:t>车辆检索结果应包括过车的时间、车牌号、车辆颜色、车辆类型、车辆品牌，车辆子品牌、车辆方向，遮阳板、安全带、打手机以及对应的车辆图片等信息；</w:t>
      </w:r>
    </w:p>
    <w:p>
      <w:pPr>
        <w:ind w:firstLine="480"/>
        <w:rPr>
          <w:color w:val="000000" w:themeColor="text1"/>
        </w:rPr>
      </w:pPr>
      <w:r>
        <w:rPr>
          <w:rFonts w:hint="eastAsia"/>
          <w:color w:val="000000" w:themeColor="text1"/>
        </w:rPr>
        <w:t>行人检索结果应包括时间、颜色、运动方向、速度、性别、是否骑车及对应的图片等信息；</w:t>
      </w:r>
    </w:p>
    <w:p>
      <w:pPr>
        <w:ind w:firstLine="480"/>
        <w:rPr>
          <w:color w:val="000000" w:themeColor="text1"/>
        </w:rPr>
      </w:pPr>
      <w:r>
        <w:rPr>
          <w:rFonts w:hint="eastAsia"/>
          <w:color w:val="000000" w:themeColor="text1"/>
        </w:rPr>
        <w:t>车辆、人、活动目标的检索结果支持以缩略图形式展现。</w:t>
      </w:r>
    </w:p>
    <w:p>
      <w:pPr>
        <w:ind w:firstLine="480"/>
        <w:rPr>
          <w:color w:val="000000" w:themeColor="text1"/>
        </w:rPr>
      </w:pPr>
      <w:r>
        <w:rPr>
          <w:rFonts w:hint="eastAsia"/>
          <w:color w:val="000000" w:themeColor="text1"/>
        </w:rPr>
        <w:t>数据导出</w:t>
      </w:r>
      <w:r>
        <w:rPr>
          <w:rFonts w:hint="eastAsia"/>
          <w:color w:val="000000" w:themeColor="text1"/>
        </w:rPr>
        <w:tab/>
      </w:r>
    </w:p>
    <w:p>
      <w:pPr>
        <w:ind w:firstLine="480"/>
        <w:rPr>
          <w:color w:val="000000" w:themeColor="text1"/>
        </w:rPr>
      </w:pPr>
      <w:r>
        <w:rPr>
          <w:rFonts w:hint="eastAsia"/>
          <w:color w:val="000000" w:themeColor="text1"/>
        </w:rPr>
        <w:t>支持将检索到的结构化数据和图片结果以Excel表格形式导出。</w:t>
      </w:r>
    </w:p>
    <w:p>
      <w:pPr>
        <w:ind w:firstLine="480"/>
        <w:rPr>
          <w:color w:val="000000" w:themeColor="text1"/>
        </w:rPr>
      </w:pPr>
      <w:r>
        <w:rPr>
          <w:rFonts w:hint="eastAsia"/>
          <w:color w:val="000000" w:themeColor="text1"/>
        </w:rPr>
        <w:t>2、全局搜索分析</w:t>
      </w:r>
    </w:p>
    <w:p>
      <w:pPr>
        <w:ind w:firstLine="480"/>
        <w:rPr>
          <w:color w:val="000000" w:themeColor="text1"/>
        </w:rPr>
      </w:pPr>
      <w:r>
        <w:rPr>
          <w:rFonts w:hint="eastAsia"/>
          <w:color w:val="000000" w:themeColor="text1"/>
        </w:rPr>
        <w:t>所有的视频萃取结果进行统一的目标全局检索，根据视频查看单个文件的分析结果，也可以根据历史任务查看多个文件的分析结果，同时也提供了全局搜索的入口方便根据条件查找所有已分析过的视频摘要结果。让耗时耗力的视频侦查变为轻松高效的图片查找，配合关联视频播放即可快速定位关键线索，进行全局的目标人、车定位和查找。</w:t>
      </w:r>
    </w:p>
    <w:p>
      <w:pPr>
        <w:ind w:firstLine="480"/>
        <w:rPr>
          <w:color w:val="000000" w:themeColor="text1"/>
        </w:rPr>
      </w:pPr>
      <w:r>
        <w:rPr>
          <w:rFonts w:hint="eastAsia"/>
          <w:color w:val="000000" w:themeColor="text1"/>
        </w:rPr>
        <w:t>3、图片智能处理</w:t>
      </w:r>
    </w:p>
    <w:p>
      <w:pPr>
        <w:ind w:firstLine="480"/>
        <w:rPr>
          <w:color w:val="000000" w:themeColor="text1"/>
        </w:rPr>
      </w:pPr>
      <w:r>
        <w:rPr>
          <w:rFonts w:hint="eastAsia"/>
          <w:color w:val="000000" w:themeColor="text1"/>
        </w:rPr>
        <w:t>视频萃取具备图片处理功能，可对检测结果图片进行优化处理，处理功能包括对比度调节、明亮度调节、去雾处理、去噪处理、强光抑制、锐化。在获取检测结果后，有效提升画面质量，为实际实战应用提供有力视图保障。</w:t>
      </w:r>
    </w:p>
    <w:p>
      <w:pPr>
        <w:pStyle w:val="5"/>
        <w:spacing w:before="120" w:after="120"/>
        <w:ind w:firstLine="480"/>
        <w:rPr>
          <w:color w:val="000000" w:themeColor="text1"/>
        </w:rPr>
      </w:pPr>
      <w:r>
        <w:rPr>
          <w:color w:val="000000" w:themeColor="text1"/>
        </w:rPr>
        <w:t>1.3</w:t>
      </w:r>
      <w:r>
        <w:rPr>
          <w:rFonts w:hint="eastAsia"/>
          <w:color w:val="000000" w:themeColor="text1"/>
        </w:rPr>
        <w:t>人像大数据应用</w:t>
      </w:r>
    </w:p>
    <w:p>
      <w:pPr>
        <w:snapToGrid w:val="0"/>
        <w:ind w:firstLine="480"/>
        <w:rPr>
          <w:rFonts w:ascii="宋体" w:hAnsi="宋体"/>
          <w:color w:val="000000" w:themeColor="text1"/>
        </w:rPr>
      </w:pPr>
      <w:r>
        <w:rPr>
          <w:rFonts w:hint="eastAsia" w:ascii="宋体" w:hAnsi="宋体"/>
          <w:color w:val="000000" w:themeColor="text1"/>
        </w:rPr>
        <w:t>前端设备的图片、视频信息送解析中心进行动态人像解析，得到的数据可以进行全市统一的预警、搜索、布控等应用。比如：人像卡口管理、实时抓拍预警、人员布控等。</w:t>
      </w:r>
    </w:p>
    <w:p>
      <w:pPr>
        <w:pStyle w:val="7"/>
        <w:spacing w:before="120" w:after="120"/>
        <w:ind w:firstLine="480"/>
        <w:rPr>
          <w:color w:val="000000" w:themeColor="text1"/>
        </w:rPr>
      </w:pPr>
      <w:r>
        <w:rPr>
          <w:color w:val="000000" w:themeColor="text1"/>
        </w:rPr>
        <w:t>1.3.1</w:t>
      </w:r>
      <w:r>
        <w:rPr>
          <w:rFonts w:hint="eastAsia"/>
          <w:color w:val="000000" w:themeColor="text1"/>
        </w:rPr>
        <w:t>系统架构</w:t>
      </w:r>
    </w:p>
    <w:p>
      <w:pPr>
        <w:keepNext/>
        <w:jc w:val="center"/>
        <w:rPr>
          <w:rFonts w:ascii="宋体" w:hAnsi="宋体"/>
          <w:color w:val="000000" w:themeColor="text1"/>
        </w:rPr>
      </w:pPr>
      <w:r>
        <w:rPr>
          <w:rFonts w:ascii="宋体" w:hAnsi="宋体"/>
          <w:color w:val="000000" w:themeColor="text1"/>
        </w:rPr>
        <w:drawing>
          <wp:inline distT="0" distB="0" distL="0" distR="0">
            <wp:extent cx="3895725" cy="3457575"/>
            <wp:effectExtent l="19050" t="0" r="9525" b="0"/>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noChangeArrowheads="1"/>
                    </pic:cNvPicPr>
                  </pic:nvPicPr>
                  <pic:blipFill>
                    <a:blip r:embed="rId78"/>
                    <a:srcRect/>
                    <a:stretch>
                      <a:fillRect/>
                    </a:stretch>
                  </pic:blipFill>
                  <pic:spPr>
                    <a:xfrm>
                      <a:off x="0" y="0"/>
                      <a:ext cx="3895725" cy="3457575"/>
                    </a:xfrm>
                    <a:prstGeom prst="rect">
                      <a:avLst/>
                    </a:prstGeom>
                    <a:noFill/>
                    <a:ln w="9525">
                      <a:noFill/>
                      <a:miter lim="800000"/>
                      <a:headEnd/>
                      <a:tailEnd/>
                    </a:ln>
                  </pic:spPr>
                </pic:pic>
              </a:graphicData>
            </a:graphic>
          </wp:inline>
        </w:drawing>
      </w:r>
    </w:p>
    <w:p>
      <w:pPr>
        <w:snapToGrid w:val="0"/>
        <w:jc w:val="center"/>
        <w:rPr>
          <w:rFonts w:ascii="宋体" w:hAnsi="宋体"/>
          <w:color w:val="000000" w:themeColor="text1"/>
        </w:rPr>
      </w:pPr>
      <w:r>
        <w:rPr>
          <w:rFonts w:hint="eastAsia" w:ascii="宋体" w:hAnsi="宋体"/>
          <w:color w:val="000000" w:themeColor="text1"/>
        </w:rPr>
        <w:t>人像大数据应用系统架构图</w:t>
      </w:r>
    </w:p>
    <w:p>
      <w:pPr>
        <w:ind w:firstLine="480"/>
        <w:rPr>
          <w:color w:val="000000" w:themeColor="text1"/>
        </w:rPr>
      </w:pPr>
      <w:r>
        <w:rPr>
          <w:rFonts w:hint="eastAsia"/>
          <w:color w:val="000000" w:themeColor="text1"/>
        </w:rPr>
        <w:t>人像识别系统利用分布式集群技术、基于深度学习技术和海量数据存储大数据计算技术，实现实时视频监控图像、录像、实时图片的人脸识别服务。</w:t>
      </w:r>
    </w:p>
    <w:p>
      <w:pPr>
        <w:ind w:firstLine="480"/>
        <w:rPr>
          <w:color w:val="000000" w:themeColor="text1"/>
        </w:rPr>
      </w:pPr>
      <w:r>
        <w:rPr>
          <w:rFonts w:hint="eastAsia"/>
          <w:color w:val="000000" w:themeColor="text1"/>
        </w:rPr>
        <w:t>人像识别服务采用可动态扩展的分布式结构，底层负责人像库的库管理，处理人像库创建、抽取特征值、人像索引等底层应用。对外提供动态比对等服务，服务分别对应有应用功能业务，以及外部调用的接口。</w:t>
      </w:r>
    </w:p>
    <w:p>
      <w:pPr>
        <w:ind w:firstLine="480"/>
        <w:rPr>
          <w:color w:val="000000" w:themeColor="text1"/>
        </w:rPr>
      </w:pPr>
      <w:r>
        <w:rPr>
          <w:rFonts w:hint="eastAsia"/>
          <w:color w:val="000000" w:themeColor="text1"/>
        </w:rPr>
        <w:t>人像业务系统，通过相应服务的接口实现人脸动态应用、人员布控预警和人像统计分析应用。</w:t>
      </w:r>
    </w:p>
    <w:p>
      <w:pPr>
        <w:pStyle w:val="7"/>
        <w:spacing w:before="120" w:after="120"/>
        <w:ind w:firstLine="480"/>
        <w:rPr>
          <w:color w:val="000000" w:themeColor="text1"/>
        </w:rPr>
      </w:pPr>
      <w:r>
        <w:rPr>
          <w:color w:val="000000" w:themeColor="text1"/>
        </w:rPr>
        <w:t>1.3.2</w:t>
      </w:r>
      <w:r>
        <w:rPr>
          <w:rFonts w:hint="eastAsia"/>
          <w:color w:val="000000" w:themeColor="text1"/>
        </w:rPr>
        <w:t>功能模块</w:t>
      </w:r>
    </w:p>
    <w:p>
      <w:pPr>
        <w:ind w:firstLine="480"/>
        <w:rPr>
          <w:color w:val="000000" w:themeColor="text1"/>
        </w:rPr>
      </w:pPr>
      <w:r>
        <w:rPr>
          <w:rFonts w:hint="eastAsia"/>
          <w:color w:val="000000" w:themeColor="text1"/>
        </w:rPr>
        <w:t>1、人脸动态应用</w:t>
      </w:r>
    </w:p>
    <w:p>
      <w:pPr>
        <w:ind w:firstLine="480"/>
        <w:rPr>
          <w:color w:val="000000" w:themeColor="text1"/>
        </w:rPr>
      </w:pPr>
      <w:r>
        <w:rPr>
          <w:rFonts w:hint="eastAsia"/>
          <w:color w:val="000000" w:themeColor="text1"/>
        </w:rPr>
        <w:t>1）实时抓拍滚动显示功能</w:t>
      </w:r>
    </w:p>
    <w:p>
      <w:pPr>
        <w:ind w:firstLine="480"/>
        <w:rPr>
          <w:color w:val="000000" w:themeColor="text1"/>
        </w:rPr>
      </w:pPr>
      <w:r>
        <w:rPr>
          <w:rFonts w:hint="eastAsia"/>
          <w:color w:val="000000" w:themeColor="text1"/>
        </w:rPr>
        <w:t>系统可实时查看指定通道的抓拍大图，并在界面显示指定通道所产生的报警信息(包含报警处置状态、人脸相似度、对应的抓拍设备、报警时间及人员信息)；而人脸抓拍图片则在界面下窗口滚动显示。</w:t>
      </w:r>
    </w:p>
    <w:p>
      <w:pPr>
        <w:ind w:firstLine="480"/>
        <w:rPr>
          <w:color w:val="000000" w:themeColor="text1"/>
        </w:rPr>
      </w:pPr>
      <w:r>
        <w:rPr>
          <w:rFonts w:hint="eastAsia" w:ascii="MS Mincho" w:hAnsi="MS Mincho" w:eastAsia="MS Mincho" w:cs="MS Mincho"/>
          <w:color w:val="000000" w:themeColor="text1"/>
        </w:rPr>
        <w:t>➣</w:t>
      </w:r>
      <w:r>
        <w:rPr>
          <w:rFonts w:hint="eastAsia"/>
          <w:color w:val="000000" w:themeColor="text1"/>
        </w:rPr>
        <w:t>支持实时更新抓拍次数与报警次数</w:t>
      </w:r>
    </w:p>
    <w:p>
      <w:pPr>
        <w:ind w:firstLine="480"/>
        <w:rPr>
          <w:color w:val="000000" w:themeColor="text1"/>
        </w:rPr>
      </w:pPr>
      <w:r>
        <w:rPr>
          <w:rFonts w:hint="eastAsia" w:ascii="MS Mincho" w:hAnsi="MS Mincho" w:eastAsia="MS Mincho" w:cs="MS Mincho"/>
          <w:color w:val="000000" w:themeColor="text1"/>
        </w:rPr>
        <w:t>➣</w:t>
      </w:r>
      <w:r>
        <w:rPr>
          <w:rFonts w:hint="eastAsia"/>
          <w:color w:val="000000" w:themeColor="text1"/>
        </w:rPr>
        <w:t>支持开启报警提示音</w:t>
      </w:r>
    </w:p>
    <w:p>
      <w:pPr>
        <w:ind w:firstLine="480"/>
        <w:rPr>
          <w:color w:val="000000" w:themeColor="text1"/>
        </w:rPr>
      </w:pPr>
      <w:r>
        <w:rPr>
          <w:rFonts w:hint="eastAsia"/>
          <w:color w:val="000000" w:themeColor="text1"/>
        </w:rPr>
        <w:t>支持对抓拍大图模式大图中的人脸头像进行截图，并将进行身份核查和路人库检索抓拍人数与实际过人数的比值称作人像捕获率，非人脸的抓拍数与全部抓拍数的比值称作误抓拍率。系统把路人最清晰的一帧人脸照片保存到人像库中形成路人库。</w:t>
      </w:r>
    </w:p>
    <w:p>
      <w:pPr>
        <w:ind w:firstLine="480"/>
        <w:rPr>
          <w:color w:val="000000" w:themeColor="text1"/>
        </w:rPr>
      </w:pPr>
      <w:r>
        <w:rPr>
          <w:rFonts w:hint="eastAsia"/>
          <w:color w:val="000000" w:themeColor="text1"/>
        </w:rPr>
        <w:t>2）路人库检索应用</w:t>
      </w:r>
    </w:p>
    <w:p>
      <w:pPr>
        <w:ind w:firstLine="480"/>
        <w:rPr>
          <w:color w:val="000000" w:themeColor="text1"/>
        </w:rPr>
      </w:pPr>
      <w:r>
        <w:rPr>
          <w:rFonts w:hint="eastAsia"/>
          <w:color w:val="000000" w:themeColor="text1"/>
        </w:rPr>
        <w:t>所有被抓拍的路人被自动存入抓拍库，在业务应用过程中，需对案发时间地点出现的可疑目标查询时，用户上传嫌疑目标人脸图片，根据设定对应的抓拍地点、相似度、抓拍时间等检索条件，通过以图搜图方式检索抓拍库比对结果，系统将按照相似度由高到低排序在5秒内返回最相似的结果，从而快速查询嫌疑目标是否在可疑时间段内出现在案发地点中。</w:t>
      </w:r>
    </w:p>
    <w:p>
      <w:pPr>
        <w:ind w:firstLine="480"/>
        <w:rPr>
          <w:color w:val="000000" w:themeColor="text1"/>
        </w:rPr>
      </w:pPr>
      <w:r>
        <w:rPr>
          <w:rFonts w:hint="eastAsia"/>
          <w:color w:val="000000" w:themeColor="text1"/>
        </w:rPr>
        <w:t>2、人员布控预警功能</w:t>
      </w:r>
    </w:p>
    <w:p>
      <w:pPr>
        <w:ind w:firstLine="480"/>
        <w:rPr>
          <w:color w:val="000000" w:themeColor="text1"/>
        </w:rPr>
      </w:pPr>
      <w:r>
        <w:rPr>
          <w:rFonts w:hint="eastAsia"/>
          <w:color w:val="000000" w:themeColor="text1"/>
        </w:rPr>
        <w:t>1）人员布控功能</w:t>
      </w:r>
    </w:p>
    <w:p>
      <w:pPr>
        <w:ind w:firstLine="480"/>
        <w:rPr>
          <w:color w:val="000000" w:themeColor="text1"/>
        </w:rPr>
      </w:pPr>
      <w:r>
        <w:rPr>
          <w:rFonts w:hint="eastAsia"/>
          <w:color w:val="000000" w:themeColor="text1"/>
        </w:rPr>
        <w:t>用户可自行指定需要系统报警的“黑名单”人员图片，通过建立布控库，系统可进行选择性布控。系统可以提供基于人脸图片的布控，指定布控时限、布控原因、预警方式、布控单位、布控类型等。</w:t>
      </w:r>
    </w:p>
    <w:p>
      <w:pPr>
        <w:ind w:firstLine="480"/>
        <w:rPr>
          <w:color w:val="000000" w:themeColor="text1"/>
        </w:rPr>
      </w:pPr>
      <w:r>
        <w:rPr>
          <w:rFonts w:hint="eastAsia"/>
          <w:color w:val="000000" w:themeColor="text1"/>
        </w:rPr>
        <w:t>系统支持百万量级的人像库布控，支持查看任意时间段内的抓拍和报警信息，同时支持导出报警信息。</w:t>
      </w:r>
    </w:p>
    <w:p>
      <w:pPr>
        <w:ind w:firstLine="480"/>
        <w:rPr>
          <w:color w:val="000000" w:themeColor="text1"/>
        </w:rPr>
      </w:pPr>
      <w:r>
        <w:rPr>
          <w:rFonts w:hint="eastAsia"/>
          <w:color w:val="000000" w:themeColor="text1"/>
        </w:rPr>
        <w:t>布控报警任务可以根据实际情况，如：布控对象数量、布控对象重要性等，灵活设置报警阈值以及布控报警任务类型。</w:t>
      </w:r>
    </w:p>
    <w:p>
      <w:pPr>
        <w:ind w:firstLine="480"/>
        <w:rPr>
          <w:color w:val="000000" w:themeColor="text1"/>
        </w:rPr>
      </w:pPr>
      <w:r>
        <w:rPr>
          <w:rFonts w:hint="eastAsia"/>
          <w:color w:val="000000" w:themeColor="text1"/>
        </w:rPr>
        <w:t>（1）人员布控</w:t>
      </w:r>
    </w:p>
    <w:p>
      <w:pPr>
        <w:ind w:firstLine="480"/>
        <w:rPr>
          <w:color w:val="000000" w:themeColor="text1"/>
        </w:rPr>
      </w:pPr>
      <w:r>
        <w:rPr>
          <w:rFonts w:hint="eastAsia"/>
          <w:color w:val="000000" w:themeColor="text1"/>
        </w:rPr>
        <w:t>针对在逃、**、涉案等人员的重点管控需求，系统可按布控对象、布控范围、有效期、预警阈值、预警时段提供实时布控，一旦在布控范围内出现关注人员，系统立刻产生报警，便于民警展开实时抓捕行动。</w:t>
      </w:r>
    </w:p>
    <w:p>
      <w:pPr>
        <w:ind w:firstLine="480"/>
        <w:rPr>
          <w:color w:val="000000" w:themeColor="text1"/>
        </w:rPr>
      </w:pPr>
      <w:r>
        <w:rPr>
          <w:rFonts w:hint="eastAsia"/>
          <w:color w:val="000000" w:themeColor="text1"/>
        </w:rPr>
        <w:t>（2）布控比对方式</w:t>
      </w:r>
    </w:p>
    <w:p>
      <w:pPr>
        <w:ind w:firstLine="480"/>
        <w:rPr>
          <w:color w:val="000000" w:themeColor="text1"/>
        </w:rPr>
      </w:pPr>
      <w:r>
        <w:rPr>
          <w:rFonts w:hint="eastAsia"/>
          <w:color w:val="000000" w:themeColor="text1"/>
        </w:rPr>
        <w:t>A、支持接入高清摄像机实时视频，与布控库人员进行比对，输出超过阈值的人员；</w:t>
      </w:r>
    </w:p>
    <w:p>
      <w:pPr>
        <w:ind w:firstLine="480"/>
        <w:rPr>
          <w:color w:val="000000" w:themeColor="text1"/>
        </w:rPr>
      </w:pPr>
      <w:r>
        <w:rPr>
          <w:rFonts w:hint="eastAsia"/>
          <w:color w:val="000000" w:themeColor="text1"/>
        </w:rPr>
        <w:t>B、支持上传嫌疑人员图片，与布控库进行比对，输出超过阈值的布控库人员；</w:t>
      </w:r>
    </w:p>
    <w:p>
      <w:pPr>
        <w:ind w:firstLine="480"/>
        <w:rPr>
          <w:color w:val="000000" w:themeColor="text1"/>
        </w:rPr>
      </w:pPr>
      <w:r>
        <w:rPr>
          <w:rFonts w:hint="eastAsia"/>
          <w:color w:val="000000" w:themeColor="text1"/>
        </w:rPr>
        <w:t>2）实时预警</w:t>
      </w:r>
    </w:p>
    <w:p>
      <w:pPr>
        <w:ind w:firstLine="480"/>
        <w:rPr>
          <w:color w:val="000000" w:themeColor="text1"/>
        </w:rPr>
      </w:pPr>
      <w:r>
        <w:rPr>
          <w:rFonts w:hint="eastAsia"/>
          <w:color w:val="000000" w:themeColor="text1"/>
        </w:rPr>
        <w:t>系统支持接收、显示实时预警信息，通过系统显示具体预警信息的报警详情。</w:t>
      </w:r>
    </w:p>
    <w:p>
      <w:pPr>
        <w:ind w:firstLine="480"/>
        <w:rPr>
          <w:color w:val="000000" w:themeColor="text1"/>
        </w:rPr>
      </w:pPr>
      <w:r>
        <w:rPr>
          <w:rFonts w:hint="eastAsia"/>
          <w:color w:val="000000" w:themeColor="text1"/>
        </w:rPr>
        <w:t>针对公安民警重点关注的人员图片，一旦出现在某人脸卡口上，系统能在实时预警中按照不同级别进行报警显示，报警等级最高，需要优先处理。报警出现后，可以显示出当前报警嫌疑人的轨迹，并显示当前出现的报警点，民警根据抓拍到的图片和布控库的图片进行对比，进行相同、不同、疑似的手工确认。</w:t>
      </w:r>
    </w:p>
    <w:p>
      <w:pPr>
        <w:ind w:firstLine="480"/>
        <w:rPr>
          <w:color w:val="000000" w:themeColor="text1"/>
        </w:rPr>
      </w:pPr>
      <w:r>
        <w:rPr>
          <w:rFonts w:hint="eastAsia"/>
          <w:color w:val="000000" w:themeColor="text1"/>
        </w:rPr>
        <w:t>3、人像统计分析</w:t>
      </w:r>
    </w:p>
    <w:p>
      <w:pPr>
        <w:ind w:firstLine="480"/>
        <w:rPr>
          <w:color w:val="000000" w:themeColor="text1"/>
        </w:rPr>
      </w:pPr>
      <w:r>
        <w:rPr>
          <w:rFonts w:hint="eastAsia"/>
          <w:color w:val="000000" w:themeColor="text1"/>
        </w:rPr>
        <w:t>可多维度展示人像业务实时运行情况和统计汇总信息，详细功能如下：</w:t>
      </w:r>
    </w:p>
    <w:p>
      <w:pPr>
        <w:ind w:firstLine="480"/>
        <w:rPr>
          <w:color w:val="000000" w:themeColor="text1"/>
        </w:rPr>
      </w:pPr>
      <w:r>
        <w:rPr>
          <w:rFonts w:hint="eastAsia" w:ascii="MS Mincho" w:hAnsi="MS Mincho" w:eastAsia="MS Mincho" w:cs="MS Mincho"/>
          <w:color w:val="000000" w:themeColor="text1"/>
        </w:rPr>
        <w:t>➣</w:t>
      </w:r>
      <w:r>
        <w:rPr>
          <w:rFonts w:hint="eastAsia"/>
          <w:color w:val="000000" w:themeColor="text1"/>
        </w:rPr>
        <w:t>支持统计累计抓拍总数，今日抓拍总数；</w:t>
      </w:r>
    </w:p>
    <w:p>
      <w:pPr>
        <w:ind w:firstLine="480"/>
        <w:rPr>
          <w:color w:val="000000" w:themeColor="text1"/>
        </w:rPr>
      </w:pPr>
      <w:r>
        <w:rPr>
          <w:rFonts w:hint="eastAsia" w:ascii="MS Mincho" w:hAnsi="MS Mincho" w:eastAsia="MS Mincho" w:cs="MS Mincho"/>
          <w:color w:val="000000" w:themeColor="text1"/>
        </w:rPr>
        <w:t>➣</w:t>
      </w:r>
      <w:r>
        <w:rPr>
          <w:rFonts w:hint="eastAsia"/>
          <w:color w:val="000000" w:themeColor="text1"/>
        </w:rPr>
        <w:t>支持统计累计报警总数，今日报警总数；</w:t>
      </w:r>
    </w:p>
    <w:p>
      <w:pPr>
        <w:ind w:firstLine="480"/>
        <w:rPr>
          <w:color w:val="000000" w:themeColor="text1"/>
        </w:rPr>
      </w:pPr>
      <w:r>
        <w:rPr>
          <w:rFonts w:hint="eastAsia" w:ascii="MS Mincho" w:hAnsi="MS Mincho" w:eastAsia="MS Mincho" w:cs="MS Mincho"/>
          <w:color w:val="000000" w:themeColor="text1"/>
        </w:rPr>
        <w:t>➣</w:t>
      </w:r>
      <w:r>
        <w:rPr>
          <w:rFonts w:hint="eastAsia"/>
          <w:color w:val="000000" w:themeColor="text1"/>
        </w:rPr>
        <w:t>支持展示报警成效，对近期有效报警的基本情况进行一览展示；</w:t>
      </w:r>
    </w:p>
    <w:p>
      <w:pPr>
        <w:ind w:firstLine="480"/>
        <w:rPr>
          <w:color w:val="000000" w:themeColor="text1"/>
        </w:rPr>
      </w:pPr>
      <w:r>
        <w:rPr>
          <w:rFonts w:hint="eastAsia" w:ascii="MS Mincho" w:hAnsi="MS Mincho" w:eastAsia="MS Mincho" w:cs="MS Mincho"/>
          <w:color w:val="000000" w:themeColor="text1"/>
        </w:rPr>
        <w:t>➣</w:t>
      </w:r>
      <w:r>
        <w:rPr>
          <w:rFonts w:hint="eastAsia"/>
          <w:color w:val="000000" w:themeColor="text1"/>
        </w:rPr>
        <w:t>支持分析报警处置率和报警有效率，展示一周报警总数、报警确认数及报警处置率；展示一周报警总数、有效报警总数及报警有效率；</w:t>
      </w:r>
    </w:p>
    <w:p>
      <w:pPr>
        <w:ind w:firstLine="480"/>
        <w:rPr>
          <w:color w:val="000000" w:themeColor="text1"/>
        </w:rPr>
      </w:pPr>
      <w:r>
        <w:rPr>
          <w:rFonts w:hint="eastAsia" w:ascii="MS Mincho" w:hAnsi="MS Mincho" w:eastAsia="MS Mincho" w:cs="MS Mincho"/>
          <w:color w:val="000000" w:themeColor="text1"/>
        </w:rPr>
        <w:t>➣</w:t>
      </w:r>
      <w:r>
        <w:rPr>
          <w:rFonts w:hint="eastAsia"/>
          <w:color w:val="000000" w:themeColor="text1"/>
        </w:rPr>
        <w:t>支持统计分析一周内，每日产生的抓拍、报警数目，并以图表展示；</w:t>
      </w:r>
    </w:p>
    <w:p>
      <w:pPr>
        <w:ind w:firstLine="480"/>
        <w:rPr>
          <w:color w:val="000000" w:themeColor="text1"/>
        </w:rPr>
      </w:pPr>
      <w:r>
        <w:rPr>
          <w:rFonts w:hint="eastAsia"/>
          <w:color w:val="000000" w:themeColor="text1"/>
        </w:rPr>
        <w:t>支持统计各前端点位抓拍能力，并展示抓拍数目较多的点位名称及其一周的抓拍数量。</w:t>
      </w:r>
    </w:p>
    <w:p>
      <w:pPr>
        <w:pStyle w:val="5"/>
        <w:spacing w:before="120" w:after="120"/>
        <w:ind w:firstLine="480"/>
        <w:rPr>
          <w:color w:val="000000" w:themeColor="text1"/>
        </w:rPr>
      </w:pPr>
      <w:r>
        <w:rPr>
          <w:color w:val="000000" w:themeColor="text1"/>
        </w:rPr>
        <w:t>1.4</w:t>
      </w:r>
      <w:r>
        <w:rPr>
          <w:rFonts w:hint="eastAsia"/>
          <w:color w:val="000000" w:themeColor="text1"/>
        </w:rPr>
        <w:t>重点区域安保应用</w:t>
      </w:r>
    </w:p>
    <w:p>
      <w:pPr>
        <w:ind w:firstLine="480"/>
        <w:rPr>
          <w:color w:val="000000" w:themeColor="text1"/>
        </w:rPr>
      </w:pPr>
      <w:r>
        <w:rPr>
          <w:rFonts w:hint="eastAsia"/>
          <w:color w:val="000000" w:themeColor="text1"/>
        </w:rPr>
        <w:t>随着城市化进程的加快，各类动迁矛盾、劳资纠纷等呈现尖锐化趋势，非访、非法集会等事件间有发生，金华市政府、火车站等重点区域易成为涉稳、**分子滋事甚至袭击的目标，由此造成的维稳处突压力显著增大。同时，近年来由于国家基建的大力发展，使大人流、大车流的地点快速增长，经常导致路段长时间拥堵，场馆内和周边大量人员聚集，对市政府和火车站的道路通行、人车管控、交通疏导等管理提出较大挑战。同时公安在安保任务、活动保障过程中对快速响应，准确判断的需求更多需要借助智能化手段和自动报警技术。</w:t>
      </w:r>
    </w:p>
    <w:p>
      <w:pPr>
        <w:ind w:firstLine="480"/>
        <w:rPr>
          <w:color w:val="000000" w:themeColor="text1"/>
        </w:rPr>
      </w:pPr>
      <w:r>
        <w:rPr>
          <w:rFonts w:hint="eastAsia"/>
          <w:color w:val="000000" w:themeColor="text1"/>
        </w:rPr>
        <w:t>为达到以上管控效果，结合目前金华市的制高点建筑现状，在这些高点区域部署全景特征信息和高倍球机，实现重点区域圈全域覆盖；同时，在整个安保体系设计上，从外到内分别是外围防控圈、城区防控网、核心防控块以及连接这些区域的道路防控线，打造“立体防控圈”，层圈过滤，实现不同区域、不同场所层圈布防。以高点AR视频感知为基础，利用AR增强现实将前端设备“无缝”集成，增强实时感知数据与实战应用数据结合，突破指挥中心传统指挥模式，构建面向AR立体指挥全域覆盖的重点场所安保，实现可视、可控、可调度，实现指挥管控业务可视化，提高指挥工作效率。</w:t>
      </w:r>
    </w:p>
    <w:p>
      <w:pPr>
        <w:ind w:firstLine="480"/>
        <w:rPr>
          <w:color w:val="000000" w:themeColor="text1"/>
        </w:rPr>
      </w:pPr>
      <w:r>
        <w:rPr>
          <w:rFonts w:hint="eastAsia"/>
          <w:color w:val="000000" w:themeColor="text1"/>
        </w:rPr>
        <w:t>本次建设的AR指挥系统可以支持100套AR前端设备的接入，同时后续随着AR设备的增加系统软件可以支持线性扩展。AR系统画面内的标签由系统统一进行标注并绑定具体的视频监控点位。</w:t>
      </w:r>
    </w:p>
    <w:p>
      <w:pPr>
        <w:pStyle w:val="6"/>
        <w:spacing w:before="120" w:after="120"/>
        <w:ind w:firstLine="480"/>
        <w:rPr>
          <w:color w:val="000000" w:themeColor="text1"/>
        </w:rPr>
      </w:pPr>
      <w:r>
        <w:rPr>
          <w:color w:val="000000" w:themeColor="text1"/>
        </w:rPr>
        <w:t>1.4.1 AR</w:t>
      </w:r>
      <w:r>
        <w:rPr>
          <w:rFonts w:hint="eastAsia"/>
          <w:color w:val="000000" w:themeColor="text1"/>
        </w:rPr>
        <w:t>实景指挥</w:t>
      </w:r>
    </w:p>
    <w:p>
      <w:pPr>
        <w:ind w:firstLine="480"/>
        <w:rPr>
          <w:color w:val="000000" w:themeColor="text1"/>
        </w:rPr>
      </w:pPr>
      <w:r>
        <w:rPr>
          <w:rFonts w:hint="eastAsia"/>
          <w:color w:val="000000" w:themeColor="text1"/>
        </w:rPr>
        <w:t>1、实景指挥</w:t>
      </w:r>
    </w:p>
    <w:p>
      <w:pPr>
        <w:ind w:firstLine="480"/>
        <w:rPr>
          <w:color w:val="000000" w:themeColor="text1"/>
        </w:rPr>
      </w:pPr>
      <w:r>
        <w:rPr>
          <w:rFonts w:hint="eastAsia"/>
          <w:color w:val="000000" w:themeColor="text1"/>
        </w:rPr>
        <w:t>高点AR视频俯瞰地面，实时视频场景作为实景地图，通过AR增强技术，操作实时视频中标签与其他子系统进行联动，通过联动低点监控资源，可实现联网布控、联动指挥，引领全新的视频联动、查缉布控、指挥调度模式，开展日常指挥业务。</w:t>
      </w:r>
    </w:p>
    <w:p>
      <w:pPr>
        <w:ind w:firstLine="480"/>
        <w:rPr>
          <w:color w:val="000000" w:themeColor="text1"/>
        </w:rPr>
      </w:pPr>
      <w:r>
        <w:rPr>
          <w:rFonts w:hint="eastAsia"/>
          <w:color w:val="000000" w:themeColor="text1"/>
        </w:rPr>
        <w:t>2、标签图层过滤</w:t>
      </w:r>
    </w:p>
    <w:p>
      <w:pPr>
        <w:ind w:firstLine="480"/>
        <w:rPr>
          <w:color w:val="000000" w:themeColor="text1"/>
        </w:rPr>
      </w:pPr>
      <w:r>
        <w:rPr>
          <w:rFonts w:hint="eastAsia"/>
          <w:color w:val="000000" w:themeColor="text1"/>
        </w:rPr>
        <w:t>对当前场景中的目标进行图层分层展现，比如按重要性分层，按类型数据（卡口、路口、人脸抓拍等）分层。重要标签属于重点关注目标，在AR全景视频中一直显示标签图标及名称，并可以查看标签中详细信息。非重要标签只在AR全景视频中显示标签图标。</w:t>
      </w:r>
    </w:p>
    <w:p>
      <w:pPr>
        <w:ind w:firstLine="480"/>
        <w:rPr>
          <w:color w:val="000000" w:themeColor="text1"/>
        </w:rPr>
      </w:pPr>
      <w:r>
        <w:rPr>
          <w:rFonts w:hint="eastAsia"/>
          <w:color w:val="000000" w:themeColor="text1"/>
        </w:rPr>
        <w:t>3、标签业务多样化呈现</w:t>
      </w:r>
    </w:p>
    <w:p>
      <w:pPr>
        <w:ind w:firstLine="480"/>
        <w:rPr>
          <w:color w:val="000000" w:themeColor="text1"/>
        </w:rPr>
      </w:pPr>
      <w:r>
        <w:rPr>
          <w:rFonts w:hint="eastAsia"/>
          <w:color w:val="000000" w:themeColor="text1"/>
        </w:rPr>
        <w:t>满足各类智能前端可视化标签展示，包括前端枪机、人像卡口、车辆卡口、球机等设备。</w:t>
      </w:r>
    </w:p>
    <w:p>
      <w:pPr>
        <w:ind w:firstLine="480"/>
        <w:rPr>
          <w:color w:val="000000" w:themeColor="text1"/>
        </w:rPr>
      </w:pPr>
      <w:r>
        <w:rPr>
          <w:rFonts w:hint="eastAsia"/>
          <w:color w:val="000000" w:themeColor="text1"/>
        </w:rPr>
        <w:t>标签内容支持灵活的自定义，可以在标签上面添加文字、图片、链接，以及关联视频资源,比如卡口资源、人脸抓拍资源等。标签图标带分类标示的，标签可以按业务场景进行自定义模板，比如定点标签模板、卡口标签模板、路口标签模板、区域标签模板等，满足交管日常业务自定义展示需要。</w:t>
      </w:r>
    </w:p>
    <w:p>
      <w:pPr>
        <w:ind w:firstLine="480"/>
        <w:rPr>
          <w:rFonts w:ascii="宋体" w:hAnsi="宋体"/>
          <w:color w:val="000000" w:themeColor="text1"/>
        </w:rPr>
      </w:pPr>
      <w:r>
        <w:rPr>
          <w:rFonts w:hint="eastAsia" w:ascii="宋体" w:hAnsi="宋体"/>
          <w:color w:val="000000" w:themeColor="text1"/>
        </w:rPr>
        <w:t>4、AR场景画中画</w:t>
      </w:r>
    </w:p>
    <w:p>
      <w:pPr>
        <w:ind w:firstLine="480"/>
        <w:rPr>
          <w:rFonts w:ascii="宋体" w:hAnsi="宋体"/>
          <w:color w:val="000000" w:themeColor="text1"/>
        </w:rPr>
      </w:pPr>
      <w:r>
        <w:rPr>
          <w:rFonts w:hint="eastAsia" w:ascii="宋体" w:hAnsi="宋体"/>
          <w:color w:val="000000" w:themeColor="text1"/>
        </w:rPr>
        <w:t>在AR场景中，通过对已建系统进行对接，各对接子系统以标签的形式在AR场景中进行叠加，工作人员可以实时与各子系统进行联动交互，以“画中画”的方式进行展示，如查看当前路口实时视频等。同时指挥中心可以对重点关注路口、热点区域等进行标签收藏，对重点区域再查看可通过收藏功能进行快速定位打开当前标签画中画场景。</w:t>
      </w:r>
    </w:p>
    <w:p>
      <w:pPr>
        <w:ind w:firstLine="480"/>
        <w:rPr>
          <w:rFonts w:ascii="宋体" w:hAnsi="宋体"/>
          <w:color w:val="000000" w:themeColor="text1"/>
        </w:rPr>
      </w:pPr>
      <w:r>
        <w:rPr>
          <w:rFonts w:hint="eastAsia" w:ascii="宋体" w:hAnsi="宋体"/>
          <w:color w:val="000000" w:themeColor="text1"/>
        </w:rPr>
        <w:t>5、全景多目标跟踪</w:t>
      </w:r>
    </w:p>
    <w:p>
      <w:pPr>
        <w:ind w:firstLine="480"/>
        <w:rPr>
          <w:rFonts w:ascii="宋体" w:hAnsi="宋体"/>
          <w:color w:val="000000" w:themeColor="text1"/>
        </w:rPr>
      </w:pPr>
      <w:r>
        <w:rPr>
          <w:rFonts w:hint="eastAsia" w:ascii="宋体" w:hAnsi="宋体"/>
          <w:color w:val="000000" w:themeColor="text1"/>
        </w:rPr>
        <w:t>在大场景覆盖区域中，存在部分区域无法覆盖情况，依托高点优势，可以通过高空球机对当前画面中的单个或多个车辆进行自动跟踪或手动跟踪，实时关注车辆运行情况。</w:t>
      </w:r>
    </w:p>
    <w:p>
      <w:pPr>
        <w:ind w:firstLine="480"/>
        <w:rPr>
          <w:rFonts w:ascii="宋体" w:hAnsi="宋体"/>
          <w:color w:val="000000" w:themeColor="text1"/>
        </w:rPr>
      </w:pPr>
      <w:r>
        <w:rPr>
          <w:rFonts w:hint="eastAsia" w:ascii="宋体" w:hAnsi="宋体"/>
          <w:color w:val="000000" w:themeColor="text1"/>
        </w:rPr>
        <w:t>6、全息场景追溯</w:t>
      </w:r>
    </w:p>
    <w:p>
      <w:pPr>
        <w:ind w:firstLine="480"/>
        <w:rPr>
          <w:rFonts w:ascii="宋体" w:hAnsi="宋体"/>
          <w:color w:val="000000" w:themeColor="text1"/>
        </w:rPr>
      </w:pPr>
      <w:r>
        <w:rPr>
          <w:rFonts w:hint="eastAsia" w:ascii="宋体" w:hAnsi="宋体"/>
          <w:color w:val="000000" w:themeColor="text1"/>
        </w:rPr>
        <w:t>全息场景追溯不仅面向事前预警、事中管控，同样适用于事后场景追溯，让用户能够从历史视频追查中，实现基于AR技术的场景还原、视频播放、标签展示、信息复原等功能，相对于传统的视频回放，视频使用效率更高，掌握的信息更加全面，能够更好的服务于公安实战。</w:t>
      </w:r>
    </w:p>
    <w:p>
      <w:pPr>
        <w:ind w:firstLine="480"/>
        <w:rPr>
          <w:rFonts w:ascii="宋体" w:hAnsi="宋体"/>
          <w:color w:val="000000" w:themeColor="text1"/>
        </w:rPr>
      </w:pPr>
      <w:r>
        <w:rPr>
          <w:rFonts w:hint="eastAsia" w:ascii="宋体" w:hAnsi="宋体"/>
          <w:color w:val="000000" w:themeColor="text1"/>
        </w:rPr>
        <w:t>场景追溯界面中，支持高高联动（即支持AR画面中嵌入其他AR设备，可联动对各重点区域内的所有AR设备进行融合指挥）、高低联动、视频标签展示等实战应用的视图应用功能。</w:t>
      </w:r>
    </w:p>
    <w:p>
      <w:pPr>
        <w:ind w:firstLine="480"/>
        <w:rPr>
          <w:rFonts w:ascii="宋体" w:hAnsi="宋体"/>
          <w:color w:val="000000" w:themeColor="text1"/>
        </w:rPr>
      </w:pPr>
      <w:r>
        <w:rPr>
          <w:rFonts w:hint="eastAsia" w:ascii="宋体" w:hAnsi="宋体"/>
          <w:color w:val="000000" w:themeColor="text1"/>
        </w:rPr>
        <w:t>7、多系统融合实战</w:t>
      </w:r>
    </w:p>
    <w:p>
      <w:pPr>
        <w:ind w:firstLine="480"/>
        <w:rPr>
          <w:rFonts w:ascii="宋体" w:hAnsi="宋体"/>
          <w:color w:val="000000" w:themeColor="text1"/>
        </w:rPr>
      </w:pPr>
      <w:r>
        <w:rPr>
          <w:rFonts w:hint="eastAsia" w:ascii="宋体" w:hAnsi="宋体"/>
          <w:color w:val="000000" w:themeColor="text1"/>
        </w:rPr>
        <w:t>系统平台能和公安的信息化系统对接，如车辆大数据、人像大数据、视频监控系统、解析中心等。系统整合后，支持在同一个画面中调用这些系统能力。通过在市政府防控圈内重要出入口部署人脸卡口以及车辆卡口，调用视综平台的相关应用对各类重点人员以及重点车辆进行布控预警。</w:t>
      </w:r>
    </w:p>
    <w:p>
      <w:pPr>
        <w:pStyle w:val="6"/>
        <w:spacing w:before="120" w:after="120"/>
        <w:ind w:firstLine="480"/>
        <w:rPr>
          <w:color w:val="000000" w:themeColor="text1"/>
        </w:rPr>
      </w:pPr>
      <w:r>
        <w:rPr>
          <w:color w:val="000000" w:themeColor="text1"/>
        </w:rPr>
        <w:t>1.4.2</w:t>
      </w:r>
      <w:r>
        <w:rPr>
          <w:rFonts w:hint="eastAsia"/>
          <w:color w:val="000000" w:themeColor="text1"/>
        </w:rPr>
        <w:t>大屏数据推送</w:t>
      </w:r>
    </w:p>
    <w:p>
      <w:pPr>
        <w:snapToGrid w:val="0"/>
        <w:ind w:firstLine="480"/>
        <w:rPr>
          <w:rFonts w:ascii="宋体" w:hAnsi="宋体"/>
          <w:color w:val="000000" w:themeColor="text1"/>
        </w:rPr>
      </w:pPr>
      <w:r>
        <w:rPr>
          <w:rFonts w:hint="eastAsia" w:ascii="宋体" w:hAnsi="宋体"/>
          <w:color w:val="000000" w:themeColor="text1"/>
        </w:rPr>
        <w:t>1、人像大数据展示</w:t>
      </w:r>
    </w:p>
    <w:p>
      <w:pPr>
        <w:snapToGrid w:val="0"/>
        <w:ind w:firstLine="480"/>
        <w:rPr>
          <w:rFonts w:ascii="宋体" w:hAnsi="宋体"/>
          <w:color w:val="000000" w:themeColor="text1"/>
        </w:rPr>
      </w:pPr>
      <w:r>
        <w:rPr>
          <w:rFonts w:hint="eastAsia" w:ascii="宋体" w:hAnsi="宋体"/>
          <w:color w:val="000000" w:themeColor="text1"/>
        </w:rPr>
        <w:t>系统满足在线实时查看人员布控信息的需求，在出现符合布控条件的重点人员时，将马上产生重点人员预警信息，并将预警信息同步推送至大屏上进行预警。在大屏上实时展示人脸预警信息，展示内容包括采集地点、采集时间、相似度，同时可进行该时间段前后联动相关录像进行确认。</w:t>
      </w:r>
    </w:p>
    <w:p>
      <w:pPr>
        <w:snapToGrid w:val="0"/>
        <w:ind w:firstLine="480"/>
        <w:rPr>
          <w:rFonts w:ascii="宋体" w:hAnsi="宋体"/>
          <w:color w:val="000000" w:themeColor="text1"/>
        </w:rPr>
      </w:pPr>
      <w:r>
        <w:rPr>
          <w:rFonts w:hint="eastAsia" w:ascii="宋体" w:hAnsi="宋体"/>
          <w:color w:val="000000" w:themeColor="text1"/>
        </w:rPr>
        <w:t>根据从摄像机捕获的人像来源、人脸属性、出现频次进行实时统计，根据历史抓拍次数、布控次数、黑名单类别、预警次数等信息进行数据统计分析，并在大屏上展示统计结果。人员身份确认需要在公安信息网实现。</w:t>
      </w:r>
    </w:p>
    <w:p>
      <w:pPr>
        <w:snapToGrid w:val="0"/>
        <w:ind w:firstLine="480"/>
        <w:rPr>
          <w:rFonts w:ascii="宋体" w:hAnsi="宋体"/>
          <w:color w:val="000000" w:themeColor="text1"/>
        </w:rPr>
      </w:pPr>
      <w:r>
        <w:rPr>
          <w:rFonts w:hint="eastAsia" w:ascii="宋体" w:hAnsi="宋体"/>
          <w:color w:val="000000" w:themeColor="text1"/>
        </w:rPr>
        <w:t>2、车辆大数据展示</w:t>
      </w:r>
    </w:p>
    <w:p>
      <w:pPr>
        <w:snapToGrid w:val="0"/>
        <w:ind w:firstLine="480"/>
        <w:rPr>
          <w:rFonts w:ascii="宋体" w:hAnsi="宋体"/>
          <w:color w:val="000000" w:themeColor="text1"/>
        </w:rPr>
      </w:pPr>
      <w:r>
        <w:rPr>
          <w:rFonts w:hint="eastAsia" w:ascii="宋体" w:hAnsi="宋体"/>
          <w:color w:val="000000" w:themeColor="text1"/>
        </w:rPr>
        <w:t>系统满足**人员在线实时查看车辆布控信息的需求，在出现符合布控条件的车辆时，将马上产生嫌疑车辆预警信息，并将信息同步推送至大屏上预警。展示内容包括预警地点、预警时间、预警车牌等信息，同时可进行预警时间段前后联动相关录像进行确认。同时可展示车型比对信息、布控车辆信息。</w:t>
      </w:r>
    </w:p>
    <w:p>
      <w:pPr>
        <w:pStyle w:val="5"/>
        <w:spacing w:before="120" w:after="120"/>
        <w:ind w:firstLine="480"/>
        <w:rPr>
          <w:color w:val="000000" w:themeColor="text1"/>
        </w:rPr>
      </w:pPr>
      <w:r>
        <w:rPr>
          <w:color w:val="000000" w:themeColor="text1"/>
        </w:rPr>
        <w:t>1.5</w:t>
      </w:r>
      <w:r>
        <w:rPr>
          <w:rFonts w:hint="eastAsia"/>
          <w:color w:val="000000" w:themeColor="text1"/>
        </w:rPr>
        <w:t>数据仓库</w:t>
      </w:r>
    </w:p>
    <w:p>
      <w:pPr>
        <w:pStyle w:val="6"/>
        <w:spacing w:before="120" w:after="120"/>
        <w:ind w:firstLine="480"/>
        <w:rPr>
          <w:color w:val="000000" w:themeColor="text1"/>
        </w:rPr>
      </w:pPr>
      <w:r>
        <w:rPr>
          <w:color w:val="000000" w:themeColor="text1"/>
        </w:rPr>
        <w:t>1.5.1</w:t>
      </w:r>
      <w:r>
        <w:rPr>
          <w:rFonts w:hint="eastAsia"/>
          <w:color w:val="000000" w:themeColor="text1"/>
        </w:rPr>
        <w:t>总体概述</w:t>
      </w:r>
    </w:p>
    <w:p>
      <w:pPr>
        <w:ind w:firstLine="480"/>
        <w:rPr>
          <w:color w:val="000000" w:themeColor="text1"/>
        </w:rPr>
      </w:pPr>
      <w:r>
        <w:rPr>
          <w:rFonts w:hint="eastAsia"/>
          <w:color w:val="000000" w:themeColor="text1"/>
        </w:rPr>
        <w:t>根据省厅“云上公安、智能防控”大数据战略的部署，结合本项目实际现状，以“整合资源、共享数据、提供服务”为指导思想，通过建设数据仓库实现海量前端数据汇聚、存储、分析，以及对数据的碰撞、检索与应用。对外提供统一标准接口，实现数据的查询与调度；对内提供管理服务，实现设备管理、用户管理及服务管理应用。最终向上层业务应用系统提供数据资源。</w:t>
      </w:r>
    </w:p>
    <w:p>
      <w:pPr>
        <w:ind w:firstLine="480"/>
        <w:rPr>
          <w:color w:val="000000" w:themeColor="text1"/>
        </w:rPr>
      </w:pPr>
      <w:r>
        <w:rPr>
          <w:rFonts w:hint="eastAsia"/>
          <w:color w:val="000000" w:themeColor="text1"/>
        </w:rPr>
        <w:t>在公安的数据从产生到应用的整个过程中，数据仓库在数据层提供基础应用、数据分类、建库、提供标准接口等操作，为上级业务平台提供数据源。数据仓库与结构化数据存储的关系描述如下图所示：</w:t>
      </w:r>
    </w:p>
    <w:p>
      <w:pPr>
        <w:snapToGrid w:val="0"/>
        <w:jc w:val="center"/>
        <w:rPr>
          <w:rFonts w:ascii="宋体" w:hAnsi="宋体"/>
          <w:color w:val="000000" w:themeColor="text1"/>
        </w:rPr>
      </w:pPr>
      <w:r>
        <w:rPr>
          <w:rFonts w:hint="eastAsia"/>
          <w:color w:val="000000" w:themeColor="text1"/>
        </w:rPr>
        <w:object>
          <v:shape id="_x0000_i1029" o:spt="75" type="#_x0000_t75" style="height:321.3pt;width:451pt;" o:ole="t" filled="f" o:preferrelative="t" stroked="f" coordsize="21600,21600">
            <v:path/>
            <v:fill on="f" focussize="0,0"/>
            <v:stroke on="f" joinstyle="miter"/>
            <v:imagedata r:id="rId80" o:title=""/>
            <o:lock v:ext="edit" aspectratio="t"/>
            <w10:wrap type="none"/>
            <w10:anchorlock/>
          </v:shape>
          <o:OLEObject Type="Embed" ProgID="Visio.Drawing.11" ShapeID="_x0000_i1029" DrawAspect="Content" ObjectID="_1468075727" r:id="rId79">
            <o:LockedField>false</o:LockedField>
          </o:OLEObject>
        </w:object>
      </w:r>
      <w:r>
        <w:rPr>
          <w:rFonts w:hint="eastAsia" w:ascii="宋体" w:hAnsi="宋体"/>
          <w:color w:val="000000" w:themeColor="text1"/>
        </w:rPr>
        <w:t>数据仓库与结构化数据存储的关系图</w:t>
      </w:r>
    </w:p>
    <w:p>
      <w:pPr>
        <w:ind w:firstLine="480"/>
        <w:rPr>
          <w:color w:val="000000" w:themeColor="text1"/>
        </w:rPr>
      </w:pPr>
      <w:r>
        <w:rPr>
          <w:rFonts w:hint="eastAsia"/>
          <w:color w:val="000000" w:themeColor="text1"/>
        </w:rPr>
        <w:t>结构化数据存储：结构化数据存储负责对前端处理完成的或者解析中心解析完成的结构化数据或者半结构化数据（特征值等）进行存储。结构化数据存储主要提供MPP数据库、ES索引等存储功能。</w:t>
      </w:r>
    </w:p>
    <w:p>
      <w:pPr>
        <w:ind w:firstLine="480"/>
        <w:rPr>
          <w:color w:val="000000" w:themeColor="text1"/>
        </w:rPr>
      </w:pPr>
      <w:r>
        <w:rPr>
          <w:rFonts w:hint="eastAsia"/>
          <w:color w:val="000000" w:themeColor="text1"/>
        </w:rPr>
        <w:t>数据仓库主要实现业务数据的汇聚和共享的需求，通过数据处理分析技术对公安业务数据、视图数据进行结构重组和规范化的整合，形成结构统一、描述规范、面向业务的基础数据资源集合，丰富和充实公安业务数据资源构成，形成完整的、标准的、规范的可满足公安业务需要的基础数据资源体系。通过建立金华市数据仓库，为金华市公安局提供完备的数据资源服务，支撑丰富的上层实战业务。</w:t>
      </w:r>
    </w:p>
    <w:p>
      <w:pPr>
        <w:ind w:firstLine="480"/>
        <w:rPr>
          <w:color w:val="000000" w:themeColor="text1"/>
        </w:rPr>
      </w:pPr>
      <w:r>
        <w:rPr>
          <w:rFonts w:hint="eastAsia"/>
          <w:color w:val="000000" w:themeColor="text1"/>
        </w:rPr>
        <w:t>数据仓库主要包含以下功能：</w:t>
      </w:r>
    </w:p>
    <w:p>
      <w:pPr>
        <w:ind w:firstLine="480"/>
        <w:rPr>
          <w:color w:val="000000" w:themeColor="text1"/>
        </w:rPr>
      </w:pPr>
      <w:r>
        <w:rPr>
          <w:rFonts w:hint="eastAsia"/>
          <w:color w:val="000000" w:themeColor="text1"/>
        </w:rPr>
        <w:t>数据分类：将结构化数据进行分类入库。在标准架构的基础上，可拓展协议字段，将所有的人像特征值，车辆特征值，WIFI数据等建立人、车几类专题库。</w:t>
      </w:r>
    </w:p>
    <w:p>
      <w:pPr>
        <w:ind w:firstLine="480"/>
        <w:rPr>
          <w:color w:val="000000" w:themeColor="text1"/>
        </w:rPr>
      </w:pPr>
      <w:r>
        <w:rPr>
          <w:rFonts w:hint="eastAsia"/>
          <w:color w:val="000000" w:themeColor="text1"/>
        </w:rPr>
        <w:t>基础应用功能：主要实现订阅、检索、布控、告警、联网等功能。</w:t>
      </w:r>
    </w:p>
    <w:p>
      <w:pPr>
        <w:ind w:firstLine="480"/>
        <w:rPr>
          <w:color w:val="000000" w:themeColor="text1"/>
        </w:rPr>
      </w:pPr>
      <w:r>
        <w:rPr>
          <w:rFonts w:hint="eastAsia"/>
          <w:color w:val="000000" w:themeColor="text1"/>
        </w:rPr>
        <w:t>数据检索：通过结构化数据存储的ES或Solr索引组件，提供全文融合检索、快速检索。实现文件类数据和结构化数据的快速检索，百亿级的秒级查询。</w:t>
      </w:r>
    </w:p>
    <w:p>
      <w:pPr>
        <w:ind w:firstLine="480"/>
        <w:rPr>
          <w:color w:val="000000" w:themeColor="text1"/>
        </w:rPr>
      </w:pPr>
      <w:r>
        <w:rPr>
          <w:rFonts w:hint="eastAsia"/>
          <w:color w:val="000000" w:themeColor="text1"/>
        </w:rPr>
        <w:t>数据流转：通过标准的三大接口协议（采集接口、服务接口、级联接口），实现数据在整个系统中的顺畅流转，实现数据的获取、数据的分析、数据的应用、数据的推送等基础功能。</w:t>
      </w:r>
    </w:p>
    <w:p>
      <w:pPr>
        <w:pStyle w:val="6"/>
        <w:spacing w:before="120" w:after="120"/>
        <w:ind w:firstLine="480"/>
        <w:rPr>
          <w:color w:val="000000" w:themeColor="text1"/>
        </w:rPr>
      </w:pPr>
      <w:bookmarkStart w:id="407" w:name="_Toc520798425"/>
      <w:bookmarkStart w:id="408" w:name="_Toc519946890"/>
      <w:bookmarkStart w:id="409" w:name="_Toc520798422"/>
      <w:r>
        <w:rPr>
          <w:color w:val="000000" w:themeColor="text1"/>
        </w:rPr>
        <w:t>1.5.2</w:t>
      </w:r>
      <w:r>
        <w:rPr>
          <w:rFonts w:hint="eastAsia"/>
          <w:color w:val="000000" w:themeColor="text1"/>
        </w:rPr>
        <w:t>建设原则</w:t>
      </w:r>
      <w:bookmarkEnd w:id="407"/>
      <w:bookmarkEnd w:id="408"/>
    </w:p>
    <w:p>
      <w:pPr>
        <w:ind w:firstLine="480"/>
        <w:rPr>
          <w:color w:val="000000" w:themeColor="text1"/>
        </w:rPr>
      </w:pPr>
      <w:r>
        <w:rPr>
          <w:rFonts w:hint="eastAsia"/>
          <w:color w:val="000000" w:themeColor="text1"/>
        </w:rPr>
        <w:t>数据仓库建设过程中，遵循“统筹规划、整合资源、统一标准、安全可控、按需联网、规范应用、高效稳定”的原则。</w:t>
      </w:r>
    </w:p>
    <w:p>
      <w:pPr>
        <w:ind w:firstLine="480"/>
        <w:rPr>
          <w:color w:val="000000" w:themeColor="text1"/>
        </w:rPr>
      </w:pPr>
      <w:r>
        <w:rPr>
          <w:rFonts w:hint="eastAsia"/>
          <w:color w:val="000000" w:themeColor="text1"/>
        </w:rPr>
        <w:t>（1）统筹规划、整合资源</w:t>
      </w:r>
    </w:p>
    <w:p>
      <w:pPr>
        <w:ind w:firstLine="480"/>
        <w:rPr>
          <w:color w:val="000000" w:themeColor="text1"/>
        </w:rPr>
      </w:pPr>
      <w:r>
        <w:rPr>
          <w:rFonts w:hint="eastAsia"/>
          <w:color w:val="000000" w:themeColor="text1"/>
        </w:rPr>
        <w:t>将数据仓库纳入整个项目总体规划，统筹各部门相关建设需求，整合资源，实现视频图像信息的互联互通、高度共享。</w:t>
      </w:r>
    </w:p>
    <w:p>
      <w:pPr>
        <w:ind w:firstLine="480"/>
        <w:rPr>
          <w:color w:val="000000" w:themeColor="text1"/>
        </w:rPr>
      </w:pPr>
      <w:r>
        <w:rPr>
          <w:rFonts w:hint="eastAsia"/>
          <w:color w:val="000000" w:themeColor="text1"/>
        </w:rPr>
        <w:t>（2）统一标准、安全可控</w:t>
      </w:r>
    </w:p>
    <w:p>
      <w:pPr>
        <w:ind w:firstLine="480"/>
        <w:rPr>
          <w:color w:val="000000" w:themeColor="text1"/>
        </w:rPr>
      </w:pPr>
      <w:r>
        <w:rPr>
          <w:rFonts w:hint="eastAsia"/>
          <w:color w:val="000000" w:themeColor="text1"/>
        </w:rPr>
        <w:t>遵循统一的技术标准与建设规范，数据仓库建设应符合GA/T1400-2017（《公安视频图像信息应用系统》）相关标准，并与上下级数据仓库或系统实现对接；严格区分涉密和非涉密信息，确保信息安全。</w:t>
      </w:r>
    </w:p>
    <w:p>
      <w:pPr>
        <w:ind w:firstLine="480"/>
        <w:rPr>
          <w:color w:val="000000" w:themeColor="text1"/>
        </w:rPr>
      </w:pPr>
      <w:r>
        <w:rPr>
          <w:rFonts w:hint="eastAsia"/>
          <w:color w:val="000000" w:themeColor="text1"/>
        </w:rPr>
        <w:t>（3）按需联网、规范应用</w:t>
      </w:r>
    </w:p>
    <w:p>
      <w:pPr>
        <w:ind w:firstLine="480"/>
        <w:rPr>
          <w:color w:val="000000" w:themeColor="text1"/>
        </w:rPr>
      </w:pPr>
      <w:r>
        <w:rPr>
          <w:rFonts w:hint="eastAsia"/>
          <w:color w:val="000000" w:themeColor="text1"/>
        </w:rPr>
        <w:t>根据维护公共安全的实际业务需求，推进数据仓库联网应用工作，保障共建共享，科学规范，为**维稳、指挥调度、情报研判、侦查破案、治安防控、社会管理、规范执法等工作的视频图像信息数据提供存取等支撑服务。</w:t>
      </w:r>
    </w:p>
    <w:p>
      <w:pPr>
        <w:ind w:firstLine="480"/>
        <w:rPr>
          <w:color w:val="000000" w:themeColor="text1"/>
        </w:rPr>
      </w:pPr>
      <w:bookmarkStart w:id="410" w:name="_Toc496135676"/>
      <w:r>
        <w:rPr>
          <w:rFonts w:hint="eastAsia"/>
          <w:color w:val="000000" w:themeColor="text1"/>
        </w:rPr>
        <w:t>（4）高效稳定</w:t>
      </w:r>
      <w:bookmarkEnd w:id="410"/>
    </w:p>
    <w:p>
      <w:pPr>
        <w:ind w:firstLine="480"/>
        <w:rPr>
          <w:color w:val="000000" w:themeColor="text1"/>
        </w:rPr>
      </w:pPr>
      <w:r>
        <w:rPr>
          <w:rFonts w:hint="eastAsia"/>
          <w:color w:val="000000" w:themeColor="text1"/>
        </w:rPr>
        <w:t>本系统的数据量较大，面向用户广泛，未来将支撑市级视频图像主体的应用，要求本系统具备较高的访问效率和很强的稳定性。本系统将基于云计算和大数据架构进行建设，通过分布式的大数据环境可为数据存储和访问提供高度的可靠性保证和快速的查询检索效率。通过接口服务的方式保证应用之间的松耦合，减少因为某个模块的故障影响整个系统的运行，从而保障系统的稳定性。</w:t>
      </w:r>
    </w:p>
    <w:bookmarkEnd w:id="409"/>
    <w:p>
      <w:pPr>
        <w:pStyle w:val="6"/>
        <w:spacing w:before="120" w:after="120"/>
        <w:ind w:firstLine="480"/>
        <w:rPr>
          <w:color w:val="000000" w:themeColor="text1"/>
        </w:rPr>
      </w:pPr>
      <w:r>
        <w:rPr>
          <w:color w:val="000000" w:themeColor="text1"/>
        </w:rPr>
        <w:t>1.5.3</w:t>
      </w:r>
      <w:r>
        <w:rPr>
          <w:rFonts w:hint="eastAsia"/>
          <w:color w:val="000000" w:themeColor="text1"/>
        </w:rPr>
        <w:t>建设目标</w:t>
      </w:r>
    </w:p>
    <w:p>
      <w:pPr>
        <w:ind w:firstLine="480"/>
        <w:rPr>
          <w:color w:val="000000" w:themeColor="text1"/>
        </w:rPr>
      </w:pPr>
      <w:r>
        <w:rPr>
          <w:rFonts w:hint="eastAsia"/>
          <w:color w:val="000000" w:themeColor="text1"/>
        </w:rPr>
        <w:t>数据仓库系统的建设，主要以视频提取的人、车、行为等结构化数据为核心，同时融合其他物联数据、社会面数据、互联网数据，进行多维度的碰撞分析，并与公安业务流程相结合，不断深入挖掘数据深层次价值，打通数据壁垒，服务全警应用。</w:t>
      </w:r>
    </w:p>
    <w:p>
      <w:pPr>
        <w:ind w:firstLine="480"/>
        <w:rPr>
          <w:color w:val="000000" w:themeColor="text1"/>
        </w:rPr>
      </w:pPr>
      <w:r>
        <w:rPr>
          <w:rFonts w:hint="eastAsia"/>
          <w:color w:val="000000" w:themeColor="text1"/>
        </w:rPr>
        <w:t>视频萃取结构化数据。视频监控数据经过解析中心进行分析产生的海量人车物结构化信息。</w:t>
      </w:r>
    </w:p>
    <w:p>
      <w:pPr>
        <w:ind w:firstLine="480"/>
        <w:rPr>
          <w:color w:val="000000" w:themeColor="text1"/>
        </w:rPr>
      </w:pPr>
      <w:r>
        <w:rPr>
          <w:rFonts w:hint="eastAsia"/>
          <w:color w:val="000000" w:themeColor="text1"/>
        </w:rPr>
        <w:t>人像数据。通过人脸识别系统产生的结构化数据，采集场景包括火车站、汽车站、地铁、机场、信访单位、重点单位、社区等。</w:t>
      </w:r>
    </w:p>
    <w:p>
      <w:pPr>
        <w:ind w:firstLine="480"/>
        <w:rPr>
          <w:color w:val="000000" w:themeColor="text1"/>
        </w:rPr>
      </w:pPr>
      <w:r>
        <w:rPr>
          <w:rFonts w:hint="eastAsia"/>
          <w:color w:val="000000" w:themeColor="text1"/>
        </w:rPr>
        <w:t>车辆数据。卡口产生的过车数据及车型二次分析系统所产生的车辆结构化数据，采集场景包括道路、停车场、重点单位出入口、社区出入口等。</w:t>
      </w:r>
    </w:p>
    <w:p>
      <w:pPr>
        <w:ind w:firstLine="480"/>
        <w:rPr>
          <w:color w:val="000000" w:themeColor="text1"/>
        </w:rPr>
      </w:pPr>
      <w:r>
        <w:rPr>
          <w:rFonts w:hint="eastAsia"/>
          <w:color w:val="000000" w:themeColor="text1"/>
        </w:rPr>
        <w:t>特征信息数据。特征信息采集设备所采集的地址及其他虚拟身份信息，采集场景包括道路、全区居民小区、出租房、车站、机场、地铁、重点单位等。</w:t>
      </w:r>
    </w:p>
    <w:p>
      <w:pPr>
        <w:ind w:firstLine="480"/>
        <w:rPr>
          <w:color w:val="000000" w:themeColor="text1"/>
        </w:rPr>
      </w:pPr>
      <w:r>
        <w:rPr>
          <w:rFonts w:hint="eastAsia"/>
          <w:color w:val="000000" w:themeColor="text1"/>
        </w:rPr>
        <w:t>扩展数据。具有扩展性，支持其他可能的数据源的数据采集。</w:t>
      </w:r>
    </w:p>
    <w:p>
      <w:pPr>
        <w:pStyle w:val="6"/>
        <w:spacing w:before="120" w:after="120"/>
        <w:ind w:firstLine="480"/>
        <w:rPr>
          <w:color w:val="000000" w:themeColor="text1"/>
        </w:rPr>
      </w:pPr>
      <w:bookmarkStart w:id="411" w:name="_Toc520798423"/>
      <w:r>
        <w:rPr>
          <w:color w:val="000000" w:themeColor="text1"/>
        </w:rPr>
        <w:t>1.5.4</w:t>
      </w:r>
      <w:r>
        <w:rPr>
          <w:rFonts w:hint="eastAsia"/>
          <w:color w:val="000000" w:themeColor="text1"/>
        </w:rPr>
        <w:t>总体架构</w:t>
      </w:r>
    </w:p>
    <w:p>
      <w:pPr>
        <w:ind w:firstLine="480"/>
        <w:rPr>
          <w:color w:val="000000" w:themeColor="text1"/>
        </w:rPr>
      </w:pPr>
      <w:r>
        <w:rPr>
          <w:rFonts w:hint="eastAsia"/>
          <w:color w:val="000000" w:themeColor="text1"/>
        </w:rPr>
        <w:t>本次“雪亮工程”将构建服务于公共安全管理、社会综合治理、**维稳、治安防控、侦查破案、各委办局视频服务应用和便民信息共享等工作的公共安全视频联网应用体系建设。数据仓库在公安视频专网中定位如下图所示：</w:t>
      </w:r>
    </w:p>
    <w:p>
      <w:pPr>
        <w:jc w:val="center"/>
        <w:rPr>
          <w:color w:val="000000" w:themeColor="text1"/>
        </w:rPr>
      </w:pPr>
      <w:r>
        <w:rPr>
          <w:color w:val="000000" w:themeColor="text1"/>
        </w:rPr>
        <w:drawing>
          <wp:inline distT="0" distB="0" distL="0" distR="0">
            <wp:extent cx="3648075" cy="2828925"/>
            <wp:effectExtent l="19050" t="0" r="9525" b="0"/>
            <wp:docPr id="40" name="图片 14" descr="}1B]ERJ@HBHYEL842Y33]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descr="}1B]ERJ@HBHYEL842Y33]KM"/>
                    <pic:cNvPicPr>
                      <a:picLocks noChangeAspect="1" noChangeArrowheads="1"/>
                    </pic:cNvPicPr>
                  </pic:nvPicPr>
                  <pic:blipFill>
                    <a:blip r:embed="rId81"/>
                    <a:srcRect/>
                    <a:stretch>
                      <a:fillRect/>
                    </a:stretch>
                  </pic:blipFill>
                  <pic:spPr>
                    <a:xfrm>
                      <a:off x="0" y="0"/>
                      <a:ext cx="3648075" cy="2828925"/>
                    </a:xfrm>
                    <a:prstGeom prst="rect">
                      <a:avLst/>
                    </a:prstGeom>
                    <a:noFill/>
                    <a:ln w="9525">
                      <a:noFill/>
                      <a:miter lim="800000"/>
                      <a:headEnd/>
                      <a:tailEnd/>
                    </a:ln>
                  </pic:spPr>
                </pic:pic>
              </a:graphicData>
            </a:graphic>
          </wp:inline>
        </w:drawing>
      </w:r>
    </w:p>
    <w:p>
      <w:pPr>
        <w:snapToGrid w:val="0"/>
        <w:jc w:val="center"/>
        <w:rPr>
          <w:rFonts w:ascii="宋体" w:hAnsi="宋体"/>
          <w:color w:val="000000" w:themeColor="text1"/>
        </w:rPr>
      </w:pPr>
      <w:r>
        <w:rPr>
          <w:rFonts w:hint="eastAsia" w:ascii="宋体" w:hAnsi="宋体"/>
          <w:color w:val="000000" w:themeColor="text1"/>
        </w:rPr>
        <w:t>业务流程图</w:t>
      </w:r>
    </w:p>
    <w:p>
      <w:pPr>
        <w:ind w:firstLine="480"/>
        <w:rPr>
          <w:color w:val="000000" w:themeColor="text1"/>
        </w:rPr>
      </w:pPr>
      <w:r>
        <w:rPr>
          <w:rFonts w:hint="eastAsia"/>
          <w:color w:val="000000" w:themeColor="text1"/>
        </w:rPr>
        <w:t>数据仓库作为结构化数据的存储中心，主要提供对结构化数据的存储、数据挖掘、分析等功能，以支撑上层应用的需求；同时提供数据仓库的原有功能，如实现数据仓库的级联（包括与上下级数据仓库、公安信息网数据仓库等）、基础应用功能（如订阅、检索等）、系统管理功能（如用户管理、权限管理等）。关联数据如下：</w:t>
      </w:r>
    </w:p>
    <w:p>
      <w:pPr>
        <w:ind w:firstLine="480"/>
        <w:rPr>
          <w:color w:val="000000" w:themeColor="text1"/>
        </w:rPr>
      </w:pPr>
      <w:r>
        <w:rPr>
          <w:rFonts w:hint="eastAsia"/>
          <w:color w:val="000000" w:themeColor="text1"/>
        </w:rPr>
        <w:t>1）视频</w:t>
      </w:r>
    </w:p>
    <w:p>
      <w:pPr>
        <w:ind w:firstLine="480"/>
        <w:rPr>
          <w:color w:val="000000" w:themeColor="text1"/>
        </w:rPr>
      </w:pPr>
      <w:r>
        <w:rPr>
          <w:rFonts w:hint="eastAsia"/>
          <w:color w:val="000000" w:themeColor="text1"/>
        </w:rPr>
        <w:t>前端采集系统产生的视频存储在县市两级视频共享平台，然后需要萃取的视频经由解析中心解析产生相应图片及结构化数据，其中图片存储到图片云存储，结构化数据存入数据仓库。</w:t>
      </w:r>
    </w:p>
    <w:p>
      <w:pPr>
        <w:ind w:firstLine="480"/>
        <w:rPr>
          <w:color w:val="000000" w:themeColor="text1"/>
        </w:rPr>
      </w:pPr>
      <w:r>
        <w:rPr>
          <w:rFonts w:hint="eastAsia"/>
          <w:color w:val="000000" w:themeColor="text1"/>
        </w:rPr>
        <w:t>2）图片</w:t>
      </w:r>
    </w:p>
    <w:p>
      <w:pPr>
        <w:ind w:firstLine="480"/>
        <w:rPr>
          <w:color w:val="000000" w:themeColor="text1"/>
        </w:rPr>
      </w:pPr>
      <w:r>
        <w:rPr>
          <w:rFonts w:hint="eastAsia"/>
          <w:color w:val="000000" w:themeColor="text1"/>
        </w:rPr>
        <w:t>前端卡口及电子警察产生的图片信息存入图片云存储，前端产生的相应记录的结构化数据存入数据仓库。卡口图片经由解析中心解析产生相应结构化数据存入数据仓库。</w:t>
      </w:r>
    </w:p>
    <w:p>
      <w:pPr>
        <w:ind w:firstLine="480"/>
        <w:rPr>
          <w:color w:val="000000" w:themeColor="text1"/>
        </w:rPr>
      </w:pPr>
      <w:r>
        <w:rPr>
          <w:rFonts w:hint="eastAsia"/>
          <w:color w:val="000000" w:themeColor="text1"/>
        </w:rPr>
        <w:t>3）特征信息</w:t>
      </w:r>
    </w:p>
    <w:p>
      <w:pPr>
        <w:ind w:firstLine="480"/>
        <w:rPr>
          <w:color w:val="000000" w:themeColor="text1"/>
        </w:rPr>
      </w:pPr>
      <w:r>
        <w:rPr>
          <w:rFonts w:hint="eastAsia"/>
          <w:color w:val="000000" w:themeColor="text1"/>
        </w:rPr>
        <w:t>前端特征信息采集设备产生的相应结构化数据存入数据仓库。</w:t>
      </w:r>
    </w:p>
    <w:p>
      <w:pPr>
        <w:ind w:firstLine="480"/>
        <w:rPr>
          <w:color w:val="000000" w:themeColor="text1"/>
        </w:rPr>
      </w:pPr>
      <w:r>
        <w:rPr>
          <w:rFonts w:hint="eastAsia"/>
          <w:color w:val="000000" w:themeColor="text1"/>
        </w:rPr>
        <w:t>4）人像</w:t>
      </w:r>
    </w:p>
    <w:p>
      <w:pPr>
        <w:ind w:firstLine="480"/>
        <w:rPr>
          <w:color w:val="000000" w:themeColor="text1"/>
        </w:rPr>
      </w:pPr>
      <w:r>
        <w:rPr>
          <w:rFonts w:hint="eastAsia"/>
          <w:color w:val="000000" w:themeColor="text1"/>
        </w:rPr>
        <w:t>前端人像卡口产生图片存入图片云存储，前端产生的相应记录数据存入数据仓库。图片经由解析中心人像对比解析后产生相应结构化数据存入数据仓库。</w:t>
      </w:r>
    </w:p>
    <w:p>
      <w:pPr>
        <w:ind w:firstLine="480"/>
        <w:rPr>
          <w:color w:val="000000" w:themeColor="text1"/>
        </w:rPr>
      </w:pPr>
      <w:r>
        <w:rPr>
          <w:rFonts w:hint="eastAsia"/>
          <w:color w:val="000000" w:themeColor="text1"/>
        </w:rPr>
        <w:t>5)多维物联感知</w:t>
      </w:r>
    </w:p>
    <w:p>
      <w:pPr>
        <w:ind w:firstLine="480"/>
        <w:rPr>
          <w:color w:val="000000" w:themeColor="text1"/>
        </w:rPr>
      </w:pPr>
      <w:r>
        <w:rPr>
          <w:rFonts w:hint="eastAsia"/>
          <w:color w:val="000000" w:themeColor="text1"/>
        </w:rPr>
        <w:t>前端多维物联感知设备比如声呐、雷达等点位采集产生的相应记录数据存入数据仓库。</w:t>
      </w:r>
    </w:p>
    <w:p>
      <w:pPr>
        <w:pStyle w:val="6"/>
        <w:spacing w:before="120" w:after="120"/>
        <w:ind w:firstLine="480"/>
        <w:rPr>
          <w:color w:val="000000" w:themeColor="text1"/>
        </w:rPr>
      </w:pPr>
      <w:r>
        <w:rPr>
          <w:color w:val="000000" w:themeColor="text1"/>
        </w:rPr>
        <w:t>1.5.5</w:t>
      </w:r>
      <w:r>
        <w:rPr>
          <w:rFonts w:hint="eastAsia"/>
          <w:color w:val="000000" w:themeColor="text1"/>
        </w:rPr>
        <w:t>数据仓库设计</w:t>
      </w:r>
      <w:bookmarkEnd w:id="411"/>
    </w:p>
    <w:p>
      <w:pPr>
        <w:ind w:firstLine="480"/>
        <w:rPr>
          <w:color w:val="000000" w:themeColor="text1"/>
        </w:rPr>
      </w:pPr>
      <w:r>
        <w:rPr>
          <w:rFonts w:hint="eastAsia"/>
          <w:color w:val="000000" w:themeColor="text1"/>
        </w:rPr>
        <w:t>建设深度应用的数据仓库平台，围绕“资源共享、协同增效、可扩可容、应用深挖”的原则，融合视频监控、过车信息、人脸信息、特征信息采集设备等公安视图数据，引入深度学习、视频智能识别与解析、虚拟化、云计算、物联网、分布式计算等新兴技术，建设车辆专题库、人像专题库、多维物联感知专题库等公安数据专题库，为用户提供全息档案、可视化用户画像、专题研判分析、多维布控、多维检索等功能，实现对海量大数据的智能检索、涉车应用、人像应用、稽查布控、技战应用和统计分析，为各单位、各警种提供以视频信息技术为核心的科技支撑，主动服务**实战。</w:t>
      </w:r>
    </w:p>
    <w:p>
      <w:pPr>
        <w:ind w:firstLine="480"/>
        <w:rPr>
          <w:color w:val="000000" w:themeColor="text1"/>
        </w:rPr>
      </w:pPr>
      <w:r>
        <w:rPr>
          <w:rFonts w:hint="eastAsia"/>
          <w:color w:val="000000" w:themeColor="text1"/>
        </w:rPr>
        <w:t>数据仓库结构及功能说明满足GA/T1400-2017（《公安视频图像信息应用系统》）系列标准协议要求。</w:t>
      </w:r>
    </w:p>
    <w:p>
      <w:pPr>
        <w:keepNext/>
        <w:tabs>
          <w:tab w:val="left" w:pos="7200"/>
        </w:tabs>
        <w:jc w:val="center"/>
        <w:rPr>
          <w:color w:val="000000" w:themeColor="text1"/>
        </w:rPr>
      </w:pPr>
      <w:r>
        <w:rPr>
          <w:rFonts w:hint="eastAsia"/>
          <w:color w:val="000000" w:themeColor="text1"/>
        </w:rPr>
        <w:object>
          <v:shape id="_x0000_i1030" o:spt="75" type="#_x0000_t75" style="height:173.9pt;width:383.1pt;" o:ole="t" filled="f" o:preferrelative="t" stroked="f" coordsize="21600,21600">
            <v:path/>
            <v:fill on="f" focussize="0,0"/>
            <v:stroke on="f" joinstyle="miter"/>
            <v:imagedata r:id="rId83" o:title=""/>
            <o:lock v:ext="edit" aspectratio="t"/>
            <w10:wrap type="none"/>
            <w10:anchorlock/>
          </v:shape>
          <o:OLEObject Type="Embed" ProgID="Visio.Drawing.11" ShapeID="_x0000_i1030" DrawAspect="Content" ObjectID="_1468075728" r:id="rId82">
            <o:LockedField>false</o:LockedField>
          </o:OLEObject>
        </w:object>
      </w:r>
      <w:bookmarkStart w:id="412" w:name="_Toc508964069"/>
      <w:bookmarkStart w:id="413" w:name="_Toc519242432"/>
    </w:p>
    <w:p>
      <w:pPr>
        <w:snapToGrid w:val="0"/>
        <w:jc w:val="center"/>
        <w:rPr>
          <w:rFonts w:ascii="宋体" w:hAnsi="宋体"/>
          <w:color w:val="000000" w:themeColor="text1"/>
        </w:rPr>
      </w:pPr>
      <w:r>
        <w:rPr>
          <w:rFonts w:hint="eastAsia" w:ascii="宋体" w:hAnsi="宋体"/>
          <w:color w:val="000000" w:themeColor="text1"/>
        </w:rPr>
        <w:t>数据仓库功能架构图</w:t>
      </w:r>
    </w:p>
    <w:p>
      <w:pPr>
        <w:ind w:firstLine="480"/>
        <w:rPr>
          <w:color w:val="000000" w:themeColor="text1"/>
        </w:rPr>
      </w:pPr>
      <w:r>
        <w:rPr>
          <w:rFonts w:hint="eastAsia"/>
          <w:color w:val="000000" w:themeColor="text1"/>
        </w:rPr>
        <w:t>数据仓库系统功能主要包括基础应用功能、数据分析功能、基础库、专题库、接口功能、系统管理功能等。</w:t>
      </w:r>
    </w:p>
    <w:p>
      <w:pPr>
        <w:ind w:firstLine="480"/>
        <w:rPr>
          <w:color w:val="000000" w:themeColor="text1"/>
        </w:rPr>
      </w:pPr>
      <w:r>
        <w:rPr>
          <w:rFonts w:hint="eastAsia" w:ascii="MS Mincho" w:hAnsi="MS Mincho" w:eastAsia="MS Mincho" w:cs="MS Mincho"/>
          <w:color w:val="000000" w:themeColor="text1"/>
        </w:rPr>
        <w:t>➣</w:t>
      </w:r>
      <w:r>
        <w:rPr>
          <w:rFonts w:hint="eastAsia"/>
          <w:color w:val="000000" w:themeColor="text1"/>
        </w:rPr>
        <w:t>基础应用功能：主要实现订阅、检索、布控、告警、联网等功能；</w:t>
      </w:r>
    </w:p>
    <w:p>
      <w:pPr>
        <w:ind w:firstLine="480"/>
        <w:rPr>
          <w:color w:val="000000" w:themeColor="text1"/>
        </w:rPr>
      </w:pPr>
      <w:r>
        <w:rPr>
          <w:rFonts w:hint="eastAsia" w:ascii="MS Mincho" w:hAnsi="MS Mincho" w:eastAsia="MS Mincho" w:cs="MS Mincho"/>
          <w:color w:val="000000" w:themeColor="text1"/>
        </w:rPr>
        <w:t>➣</w:t>
      </w:r>
      <w:r>
        <w:rPr>
          <w:rFonts w:hint="eastAsia"/>
          <w:color w:val="000000" w:themeColor="text1"/>
        </w:rPr>
        <w:t>数据分析功能：主要实现融合检索、碰撞查询等分析功能；</w:t>
      </w:r>
    </w:p>
    <w:p>
      <w:pPr>
        <w:ind w:firstLine="480"/>
        <w:rPr>
          <w:color w:val="000000" w:themeColor="text1"/>
        </w:rPr>
      </w:pPr>
      <w:r>
        <w:rPr>
          <w:rFonts w:hint="eastAsia" w:ascii="MS Mincho" w:hAnsi="MS Mincho" w:eastAsia="MS Mincho" w:cs="MS Mincho"/>
          <w:color w:val="000000" w:themeColor="text1"/>
        </w:rPr>
        <w:t>➣</w:t>
      </w:r>
      <w:r>
        <w:rPr>
          <w:rFonts w:hint="eastAsia"/>
          <w:color w:val="000000" w:themeColor="text1"/>
        </w:rPr>
        <w:t>基础库：主要建设基础的人员库、车辆库、特征信息采集设备数据库等；</w:t>
      </w:r>
    </w:p>
    <w:p>
      <w:pPr>
        <w:ind w:firstLine="480"/>
        <w:rPr>
          <w:color w:val="000000" w:themeColor="text1"/>
        </w:rPr>
      </w:pPr>
      <w:r>
        <w:rPr>
          <w:rFonts w:hint="eastAsia" w:ascii="MS Mincho" w:hAnsi="MS Mincho" w:eastAsia="MS Mincho" w:cs="MS Mincho"/>
          <w:color w:val="000000" w:themeColor="text1"/>
        </w:rPr>
        <w:t>➣</w:t>
      </w:r>
      <w:r>
        <w:rPr>
          <w:rFonts w:hint="eastAsia"/>
          <w:color w:val="000000" w:themeColor="text1"/>
        </w:rPr>
        <w:t>专题库：主要是根据应用的需求建设，如人员轨迹库、车辆轨迹库、布控库、多维物联感知等；</w:t>
      </w:r>
    </w:p>
    <w:p>
      <w:pPr>
        <w:ind w:firstLine="480"/>
        <w:rPr>
          <w:color w:val="000000" w:themeColor="text1"/>
        </w:rPr>
      </w:pPr>
      <w:r>
        <w:rPr>
          <w:rFonts w:hint="eastAsia" w:ascii="MS Mincho" w:hAnsi="MS Mincho" w:eastAsia="MS Mincho" w:cs="MS Mincho"/>
          <w:color w:val="000000" w:themeColor="text1"/>
        </w:rPr>
        <w:t>➣</w:t>
      </w:r>
      <w:r>
        <w:rPr>
          <w:rFonts w:hint="eastAsia"/>
          <w:color w:val="000000" w:themeColor="text1"/>
        </w:rPr>
        <w:t>管理功能：包括存储管理、用户管理、设备管理、日志管理、时钟管理等功能；</w:t>
      </w:r>
    </w:p>
    <w:p>
      <w:pPr>
        <w:ind w:firstLine="480"/>
        <w:rPr>
          <w:color w:val="000000" w:themeColor="text1"/>
        </w:rPr>
      </w:pPr>
      <w:r>
        <w:rPr>
          <w:rFonts w:hint="eastAsia" w:ascii="MS Mincho" w:hAnsi="MS Mincho" w:eastAsia="MS Mincho" w:cs="MS Mincho"/>
          <w:color w:val="000000" w:themeColor="text1"/>
        </w:rPr>
        <w:t>➣</w:t>
      </w:r>
      <w:r>
        <w:rPr>
          <w:rFonts w:hint="eastAsia"/>
          <w:color w:val="000000" w:themeColor="text1"/>
        </w:rPr>
        <w:t>接口功能：主要实现与采集设备或采集系统、上下级数据仓库、视频图像信息综合应用平台、解析中心、公安信息网等之间交互的信息。</w:t>
      </w:r>
    </w:p>
    <w:bookmarkEnd w:id="412"/>
    <w:bookmarkEnd w:id="413"/>
    <w:p>
      <w:pPr>
        <w:pStyle w:val="7"/>
        <w:spacing w:before="120" w:after="120"/>
        <w:ind w:firstLine="480"/>
        <w:rPr>
          <w:color w:val="000000" w:themeColor="text1"/>
        </w:rPr>
      </w:pPr>
      <w:bookmarkStart w:id="414" w:name="_Toc520798428"/>
      <w:r>
        <w:rPr>
          <w:color w:val="000000" w:themeColor="text1"/>
        </w:rPr>
        <w:t>1.5.5.1</w:t>
      </w:r>
      <w:r>
        <w:rPr>
          <w:rFonts w:hint="eastAsia"/>
          <w:color w:val="000000" w:themeColor="text1"/>
        </w:rPr>
        <w:t>基础应用功能</w:t>
      </w:r>
      <w:bookmarkEnd w:id="414"/>
    </w:p>
    <w:p>
      <w:pPr>
        <w:ind w:firstLine="480"/>
        <w:rPr>
          <w:color w:val="000000" w:themeColor="text1"/>
        </w:rPr>
      </w:pPr>
      <w:bookmarkStart w:id="415" w:name="_Toc508964070"/>
      <w:bookmarkStart w:id="416" w:name="_Toc519242433"/>
      <w:r>
        <w:rPr>
          <w:rFonts w:hint="eastAsia"/>
          <w:color w:val="000000" w:themeColor="text1"/>
        </w:rPr>
        <w:t>1、检索</w:t>
      </w:r>
      <w:bookmarkEnd w:id="415"/>
      <w:bookmarkEnd w:id="416"/>
    </w:p>
    <w:p>
      <w:pPr>
        <w:ind w:firstLine="480"/>
        <w:rPr>
          <w:color w:val="000000" w:themeColor="text1"/>
        </w:rPr>
      </w:pPr>
      <w:r>
        <w:rPr>
          <w:rFonts w:hint="eastAsia"/>
          <w:color w:val="000000" w:themeColor="text1"/>
        </w:rPr>
        <w:t>数据仓库包含常用的人员、车辆、多维物联感知等几大基础库，支持全文检索功能，输入关键字进行检索；全文检索支持多个关键字的组合检索。可对全文检索后的资源、案事件结果内容进行评论、收藏和视图的下载。</w:t>
      </w:r>
    </w:p>
    <w:p>
      <w:pPr>
        <w:ind w:firstLine="480"/>
        <w:rPr>
          <w:color w:val="000000" w:themeColor="text1"/>
        </w:rPr>
      </w:pPr>
      <w:r>
        <w:rPr>
          <w:rFonts w:hint="eastAsia"/>
          <w:color w:val="000000" w:themeColor="text1"/>
        </w:rPr>
        <w:t>应支持基于视频图像信息对象特征属性，进行关键字模糊搜索、对象属性组合的查询与检索；</w:t>
      </w:r>
    </w:p>
    <w:p>
      <w:pPr>
        <w:ind w:firstLine="480"/>
        <w:rPr>
          <w:color w:val="000000" w:themeColor="text1"/>
        </w:rPr>
      </w:pPr>
      <w:r>
        <w:rPr>
          <w:rFonts w:hint="eastAsia"/>
          <w:color w:val="000000" w:themeColor="text1"/>
        </w:rPr>
        <w:t>应支持基于车牌号码、车型、过车时间、过车位置等机动车特征属性及其组合的查询与分析，如车辆号牌的模糊及精确查询、车辆轨迹分析、时空碰撞分析等；</w:t>
      </w:r>
    </w:p>
    <w:p>
      <w:pPr>
        <w:ind w:firstLine="480"/>
        <w:rPr>
          <w:color w:val="000000" w:themeColor="text1"/>
        </w:rPr>
      </w:pPr>
      <w:r>
        <w:rPr>
          <w:rFonts w:hint="eastAsia"/>
          <w:color w:val="000000" w:themeColor="text1"/>
        </w:rPr>
        <w:t>应支持基于视频图像信息对象特征属性和其他信息系统之间相关信息的组合分析；</w:t>
      </w:r>
    </w:p>
    <w:p>
      <w:pPr>
        <w:ind w:firstLine="480"/>
        <w:rPr>
          <w:color w:val="000000" w:themeColor="text1"/>
        </w:rPr>
      </w:pPr>
      <w:r>
        <w:rPr>
          <w:rFonts w:hint="eastAsia"/>
          <w:color w:val="000000" w:themeColor="text1"/>
        </w:rPr>
        <w:t>支持搜索符合给定图像或图像特征的视频图像信息基本对象。</w:t>
      </w:r>
    </w:p>
    <w:p>
      <w:pPr>
        <w:ind w:firstLine="480"/>
        <w:rPr>
          <w:color w:val="000000" w:themeColor="text1"/>
        </w:rPr>
      </w:pPr>
      <w:bookmarkStart w:id="417" w:name="_Toc508964071"/>
      <w:bookmarkStart w:id="418" w:name="_Toc519242434"/>
      <w:r>
        <w:rPr>
          <w:rFonts w:hint="eastAsia"/>
          <w:color w:val="000000" w:themeColor="text1"/>
        </w:rPr>
        <w:t>2、订阅</w:t>
      </w:r>
      <w:bookmarkEnd w:id="417"/>
      <w:bookmarkEnd w:id="418"/>
    </w:p>
    <w:p>
      <w:pPr>
        <w:ind w:firstLine="480"/>
        <w:rPr>
          <w:color w:val="000000" w:themeColor="text1"/>
        </w:rPr>
      </w:pPr>
      <w:r>
        <w:rPr>
          <w:rFonts w:hint="eastAsia"/>
          <w:color w:val="000000" w:themeColor="text1"/>
        </w:rPr>
        <w:t>具有对数据仓库的视频图像信息对象及其目录、采集设备/系统目录与状态、案事件信息等订阅、撤销订阅、通知等功能。支持上下级的级联管理，配置下级订阅服务，订阅下级平台的视频图像信息。</w:t>
      </w:r>
    </w:p>
    <w:p>
      <w:pPr>
        <w:ind w:firstLine="480"/>
        <w:rPr>
          <w:color w:val="000000" w:themeColor="text1"/>
        </w:rPr>
      </w:pPr>
      <w:bookmarkStart w:id="419" w:name="_Toc519242435"/>
      <w:bookmarkStart w:id="420" w:name="_Toc508964072"/>
      <w:r>
        <w:rPr>
          <w:rFonts w:hint="eastAsia"/>
          <w:color w:val="000000" w:themeColor="text1"/>
        </w:rPr>
        <w:t>3、布控告警</w:t>
      </w:r>
      <w:bookmarkEnd w:id="419"/>
      <w:bookmarkEnd w:id="420"/>
    </w:p>
    <w:p>
      <w:pPr>
        <w:ind w:firstLine="480"/>
        <w:rPr>
          <w:color w:val="000000" w:themeColor="text1"/>
        </w:rPr>
      </w:pPr>
      <w:r>
        <w:rPr>
          <w:rFonts w:hint="eastAsia"/>
          <w:color w:val="000000" w:themeColor="text1"/>
        </w:rPr>
        <w:t>应能对特定移动目标对象的特征属性（如车牌号码、车型、车身颜色、所在空间区域等）及其组合通过数据仓库进行本级或跨级在线布控，具备布控设置、接收告警、布控撤除等功能。</w:t>
      </w:r>
    </w:p>
    <w:p>
      <w:pPr>
        <w:ind w:firstLine="480"/>
        <w:rPr>
          <w:color w:val="000000" w:themeColor="text1"/>
        </w:rPr>
      </w:pPr>
      <w:r>
        <w:rPr>
          <w:rFonts w:hint="eastAsia"/>
          <w:color w:val="000000" w:themeColor="text1"/>
        </w:rPr>
        <w:t>4、联网</w:t>
      </w:r>
    </w:p>
    <w:p>
      <w:pPr>
        <w:ind w:firstLine="480"/>
        <w:rPr>
          <w:color w:val="000000" w:themeColor="text1"/>
        </w:rPr>
      </w:pPr>
      <w:r>
        <w:rPr>
          <w:rFonts w:hint="eastAsia"/>
          <w:color w:val="000000" w:themeColor="text1"/>
        </w:rPr>
        <w:t>通过上下级数据仓库的级联接口实现上下级系统之间的级联联网。</w:t>
      </w:r>
    </w:p>
    <w:p>
      <w:pPr>
        <w:ind w:firstLine="480"/>
        <w:rPr>
          <w:color w:val="000000" w:themeColor="text1"/>
        </w:rPr>
      </w:pPr>
      <w:bookmarkStart w:id="421" w:name="_Toc519242436"/>
      <w:bookmarkStart w:id="422" w:name="_Toc508964073"/>
      <w:r>
        <w:rPr>
          <w:rFonts w:hint="eastAsia"/>
          <w:color w:val="000000" w:themeColor="text1"/>
        </w:rPr>
        <w:t>5、统计分析</w:t>
      </w:r>
      <w:bookmarkEnd w:id="421"/>
      <w:bookmarkEnd w:id="422"/>
    </w:p>
    <w:p>
      <w:pPr>
        <w:ind w:firstLine="480"/>
        <w:rPr>
          <w:color w:val="000000" w:themeColor="text1"/>
        </w:rPr>
      </w:pPr>
      <w:r>
        <w:rPr>
          <w:rFonts w:hint="eastAsia"/>
          <w:color w:val="000000" w:themeColor="text1"/>
        </w:rPr>
        <w:t>能根据视频案事件类型、处理阶段、所属区域、时间范围等不同特征进行统计分析，并生成统计报表；</w:t>
      </w:r>
    </w:p>
    <w:p>
      <w:pPr>
        <w:ind w:firstLine="480"/>
        <w:rPr>
          <w:color w:val="000000" w:themeColor="text1"/>
        </w:rPr>
      </w:pPr>
      <w:r>
        <w:rPr>
          <w:rFonts w:hint="eastAsia"/>
          <w:color w:val="000000" w:themeColor="text1"/>
        </w:rPr>
        <w:t>能基于视频图像信息对象的特征属性进行统计分析，并生成统计报表；</w:t>
      </w:r>
    </w:p>
    <w:p>
      <w:pPr>
        <w:ind w:firstLine="480"/>
        <w:rPr>
          <w:color w:val="000000" w:themeColor="text1"/>
        </w:rPr>
      </w:pPr>
      <w:r>
        <w:rPr>
          <w:rFonts w:hint="eastAsia"/>
          <w:color w:val="000000" w:themeColor="text1"/>
        </w:rPr>
        <w:t>支持BI图形化展示界面功能。</w:t>
      </w:r>
    </w:p>
    <w:p>
      <w:pPr>
        <w:pStyle w:val="7"/>
        <w:spacing w:before="120" w:after="120"/>
        <w:ind w:firstLine="480"/>
        <w:rPr>
          <w:color w:val="000000" w:themeColor="text1"/>
        </w:rPr>
      </w:pPr>
      <w:bookmarkStart w:id="423" w:name="_Toc520798429"/>
      <w:r>
        <w:rPr>
          <w:color w:val="000000" w:themeColor="text1"/>
        </w:rPr>
        <w:t>1.5.5.2</w:t>
      </w:r>
      <w:r>
        <w:rPr>
          <w:rFonts w:hint="eastAsia"/>
          <w:color w:val="000000" w:themeColor="text1"/>
        </w:rPr>
        <w:t>管理功能</w:t>
      </w:r>
      <w:bookmarkEnd w:id="423"/>
    </w:p>
    <w:p>
      <w:pPr>
        <w:ind w:firstLine="480"/>
        <w:rPr>
          <w:color w:val="000000" w:themeColor="text1"/>
        </w:rPr>
      </w:pPr>
      <w:bookmarkStart w:id="424" w:name="_Toc448926496"/>
      <w:bookmarkStart w:id="425" w:name="_Toc448658917"/>
      <w:bookmarkStart w:id="426" w:name="_Toc445366092"/>
      <w:bookmarkStart w:id="427" w:name="_Toc341617369"/>
      <w:bookmarkStart w:id="428" w:name="_Toc485313437"/>
      <w:bookmarkStart w:id="429" w:name="_Toc451600778"/>
      <w:bookmarkStart w:id="430" w:name="_Toc448657331"/>
      <w:bookmarkStart w:id="431" w:name="_Toc448926547"/>
      <w:bookmarkStart w:id="432" w:name="_Toc450659758"/>
      <w:bookmarkStart w:id="433" w:name="_Toc448664501"/>
      <w:bookmarkStart w:id="434" w:name="_Toc445910959"/>
      <w:r>
        <w:rPr>
          <w:rFonts w:hint="eastAsia"/>
          <w:color w:val="000000" w:themeColor="text1"/>
        </w:rPr>
        <w:t>1、用户权限</w:t>
      </w:r>
      <w:bookmarkEnd w:id="424"/>
      <w:bookmarkEnd w:id="425"/>
      <w:bookmarkEnd w:id="426"/>
      <w:bookmarkEnd w:id="427"/>
      <w:bookmarkEnd w:id="428"/>
      <w:bookmarkEnd w:id="429"/>
      <w:bookmarkEnd w:id="430"/>
      <w:bookmarkEnd w:id="431"/>
      <w:bookmarkEnd w:id="432"/>
      <w:bookmarkEnd w:id="433"/>
      <w:bookmarkEnd w:id="434"/>
    </w:p>
    <w:p>
      <w:pPr>
        <w:ind w:firstLine="480"/>
        <w:rPr>
          <w:rFonts w:ascii="宋体" w:hAnsi="宋体"/>
          <w:color w:val="000000" w:themeColor="text1"/>
        </w:rPr>
      </w:pPr>
      <w:r>
        <w:rPr>
          <w:rFonts w:hint="eastAsia" w:ascii="宋体" w:hAnsi="宋体"/>
          <w:color w:val="000000" w:themeColor="text1"/>
        </w:rPr>
        <w:t>各部分应具有各自相对独立的用户权限管理功能，宜支持通过统一的鉴权认证系统进行用户权限管理。</w:t>
      </w:r>
    </w:p>
    <w:p>
      <w:pPr>
        <w:ind w:firstLine="480"/>
        <w:rPr>
          <w:rFonts w:ascii="宋体" w:hAnsi="宋体"/>
          <w:color w:val="000000" w:themeColor="text1"/>
        </w:rPr>
      </w:pPr>
      <w:r>
        <w:rPr>
          <w:rFonts w:hint="eastAsia" w:ascii="宋体" w:hAnsi="宋体"/>
          <w:color w:val="000000" w:themeColor="text1"/>
        </w:rPr>
        <w:t>系统提供的一系列接口和方法对系统的安全访问、接入进行合法性认证，对系统管理的视频、图像、信息等资源进行权限分配，对用户的权限进行控制。</w:t>
      </w:r>
    </w:p>
    <w:p>
      <w:pPr>
        <w:ind w:firstLine="480"/>
        <w:rPr>
          <w:rFonts w:ascii="宋体" w:hAnsi="宋体"/>
          <w:color w:val="000000" w:themeColor="text1"/>
        </w:rPr>
      </w:pPr>
      <w:r>
        <w:rPr>
          <w:rFonts w:hint="eastAsia" w:ascii="宋体" w:hAnsi="宋体"/>
          <w:color w:val="000000" w:themeColor="text1"/>
        </w:rPr>
        <w:t>2、设备管理</w:t>
      </w:r>
    </w:p>
    <w:p>
      <w:pPr>
        <w:ind w:firstLine="480"/>
        <w:rPr>
          <w:rFonts w:ascii="宋体" w:hAnsi="宋体"/>
          <w:color w:val="000000" w:themeColor="text1"/>
        </w:rPr>
      </w:pPr>
      <w:r>
        <w:rPr>
          <w:rFonts w:hint="eastAsia" w:ascii="宋体" w:hAnsi="宋体"/>
          <w:color w:val="000000" w:themeColor="text1"/>
        </w:rPr>
        <w:t>提供设备/系统、设备/系统的管理功能，包括存储设备、分析设备、采集设备等；支持采集设备登录口令/密码的动态管理，能定期自动更新采集设备登录口令/密码。</w:t>
      </w:r>
    </w:p>
    <w:p>
      <w:pPr>
        <w:ind w:firstLine="480"/>
        <w:rPr>
          <w:rFonts w:ascii="宋体" w:hAnsi="宋体"/>
          <w:color w:val="000000" w:themeColor="text1"/>
        </w:rPr>
      </w:pPr>
      <w:bookmarkStart w:id="435" w:name="_Toc519242438"/>
      <w:bookmarkStart w:id="436" w:name="_Toc508964075"/>
      <w:r>
        <w:rPr>
          <w:rFonts w:hint="eastAsia" w:ascii="宋体" w:hAnsi="宋体"/>
          <w:color w:val="000000" w:themeColor="text1"/>
        </w:rPr>
        <w:t>3、档案管理</w:t>
      </w:r>
      <w:bookmarkEnd w:id="435"/>
      <w:bookmarkEnd w:id="436"/>
    </w:p>
    <w:p>
      <w:pPr>
        <w:ind w:firstLine="480"/>
        <w:rPr>
          <w:rFonts w:ascii="宋体" w:hAnsi="宋体"/>
          <w:color w:val="000000" w:themeColor="text1"/>
        </w:rPr>
      </w:pPr>
      <w:r>
        <w:rPr>
          <w:rFonts w:hint="eastAsia" w:ascii="宋体" w:hAnsi="宋体"/>
          <w:color w:val="000000" w:themeColor="text1"/>
        </w:rPr>
        <w:t>具有视频案事件的创建、更新及删除等管理功能，对数据仓库服务器、采集系统、卡口点位、采集设备、车道、人脸数据等档案信息进行管理。</w:t>
      </w:r>
    </w:p>
    <w:p>
      <w:pPr>
        <w:ind w:firstLine="480"/>
        <w:rPr>
          <w:rFonts w:ascii="宋体" w:hAnsi="宋体"/>
          <w:color w:val="000000" w:themeColor="text1"/>
        </w:rPr>
      </w:pPr>
      <w:bookmarkStart w:id="437" w:name="_Toc519242439"/>
      <w:bookmarkStart w:id="438" w:name="_Toc508964076"/>
      <w:r>
        <w:rPr>
          <w:rFonts w:hint="eastAsia" w:ascii="宋体" w:hAnsi="宋体"/>
          <w:color w:val="000000" w:themeColor="text1"/>
        </w:rPr>
        <w:t>4、存储管理</w:t>
      </w:r>
      <w:bookmarkEnd w:id="437"/>
      <w:bookmarkEnd w:id="438"/>
    </w:p>
    <w:p>
      <w:pPr>
        <w:ind w:firstLine="480"/>
        <w:rPr>
          <w:rFonts w:ascii="宋体" w:hAnsi="宋体"/>
          <w:color w:val="000000" w:themeColor="text1"/>
        </w:rPr>
      </w:pPr>
      <w:r>
        <w:rPr>
          <w:rFonts w:hint="eastAsia" w:ascii="宋体" w:hAnsi="宋体"/>
          <w:color w:val="000000" w:themeColor="text1"/>
        </w:rPr>
        <w:t>具有结构化信息对象的存储功能，对人工上传和自动上传的信息和文件进行分类存储，支持配置其存储时间及周期、支持存储容量的平滑扩展、支持存储时限灵活可调。</w:t>
      </w:r>
    </w:p>
    <w:p>
      <w:pPr>
        <w:ind w:firstLine="480"/>
        <w:rPr>
          <w:rFonts w:ascii="宋体" w:hAnsi="宋体"/>
          <w:color w:val="000000" w:themeColor="text1"/>
        </w:rPr>
      </w:pPr>
      <w:bookmarkStart w:id="439" w:name="_Toc519242444"/>
      <w:bookmarkStart w:id="440" w:name="_Toc508964077"/>
      <w:r>
        <w:rPr>
          <w:rFonts w:hint="eastAsia" w:ascii="宋体" w:hAnsi="宋体"/>
          <w:color w:val="000000" w:themeColor="text1"/>
        </w:rPr>
        <w:t>5、日志管理</w:t>
      </w:r>
      <w:bookmarkEnd w:id="439"/>
      <w:bookmarkEnd w:id="440"/>
    </w:p>
    <w:p>
      <w:pPr>
        <w:ind w:firstLine="480"/>
        <w:rPr>
          <w:rFonts w:ascii="宋体" w:hAnsi="宋体"/>
          <w:color w:val="000000" w:themeColor="text1"/>
        </w:rPr>
      </w:pPr>
      <w:r>
        <w:rPr>
          <w:rFonts w:hint="eastAsia" w:ascii="宋体" w:hAnsi="宋体"/>
          <w:color w:val="000000" w:themeColor="text1"/>
        </w:rPr>
        <w:t>对系统运行状态和用户操作情况进行日志记录，并能按照日志类型、时间等对日志进行检索与统计分析。各部分具有相对独立的运行日志和操作日志管理功能。</w:t>
      </w:r>
    </w:p>
    <w:p>
      <w:pPr>
        <w:ind w:firstLine="480"/>
        <w:rPr>
          <w:rFonts w:ascii="宋体" w:hAnsi="宋体"/>
          <w:color w:val="000000" w:themeColor="text1"/>
        </w:rPr>
      </w:pPr>
      <w:r>
        <w:rPr>
          <w:rFonts w:hint="eastAsia" w:ascii="宋体" w:hAnsi="宋体"/>
          <w:color w:val="000000" w:themeColor="text1"/>
        </w:rPr>
        <w:t>支持统一日志审计：记录平台的操作记录，并提供检索功能，管理组件、所有主机、所有服务（例如HDFS、Spark等）的日志、审计、告警信息；并可针对特定服务和操作提供展示功能，提供日志检索、全文搜索、统计功能。</w:t>
      </w:r>
    </w:p>
    <w:p>
      <w:pPr>
        <w:pStyle w:val="7"/>
        <w:spacing w:before="120" w:after="120"/>
        <w:ind w:firstLine="480"/>
        <w:rPr>
          <w:b w:val="0"/>
          <w:color w:val="000000" w:themeColor="text1"/>
        </w:rPr>
      </w:pPr>
      <w:bookmarkStart w:id="441" w:name="_Toc520798430"/>
      <w:r>
        <w:rPr>
          <w:color w:val="000000" w:themeColor="text1"/>
        </w:rPr>
        <w:t>1.5.5.3</w:t>
      </w:r>
      <w:r>
        <w:rPr>
          <w:rFonts w:hint="eastAsia"/>
          <w:color w:val="000000" w:themeColor="text1"/>
        </w:rPr>
        <w:t>数据分析功能</w:t>
      </w:r>
      <w:bookmarkEnd w:id="441"/>
    </w:p>
    <w:p>
      <w:pPr>
        <w:ind w:firstLine="480"/>
        <w:rPr>
          <w:color w:val="000000" w:themeColor="text1"/>
        </w:rPr>
      </w:pPr>
      <w:r>
        <w:rPr>
          <w:rFonts w:hint="eastAsia"/>
          <w:color w:val="000000" w:themeColor="text1"/>
        </w:rPr>
        <w:t>数据分析功能是业务系统结合业务数据进行的各种业务形式的分析和判断，能够将数据通过特定业务要求展现出来，帮助用户进行特定的业务分析和处理。</w:t>
      </w:r>
    </w:p>
    <w:p>
      <w:pPr>
        <w:ind w:firstLine="480"/>
        <w:rPr>
          <w:color w:val="000000" w:themeColor="text1"/>
        </w:rPr>
      </w:pPr>
      <w:r>
        <w:rPr>
          <w:rFonts w:hint="eastAsia"/>
          <w:color w:val="000000" w:themeColor="text1"/>
        </w:rPr>
        <w:t>碰撞分析功能是指通过数据挖掘业务系统分析数据之间的关联性，从而将数据之间的关系量化，提供关联搜索与碰撞分析。</w:t>
      </w:r>
    </w:p>
    <w:p>
      <w:pPr>
        <w:ind w:firstLine="480"/>
        <w:rPr>
          <w:color w:val="000000" w:themeColor="text1"/>
        </w:rPr>
      </w:pPr>
      <w:r>
        <w:rPr>
          <w:rFonts w:hint="eastAsia"/>
          <w:color w:val="000000" w:themeColor="text1"/>
        </w:rPr>
        <w:t>融合检索功能是指业务系统最常用的一些查询和数据分析的功能，也是业务部门使用频率最高的操作。</w:t>
      </w:r>
    </w:p>
    <w:p>
      <w:pPr>
        <w:ind w:firstLine="480"/>
        <w:rPr>
          <w:color w:val="000000" w:themeColor="text1"/>
        </w:rPr>
      </w:pPr>
      <w:r>
        <w:rPr>
          <w:rFonts w:hint="eastAsia"/>
          <w:color w:val="000000" w:themeColor="text1"/>
        </w:rPr>
        <w:t>以卡口系统为例，检索业务有卡口过车记录精确查询、模糊查询等（如查询车牌，查询车辆颜色，品牌等），通常在卡口总体数据量较小的情况下，基础检索业务不会存在太明显的效率问题，但是在卡口数据体量较大情况下（&gt;1亿条），若采用传统的关系型数据库方式-如oracle，基础检索业务的执行效率会呈现几何级的下降趋势，系统变得几乎不可用。而采用海量数据搜索系统，可以做到秒级响应，大大提高搜索效率。</w:t>
      </w:r>
    </w:p>
    <w:p>
      <w:pPr>
        <w:ind w:firstLine="480"/>
        <w:rPr>
          <w:color w:val="000000" w:themeColor="text1"/>
        </w:rPr>
      </w:pPr>
      <w:r>
        <w:rPr>
          <w:rFonts w:hint="eastAsia"/>
          <w:color w:val="000000" w:themeColor="text1"/>
        </w:rPr>
        <w:t>全文检索功能是按照全文检索理论建立起来的用于提供全文检索服务的软件系统。全文检索系统的核心则具有建立索引、处理查询返回结果集、增加索引、优化索引结构等功能。同时支持智能排序、内容高亮显示、以及按中文分词查询。</w:t>
      </w:r>
    </w:p>
    <w:p>
      <w:pPr>
        <w:ind w:firstLine="480"/>
        <w:rPr>
          <w:color w:val="000000" w:themeColor="text1"/>
        </w:rPr>
      </w:pPr>
      <w:r>
        <w:rPr>
          <w:rFonts w:hint="eastAsia"/>
          <w:color w:val="000000" w:themeColor="text1"/>
        </w:rPr>
        <w:t>基于搜索习惯的研究，全文检索功能可同时支持如：按手号码查询、按关键词列表查询、同音字(拼音)查询、并支持查询结果二次过滤、批量查询以及查询结果导出等功能。</w:t>
      </w:r>
    </w:p>
    <w:p>
      <w:pPr>
        <w:pStyle w:val="7"/>
        <w:spacing w:before="120" w:after="120"/>
        <w:ind w:firstLine="480"/>
        <w:rPr>
          <w:color w:val="000000" w:themeColor="text1"/>
        </w:rPr>
      </w:pPr>
      <w:bookmarkStart w:id="442" w:name="_Toc520798431"/>
      <w:r>
        <w:rPr>
          <w:color w:val="000000" w:themeColor="text1"/>
        </w:rPr>
        <w:t>1.5.5.4</w:t>
      </w:r>
      <w:r>
        <w:rPr>
          <w:rFonts w:hint="eastAsia"/>
          <w:color w:val="000000" w:themeColor="text1"/>
        </w:rPr>
        <w:t>基础库</w:t>
      </w:r>
      <w:bookmarkEnd w:id="442"/>
    </w:p>
    <w:p>
      <w:pPr>
        <w:ind w:firstLine="480"/>
        <w:rPr>
          <w:color w:val="000000" w:themeColor="text1"/>
        </w:rPr>
      </w:pPr>
      <w:r>
        <w:rPr>
          <w:rFonts w:hint="eastAsia"/>
          <w:color w:val="000000" w:themeColor="text1"/>
        </w:rPr>
        <w:t>基础库面向对象资源维度构建的物理存储库，满足不同资源目标对象（车辆、人脸、人体、物体、事件、WIFI等）的管理与应用。包括人员信息库（人脸、人体）、车辆信息库（车牌号、品牌、颜色、年款等）等，可包含如下信息：</w:t>
      </w:r>
    </w:p>
    <w:p>
      <w:pPr>
        <w:ind w:firstLine="480"/>
        <w:rPr>
          <w:color w:val="000000" w:themeColor="text1"/>
        </w:rPr>
      </w:pPr>
      <w:r>
        <w:rPr>
          <w:rFonts w:hint="eastAsia"/>
          <w:color w:val="000000" w:themeColor="text1"/>
        </w:rPr>
        <w:t>视频片段：视频标识、信息分类、视频来源、摘要视频标志、原始视频ID、原始视频URL、事件分类、设备编码、存储路径、缩略图存储路径、视频文件哈希值、视频文件格式、视频编码格式、音频标志、音频编码格式、题名、题名补充、专项名、关键词、内容描述、主题人物、拍摄地点行政区划代码、拍摄地点区划内详细地址、拍摄地点经度、拍摄地点纬度、水平拍摄方向、垂直拍摄方向、密级代码、视频长度、视频开始时间、视频结束时间、时间误差、宽度、高度、质量等级、入库时间、视频处理标志、文件大小。</w:t>
      </w:r>
    </w:p>
    <w:p>
      <w:pPr>
        <w:ind w:firstLine="480"/>
        <w:rPr>
          <w:color w:val="000000" w:themeColor="text1"/>
        </w:rPr>
      </w:pPr>
      <w:r>
        <w:rPr>
          <w:rFonts w:hint="eastAsia"/>
          <w:color w:val="000000" w:themeColor="text1"/>
        </w:rPr>
        <w:t>图片文件：图像标识。信息分类、图像来源、来源视频标识、原始图像标识、事件分类、设备编码、存储路径、图像文件哈希值、图像文件格式、拍摄时间、题名、题名补充、专项名、关键词、内容描述、主题人物、拍摄地点行政区划代码、拍摄地点区划内详细地址、拍摄地点经度、拍摄地点纬度、水平拍摄方向、垂直拍摄方向、密级代码、宽度、高度、照特征信息制造商、照特征信息型号、光圈值、ISO感光值、焦距、质量等级、入库时间、图像处理标志、文件大小。</w:t>
      </w:r>
    </w:p>
    <w:p>
      <w:pPr>
        <w:ind w:firstLine="480"/>
        <w:rPr>
          <w:color w:val="000000" w:themeColor="text1"/>
        </w:rPr>
      </w:pPr>
      <w:r>
        <w:rPr>
          <w:rFonts w:hint="eastAsia"/>
          <w:color w:val="000000" w:themeColor="text1"/>
        </w:rPr>
        <w:t>人脸信息：人脸标识、信息分类、来源标识、设备编码、左上角X坐标、左上角Y坐标、右下角X坐标、右下角Y坐标、位置标记、时间、人脸出现、时间、人脸消失、时间、年龄上限、年龄下限、同行人脸数、肤色、发型、发色、脸型、脸部特征、体貌特征、口罩颜色、帽子款式、帽子颜色、眼镜款式、眼镜颜色、是否驾驶员、体表特殊标记、眉型、鼻型、胡型、嘴唇、皱纹眼袋、痤疮色斑、黑痣胎记、疤痕酒窝、其他特征、图像列表。</w:t>
      </w:r>
    </w:p>
    <w:p>
      <w:pPr>
        <w:ind w:firstLine="480"/>
        <w:rPr>
          <w:color w:val="000000" w:themeColor="text1"/>
        </w:rPr>
      </w:pPr>
      <w:r>
        <w:rPr>
          <w:rFonts w:hint="eastAsia"/>
          <w:color w:val="000000" w:themeColor="text1"/>
        </w:rPr>
        <w:t>人体信息：人员标识、信息分类、来源标识、设备编码、左上角X坐标、左上角Y坐标、右下角X坐标、右下角Y坐标、位置标记、时间、人员出现、时间、人员消失、时间、年龄上限、年龄下限、同行人数、身高上限、身高下限、体型、肤色、发型、发色、姿态、状态、脸型、脸部特征、体貌特征、体表特征、习惯动作、行为、行为描述、附属物、附属物、描述、伞颜色、口罩颜色、帽子款式、帽子颜色、眼镜款式、眼镜颜色、围巾颜色、包款式、包颜色、上衣款式、上衣长度、上衣颜色、裤子款式、裤子颜色、裤子长度、鞋子款式、鞋子颜色、是否驾驶员、体表特殊标记、图像列表。</w:t>
      </w:r>
    </w:p>
    <w:p>
      <w:pPr>
        <w:ind w:firstLine="480"/>
        <w:rPr>
          <w:color w:val="000000" w:themeColor="text1"/>
        </w:rPr>
      </w:pPr>
      <w:r>
        <w:rPr>
          <w:rFonts w:hint="eastAsia"/>
          <w:color w:val="000000" w:themeColor="text1"/>
        </w:rPr>
        <w:t>车辆信息：车辆标识、信息分类、来源标识、关联卡口编号、设备编码、近景照片、车牌照片、远景照片、合成图、缩略图、左上角X坐标、左上角Y坐标、右下角X坐标、右下角Y坐标、位置标记时间、车辆出现时间、车辆消失时间、车道号、有无车牌、号牌种类、车牌颜色、车牌号、挂车牌号、车牌描述、是否套牌、是否涂改、是否遮挡、行驶速度、行驶方向、行驶状态代码、车辆使用性质代码、车辆类型、车辆品牌、车辆型号、车辆年款、车辆长度、车辆宽度、车辆高度、车身颜色、颜色深浅、车前盖、车后盖、车轮、车轮印花纹、车窗、车顶、车门、车侧、车厢、后视镜、底盘、遮挡、贴膜颜色、改装标志、撞痕信息、车身描述、车前部物品、车前部物品描述、车后部物品、车后部物品描述、车内人数、经过时刻、经过道路、名称、是否可疑车、遮阳板状态、安全带状态、打电话状态、号牌识别可信度、每位号牌号码可信度、品牌标志识别可信度、像列表。</w:t>
      </w:r>
    </w:p>
    <w:p>
      <w:pPr>
        <w:ind w:firstLine="480"/>
        <w:rPr>
          <w:color w:val="000000" w:themeColor="text1"/>
        </w:rPr>
      </w:pPr>
      <w:r>
        <w:rPr>
          <w:rFonts w:hint="eastAsia"/>
          <w:color w:val="000000" w:themeColor="text1"/>
        </w:rPr>
        <w:t>非机动车：车辆标识、信息分类、来源标识、设备编码、左上角X坐标、左上角Y坐标、右下角X坐标、右下角Y坐标、位置标记时间、车辆出现时间、车辆消失时间、有无车牌、号牌种类、车牌颜色、车牌号、挂车牌号、车牌描述、是否套牌、是否涂改、是否遮挡、行驶速度、行驶状态代码、车辆使用性质代码、车辆品牌、车辆款型、车辆长度、车辆宽度、车辆高度、车身颜色、车前盖。</w:t>
      </w:r>
    </w:p>
    <w:p>
      <w:pPr>
        <w:ind w:firstLine="480"/>
        <w:rPr>
          <w:color w:val="000000" w:themeColor="text1"/>
        </w:rPr>
      </w:pPr>
      <w:r>
        <w:rPr>
          <w:rFonts w:hint="eastAsia"/>
          <w:color w:val="000000" w:themeColor="text1"/>
        </w:rPr>
        <w:t>GPS信息：标识编码、信息分类、来源标识、GPS设备编号、关联设备编号、时间、经度信息、维度信息、移动速度等信息。</w:t>
      </w:r>
    </w:p>
    <w:p>
      <w:pPr>
        <w:ind w:firstLine="480"/>
        <w:rPr>
          <w:color w:val="000000" w:themeColor="text1"/>
        </w:rPr>
      </w:pPr>
      <w:r>
        <w:rPr>
          <w:rFonts w:hint="eastAsia"/>
          <w:color w:val="000000" w:themeColor="text1"/>
        </w:rPr>
        <w:t>特征信息：标识编码、来源标识、移动设备IMEI、Mac地址、时间、地点等信息。</w:t>
      </w:r>
    </w:p>
    <w:p>
      <w:pPr>
        <w:pStyle w:val="7"/>
        <w:spacing w:before="120" w:after="120"/>
        <w:ind w:firstLine="480"/>
        <w:rPr>
          <w:color w:val="000000" w:themeColor="text1"/>
        </w:rPr>
      </w:pPr>
      <w:bookmarkStart w:id="443" w:name="_Toc520798432"/>
      <w:r>
        <w:rPr>
          <w:color w:val="000000" w:themeColor="text1"/>
        </w:rPr>
        <w:t>1.5.5.5</w:t>
      </w:r>
      <w:r>
        <w:rPr>
          <w:rFonts w:hint="eastAsia"/>
          <w:color w:val="000000" w:themeColor="text1"/>
        </w:rPr>
        <w:t>专题库</w:t>
      </w:r>
      <w:bookmarkEnd w:id="443"/>
    </w:p>
    <w:p>
      <w:pPr>
        <w:snapToGrid w:val="0"/>
        <w:ind w:firstLine="480"/>
        <w:rPr>
          <w:rFonts w:ascii="宋体" w:hAnsi="宋体"/>
          <w:color w:val="000000" w:themeColor="text1"/>
        </w:rPr>
      </w:pPr>
      <w:r>
        <w:rPr>
          <w:rFonts w:hint="eastAsia" w:ascii="宋体" w:hAnsi="宋体"/>
          <w:color w:val="000000" w:themeColor="text1"/>
        </w:rPr>
        <w:t>专题库的建库将按照专题应用业务模型，通过二次抽取整合的方法，建立形成专题应用资源库，满足上层业务的发展需要。</w:t>
      </w:r>
    </w:p>
    <w:p>
      <w:pPr>
        <w:ind w:firstLine="480"/>
        <w:rPr>
          <w:color w:val="000000" w:themeColor="text1"/>
        </w:rPr>
      </w:pPr>
      <w:r>
        <w:rPr>
          <w:rFonts w:hint="eastAsia"/>
          <w:color w:val="000000" w:themeColor="text1"/>
        </w:rPr>
        <w:t>1)人员轨迹库</w:t>
      </w:r>
    </w:p>
    <w:p>
      <w:pPr>
        <w:ind w:firstLine="480"/>
        <w:rPr>
          <w:color w:val="000000" w:themeColor="text1"/>
        </w:rPr>
      </w:pPr>
      <w:r>
        <w:rPr>
          <w:rFonts w:hint="eastAsia"/>
          <w:color w:val="000000" w:themeColor="text1"/>
        </w:rPr>
        <w:t>人员轨迹库通过大数据挖掘、计算技术，刻画了以人为中心的半连续时空行为片段，是人员弱关系计算、分布式关系库的重要数据支撑。</w:t>
      </w:r>
    </w:p>
    <w:p>
      <w:pPr>
        <w:ind w:firstLine="480"/>
        <w:rPr>
          <w:color w:val="000000" w:themeColor="text1"/>
        </w:rPr>
      </w:pPr>
      <w:r>
        <w:rPr>
          <w:rFonts w:hint="eastAsia"/>
          <w:color w:val="000000" w:themeColor="text1"/>
        </w:rPr>
        <w:t>人员轨迹库以PGIS**地理信息为标准规范，依据人员轨迹的分类模型，通过数据的二次加工处理，将时间与空间进行叠加，形成一个个独立的片段，并通过人员行为模型，依据时间、轨迹分类标识等维度构建关联索引，实现了对个体的实时数据分析。</w:t>
      </w:r>
    </w:p>
    <w:p>
      <w:pPr>
        <w:ind w:firstLine="480"/>
        <w:rPr>
          <w:color w:val="000000" w:themeColor="text1"/>
        </w:rPr>
      </w:pPr>
      <w:r>
        <w:rPr>
          <w:rFonts w:hint="eastAsia"/>
          <w:color w:val="000000" w:themeColor="text1"/>
        </w:rPr>
        <w:t>人员轨迹专题库依据上层业务的应用需求，封装了包括图形化轨迹分析接口、PGIS轨迹分析接口等服务。目前专题库所支持的轨迹分类模型包括一些非实名活动信息，在一些有条件的地区还可以扩展虚拟身份轨迹、电子通讯设备轨迹等模型。</w:t>
      </w:r>
    </w:p>
    <w:p>
      <w:pPr>
        <w:ind w:firstLine="480"/>
        <w:rPr>
          <w:color w:val="000000" w:themeColor="text1"/>
        </w:rPr>
      </w:pPr>
      <w:r>
        <w:rPr>
          <w:rFonts w:hint="eastAsia"/>
          <w:color w:val="000000" w:themeColor="text1"/>
        </w:rPr>
        <w:t>2)车辆轨迹库</w:t>
      </w:r>
    </w:p>
    <w:p>
      <w:pPr>
        <w:ind w:firstLine="480"/>
        <w:rPr>
          <w:color w:val="000000" w:themeColor="text1"/>
        </w:rPr>
      </w:pPr>
      <w:r>
        <w:rPr>
          <w:rFonts w:hint="eastAsia"/>
          <w:color w:val="000000" w:themeColor="text1"/>
        </w:rPr>
        <w:t>在轨迹处理上，与人员轨迹专题库类似，同样以时空方式，记录各车辆的通行轨迹。车辆轨迹信息包括来自电子卡口、电子警察、高速公路卡口等抓拍识别产生的车辆通行记录，车辆轨迹对应的图片存储在车辆卡口图像专题库中。</w:t>
      </w:r>
    </w:p>
    <w:p>
      <w:pPr>
        <w:ind w:firstLine="480"/>
        <w:rPr>
          <w:color w:val="000000" w:themeColor="text1"/>
        </w:rPr>
      </w:pPr>
      <w:r>
        <w:rPr>
          <w:rFonts w:hint="eastAsia"/>
          <w:color w:val="000000" w:themeColor="text1"/>
        </w:rPr>
        <w:t>而对于车辆特征处理，除了采集自车管所的车辆登记特征外，还通过第三方车辆智能识别技术，实现对视频或图像中车辆特征的提取（如挂饰、摆设、车标等），进一步完善车辆特征信息，用于开展假、套牌车辆分析，涉案、涉稳、**车辆布控等应用。</w:t>
      </w:r>
    </w:p>
    <w:p>
      <w:pPr>
        <w:ind w:firstLine="480"/>
        <w:rPr>
          <w:color w:val="000000" w:themeColor="text1"/>
        </w:rPr>
      </w:pPr>
      <w:r>
        <w:rPr>
          <w:rFonts w:hint="eastAsia"/>
          <w:color w:val="000000" w:themeColor="text1"/>
        </w:rPr>
        <w:t>3)扩展库</w:t>
      </w:r>
    </w:p>
    <w:p>
      <w:pPr>
        <w:ind w:firstLine="480"/>
        <w:rPr>
          <w:color w:val="000000" w:themeColor="text1"/>
        </w:rPr>
      </w:pPr>
      <w:r>
        <w:rPr>
          <w:rFonts w:hint="eastAsia"/>
          <w:color w:val="000000" w:themeColor="text1"/>
        </w:rPr>
        <w:t>支持多维物联感知数据的存储及关联，按照应用业务模型，提取关联数据形成相应专题库。</w:t>
      </w:r>
    </w:p>
    <w:p>
      <w:pPr>
        <w:ind w:firstLine="480"/>
        <w:rPr>
          <w:color w:val="000000" w:themeColor="text1"/>
        </w:rPr>
      </w:pPr>
      <w:r>
        <w:rPr>
          <w:rFonts w:hint="eastAsia"/>
          <w:color w:val="000000" w:themeColor="text1"/>
        </w:rPr>
        <w:t>4)布控库</w:t>
      </w:r>
    </w:p>
    <w:p>
      <w:pPr>
        <w:ind w:firstLine="480"/>
        <w:rPr>
          <w:color w:val="000000" w:themeColor="text1"/>
        </w:rPr>
      </w:pPr>
      <w:r>
        <w:rPr>
          <w:rFonts w:hint="eastAsia"/>
          <w:color w:val="000000" w:themeColor="text1"/>
        </w:rPr>
        <w:t>支持公安信息网下发人员、车辆等的布控特征值实现实时布控和预警。</w:t>
      </w:r>
    </w:p>
    <w:p>
      <w:pPr>
        <w:pStyle w:val="7"/>
        <w:spacing w:before="120" w:after="120"/>
        <w:ind w:firstLine="480"/>
        <w:rPr>
          <w:color w:val="000000" w:themeColor="text1"/>
        </w:rPr>
      </w:pPr>
      <w:bookmarkStart w:id="444" w:name="_Toc520798433"/>
      <w:bookmarkStart w:id="445" w:name="_Toc519242449"/>
      <w:bookmarkStart w:id="446" w:name="_Toc519932355"/>
      <w:r>
        <w:rPr>
          <w:color w:val="000000" w:themeColor="text1"/>
        </w:rPr>
        <w:t>1.5.5.6</w:t>
      </w:r>
      <w:r>
        <w:rPr>
          <w:rFonts w:hint="eastAsia"/>
          <w:color w:val="000000" w:themeColor="text1"/>
        </w:rPr>
        <w:t>系统接口</w:t>
      </w:r>
      <w:bookmarkEnd w:id="444"/>
      <w:bookmarkEnd w:id="445"/>
      <w:bookmarkEnd w:id="446"/>
    </w:p>
    <w:p>
      <w:pPr>
        <w:ind w:firstLine="480"/>
        <w:rPr>
          <w:color w:val="000000" w:themeColor="text1"/>
        </w:rPr>
      </w:pPr>
      <w:r>
        <w:rPr>
          <w:rFonts w:hint="eastAsia"/>
          <w:color w:val="000000" w:themeColor="text1"/>
        </w:rPr>
        <w:t>系统接口引用GA/T1400.4-2017（《公安视频图像信息应用系统第4部分：接口协议要求》），数据仓库实现与采集设备或采集系统、上下级数据仓库、视频图像信息综合应用平台、解析中心、公安信息网等之间交互的信息。</w:t>
      </w:r>
    </w:p>
    <w:p>
      <w:pPr>
        <w:ind w:firstLine="480"/>
        <w:rPr>
          <w:color w:val="000000" w:themeColor="text1"/>
        </w:rPr>
      </w:pPr>
      <w:r>
        <w:rPr>
          <w:rFonts w:hint="eastAsia"/>
          <w:color w:val="000000" w:themeColor="text1"/>
        </w:rPr>
        <w:t>1、采集接口</w:t>
      </w:r>
    </w:p>
    <w:p>
      <w:pPr>
        <w:ind w:firstLine="480"/>
        <w:rPr>
          <w:color w:val="000000" w:themeColor="text1"/>
        </w:rPr>
      </w:pPr>
      <w:r>
        <w:rPr>
          <w:rFonts w:hint="eastAsia"/>
          <w:color w:val="000000" w:themeColor="text1"/>
        </w:rPr>
        <w:t>通过采集模块主要实现采集接口，接收采集设备及采集系统发送的数据，将视频图像数据通过存储服务写入存储介质。</w:t>
      </w:r>
    </w:p>
    <w:p>
      <w:pPr>
        <w:ind w:firstLine="480"/>
        <w:rPr>
          <w:color w:val="000000" w:themeColor="text1"/>
        </w:rPr>
      </w:pPr>
      <w:r>
        <w:rPr>
          <w:rFonts w:hint="eastAsia" w:ascii="MS Mincho" w:hAnsi="MS Mincho" w:eastAsia="MS Mincho" w:cs="MS Mincho"/>
          <w:color w:val="000000" w:themeColor="text1"/>
        </w:rPr>
        <w:t>➣</w:t>
      </w:r>
      <w:r>
        <w:rPr>
          <w:rFonts w:hint="eastAsia"/>
          <w:color w:val="000000" w:themeColor="text1"/>
        </w:rPr>
        <w:t>支持采集设备、采集系统、解析中心向数据仓库进行自动采集视频、图像、多维物联网感知等信息的上传；</w:t>
      </w:r>
    </w:p>
    <w:p>
      <w:pPr>
        <w:ind w:firstLine="480"/>
        <w:rPr>
          <w:color w:val="000000" w:themeColor="text1"/>
        </w:rPr>
      </w:pPr>
      <w:r>
        <w:rPr>
          <w:rFonts w:hint="eastAsia" w:ascii="MS Mincho" w:hAnsi="MS Mincho" w:eastAsia="MS Mincho" w:cs="MS Mincho"/>
          <w:color w:val="000000" w:themeColor="text1"/>
        </w:rPr>
        <w:t>➣</w:t>
      </w:r>
      <w:r>
        <w:rPr>
          <w:rFonts w:hint="eastAsia"/>
          <w:color w:val="000000" w:themeColor="text1"/>
        </w:rPr>
        <w:t>支持数据仓库向采集系统进行采集设备或采集系统、视频卡口、车道、多维物联网感知等信息的查询，向采集设备进行口令等信息的更改；</w:t>
      </w:r>
    </w:p>
    <w:p>
      <w:pPr>
        <w:ind w:firstLine="480"/>
        <w:rPr>
          <w:color w:val="000000" w:themeColor="text1"/>
        </w:rPr>
      </w:pPr>
      <w:r>
        <w:rPr>
          <w:rFonts w:hint="eastAsia" w:ascii="MS Mincho" w:hAnsi="MS Mincho" w:eastAsia="MS Mincho" w:cs="MS Mincho"/>
          <w:color w:val="000000" w:themeColor="text1"/>
        </w:rPr>
        <w:t>➣</w:t>
      </w:r>
      <w:r>
        <w:rPr>
          <w:rFonts w:hint="eastAsia"/>
          <w:color w:val="000000" w:themeColor="text1"/>
        </w:rPr>
        <w:t>支持分析系统向数据仓库进行视频图像分析规则的上传；</w:t>
      </w:r>
    </w:p>
    <w:p>
      <w:pPr>
        <w:ind w:firstLine="480"/>
        <w:rPr>
          <w:color w:val="000000" w:themeColor="text1"/>
        </w:rPr>
      </w:pPr>
      <w:r>
        <w:rPr>
          <w:rFonts w:hint="eastAsia" w:ascii="MS Mincho" w:hAnsi="MS Mincho" w:eastAsia="MS Mincho" w:cs="MS Mincho"/>
          <w:color w:val="000000" w:themeColor="text1"/>
        </w:rPr>
        <w:t>➣</w:t>
      </w:r>
      <w:r>
        <w:rPr>
          <w:rFonts w:hint="eastAsia"/>
          <w:color w:val="000000" w:themeColor="text1"/>
        </w:rPr>
        <w:t>支持兼容原有已建卡口。</w:t>
      </w:r>
    </w:p>
    <w:p>
      <w:pPr>
        <w:ind w:firstLine="480"/>
        <w:rPr>
          <w:color w:val="000000" w:themeColor="text1"/>
        </w:rPr>
      </w:pPr>
      <w:r>
        <w:rPr>
          <w:rFonts w:hint="eastAsia"/>
          <w:color w:val="000000" w:themeColor="text1"/>
        </w:rPr>
        <w:t>2、数据服务接口</w:t>
      </w:r>
    </w:p>
    <w:p>
      <w:pPr>
        <w:ind w:firstLine="480"/>
        <w:rPr>
          <w:color w:val="000000" w:themeColor="text1"/>
        </w:rPr>
      </w:pPr>
      <w:r>
        <w:rPr>
          <w:rFonts w:hint="eastAsia"/>
          <w:color w:val="000000" w:themeColor="text1"/>
        </w:rPr>
        <w:t>通过数据服务模块为视频图像信息应用平台及其他公安信息应用系统提供接入认证与鉴权、视频图像信息对象的CRUD操作、布控与告警、订阅与通知等服务。</w:t>
      </w:r>
    </w:p>
    <w:p>
      <w:pPr>
        <w:ind w:firstLine="480"/>
        <w:rPr>
          <w:color w:val="000000" w:themeColor="text1"/>
        </w:rPr>
      </w:pPr>
      <w:r>
        <w:rPr>
          <w:rFonts w:hint="eastAsia" w:ascii="MS Mincho" w:hAnsi="MS Mincho" w:eastAsia="MS Mincho" w:cs="MS Mincho"/>
          <w:color w:val="000000" w:themeColor="text1"/>
        </w:rPr>
        <w:t>➣</w:t>
      </w:r>
      <w:r>
        <w:rPr>
          <w:rFonts w:hint="eastAsia"/>
          <w:color w:val="000000" w:themeColor="text1"/>
        </w:rPr>
        <w:t>支持应用平台、其他信息系统等向数据仓库进行基于视频图像信息对象、视频案事件、布控任务与告警记录、订阅任务与通知记录、视频图像分析规则等的特征属性及其组合的查询；</w:t>
      </w:r>
    </w:p>
    <w:p>
      <w:pPr>
        <w:ind w:firstLine="480"/>
        <w:rPr>
          <w:color w:val="000000" w:themeColor="text1"/>
        </w:rPr>
      </w:pPr>
      <w:r>
        <w:rPr>
          <w:rFonts w:hint="eastAsia" w:ascii="MS Mincho" w:hAnsi="MS Mincho" w:eastAsia="MS Mincho" w:cs="MS Mincho"/>
          <w:color w:val="000000" w:themeColor="text1"/>
        </w:rPr>
        <w:t>➣</w:t>
      </w:r>
      <w:r>
        <w:rPr>
          <w:rFonts w:hint="eastAsia"/>
          <w:color w:val="000000" w:themeColor="text1"/>
        </w:rPr>
        <w:t>支持分析系统向数据仓库进行基于视频图像信息对象等的特征属性及其组合的查询；</w:t>
      </w:r>
    </w:p>
    <w:p>
      <w:pPr>
        <w:ind w:firstLine="480"/>
        <w:rPr>
          <w:color w:val="000000" w:themeColor="text1"/>
        </w:rPr>
      </w:pPr>
      <w:r>
        <w:rPr>
          <w:rFonts w:hint="eastAsia" w:ascii="MS Mincho" w:hAnsi="MS Mincho" w:eastAsia="MS Mincho" w:cs="MS Mincho"/>
          <w:color w:val="000000" w:themeColor="text1"/>
        </w:rPr>
        <w:t>➣</w:t>
      </w:r>
      <w:r>
        <w:rPr>
          <w:rFonts w:hint="eastAsia"/>
          <w:color w:val="000000" w:themeColor="text1"/>
        </w:rPr>
        <w:t>支持应用平台、其他信息系统等向数据仓库进行采集设备或采集系统等的查询、更新；</w:t>
      </w:r>
    </w:p>
    <w:p>
      <w:pPr>
        <w:ind w:firstLine="480"/>
        <w:rPr>
          <w:color w:val="000000" w:themeColor="text1"/>
        </w:rPr>
      </w:pPr>
      <w:r>
        <w:rPr>
          <w:rFonts w:hint="eastAsia" w:ascii="MS Mincho" w:hAnsi="MS Mincho" w:eastAsia="MS Mincho" w:cs="MS Mincho"/>
          <w:color w:val="000000" w:themeColor="text1"/>
        </w:rPr>
        <w:t>➣</w:t>
      </w:r>
      <w:r>
        <w:rPr>
          <w:rFonts w:hint="eastAsia"/>
          <w:color w:val="000000" w:themeColor="text1"/>
        </w:rPr>
        <w:t>支持应用平台、其他信息系统等向数据仓库进行基于视频图像信息对象特征属性对指定目标的布控与告警；</w:t>
      </w:r>
    </w:p>
    <w:p>
      <w:pPr>
        <w:ind w:firstLine="480"/>
        <w:rPr>
          <w:color w:val="000000" w:themeColor="text1"/>
        </w:rPr>
      </w:pPr>
      <w:r>
        <w:rPr>
          <w:rFonts w:hint="eastAsia" w:ascii="MS Mincho" w:hAnsi="MS Mincho" w:eastAsia="MS Mincho" w:cs="MS Mincho"/>
          <w:color w:val="000000" w:themeColor="text1"/>
        </w:rPr>
        <w:t>➣</w:t>
      </w:r>
      <w:r>
        <w:rPr>
          <w:rFonts w:hint="eastAsia"/>
          <w:color w:val="000000" w:themeColor="text1"/>
        </w:rPr>
        <w:t>支持应用平台、其他信息系统等向数据仓库进行基于视频图像信息、采集设备或采集系统等对象特征属性对指定目标的订阅与通知；</w:t>
      </w:r>
    </w:p>
    <w:p>
      <w:pPr>
        <w:ind w:firstLine="480"/>
        <w:rPr>
          <w:color w:val="000000" w:themeColor="text1"/>
        </w:rPr>
      </w:pPr>
      <w:r>
        <w:rPr>
          <w:rFonts w:hint="eastAsia" w:ascii="MS Mincho" w:hAnsi="MS Mincho" w:eastAsia="MS Mincho" w:cs="MS Mincho"/>
          <w:color w:val="000000" w:themeColor="text1"/>
        </w:rPr>
        <w:t>➣</w:t>
      </w:r>
      <w:r>
        <w:rPr>
          <w:rFonts w:hint="eastAsia"/>
          <w:color w:val="000000" w:themeColor="text1"/>
        </w:rPr>
        <w:t>接口对象主要是解析中心、视频图像信息综合应用平台、公安信息网数据仓库。</w:t>
      </w:r>
    </w:p>
    <w:p>
      <w:pPr>
        <w:ind w:firstLine="480"/>
        <w:rPr>
          <w:color w:val="000000" w:themeColor="text1"/>
        </w:rPr>
      </w:pPr>
      <w:r>
        <w:rPr>
          <w:rFonts w:hint="eastAsia"/>
          <w:color w:val="000000" w:themeColor="text1"/>
        </w:rPr>
        <w:t>3、级联接口</w:t>
      </w:r>
    </w:p>
    <w:p>
      <w:pPr>
        <w:ind w:firstLine="480"/>
        <w:rPr>
          <w:color w:val="000000" w:themeColor="text1"/>
        </w:rPr>
      </w:pPr>
      <w:r>
        <w:rPr>
          <w:rFonts w:hint="eastAsia"/>
          <w:color w:val="000000" w:themeColor="text1"/>
        </w:rPr>
        <w:t>通过级联模块为上下级数据仓库提供接入认证与鉴权、视频图像信息对象的CRUD操作、布控与告警、订阅与通知、联网等服务。</w:t>
      </w:r>
    </w:p>
    <w:p>
      <w:pPr>
        <w:ind w:firstLine="480"/>
        <w:rPr>
          <w:color w:val="000000" w:themeColor="text1"/>
        </w:rPr>
      </w:pPr>
      <w:r>
        <w:rPr>
          <w:rFonts w:hint="eastAsia" w:ascii="MS Mincho" w:hAnsi="MS Mincho" w:eastAsia="MS Mincho" w:cs="MS Mincho"/>
          <w:color w:val="000000" w:themeColor="text1"/>
        </w:rPr>
        <w:t>➣</w:t>
      </w:r>
      <w:r>
        <w:rPr>
          <w:rFonts w:hint="eastAsia"/>
          <w:color w:val="000000" w:themeColor="text1"/>
        </w:rPr>
        <w:t>支持上级数据仓库向数据仓库进行基于视频图像信息对象、视频案事件、布控任务与告警记录、订阅任务与通知记录、视频图像分析规则等的特征属性及其组合的查询；</w:t>
      </w:r>
    </w:p>
    <w:p>
      <w:pPr>
        <w:ind w:firstLine="480"/>
        <w:rPr>
          <w:color w:val="000000" w:themeColor="text1"/>
        </w:rPr>
      </w:pPr>
      <w:r>
        <w:rPr>
          <w:rFonts w:hint="eastAsia" w:ascii="MS Mincho" w:hAnsi="MS Mincho" w:eastAsia="MS Mincho" w:cs="MS Mincho"/>
          <w:color w:val="000000" w:themeColor="text1"/>
        </w:rPr>
        <w:t>➣</w:t>
      </w:r>
      <w:r>
        <w:rPr>
          <w:rFonts w:hint="eastAsia"/>
          <w:color w:val="000000" w:themeColor="text1"/>
        </w:rPr>
        <w:t>支持上级数据仓库向数据仓库进行对于采集设备或采集系统列表的查询；</w:t>
      </w:r>
    </w:p>
    <w:p>
      <w:pPr>
        <w:ind w:firstLine="480"/>
        <w:rPr>
          <w:color w:val="000000" w:themeColor="text1"/>
        </w:rPr>
      </w:pPr>
      <w:r>
        <w:rPr>
          <w:rFonts w:hint="eastAsia" w:ascii="MS Mincho" w:hAnsi="MS Mincho" w:eastAsia="MS Mincho" w:cs="MS Mincho"/>
          <w:color w:val="000000" w:themeColor="text1"/>
        </w:rPr>
        <w:t>➣</w:t>
      </w:r>
      <w:r>
        <w:rPr>
          <w:rFonts w:hint="eastAsia"/>
          <w:color w:val="000000" w:themeColor="text1"/>
        </w:rPr>
        <w:t>支持上级数据仓库向数据仓库进行基于视频图像信息对象特征属性对指定目标的布控与告警；</w:t>
      </w:r>
    </w:p>
    <w:p>
      <w:pPr>
        <w:ind w:firstLine="480"/>
        <w:rPr>
          <w:color w:val="000000" w:themeColor="text1"/>
        </w:rPr>
      </w:pPr>
      <w:r>
        <w:rPr>
          <w:rFonts w:hint="eastAsia" w:ascii="MS Mincho" w:hAnsi="MS Mincho" w:eastAsia="MS Mincho" w:cs="MS Mincho"/>
          <w:color w:val="000000" w:themeColor="text1"/>
        </w:rPr>
        <w:t>➣</w:t>
      </w:r>
      <w:r>
        <w:rPr>
          <w:rFonts w:hint="eastAsia"/>
          <w:color w:val="000000" w:themeColor="text1"/>
        </w:rPr>
        <w:t>支持上级数据仓库向数据仓库进行基于视频图像信息、采集设备或采集系统等对象特征属性对指定目标的订阅与通知；</w:t>
      </w:r>
    </w:p>
    <w:p>
      <w:pPr>
        <w:ind w:firstLine="480"/>
        <w:rPr>
          <w:color w:val="000000" w:themeColor="text1"/>
        </w:rPr>
      </w:pPr>
      <w:r>
        <w:rPr>
          <w:rFonts w:hint="eastAsia" w:ascii="MS Mincho" w:hAnsi="MS Mincho" w:eastAsia="MS Mincho" w:cs="MS Mincho"/>
          <w:color w:val="000000" w:themeColor="text1"/>
        </w:rPr>
        <w:t>➣</w:t>
      </w:r>
      <w:r>
        <w:rPr>
          <w:rFonts w:hint="eastAsia"/>
          <w:color w:val="000000" w:themeColor="text1"/>
        </w:rPr>
        <w:t>支持向上下级数据仓库及公安信息网数据库传输存储的数据。</w:t>
      </w:r>
    </w:p>
    <w:p>
      <w:pPr>
        <w:pStyle w:val="6"/>
        <w:spacing w:before="120" w:after="120"/>
        <w:ind w:firstLine="480"/>
        <w:rPr>
          <w:color w:val="000000" w:themeColor="text1"/>
        </w:rPr>
      </w:pPr>
      <w:r>
        <w:rPr>
          <w:color w:val="000000" w:themeColor="text1"/>
        </w:rPr>
        <w:t>1.5.6</w:t>
      </w:r>
      <w:r>
        <w:rPr>
          <w:rFonts w:hint="eastAsia"/>
          <w:color w:val="000000" w:themeColor="text1"/>
        </w:rPr>
        <w:t>技术路线分析</w:t>
      </w:r>
    </w:p>
    <w:p>
      <w:pPr>
        <w:ind w:firstLine="480"/>
        <w:rPr>
          <w:color w:val="000000" w:themeColor="text1"/>
        </w:rPr>
      </w:pPr>
      <w:r>
        <w:rPr>
          <w:rFonts w:hint="eastAsia"/>
          <w:color w:val="000000" w:themeColor="text1"/>
        </w:rPr>
        <w:t>数据仓库提供数据同步服务（离线同步服务与实时同步服务）、数据存储服务、MPP引擎服务、Ka**a、Redis等流处理服务，Elasticsearch、Slor等全文检索与索引服务，Spark在线分析等，数据接口服务等。</w:t>
      </w:r>
    </w:p>
    <w:p>
      <w:pPr>
        <w:pStyle w:val="6"/>
        <w:spacing w:before="120" w:after="120"/>
        <w:ind w:firstLine="480"/>
        <w:rPr>
          <w:color w:val="000000" w:themeColor="text1"/>
        </w:rPr>
      </w:pPr>
      <w:r>
        <w:rPr>
          <w:color w:val="000000" w:themeColor="text1"/>
        </w:rPr>
        <w:t>1.5.7</w:t>
      </w:r>
      <w:r>
        <w:rPr>
          <w:rFonts w:hint="eastAsia"/>
          <w:color w:val="000000" w:themeColor="text1"/>
        </w:rPr>
        <w:t>设备数量分析</w:t>
      </w:r>
    </w:p>
    <w:p>
      <w:pPr>
        <w:ind w:firstLine="480"/>
        <w:rPr>
          <w:color w:val="000000" w:themeColor="text1"/>
        </w:rPr>
      </w:pPr>
      <w:r>
        <w:rPr>
          <w:rFonts w:hint="eastAsia"/>
          <w:color w:val="000000" w:themeColor="text1"/>
        </w:rPr>
        <w:t>根据服务性能计算，一台服务器每天可实时对接传送2500万条结构化数据记录。目前设计方案为结构化数据存储一年半，共有4257.04亿条。因此共需服务器数量为4257.04/540/0.25=32台。</w:t>
      </w:r>
    </w:p>
    <w:p>
      <w:pPr>
        <w:pStyle w:val="5"/>
        <w:spacing w:before="120" w:after="120"/>
        <w:ind w:firstLine="480"/>
        <w:rPr>
          <w:color w:val="000000" w:themeColor="text1"/>
        </w:rPr>
      </w:pPr>
      <w:r>
        <w:rPr>
          <w:color w:val="000000" w:themeColor="text1"/>
        </w:rPr>
        <w:t>1.6</w:t>
      </w:r>
      <w:r>
        <w:rPr>
          <w:rFonts w:hint="eastAsia"/>
          <w:color w:val="000000" w:themeColor="text1"/>
        </w:rPr>
        <w:t>数据服务总线</w:t>
      </w:r>
    </w:p>
    <w:p>
      <w:pPr>
        <w:pStyle w:val="6"/>
        <w:spacing w:before="120" w:after="120"/>
        <w:ind w:firstLine="480"/>
        <w:rPr>
          <w:color w:val="000000" w:themeColor="text1"/>
        </w:rPr>
      </w:pPr>
      <w:r>
        <w:rPr>
          <w:color w:val="000000" w:themeColor="text1"/>
        </w:rPr>
        <w:t>1.6.1</w:t>
      </w:r>
      <w:r>
        <w:rPr>
          <w:rFonts w:hint="eastAsia"/>
          <w:color w:val="000000" w:themeColor="text1"/>
        </w:rPr>
        <w:t>系统架构</w:t>
      </w:r>
    </w:p>
    <w:p>
      <w:pPr>
        <w:ind w:firstLine="480"/>
        <w:rPr>
          <w:color w:val="000000" w:themeColor="text1"/>
        </w:rPr>
      </w:pPr>
      <w:r>
        <w:rPr>
          <w:rFonts w:hint="eastAsia"/>
          <w:color w:val="000000" w:themeColor="text1"/>
        </w:rPr>
        <w:t>为实现公安视频专网结构化信息与公安信息网、政务网实现数据共享，通过建设数据服务总线实现信息的共享。面向公安信息网、政务网的数据总线因业务需求的差异、数据安全的要求不同，采用在物理上独立建设、独立部署、独立授权，因此建设双数据服务总线，满足公安视频专网与公安信息网、公安视频专网与政务网的数据共享需求。</w:t>
      </w:r>
    </w:p>
    <w:p>
      <w:pPr>
        <w:ind w:firstLine="480"/>
        <w:rPr>
          <w:color w:val="000000" w:themeColor="text1"/>
        </w:rPr>
      </w:pPr>
      <w:r>
        <w:rPr>
          <w:rFonts w:hint="eastAsia"/>
          <w:color w:val="000000" w:themeColor="text1"/>
        </w:rPr>
        <w:t>与政务网共享数据服务总线实现与外部单位数据共享接口，如综治、电子政务办、教育、执法以及工商等单位调用公安视频专网上相关结构化数据。通过统一的数据接口提供外部单位的数据调用。</w:t>
      </w:r>
    </w:p>
    <w:p>
      <w:pPr>
        <w:keepNext/>
        <w:jc w:val="center"/>
        <w:rPr>
          <w:color w:val="000000" w:themeColor="text1"/>
        </w:rPr>
      </w:pPr>
      <w:r>
        <w:rPr>
          <w:color w:val="000000" w:themeColor="text1"/>
          <w:szCs w:val="28"/>
        </w:rPr>
        <w:drawing>
          <wp:inline distT="0" distB="0" distL="0" distR="0">
            <wp:extent cx="5038725" cy="1847850"/>
            <wp:effectExtent l="19050" t="0" r="9525" b="0"/>
            <wp:docPr id="4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6"/>
                    <pic:cNvPicPr>
                      <a:picLocks noChangeAspect="1" noChangeArrowheads="1"/>
                    </pic:cNvPicPr>
                  </pic:nvPicPr>
                  <pic:blipFill>
                    <a:blip r:embed="rId84"/>
                    <a:srcRect/>
                    <a:stretch>
                      <a:fillRect/>
                    </a:stretch>
                  </pic:blipFill>
                  <pic:spPr>
                    <a:xfrm>
                      <a:off x="0" y="0"/>
                      <a:ext cx="5038725" cy="1847850"/>
                    </a:xfrm>
                    <a:prstGeom prst="rect">
                      <a:avLst/>
                    </a:prstGeom>
                    <a:noFill/>
                    <a:ln w="9525">
                      <a:noFill/>
                      <a:miter lim="800000"/>
                      <a:headEnd/>
                      <a:tailEnd/>
                    </a:ln>
                  </pic:spPr>
                </pic:pic>
              </a:graphicData>
            </a:graphic>
          </wp:inline>
        </w:drawing>
      </w:r>
    </w:p>
    <w:p>
      <w:pPr>
        <w:snapToGrid w:val="0"/>
        <w:jc w:val="center"/>
        <w:rPr>
          <w:rFonts w:ascii="宋体" w:hAnsi="宋体"/>
          <w:color w:val="000000" w:themeColor="text1"/>
        </w:rPr>
      </w:pPr>
      <w:r>
        <w:rPr>
          <w:rFonts w:hint="eastAsia" w:ascii="宋体" w:hAnsi="宋体"/>
          <w:color w:val="000000" w:themeColor="text1"/>
        </w:rPr>
        <w:t>与电子政务外网共享数据服务总线流程示意图</w:t>
      </w:r>
    </w:p>
    <w:p>
      <w:pPr>
        <w:ind w:firstLine="480"/>
        <w:rPr>
          <w:color w:val="000000" w:themeColor="text1"/>
        </w:rPr>
      </w:pPr>
      <w:r>
        <w:rPr>
          <w:rFonts w:hint="eastAsia"/>
          <w:color w:val="000000" w:themeColor="text1"/>
        </w:rPr>
        <w:t>与公安信息网共享数据服务总线实现与公安信息网数据共享接口，通过统一数据接口实现公安信息数据的双向互通，公安视频专网数据实时上传至公安信息网，并对特定的内容数据经公安信息网处理后，结果推送公安视频专网供相关应用使用。</w:t>
      </w:r>
    </w:p>
    <w:p>
      <w:pPr>
        <w:rPr>
          <w:color w:val="000000" w:themeColor="text1"/>
          <w:szCs w:val="28"/>
        </w:rPr>
      </w:pPr>
      <w:r>
        <w:rPr>
          <w:color w:val="000000" w:themeColor="text1"/>
        </w:rPr>
        <w:drawing>
          <wp:inline distT="0" distB="0" distL="0" distR="0">
            <wp:extent cx="5238750" cy="1590675"/>
            <wp:effectExtent l="19050" t="0" r="0" b="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noChangeArrowheads="1"/>
                    </pic:cNvPicPr>
                  </pic:nvPicPr>
                  <pic:blipFill>
                    <a:blip r:embed="rId85"/>
                    <a:srcRect/>
                    <a:stretch>
                      <a:fillRect/>
                    </a:stretch>
                  </pic:blipFill>
                  <pic:spPr>
                    <a:xfrm>
                      <a:off x="0" y="0"/>
                      <a:ext cx="5238750" cy="1590675"/>
                    </a:xfrm>
                    <a:prstGeom prst="rect">
                      <a:avLst/>
                    </a:prstGeom>
                    <a:noFill/>
                    <a:ln w="9525">
                      <a:noFill/>
                      <a:miter lim="800000"/>
                      <a:headEnd/>
                      <a:tailEnd/>
                    </a:ln>
                  </pic:spPr>
                </pic:pic>
              </a:graphicData>
            </a:graphic>
          </wp:inline>
        </w:drawing>
      </w:r>
    </w:p>
    <w:p>
      <w:pPr>
        <w:snapToGrid w:val="0"/>
        <w:jc w:val="center"/>
        <w:rPr>
          <w:rFonts w:ascii="宋体" w:hAnsi="宋体"/>
          <w:color w:val="000000" w:themeColor="text1"/>
        </w:rPr>
      </w:pPr>
      <w:r>
        <w:rPr>
          <w:rFonts w:hint="eastAsia" w:ascii="宋体" w:hAnsi="宋体"/>
          <w:color w:val="000000" w:themeColor="text1"/>
        </w:rPr>
        <w:t>与公安信息网共享数据服务总线流程示意图</w:t>
      </w:r>
    </w:p>
    <w:p>
      <w:pPr>
        <w:pStyle w:val="6"/>
        <w:spacing w:before="120" w:after="120"/>
        <w:ind w:firstLine="480"/>
        <w:rPr>
          <w:color w:val="000000" w:themeColor="text1"/>
        </w:rPr>
      </w:pPr>
      <w:r>
        <w:rPr>
          <w:color w:val="000000" w:themeColor="text1"/>
        </w:rPr>
        <w:t>1.6.2</w:t>
      </w:r>
      <w:r>
        <w:rPr>
          <w:rFonts w:hint="eastAsia"/>
          <w:color w:val="000000" w:themeColor="text1"/>
        </w:rPr>
        <w:t>功能模块</w:t>
      </w:r>
    </w:p>
    <w:p>
      <w:pPr>
        <w:ind w:firstLine="480"/>
        <w:rPr>
          <w:color w:val="000000" w:themeColor="text1"/>
        </w:rPr>
      </w:pPr>
      <w:r>
        <w:rPr>
          <w:rFonts w:hint="eastAsia"/>
          <w:color w:val="000000" w:themeColor="text1"/>
        </w:rPr>
        <w:t>公安视频专网数据服务总线主要由服务注册模块、服务申请模块、安全控制模块、服务监测模块、数据标准管理模块、总线引擎模块。</w:t>
      </w:r>
    </w:p>
    <w:p>
      <w:pPr>
        <w:ind w:firstLine="480"/>
        <w:rPr>
          <w:color w:val="000000" w:themeColor="text1"/>
        </w:rPr>
      </w:pPr>
      <w:r>
        <w:rPr>
          <w:rFonts w:hint="eastAsia"/>
          <w:color w:val="000000" w:themeColor="text1"/>
        </w:rPr>
        <w:t>1)服务注册模块</w:t>
      </w:r>
    </w:p>
    <w:p>
      <w:pPr>
        <w:ind w:firstLine="480"/>
        <w:rPr>
          <w:color w:val="000000" w:themeColor="text1"/>
        </w:rPr>
      </w:pPr>
      <w:r>
        <w:rPr>
          <w:rFonts w:hint="eastAsia"/>
          <w:color w:val="000000" w:themeColor="text1"/>
        </w:rPr>
        <w:t>目录管理：将总线上注册的服务按资源类别、资源提供方式进行分类。按照资源目录提供分类层级检索、提供服务名称关键字检索。</w:t>
      </w:r>
    </w:p>
    <w:p>
      <w:pPr>
        <w:ind w:firstLine="480"/>
        <w:rPr>
          <w:color w:val="000000" w:themeColor="text1"/>
        </w:rPr>
      </w:pPr>
      <w:r>
        <w:rPr>
          <w:rFonts w:hint="eastAsia"/>
          <w:color w:val="000000" w:themeColor="text1"/>
        </w:rPr>
        <w:t>服务注册：将共享类资源注册到总线，由总线提供对外服务。服务注册包括：服务名、版本号、服务描述、服务URL、服务提供方、提供方联系人、提供方联系电话、服务归属目录（可多选）。服务注册后生成服务注册编号。</w:t>
      </w:r>
    </w:p>
    <w:p>
      <w:pPr>
        <w:ind w:firstLine="480"/>
        <w:rPr>
          <w:color w:val="000000" w:themeColor="text1"/>
        </w:rPr>
      </w:pPr>
      <w:r>
        <w:rPr>
          <w:rFonts w:hint="eastAsia"/>
          <w:color w:val="000000" w:themeColor="text1"/>
        </w:rPr>
        <w:t>服务发布：在总线注册的服务经过调试无问题后，通过服务发布功能正式生效。服务发布后，方能在资源目录中查找。</w:t>
      </w:r>
    </w:p>
    <w:p>
      <w:pPr>
        <w:ind w:firstLine="480"/>
        <w:rPr>
          <w:color w:val="000000" w:themeColor="text1"/>
        </w:rPr>
      </w:pPr>
      <w:r>
        <w:rPr>
          <w:rFonts w:hint="eastAsia"/>
          <w:color w:val="000000" w:themeColor="text1"/>
        </w:rPr>
        <w:t>服务回收：对原已在总线注册的服务停止提供，通过服务回收将撤销总线上注册服务。服务撤销后，在资源目录中无法查找。</w:t>
      </w:r>
    </w:p>
    <w:p>
      <w:pPr>
        <w:ind w:firstLine="480"/>
        <w:rPr>
          <w:color w:val="000000" w:themeColor="text1"/>
        </w:rPr>
      </w:pPr>
      <w:r>
        <w:rPr>
          <w:rFonts w:hint="eastAsia"/>
          <w:color w:val="000000" w:themeColor="text1"/>
        </w:rPr>
        <w:t>2)服务申请模块</w:t>
      </w:r>
    </w:p>
    <w:p>
      <w:pPr>
        <w:ind w:firstLine="480"/>
        <w:rPr>
          <w:color w:val="000000" w:themeColor="text1"/>
        </w:rPr>
      </w:pPr>
      <w:r>
        <w:rPr>
          <w:rFonts w:hint="eastAsia"/>
          <w:color w:val="000000" w:themeColor="text1"/>
        </w:rPr>
        <w:t>请求方系统注册：资源申请以系统为粒度进行申请及授权。请求方系统需在总线平台上进行注册。注册信息包括：应用系统名称、主管部门、联系人、联系人电话、系统介绍、系统状态。请求方系统注册后，由总线平台分配一个唯一请求方系统编号。</w:t>
      </w:r>
    </w:p>
    <w:p>
      <w:pPr>
        <w:ind w:firstLine="480"/>
        <w:rPr>
          <w:color w:val="000000" w:themeColor="text1"/>
        </w:rPr>
      </w:pPr>
      <w:r>
        <w:rPr>
          <w:rFonts w:hint="eastAsia"/>
          <w:color w:val="000000" w:themeColor="text1"/>
        </w:rPr>
        <w:t>请求方资源申请：通过总线平台登录后，用户可查看总线上注册的资源服务。根据资源服务目录进行分类筛选，用户选择需要申请的资源服务，进入资源服务申请流程。资源服务申请内容包括：申请单位、申请人、申请人联系电话、请求方系统、请求方IP、申请事由、申请资源服务。提交资源申请表，自动生成申请单信息并提交信通处审核。审核通过后请求方资源访问方能生效。</w:t>
      </w:r>
    </w:p>
    <w:p>
      <w:pPr>
        <w:ind w:firstLine="480"/>
        <w:rPr>
          <w:color w:val="000000" w:themeColor="text1"/>
        </w:rPr>
      </w:pPr>
      <w:r>
        <w:rPr>
          <w:rFonts w:hint="eastAsia"/>
          <w:color w:val="000000" w:themeColor="text1"/>
        </w:rPr>
        <w:t>请求方授权审批：部门提交资源申请后，申请单自动流转到信通处，由信通处负责资源开通审批。信通处对提交的材料进行审核并填写审核意见，审批通过则开通资源服务的访问，否则将审批单退回到申请人。</w:t>
      </w:r>
    </w:p>
    <w:p>
      <w:pPr>
        <w:ind w:firstLine="480"/>
        <w:rPr>
          <w:color w:val="000000" w:themeColor="text1"/>
        </w:rPr>
      </w:pPr>
      <w:r>
        <w:rPr>
          <w:rFonts w:hint="eastAsia"/>
          <w:color w:val="000000" w:themeColor="text1"/>
        </w:rPr>
        <w:t>请求方资源回收：提供对已授权的资源服务进行收回功能，支持按请求方系统逐个资源回收，支持按服务资源批量回收功能。对存在已授权的服务资源，请求方系统长时间未使用或恶意使用，可对请求方资源进行回收。</w:t>
      </w:r>
    </w:p>
    <w:p>
      <w:pPr>
        <w:ind w:firstLine="480"/>
        <w:rPr>
          <w:color w:val="000000" w:themeColor="text1"/>
        </w:rPr>
      </w:pPr>
      <w:r>
        <w:rPr>
          <w:rFonts w:hint="eastAsia"/>
          <w:color w:val="000000" w:themeColor="text1"/>
        </w:rPr>
        <w:t>3)安全控制模块</w:t>
      </w:r>
    </w:p>
    <w:p>
      <w:pPr>
        <w:ind w:firstLine="480"/>
        <w:rPr>
          <w:color w:val="000000" w:themeColor="text1"/>
        </w:rPr>
      </w:pPr>
      <w:r>
        <w:rPr>
          <w:rFonts w:hint="eastAsia"/>
          <w:color w:val="000000" w:themeColor="text1"/>
        </w:rPr>
        <w:t>IP授权认证：对请求方系统访问资源时进行访问IP认证。IP授权按照请求方系统+访问服务资源进行认证。对未许可的IP，进行访问失败提醒。</w:t>
      </w:r>
    </w:p>
    <w:p>
      <w:pPr>
        <w:ind w:firstLine="480"/>
        <w:rPr>
          <w:color w:val="000000" w:themeColor="text1"/>
        </w:rPr>
      </w:pPr>
      <w:r>
        <w:rPr>
          <w:rFonts w:hint="eastAsia"/>
          <w:color w:val="000000" w:themeColor="text1"/>
        </w:rPr>
        <w:t>资源授权认证：对请求方系统访问资源进行授权认证。请求方访问某类服务资源，需验证服务资源是否已授权与请求方，对未授权的请求方不允许访问该类资源，并反馈访问失败提醒。</w:t>
      </w:r>
    </w:p>
    <w:p>
      <w:pPr>
        <w:ind w:firstLine="480"/>
        <w:rPr>
          <w:color w:val="000000" w:themeColor="text1"/>
        </w:rPr>
      </w:pPr>
      <w:r>
        <w:rPr>
          <w:rFonts w:hint="eastAsia"/>
          <w:color w:val="000000" w:themeColor="text1"/>
        </w:rPr>
        <w:t>行为审计：提供各服务资源访问的行为审计。记录各服务资源访问的实名信息。信息包括：访问时间、服务资源名、访问人身份证号、访问人姓名、访问IP、访问内容详情。</w:t>
      </w:r>
    </w:p>
    <w:p>
      <w:pPr>
        <w:ind w:firstLine="480"/>
        <w:rPr>
          <w:color w:val="000000" w:themeColor="text1"/>
        </w:rPr>
      </w:pPr>
      <w:r>
        <w:rPr>
          <w:rFonts w:hint="eastAsia"/>
          <w:color w:val="000000" w:themeColor="text1"/>
        </w:rPr>
        <w:t>4)服务监测模块</w:t>
      </w:r>
    </w:p>
    <w:p>
      <w:pPr>
        <w:ind w:firstLine="480"/>
        <w:rPr>
          <w:color w:val="000000" w:themeColor="text1"/>
        </w:rPr>
      </w:pPr>
      <w:r>
        <w:rPr>
          <w:rFonts w:hint="eastAsia"/>
          <w:color w:val="000000" w:themeColor="text1"/>
        </w:rPr>
        <w:t>提供在总线上注册的服务资源进行监控，包括服务资源状态监控、服务资源使用情况监控。</w:t>
      </w:r>
    </w:p>
    <w:p>
      <w:pPr>
        <w:ind w:firstLine="480"/>
        <w:rPr>
          <w:color w:val="000000" w:themeColor="text1"/>
        </w:rPr>
      </w:pPr>
      <w:r>
        <w:rPr>
          <w:rFonts w:hint="eastAsia"/>
          <w:color w:val="000000" w:themeColor="text1"/>
        </w:rPr>
        <w:t>服务资源使用情况监控：对总线上提供的服务资源根据访问量进行排名，访问量按日、月、总量进行排名。单个服务资源使用情况监控。对单个服务资源统计一周内访问情况，按照曲线图进行展示。对单个服务资源统计请求方系统访问情况排名，展示单个服务资源各请求方系统使用情况。</w:t>
      </w:r>
    </w:p>
    <w:p>
      <w:pPr>
        <w:ind w:firstLine="480"/>
        <w:rPr>
          <w:color w:val="000000" w:themeColor="text1"/>
        </w:rPr>
      </w:pPr>
      <w:r>
        <w:rPr>
          <w:rFonts w:hint="eastAsia"/>
          <w:color w:val="000000" w:themeColor="text1"/>
        </w:rPr>
        <w:t>请求方系统使用排名：提供对总线注册的请求方系统使用服务资源情况进行统计排名。提供按昨日访问量进行排名。提供统计项目包括：昨日访问量、本月访问量、总访问量。</w:t>
      </w:r>
    </w:p>
    <w:p>
      <w:pPr>
        <w:ind w:firstLine="480"/>
        <w:rPr>
          <w:color w:val="000000" w:themeColor="text1"/>
        </w:rPr>
      </w:pPr>
      <w:r>
        <w:rPr>
          <w:rFonts w:hint="eastAsia"/>
          <w:color w:val="000000" w:themeColor="text1"/>
        </w:rPr>
        <w:t>审计查询:提供按访问用户、访问服务资源、访问内容等条件的检索功能。</w:t>
      </w:r>
    </w:p>
    <w:p>
      <w:pPr>
        <w:ind w:firstLine="480"/>
        <w:rPr>
          <w:color w:val="000000" w:themeColor="text1"/>
        </w:rPr>
      </w:pPr>
      <w:r>
        <w:rPr>
          <w:rFonts w:hint="eastAsia"/>
          <w:color w:val="000000" w:themeColor="text1"/>
        </w:rPr>
        <w:t>5)总线引擎模块</w:t>
      </w:r>
    </w:p>
    <w:p>
      <w:pPr>
        <w:ind w:firstLine="480"/>
        <w:rPr>
          <w:color w:val="000000" w:themeColor="text1"/>
        </w:rPr>
      </w:pPr>
      <w:r>
        <w:rPr>
          <w:rFonts w:hint="eastAsia"/>
          <w:color w:val="000000" w:themeColor="text1"/>
        </w:rPr>
        <w:t>总线集群：为提高并发响应能力及容错能力，提供多实例集群。</w:t>
      </w:r>
    </w:p>
    <w:p>
      <w:pPr>
        <w:ind w:firstLine="480"/>
        <w:rPr>
          <w:color w:val="000000" w:themeColor="text1"/>
        </w:rPr>
      </w:pPr>
      <w:r>
        <w:rPr>
          <w:rFonts w:hint="eastAsia"/>
          <w:color w:val="000000" w:themeColor="text1"/>
        </w:rPr>
        <w:t>数据缓存：支持在集群环境下各个总线实例共享缓存数据。对相同请求被总线处理完后返回响应信息，当再次向集群中总线实例发送请求时，直接从缓存中获取原有的响应信息。</w:t>
      </w:r>
    </w:p>
    <w:p>
      <w:pPr>
        <w:ind w:firstLine="480"/>
        <w:rPr>
          <w:color w:val="000000" w:themeColor="text1"/>
        </w:rPr>
      </w:pPr>
      <w:r>
        <w:rPr>
          <w:rFonts w:hint="eastAsia"/>
          <w:color w:val="000000" w:themeColor="text1"/>
        </w:rPr>
        <w:t>代理服务：对部分已提供的服务的厂家，在不改变现有的服务而对服务进行转换或增加额外功能，通过由代理服务实现无缝集成。</w:t>
      </w:r>
    </w:p>
    <w:p>
      <w:pPr>
        <w:ind w:firstLine="480"/>
        <w:rPr>
          <w:color w:val="000000" w:themeColor="text1"/>
        </w:rPr>
      </w:pPr>
      <w:r>
        <w:rPr>
          <w:rFonts w:hint="eastAsia"/>
          <w:color w:val="000000" w:themeColor="text1"/>
        </w:rPr>
        <w:t>协议转换：不同的业务系统可能会使用不同的协议传递消息,总线支持接受多种不同协议的消息,并按照服务请求放\提供方系统支持的协议进行封装。支持TCP、HTTP、HTTPS、SOAP、JMS等通讯协议转换。</w:t>
      </w:r>
    </w:p>
    <w:p>
      <w:pPr>
        <w:ind w:firstLine="480"/>
        <w:rPr>
          <w:color w:val="000000" w:themeColor="text1"/>
        </w:rPr>
      </w:pPr>
      <w:r>
        <w:rPr>
          <w:rFonts w:hint="eastAsia"/>
          <w:color w:val="000000" w:themeColor="text1"/>
        </w:rPr>
        <w:t>消息路由：支持按照一定的规则和逻辑，将服务请求消息正确地传达到服务提供端。请求方向总线发送请求时，由总线根据消息内容、路由策略确定选择服务提供端。</w:t>
      </w:r>
    </w:p>
    <w:p>
      <w:pPr>
        <w:ind w:firstLine="480"/>
        <w:rPr>
          <w:color w:val="000000" w:themeColor="text1"/>
        </w:rPr>
      </w:pPr>
    </w:p>
    <w:p>
      <w:pPr>
        <w:pStyle w:val="4"/>
        <w:ind w:firstLine="562"/>
        <w:rPr>
          <w:color w:val="000000" w:themeColor="text1"/>
        </w:rPr>
      </w:pPr>
      <w:bookmarkStart w:id="447" w:name="_Toc8760721"/>
      <w:bookmarkStart w:id="448" w:name="_Toc7521696"/>
      <w:r>
        <w:rPr>
          <w:rFonts w:hint="eastAsia"/>
          <w:color w:val="000000" w:themeColor="text1"/>
        </w:rPr>
        <w:t>（二）项目清单</w:t>
      </w:r>
      <w:bookmarkEnd w:id="447"/>
      <w:bookmarkEnd w:id="448"/>
    </w:p>
    <w:tbl>
      <w:tblPr>
        <w:tblStyle w:val="53"/>
        <w:tblpPr w:leftFromText="180" w:rightFromText="180" w:vertAnchor="text" w:tblpXSpec="center" w:tblpY="1"/>
        <w:tblOverlap w:val="never"/>
        <w:tblW w:w="852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70"/>
        <w:gridCol w:w="1882"/>
        <w:gridCol w:w="4526"/>
        <w:gridCol w:w="636"/>
        <w:gridCol w:w="467"/>
        <w:gridCol w:w="4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570" w:type="dxa"/>
            <w:vAlign w:val="center"/>
          </w:tcPr>
          <w:p>
            <w:pPr>
              <w:spacing w:line="300" w:lineRule="exact"/>
              <w:jc w:val="center"/>
              <w:rPr>
                <w:rFonts w:ascii="仿宋_GB2312"/>
                <w:bCs/>
                <w:color w:val="000000" w:themeColor="text1"/>
              </w:rPr>
            </w:pPr>
            <w:r>
              <w:rPr>
                <w:rFonts w:hint="eastAsia" w:ascii="仿宋_GB2312"/>
                <w:bCs/>
                <w:color w:val="000000" w:themeColor="text1"/>
              </w:rPr>
              <w:t>项目</w:t>
            </w:r>
          </w:p>
        </w:tc>
        <w:tc>
          <w:tcPr>
            <w:tcW w:w="1882" w:type="dxa"/>
            <w:vAlign w:val="center"/>
          </w:tcPr>
          <w:p>
            <w:pPr>
              <w:spacing w:line="300" w:lineRule="exact"/>
              <w:jc w:val="center"/>
              <w:rPr>
                <w:rFonts w:ascii="仿宋_GB2312"/>
                <w:bCs/>
                <w:color w:val="000000" w:themeColor="text1"/>
              </w:rPr>
            </w:pPr>
            <w:r>
              <w:rPr>
                <w:rFonts w:hint="eastAsia" w:ascii="仿宋_GB2312"/>
                <w:bCs/>
                <w:color w:val="000000" w:themeColor="text1"/>
              </w:rPr>
              <w:t>子项目</w:t>
            </w:r>
          </w:p>
        </w:tc>
        <w:tc>
          <w:tcPr>
            <w:tcW w:w="4526" w:type="dxa"/>
            <w:vAlign w:val="center"/>
          </w:tcPr>
          <w:p>
            <w:pPr>
              <w:spacing w:line="300" w:lineRule="exact"/>
              <w:rPr>
                <w:rFonts w:ascii="仿宋_GB2312"/>
                <w:bCs/>
                <w:color w:val="000000" w:themeColor="text1"/>
              </w:rPr>
            </w:pPr>
            <w:r>
              <w:rPr>
                <w:rFonts w:hint="eastAsia" w:ascii="仿宋_GB2312"/>
                <w:bCs/>
                <w:color w:val="000000" w:themeColor="text1"/>
              </w:rPr>
              <w:t>技术参数要求</w:t>
            </w:r>
          </w:p>
        </w:tc>
        <w:tc>
          <w:tcPr>
            <w:tcW w:w="636" w:type="dxa"/>
            <w:vAlign w:val="center"/>
          </w:tcPr>
          <w:p>
            <w:pPr>
              <w:spacing w:line="300" w:lineRule="exact"/>
              <w:rPr>
                <w:rFonts w:ascii="仿宋_GB2312"/>
                <w:bCs/>
                <w:color w:val="000000" w:themeColor="text1"/>
              </w:rPr>
            </w:pPr>
            <w:r>
              <w:rPr>
                <w:rFonts w:hint="eastAsia" w:ascii="仿宋_GB2312"/>
                <w:bCs/>
                <w:color w:val="000000" w:themeColor="text1"/>
              </w:rPr>
              <w:t>数量</w:t>
            </w:r>
          </w:p>
        </w:tc>
        <w:tc>
          <w:tcPr>
            <w:tcW w:w="467" w:type="dxa"/>
            <w:vAlign w:val="center"/>
          </w:tcPr>
          <w:p>
            <w:pPr>
              <w:spacing w:line="300" w:lineRule="exact"/>
              <w:jc w:val="center"/>
              <w:rPr>
                <w:rFonts w:ascii="仿宋_GB2312"/>
                <w:bCs/>
                <w:color w:val="000000" w:themeColor="text1"/>
              </w:rPr>
            </w:pPr>
            <w:r>
              <w:rPr>
                <w:rFonts w:hint="eastAsia" w:ascii="仿宋_GB2312"/>
                <w:bCs/>
                <w:color w:val="000000" w:themeColor="text1"/>
              </w:rPr>
              <w:t>县市区</w:t>
            </w:r>
          </w:p>
        </w:tc>
        <w:tc>
          <w:tcPr>
            <w:tcW w:w="447" w:type="dxa"/>
            <w:vAlign w:val="center"/>
          </w:tcPr>
          <w:p>
            <w:pPr>
              <w:spacing w:line="300" w:lineRule="exact"/>
              <w:jc w:val="center"/>
              <w:rPr>
                <w:rFonts w:ascii="仿宋_GB2312"/>
                <w:bCs/>
                <w:color w:val="000000" w:themeColor="text1"/>
              </w:rPr>
            </w:pPr>
            <w:r>
              <w:rPr>
                <w:rFonts w:hint="eastAsia" w:ascii="仿宋_GB2312"/>
                <w:bCs/>
                <w:color w:val="000000" w:themeColor="text1"/>
              </w:rPr>
              <w:t>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0" w:type="dxa"/>
            <w:vMerge w:val="restart"/>
            <w:vAlign w:val="center"/>
          </w:tcPr>
          <w:p>
            <w:pPr>
              <w:spacing w:line="300" w:lineRule="exact"/>
              <w:jc w:val="center"/>
              <w:rPr>
                <w:rFonts w:ascii="仿宋_GB2312"/>
                <w:bCs/>
                <w:color w:val="000000" w:themeColor="text1"/>
              </w:rPr>
            </w:pPr>
            <w:r>
              <w:rPr>
                <w:rFonts w:hint="eastAsia" w:ascii="仿宋_GB2312"/>
                <w:bCs/>
                <w:color w:val="000000" w:themeColor="text1"/>
              </w:rPr>
              <w:t>解析中心</w:t>
            </w:r>
          </w:p>
        </w:tc>
        <w:tc>
          <w:tcPr>
            <w:tcW w:w="1882" w:type="dxa"/>
            <w:vAlign w:val="center"/>
          </w:tcPr>
          <w:p>
            <w:pPr>
              <w:spacing w:line="300" w:lineRule="exact"/>
              <w:jc w:val="center"/>
              <w:rPr>
                <w:rFonts w:ascii="仿宋_GB2312"/>
                <w:bCs/>
                <w:color w:val="000000" w:themeColor="text1"/>
              </w:rPr>
            </w:pPr>
            <w:r>
              <w:rPr>
                <w:rFonts w:hint="eastAsia"/>
                <w:color w:val="000000" w:themeColor="text1"/>
              </w:rPr>
              <w:t>▲</w:t>
            </w:r>
            <w:r>
              <w:rPr>
                <w:rFonts w:hint="eastAsia" w:ascii="仿宋_GB2312"/>
                <w:bCs/>
                <w:color w:val="000000" w:themeColor="text1"/>
              </w:rPr>
              <w:t>车辆二次分析单节点</w:t>
            </w:r>
          </w:p>
        </w:tc>
        <w:tc>
          <w:tcPr>
            <w:tcW w:w="4526" w:type="dxa"/>
            <w:vAlign w:val="center"/>
          </w:tcPr>
          <w:p>
            <w:pPr>
              <w:spacing w:line="300" w:lineRule="exact"/>
              <w:rPr>
                <w:rFonts w:ascii="仿宋_GB2312"/>
                <w:bCs/>
                <w:color w:val="000000" w:themeColor="text1"/>
              </w:rPr>
            </w:pPr>
            <w:r>
              <w:rPr>
                <w:rFonts w:hint="eastAsia"/>
                <w:color w:val="000000" w:themeColor="text1"/>
              </w:rPr>
              <w:t>★</w:t>
            </w:r>
            <w:r>
              <w:rPr>
                <w:rFonts w:hint="eastAsia" w:ascii="仿宋_GB2312"/>
                <w:bCs/>
                <w:color w:val="000000" w:themeColor="text1"/>
              </w:rPr>
              <w:t>Cpu：Intel Xeon (≥8核，≥2.4GHz)</w:t>
            </w:r>
          </w:p>
          <w:p>
            <w:pPr>
              <w:spacing w:line="300" w:lineRule="exact"/>
              <w:rPr>
                <w:rFonts w:ascii="仿宋_GB2312"/>
                <w:bCs/>
                <w:color w:val="000000" w:themeColor="text1"/>
              </w:rPr>
            </w:pPr>
            <w:r>
              <w:rPr>
                <w:rFonts w:hint="eastAsia"/>
                <w:color w:val="000000" w:themeColor="text1"/>
              </w:rPr>
              <w:t>★</w:t>
            </w:r>
            <w:r>
              <w:rPr>
                <w:rFonts w:hint="eastAsia" w:ascii="仿宋_GB2312"/>
                <w:bCs/>
                <w:color w:val="000000" w:themeColor="text1"/>
              </w:rPr>
              <w:t>内存：≥16GB DDR4×2</w:t>
            </w:r>
          </w:p>
          <w:p>
            <w:pPr>
              <w:spacing w:line="300" w:lineRule="exact"/>
              <w:rPr>
                <w:rFonts w:ascii="仿宋_GB2312"/>
                <w:bCs/>
                <w:color w:val="000000" w:themeColor="text1"/>
              </w:rPr>
            </w:pPr>
            <w:r>
              <w:rPr>
                <w:rFonts w:hint="eastAsia"/>
                <w:color w:val="000000" w:themeColor="text1"/>
              </w:rPr>
              <w:t>★</w:t>
            </w:r>
            <w:r>
              <w:rPr>
                <w:rFonts w:hint="eastAsia" w:ascii="仿宋_GB2312"/>
                <w:bCs/>
                <w:color w:val="000000" w:themeColor="text1"/>
              </w:rPr>
              <w:t>硬盘：≥16TB SATA（磁盘转速≥7200rpm）</w:t>
            </w:r>
          </w:p>
          <w:p>
            <w:pPr>
              <w:spacing w:line="300" w:lineRule="exact"/>
              <w:rPr>
                <w:rFonts w:ascii="仿宋_GB2312"/>
                <w:bCs/>
                <w:color w:val="000000" w:themeColor="text1"/>
              </w:rPr>
            </w:pPr>
            <w:r>
              <w:rPr>
                <w:rFonts w:hint="eastAsia"/>
                <w:color w:val="000000" w:themeColor="text1"/>
              </w:rPr>
              <w:t>★</w:t>
            </w:r>
            <w:r>
              <w:rPr>
                <w:rFonts w:hint="eastAsia" w:ascii="仿宋_GB2312"/>
                <w:bCs/>
                <w:color w:val="000000" w:themeColor="text1"/>
              </w:rPr>
              <w:t>网口：1GbE×2（光口）</w:t>
            </w:r>
          </w:p>
          <w:p>
            <w:pPr>
              <w:spacing w:line="300" w:lineRule="exact"/>
              <w:rPr>
                <w:rFonts w:ascii="仿宋_GB2312"/>
                <w:bCs/>
                <w:color w:val="000000" w:themeColor="text1"/>
              </w:rPr>
            </w:pPr>
            <w:r>
              <w:rPr>
                <w:rFonts w:hint="eastAsia"/>
                <w:color w:val="000000" w:themeColor="text1"/>
              </w:rPr>
              <w:t>★</w:t>
            </w:r>
            <w:r>
              <w:rPr>
                <w:rFonts w:hint="eastAsia" w:ascii="仿宋_GB2312"/>
                <w:bCs/>
                <w:color w:val="000000" w:themeColor="text1"/>
              </w:rPr>
              <w:t>GPU: NVIDIA Tesla P4×1</w:t>
            </w:r>
          </w:p>
          <w:p>
            <w:pPr>
              <w:spacing w:line="300" w:lineRule="exact"/>
              <w:rPr>
                <w:rFonts w:ascii="宋体" w:hAnsi="宋体"/>
                <w:color w:val="000000" w:themeColor="text1"/>
                <w:szCs w:val="21"/>
              </w:rPr>
            </w:pPr>
            <w:r>
              <w:rPr>
                <w:color w:val="000000" w:themeColor="text1"/>
              </w:rPr>
              <w:t>2</w:t>
            </w:r>
            <w:r>
              <w:rPr>
                <w:rFonts w:hint="eastAsia" w:ascii="宋体" w:hAnsi="宋体"/>
                <w:color w:val="000000" w:themeColor="text1"/>
                <w:szCs w:val="21"/>
              </w:rPr>
              <w:t>个热插拔冗余电源，冗余风扇</w:t>
            </w:r>
          </w:p>
          <w:p>
            <w:pPr>
              <w:spacing w:line="300" w:lineRule="exact"/>
              <w:rPr>
                <w:rFonts w:ascii="宋体" w:hAnsi="宋体"/>
                <w:color w:val="000000" w:themeColor="text1"/>
                <w:szCs w:val="21"/>
              </w:rPr>
            </w:pPr>
            <w:r>
              <w:rPr>
                <w:rFonts w:hint="eastAsia" w:ascii="宋体" w:hAnsi="宋体"/>
                <w:color w:val="000000" w:themeColor="text1"/>
                <w:szCs w:val="21"/>
              </w:rPr>
              <w:t>工作温度</w:t>
            </w:r>
            <w:r>
              <w:rPr>
                <w:rFonts w:ascii="宋体" w:hAnsi="宋体"/>
                <w:color w:val="000000" w:themeColor="text1"/>
                <w:szCs w:val="21"/>
              </w:rPr>
              <w:t>:</w:t>
            </w:r>
            <w:r>
              <w:rPr>
                <w:rFonts w:hint="eastAsia" w:ascii="宋体" w:hAnsi="宋体"/>
                <w:color w:val="000000" w:themeColor="text1"/>
                <w:szCs w:val="21"/>
              </w:rPr>
              <w:t>支持最高</w:t>
            </w:r>
            <w:r>
              <w:rPr>
                <w:rFonts w:ascii="宋体" w:hAnsi="宋体"/>
                <w:color w:val="000000" w:themeColor="text1"/>
                <w:szCs w:val="21"/>
              </w:rPr>
              <w:t>5-40</w:t>
            </w:r>
            <w:r>
              <w:rPr>
                <w:rFonts w:hint="eastAsia" w:ascii="宋体" w:hAnsi="宋体"/>
                <w:color w:val="000000" w:themeColor="text1"/>
                <w:szCs w:val="21"/>
              </w:rPr>
              <w:t>°</w:t>
            </w:r>
            <w:r>
              <w:rPr>
                <w:rFonts w:ascii="宋体" w:hAnsi="宋体"/>
                <w:color w:val="000000" w:themeColor="text1"/>
                <w:szCs w:val="21"/>
              </w:rPr>
              <w:t>C</w:t>
            </w:r>
            <w:r>
              <w:rPr>
                <w:rFonts w:hint="eastAsia" w:ascii="宋体" w:hAnsi="宋体"/>
                <w:color w:val="000000" w:themeColor="text1"/>
                <w:szCs w:val="21"/>
              </w:rPr>
              <w:t>标准工作温度</w:t>
            </w:r>
          </w:p>
          <w:p>
            <w:pPr>
              <w:spacing w:line="300" w:lineRule="exact"/>
              <w:rPr>
                <w:rFonts w:ascii="宋体" w:hAnsi="宋体"/>
                <w:color w:val="000000" w:themeColor="text1"/>
                <w:szCs w:val="21"/>
              </w:rPr>
            </w:pPr>
            <w:r>
              <w:rPr>
                <w:rFonts w:hint="eastAsia" w:ascii="宋体" w:hAnsi="宋体"/>
                <w:color w:val="000000" w:themeColor="text1"/>
                <w:szCs w:val="21"/>
              </w:rPr>
              <w:t>网络带宽</w:t>
            </w:r>
            <w:r>
              <w:rPr>
                <w:rFonts w:ascii="宋体" w:hAnsi="宋体"/>
                <w:color w:val="000000" w:themeColor="text1"/>
                <w:szCs w:val="21"/>
              </w:rPr>
              <w:t>:</w:t>
            </w:r>
            <w:r>
              <w:rPr>
                <w:rFonts w:hint="eastAsia" w:ascii="宋体" w:hAnsi="宋体"/>
                <w:color w:val="000000" w:themeColor="text1"/>
                <w:szCs w:val="21"/>
              </w:rPr>
              <w:t>支持多种网络带宽；</w:t>
            </w:r>
          </w:p>
          <w:p>
            <w:pPr>
              <w:spacing w:line="300" w:lineRule="exact"/>
              <w:rPr>
                <w:rFonts w:ascii="宋体" w:hAnsi="宋体"/>
                <w:color w:val="000000" w:themeColor="text1"/>
                <w:szCs w:val="21"/>
              </w:rPr>
            </w:pPr>
            <w:r>
              <w:rPr>
                <w:rFonts w:hint="eastAsia" w:ascii="宋体" w:hAnsi="宋体"/>
                <w:color w:val="000000" w:themeColor="text1"/>
                <w:szCs w:val="21"/>
              </w:rPr>
              <w:t>配置≥</w:t>
            </w:r>
            <w:r>
              <w:rPr>
                <w:rFonts w:ascii="宋体" w:hAnsi="宋体"/>
                <w:color w:val="000000" w:themeColor="text1"/>
                <w:szCs w:val="21"/>
              </w:rPr>
              <w:t>1Gb</w:t>
            </w:r>
            <w:r>
              <w:rPr>
                <w:rFonts w:hint="eastAsia" w:ascii="宋体" w:hAnsi="宋体"/>
                <w:color w:val="000000" w:themeColor="text1"/>
                <w:szCs w:val="21"/>
              </w:rPr>
              <w:t>独立的远程管理控制端口；</w:t>
            </w:r>
          </w:p>
          <w:p>
            <w:pPr>
              <w:spacing w:line="300" w:lineRule="exact"/>
              <w:rPr>
                <w:rFonts w:ascii="仿宋_GB2312"/>
                <w:bCs/>
                <w:color w:val="000000" w:themeColor="text1"/>
              </w:rPr>
            </w:pPr>
            <w:r>
              <w:rPr>
                <w:rFonts w:hint="eastAsia" w:ascii="宋体" w:hAnsi="宋体"/>
                <w:color w:val="000000" w:themeColor="text1"/>
                <w:szCs w:val="21"/>
              </w:rPr>
              <w:t>阵列控制器</w:t>
            </w:r>
            <w:r>
              <w:rPr>
                <w:rFonts w:ascii="宋体" w:hAnsi="宋体"/>
                <w:color w:val="000000" w:themeColor="text1"/>
                <w:szCs w:val="21"/>
              </w:rPr>
              <w:t>:</w:t>
            </w:r>
            <w:r>
              <w:rPr>
                <w:rFonts w:hint="eastAsia" w:ascii="宋体" w:hAnsi="宋体"/>
                <w:color w:val="000000" w:themeColor="text1"/>
                <w:szCs w:val="21"/>
              </w:rPr>
              <w:t>≥</w:t>
            </w:r>
            <w:r>
              <w:rPr>
                <w:rFonts w:ascii="宋体" w:hAnsi="宋体"/>
                <w:color w:val="000000" w:themeColor="text1"/>
                <w:szCs w:val="21"/>
              </w:rPr>
              <w:t>1</w:t>
            </w:r>
            <w:r>
              <w:rPr>
                <w:rFonts w:hint="eastAsia" w:ascii="宋体" w:hAnsi="宋体"/>
                <w:color w:val="000000" w:themeColor="text1"/>
                <w:szCs w:val="21"/>
              </w:rPr>
              <w:t>个标配</w:t>
            </w:r>
            <w:r>
              <w:rPr>
                <w:rFonts w:ascii="宋体" w:hAnsi="宋体"/>
                <w:color w:val="000000" w:themeColor="text1"/>
                <w:szCs w:val="21"/>
              </w:rPr>
              <w:t>RAID</w:t>
            </w:r>
            <w:r>
              <w:rPr>
                <w:rFonts w:hint="eastAsia" w:ascii="宋体" w:hAnsi="宋体"/>
                <w:color w:val="000000" w:themeColor="text1"/>
                <w:szCs w:val="21"/>
              </w:rPr>
              <w:t>阵列卡。</w:t>
            </w:r>
          </w:p>
        </w:tc>
        <w:tc>
          <w:tcPr>
            <w:tcW w:w="636" w:type="dxa"/>
            <w:vAlign w:val="center"/>
          </w:tcPr>
          <w:p>
            <w:pPr>
              <w:spacing w:line="300" w:lineRule="exact"/>
              <w:rPr>
                <w:rFonts w:ascii="仿宋_GB2312"/>
                <w:bCs/>
                <w:color w:val="000000" w:themeColor="text1"/>
              </w:rPr>
            </w:pPr>
            <w:r>
              <w:rPr>
                <w:rFonts w:hint="eastAsia" w:ascii="仿宋_GB2312"/>
                <w:bCs/>
                <w:color w:val="000000" w:themeColor="text1"/>
              </w:rPr>
              <w:t>14</w:t>
            </w:r>
          </w:p>
        </w:tc>
        <w:tc>
          <w:tcPr>
            <w:tcW w:w="467" w:type="dxa"/>
            <w:vAlign w:val="center"/>
          </w:tcPr>
          <w:p>
            <w:pPr>
              <w:spacing w:line="300" w:lineRule="exact"/>
              <w:jc w:val="center"/>
              <w:rPr>
                <w:rFonts w:ascii="仿宋_GB2312"/>
                <w:bCs/>
                <w:color w:val="000000" w:themeColor="text1"/>
              </w:rPr>
            </w:pPr>
          </w:p>
        </w:tc>
        <w:tc>
          <w:tcPr>
            <w:tcW w:w="447" w:type="dxa"/>
            <w:vAlign w:val="center"/>
          </w:tcPr>
          <w:p>
            <w:pPr>
              <w:spacing w:line="300" w:lineRule="exact"/>
              <w:jc w:val="center"/>
              <w:rPr>
                <w:rFonts w:ascii="仿宋_GB2312"/>
                <w:bCs/>
                <w:color w:val="000000" w:themeColor="text1"/>
              </w:rPr>
            </w:pPr>
            <w:r>
              <w:rPr>
                <w:rFonts w:hint="eastAsia" w:ascii="仿宋_GB2312"/>
                <w:bCs/>
                <w:color w:val="000000" w:themeColor="text1"/>
              </w:rPr>
              <w:t>节点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0" w:type="dxa"/>
            <w:vMerge w:val="continue"/>
            <w:vAlign w:val="center"/>
          </w:tcPr>
          <w:p>
            <w:pPr>
              <w:spacing w:line="300" w:lineRule="exact"/>
              <w:jc w:val="center"/>
              <w:rPr>
                <w:rFonts w:ascii="仿宋_GB2312"/>
                <w:bCs/>
                <w:color w:val="000000" w:themeColor="text1"/>
              </w:rPr>
            </w:pPr>
          </w:p>
        </w:tc>
        <w:tc>
          <w:tcPr>
            <w:tcW w:w="1882" w:type="dxa"/>
            <w:vAlign w:val="center"/>
          </w:tcPr>
          <w:p>
            <w:pPr>
              <w:spacing w:line="300" w:lineRule="exact"/>
              <w:jc w:val="center"/>
              <w:rPr>
                <w:rFonts w:ascii="仿宋_GB2312"/>
                <w:bCs/>
                <w:color w:val="000000" w:themeColor="text1"/>
              </w:rPr>
            </w:pPr>
            <w:r>
              <w:rPr>
                <w:rFonts w:hint="eastAsia" w:ascii="仿宋_GB2312"/>
                <w:bCs/>
                <w:color w:val="000000" w:themeColor="text1"/>
              </w:rPr>
              <w:t>以图搜车单节点</w:t>
            </w:r>
          </w:p>
        </w:tc>
        <w:tc>
          <w:tcPr>
            <w:tcW w:w="4526" w:type="dxa"/>
            <w:vAlign w:val="center"/>
          </w:tcPr>
          <w:p>
            <w:pPr>
              <w:spacing w:line="300" w:lineRule="exact"/>
              <w:rPr>
                <w:rFonts w:ascii="仿宋_GB2312"/>
                <w:bCs/>
                <w:color w:val="000000" w:themeColor="text1"/>
              </w:rPr>
            </w:pPr>
            <w:r>
              <w:rPr>
                <w:rFonts w:hint="eastAsia"/>
                <w:color w:val="000000" w:themeColor="text1"/>
              </w:rPr>
              <w:t>★</w:t>
            </w:r>
            <w:r>
              <w:rPr>
                <w:rFonts w:hint="eastAsia" w:ascii="仿宋_GB2312"/>
                <w:bCs/>
                <w:color w:val="000000" w:themeColor="text1"/>
              </w:rPr>
              <w:t>Cpu：Intel Xeon (≥10核，≥2.4GHz)×2</w:t>
            </w:r>
          </w:p>
          <w:p>
            <w:pPr>
              <w:spacing w:line="300" w:lineRule="exact"/>
              <w:rPr>
                <w:rFonts w:ascii="仿宋_GB2312"/>
                <w:bCs/>
                <w:color w:val="000000" w:themeColor="text1"/>
              </w:rPr>
            </w:pPr>
            <w:r>
              <w:rPr>
                <w:rFonts w:hint="eastAsia"/>
                <w:color w:val="000000" w:themeColor="text1"/>
              </w:rPr>
              <w:t>★</w:t>
            </w:r>
            <w:r>
              <w:rPr>
                <w:rFonts w:hint="eastAsia" w:ascii="仿宋_GB2312"/>
                <w:bCs/>
                <w:color w:val="000000" w:themeColor="text1"/>
              </w:rPr>
              <w:t>内存：≥32GB DDR4×4</w:t>
            </w:r>
          </w:p>
          <w:p>
            <w:pPr>
              <w:spacing w:line="300" w:lineRule="exact"/>
              <w:rPr>
                <w:rFonts w:ascii="仿宋_GB2312"/>
                <w:bCs/>
                <w:color w:val="000000" w:themeColor="text1"/>
              </w:rPr>
            </w:pPr>
            <w:r>
              <w:rPr>
                <w:rFonts w:hint="eastAsia"/>
                <w:color w:val="000000" w:themeColor="text1"/>
              </w:rPr>
              <w:t>★</w:t>
            </w:r>
            <w:r>
              <w:rPr>
                <w:rFonts w:hint="eastAsia" w:ascii="仿宋_GB2312"/>
                <w:bCs/>
                <w:color w:val="000000" w:themeColor="text1"/>
              </w:rPr>
              <w:t>硬盘：≥32TB SATA（磁盘转速≥7200rpm）</w:t>
            </w:r>
          </w:p>
          <w:p>
            <w:pPr>
              <w:spacing w:line="300" w:lineRule="exact"/>
              <w:rPr>
                <w:rFonts w:ascii="仿宋_GB2312"/>
                <w:bCs/>
                <w:color w:val="000000" w:themeColor="text1"/>
              </w:rPr>
            </w:pPr>
            <w:r>
              <w:rPr>
                <w:rFonts w:hint="eastAsia"/>
                <w:color w:val="000000" w:themeColor="text1"/>
              </w:rPr>
              <w:t>★</w:t>
            </w:r>
            <w:r>
              <w:rPr>
                <w:rFonts w:hint="eastAsia" w:ascii="仿宋_GB2312"/>
                <w:bCs/>
                <w:color w:val="000000" w:themeColor="text1"/>
              </w:rPr>
              <w:t>网口：1GbE×2（光口）</w:t>
            </w:r>
          </w:p>
          <w:p>
            <w:pPr>
              <w:spacing w:line="300" w:lineRule="exact"/>
              <w:rPr>
                <w:rFonts w:ascii="宋体" w:hAnsi="宋体"/>
                <w:color w:val="000000" w:themeColor="text1"/>
                <w:szCs w:val="21"/>
              </w:rPr>
            </w:pPr>
            <w:r>
              <w:rPr>
                <w:color w:val="000000" w:themeColor="text1"/>
              </w:rPr>
              <w:t>2</w:t>
            </w:r>
            <w:r>
              <w:rPr>
                <w:rFonts w:hint="eastAsia" w:ascii="宋体" w:hAnsi="宋体"/>
                <w:color w:val="000000" w:themeColor="text1"/>
                <w:szCs w:val="21"/>
              </w:rPr>
              <w:t>个热插拔冗余电源，冗余风扇</w:t>
            </w:r>
          </w:p>
          <w:p>
            <w:pPr>
              <w:spacing w:line="300" w:lineRule="exact"/>
              <w:rPr>
                <w:rFonts w:ascii="宋体" w:hAnsi="宋体"/>
                <w:color w:val="000000" w:themeColor="text1"/>
                <w:szCs w:val="21"/>
              </w:rPr>
            </w:pPr>
            <w:r>
              <w:rPr>
                <w:rFonts w:hint="eastAsia" w:ascii="宋体" w:hAnsi="宋体"/>
                <w:color w:val="000000" w:themeColor="text1"/>
                <w:szCs w:val="21"/>
              </w:rPr>
              <w:t>工作温度</w:t>
            </w:r>
            <w:r>
              <w:rPr>
                <w:rFonts w:ascii="宋体" w:hAnsi="宋体"/>
                <w:color w:val="000000" w:themeColor="text1"/>
                <w:szCs w:val="21"/>
              </w:rPr>
              <w:t>:</w:t>
            </w:r>
            <w:r>
              <w:rPr>
                <w:rFonts w:hint="eastAsia" w:ascii="宋体" w:hAnsi="宋体"/>
                <w:color w:val="000000" w:themeColor="text1"/>
                <w:szCs w:val="21"/>
              </w:rPr>
              <w:t>支持最高</w:t>
            </w:r>
            <w:r>
              <w:rPr>
                <w:rFonts w:ascii="宋体" w:hAnsi="宋体"/>
                <w:color w:val="000000" w:themeColor="text1"/>
                <w:szCs w:val="21"/>
              </w:rPr>
              <w:t>5-40</w:t>
            </w:r>
            <w:r>
              <w:rPr>
                <w:rFonts w:hint="eastAsia" w:ascii="宋体" w:hAnsi="宋体"/>
                <w:color w:val="000000" w:themeColor="text1"/>
                <w:szCs w:val="21"/>
              </w:rPr>
              <w:t>°</w:t>
            </w:r>
            <w:r>
              <w:rPr>
                <w:rFonts w:ascii="宋体" w:hAnsi="宋体"/>
                <w:color w:val="000000" w:themeColor="text1"/>
                <w:szCs w:val="21"/>
              </w:rPr>
              <w:t>C</w:t>
            </w:r>
            <w:r>
              <w:rPr>
                <w:rFonts w:hint="eastAsia" w:ascii="宋体" w:hAnsi="宋体"/>
                <w:color w:val="000000" w:themeColor="text1"/>
                <w:szCs w:val="21"/>
              </w:rPr>
              <w:t>标准工作温度</w:t>
            </w:r>
          </w:p>
          <w:p>
            <w:pPr>
              <w:spacing w:line="300" w:lineRule="exact"/>
              <w:rPr>
                <w:rFonts w:ascii="宋体" w:hAnsi="宋体"/>
                <w:color w:val="000000" w:themeColor="text1"/>
                <w:szCs w:val="21"/>
              </w:rPr>
            </w:pPr>
            <w:r>
              <w:rPr>
                <w:rFonts w:hint="eastAsia" w:ascii="宋体" w:hAnsi="宋体"/>
                <w:color w:val="000000" w:themeColor="text1"/>
                <w:szCs w:val="21"/>
              </w:rPr>
              <w:t>网络带宽</w:t>
            </w:r>
            <w:r>
              <w:rPr>
                <w:rFonts w:ascii="宋体" w:hAnsi="宋体"/>
                <w:color w:val="000000" w:themeColor="text1"/>
                <w:szCs w:val="21"/>
              </w:rPr>
              <w:t>:</w:t>
            </w:r>
            <w:r>
              <w:rPr>
                <w:rFonts w:hint="eastAsia" w:ascii="宋体" w:hAnsi="宋体"/>
                <w:color w:val="000000" w:themeColor="text1"/>
                <w:szCs w:val="21"/>
              </w:rPr>
              <w:t>支持多种网络带宽；</w:t>
            </w:r>
          </w:p>
          <w:p>
            <w:pPr>
              <w:spacing w:line="300" w:lineRule="exact"/>
              <w:rPr>
                <w:rFonts w:ascii="宋体" w:hAnsi="宋体"/>
                <w:color w:val="000000" w:themeColor="text1"/>
                <w:szCs w:val="21"/>
              </w:rPr>
            </w:pPr>
            <w:r>
              <w:rPr>
                <w:rFonts w:hint="eastAsia" w:ascii="宋体" w:hAnsi="宋体"/>
                <w:color w:val="000000" w:themeColor="text1"/>
                <w:szCs w:val="21"/>
              </w:rPr>
              <w:t>配置≥</w:t>
            </w:r>
            <w:r>
              <w:rPr>
                <w:rFonts w:ascii="宋体" w:hAnsi="宋体"/>
                <w:color w:val="000000" w:themeColor="text1"/>
                <w:szCs w:val="21"/>
              </w:rPr>
              <w:t>1Gb</w:t>
            </w:r>
            <w:r>
              <w:rPr>
                <w:rFonts w:hint="eastAsia" w:ascii="宋体" w:hAnsi="宋体"/>
                <w:color w:val="000000" w:themeColor="text1"/>
                <w:szCs w:val="21"/>
              </w:rPr>
              <w:t>独立的远程管理控制端口；</w:t>
            </w:r>
          </w:p>
          <w:p>
            <w:pPr>
              <w:spacing w:line="300" w:lineRule="exact"/>
              <w:rPr>
                <w:rFonts w:ascii="仿宋_GB2312"/>
                <w:bCs/>
                <w:color w:val="000000" w:themeColor="text1"/>
              </w:rPr>
            </w:pPr>
            <w:r>
              <w:rPr>
                <w:rFonts w:hint="eastAsia" w:ascii="宋体" w:hAnsi="宋体"/>
                <w:color w:val="000000" w:themeColor="text1"/>
                <w:szCs w:val="21"/>
              </w:rPr>
              <w:t>阵列控制器</w:t>
            </w:r>
            <w:r>
              <w:rPr>
                <w:rFonts w:ascii="宋体" w:hAnsi="宋体"/>
                <w:color w:val="000000" w:themeColor="text1"/>
                <w:szCs w:val="21"/>
              </w:rPr>
              <w:t>:</w:t>
            </w:r>
            <w:r>
              <w:rPr>
                <w:rFonts w:hint="eastAsia" w:ascii="宋体" w:hAnsi="宋体"/>
                <w:color w:val="000000" w:themeColor="text1"/>
                <w:szCs w:val="21"/>
              </w:rPr>
              <w:t>≥</w:t>
            </w:r>
            <w:r>
              <w:rPr>
                <w:rFonts w:ascii="宋体" w:hAnsi="宋体"/>
                <w:color w:val="000000" w:themeColor="text1"/>
                <w:szCs w:val="21"/>
              </w:rPr>
              <w:t>1</w:t>
            </w:r>
            <w:r>
              <w:rPr>
                <w:rFonts w:hint="eastAsia" w:ascii="宋体" w:hAnsi="宋体"/>
                <w:color w:val="000000" w:themeColor="text1"/>
                <w:szCs w:val="21"/>
              </w:rPr>
              <w:t>个标配</w:t>
            </w:r>
            <w:r>
              <w:rPr>
                <w:rFonts w:ascii="宋体" w:hAnsi="宋体"/>
                <w:color w:val="000000" w:themeColor="text1"/>
                <w:szCs w:val="21"/>
              </w:rPr>
              <w:t>RAID</w:t>
            </w:r>
            <w:r>
              <w:rPr>
                <w:rFonts w:hint="eastAsia" w:ascii="宋体" w:hAnsi="宋体"/>
                <w:color w:val="000000" w:themeColor="text1"/>
                <w:szCs w:val="21"/>
              </w:rPr>
              <w:t>阵列卡。</w:t>
            </w:r>
          </w:p>
        </w:tc>
        <w:tc>
          <w:tcPr>
            <w:tcW w:w="636" w:type="dxa"/>
            <w:vAlign w:val="center"/>
          </w:tcPr>
          <w:p>
            <w:pPr>
              <w:spacing w:line="300" w:lineRule="exact"/>
              <w:rPr>
                <w:rFonts w:ascii="仿宋_GB2312"/>
                <w:bCs/>
                <w:color w:val="000000" w:themeColor="text1"/>
              </w:rPr>
            </w:pPr>
            <w:r>
              <w:rPr>
                <w:rFonts w:hint="eastAsia" w:ascii="仿宋_GB2312"/>
                <w:bCs/>
                <w:color w:val="000000" w:themeColor="text1"/>
              </w:rPr>
              <w:t>3</w:t>
            </w:r>
          </w:p>
        </w:tc>
        <w:tc>
          <w:tcPr>
            <w:tcW w:w="467" w:type="dxa"/>
            <w:vAlign w:val="center"/>
          </w:tcPr>
          <w:p>
            <w:pPr>
              <w:spacing w:line="300" w:lineRule="exact"/>
              <w:jc w:val="center"/>
              <w:rPr>
                <w:rFonts w:ascii="仿宋_GB2312"/>
                <w:bCs/>
                <w:color w:val="000000" w:themeColor="text1"/>
              </w:rPr>
            </w:pPr>
          </w:p>
        </w:tc>
        <w:tc>
          <w:tcPr>
            <w:tcW w:w="447" w:type="dxa"/>
            <w:vAlign w:val="center"/>
          </w:tcPr>
          <w:p>
            <w:pPr>
              <w:spacing w:line="300" w:lineRule="exact"/>
              <w:jc w:val="center"/>
              <w:rPr>
                <w:rFonts w:ascii="仿宋_GB2312"/>
                <w:bCs/>
                <w:color w:val="000000" w:themeColor="text1"/>
              </w:rPr>
            </w:pPr>
            <w:r>
              <w:rPr>
                <w:rFonts w:hint="eastAsia" w:ascii="仿宋_GB2312"/>
                <w:bCs/>
                <w:color w:val="000000" w:themeColor="text1"/>
              </w:rPr>
              <w:t>节点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0" w:type="dxa"/>
            <w:vMerge w:val="continue"/>
            <w:vAlign w:val="center"/>
          </w:tcPr>
          <w:p>
            <w:pPr>
              <w:spacing w:line="300" w:lineRule="exact"/>
              <w:jc w:val="center"/>
              <w:rPr>
                <w:rFonts w:ascii="仿宋_GB2312"/>
                <w:bCs/>
                <w:color w:val="000000" w:themeColor="text1"/>
              </w:rPr>
            </w:pPr>
          </w:p>
        </w:tc>
        <w:tc>
          <w:tcPr>
            <w:tcW w:w="1882" w:type="dxa"/>
            <w:vMerge w:val="restart"/>
            <w:vAlign w:val="center"/>
          </w:tcPr>
          <w:p>
            <w:pPr>
              <w:spacing w:line="300" w:lineRule="exact"/>
              <w:jc w:val="center"/>
              <w:rPr>
                <w:rFonts w:ascii="仿宋_GB2312"/>
                <w:bCs/>
                <w:color w:val="000000" w:themeColor="text1"/>
              </w:rPr>
            </w:pPr>
            <w:r>
              <w:rPr>
                <w:rFonts w:hint="eastAsia"/>
                <w:color w:val="000000" w:themeColor="text1"/>
              </w:rPr>
              <w:t>▲</w:t>
            </w:r>
            <w:r>
              <w:rPr>
                <w:rFonts w:hint="eastAsia" w:ascii="仿宋_GB2312"/>
                <w:bCs/>
                <w:color w:val="000000" w:themeColor="text1"/>
              </w:rPr>
              <w:t>人像解析单节点</w:t>
            </w:r>
          </w:p>
        </w:tc>
        <w:tc>
          <w:tcPr>
            <w:tcW w:w="4526" w:type="dxa"/>
            <w:vAlign w:val="center"/>
          </w:tcPr>
          <w:p>
            <w:pPr>
              <w:spacing w:line="300" w:lineRule="exact"/>
              <w:rPr>
                <w:rFonts w:ascii="仿宋_GB2312"/>
                <w:bCs/>
                <w:color w:val="000000" w:themeColor="text1"/>
              </w:rPr>
            </w:pPr>
            <w:r>
              <w:rPr>
                <w:rFonts w:hint="eastAsia"/>
                <w:color w:val="000000" w:themeColor="text1"/>
              </w:rPr>
              <w:t>★</w:t>
            </w:r>
            <w:r>
              <w:rPr>
                <w:rFonts w:hint="eastAsia" w:ascii="仿宋_GB2312"/>
                <w:bCs/>
                <w:color w:val="000000" w:themeColor="text1"/>
              </w:rPr>
              <w:t>Cpu：Intel Xeon (≥14核，≥2.2GHz)×2</w:t>
            </w:r>
          </w:p>
          <w:p>
            <w:pPr>
              <w:spacing w:line="300" w:lineRule="exact"/>
              <w:rPr>
                <w:rFonts w:ascii="仿宋_GB2312"/>
                <w:bCs/>
                <w:color w:val="000000" w:themeColor="text1"/>
              </w:rPr>
            </w:pPr>
            <w:r>
              <w:rPr>
                <w:rFonts w:hint="eastAsia"/>
                <w:color w:val="000000" w:themeColor="text1"/>
              </w:rPr>
              <w:t>★</w:t>
            </w:r>
            <w:r>
              <w:rPr>
                <w:rFonts w:hint="eastAsia" w:ascii="仿宋_GB2312"/>
                <w:bCs/>
                <w:color w:val="000000" w:themeColor="text1"/>
              </w:rPr>
              <w:t>内存：≥32GB DDR4×16</w:t>
            </w:r>
          </w:p>
          <w:p>
            <w:pPr>
              <w:spacing w:line="300" w:lineRule="exact"/>
              <w:rPr>
                <w:rFonts w:ascii="仿宋_GB2312"/>
                <w:bCs/>
                <w:color w:val="000000" w:themeColor="text1"/>
              </w:rPr>
            </w:pPr>
            <w:r>
              <w:rPr>
                <w:rFonts w:hint="eastAsia"/>
                <w:color w:val="000000" w:themeColor="text1"/>
              </w:rPr>
              <w:t>★</w:t>
            </w:r>
            <w:r>
              <w:rPr>
                <w:rFonts w:hint="eastAsia" w:ascii="仿宋_GB2312"/>
                <w:bCs/>
                <w:color w:val="000000" w:themeColor="text1"/>
              </w:rPr>
              <w:t>硬盘：≥480GB SSD+≥20TB SATA（磁盘转速≥7200rpm）</w:t>
            </w:r>
          </w:p>
          <w:p>
            <w:pPr>
              <w:spacing w:line="300" w:lineRule="exact"/>
              <w:rPr>
                <w:rFonts w:ascii="仿宋_GB2312"/>
                <w:bCs/>
                <w:color w:val="000000" w:themeColor="text1"/>
              </w:rPr>
            </w:pPr>
            <w:r>
              <w:rPr>
                <w:rFonts w:hint="eastAsia"/>
                <w:color w:val="000000" w:themeColor="text1"/>
              </w:rPr>
              <w:t>★</w:t>
            </w:r>
            <w:r>
              <w:rPr>
                <w:rFonts w:hint="eastAsia" w:ascii="仿宋_GB2312"/>
                <w:bCs/>
                <w:color w:val="000000" w:themeColor="text1"/>
              </w:rPr>
              <w:t>网口：10GbE×2（光口）</w:t>
            </w:r>
          </w:p>
          <w:p>
            <w:pPr>
              <w:spacing w:line="300" w:lineRule="exact"/>
              <w:rPr>
                <w:rFonts w:ascii="仿宋_GB2312"/>
                <w:bCs/>
                <w:color w:val="000000" w:themeColor="text1"/>
              </w:rPr>
            </w:pPr>
            <w:r>
              <w:rPr>
                <w:rFonts w:hint="eastAsia"/>
                <w:color w:val="000000" w:themeColor="text1"/>
              </w:rPr>
              <w:t>★</w:t>
            </w:r>
            <w:r>
              <w:rPr>
                <w:rFonts w:hint="eastAsia" w:ascii="仿宋_GB2312"/>
                <w:bCs/>
                <w:color w:val="000000" w:themeColor="text1"/>
              </w:rPr>
              <w:t>GPU: NVIDIA Tesla P4×4</w:t>
            </w:r>
          </w:p>
          <w:p>
            <w:pPr>
              <w:spacing w:line="300" w:lineRule="exact"/>
              <w:rPr>
                <w:rFonts w:ascii="宋体" w:hAnsi="宋体"/>
                <w:color w:val="000000" w:themeColor="text1"/>
                <w:szCs w:val="21"/>
              </w:rPr>
            </w:pPr>
            <w:r>
              <w:rPr>
                <w:color w:val="000000" w:themeColor="text1"/>
              </w:rPr>
              <w:t>2</w:t>
            </w:r>
            <w:r>
              <w:rPr>
                <w:rFonts w:hint="eastAsia" w:ascii="宋体" w:hAnsi="宋体"/>
                <w:color w:val="000000" w:themeColor="text1"/>
                <w:szCs w:val="21"/>
              </w:rPr>
              <w:t>个热插拔冗余电源，冗余风扇</w:t>
            </w:r>
          </w:p>
          <w:p>
            <w:pPr>
              <w:spacing w:line="300" w:lineRule="exact"/>
              <w:rPr>
                <w:rFonts w:ascii="宋体" w:hAnsi="宋体"/>
                <w:color w:val="000000" w:themeColor="text1"/>
                <w:szCs w:val="21"/>
              </w:rPr>
            </w:pPr>
            <w:r>
              <w:rPr>
                <w:rFonts w:hint="eastAsia" w:ascii="宋体" w:hAnsi="宋体"/>
                <w:color w:val="000000" w:themeColor="text1"/>
                <w:szCs w:val="21"/>
              </w:rPr>
              <w:t>工作温度</w:t>
            </w:r>
            <w:r>
              <w:rPr>
                <w:rFonts w:ascii="宋体" w:hAnsi="宋体"/>
                <w:color w:val="000000" w:themeColor="text1"/>
                <w:szCs w:val="21"/>
              </w:rPr>
              <w:t>:</w:t>
            </w:r>
            <w:r>
              <w:rPr>
                <w:rFonts w:hint="eastAsia" w:ascii="宋体" w:hAnsi="宋体"/>
                <w:color w:val="000000" w:themeColor="text1"/>
                <w:szCs w:val="21"/>
              </w:rPr>
              <w:t>支持最高</w:t>
            </w:r>
            <w:r>
              <w:rPr>
                <w:rFonts w:ascii="宋体" w:hAnsi="宋体"/>
                <w:color w:val="000000" w:themeColor="text1"/>
                <w:szCs w:val="21"/>
              </w:rPr>
              <w:t>5-40</w:t>
            </w:r>
            <w:r>
              <w:rPr>
                <w:rFonts w:hint="eastAsia" w:ascii="宋体" w:hAnsi="宋体"/>
                <w:color w:val="000000" w:themeColor="text1"/>
                <w:szCs w:val="21"/>
              </w:rPr>
              <w:t>°</w:t>
            </w:r>
            <w:r>
              <w:rPr>
                <w:rFonts w:ascii="宋体" w:hAnsi="宋体"/>
                <w:color w:val="000000" w:themeColor="text1"/>
                <w:szCs w:val="21"/>
              </w:rPr>
              <w:t>C</w:t>
            </w:r>
            <w:r>
              <w:rPr>
                <w:rFonts w:hint="eastAsia" w:ascii="宋体" w:hAnsi="宋体"/>
                <w:color w:val="000000" w:themeColor="text1"/>
                <w:szCs w:val="21"/>
              </w:rPr>
              <w:t>标准工作温度</w:t>
            </w:r>
          </w:p>
          <w:p>
            <w:pPr>
              <w:spacing w:line="300" w:lineRule="exact"/>
              <w:rPr>
                <w:rFonts w:ascii="宋体" w:hAnsi="宋体"/>
                <w:color w:val="000000" w:themeColor="text1"/>
                <w:szCs w:val="21"/>
              </w:rPr>
            </w:pPr>
            <w:r>
              <w:rPr>
                <w:rFonts w:hint="eastAsia" w:ascii="宋体" w:hAnsi="宋体"/>
                <w:color w:val="000000" w:themeColor="text1"/>
                <w:szCs w:val="21"/>
              </w:rPr>
              <w:t>网络带宽</w:t>
            </w:r>
            <w:r>
              <w:rPr>
                <w:rFonts w:ascii="宋体" w:hAnsi="宋体"/>
                <w:color w:val="000000" w:themeColor="text1"/>
                <w:szCs w:val="21"/>
              </w:rPr>
              <w:t>:</w:t>
            </w:r>
            <w:r>
              <w:rPr>
                <w:rFonts w:hint="eastAsia" w:ascii="宋体" w:hAnsi="宋体"/>
                <w:color w:val="000000" w:themeColor="text1"/>
                <w:szCs w:val="21"/>
              </w:rPr>
              <w:t>支持多种网络带宽；</w:t>
            </w:r>
          </w:p>
          <w:p>
            <w:pPr>
              <w:spacing w:line="300" w:lineRule="exact"/>
              <w:rPr>
                <w:rFonts w:ascii="宋体" w:hAnsi="宋体"/>
                <w:color w:val="000000" w:themeColor="text1"/>
                <w:szCs w:val="21"/>
              </w:rPr>
            </w:pPr>
            <w:r>
              <w:rPr>
                <w:rFonts w:hint="eastAsia" w:ascii="宋体" w:hAnsi="宋体"/>
                <w:color w:val="000000" w:themeColor="text1"/>
                <w:szCs w:val="21"/>
              </w:rPr>
              <w:t>配置≥</w:t>
            </w:r>
            <w:r>
              <w:rPr>
                <w:rFonts w:ascii="宋体" w:hAnsi="宋体"/>
                <w:color w:val="000000" w:themeColor="text1"/>
                <w:szCs w:val="21"/>
              </w:rPr>
              <w:t>1Gb</w:t>
            </w:r>
            <w:r>
              <w:rPr>
                <w:rFonts w:hint="eastAsia" w:ascii="宋体" w:hAnsi="宋体"/>
                <w:color w:val="000000" w:themeColor="text1"/>
                <w:szCs w:val="21"/>
              </w:rPr>
              <w:t>独立的远程管理控制端口；</w:t>
            </w:r>
          </w:p>
          <w:p>
            <w:pPr>
              <w:spacing w:line="300" w:lineRule="exact"/>
              <w:rPr>
                <w:rFonts w:ascii="仿宋_GB2312"/>
                <w:bCs/>
                <w:color w:val="000000" w:themeColor="text1"/>
              </w:rPr>
            </w:pPr>
            <w:r>
              <w:rPr>
                <w:rFonts w:hint="eastAsia" w:ascii="宋体" w:hAnsi="宋体"/>
                <w:color w:val="000000" w:themeColor="text1"/>
                <w:szCs w:val="21"/>
              </w:rPr>
              <w:t>阵列控制器</w:t>
            </w:r>
            <w:r>
              <w:rPr>
                <w:rFonts w:ascii="宋体" w:hAnsi="宋体"/>
                <w:color w:val="000000" w:themeColor="text1"/>
                <w:szCs w:val="21"/>
              </w:rPr>
              <w:t>:</w:t>
            </w:r>
            <w:r>
              <w:rPr>
                <w:rFonts w:hint="eastAsia" w:ascii="宋体" w:hAnsi="宋体"/>
                <w:color w:val="000000" w:themeColor="text1"/>
                <w:szCs w:val="21"/>
              </w:rPr>
              <w:t>≥</w:t>
            </w:r>
            <w:r>
              <w:rPr>
                <w:rFonts w:ascii="宋体" w:hAnsi="宋体"/>
                <w:color w:val="000000" w:themeColor="text1"/>
                <w:szCs w:val="21"/>
              </w:rPr>
              <w:t>1</w:t>
            </w:r>
            <w:r>
              <w:rPr>
                <w:rFonts w:hint="eastAsia" w:ascii="宋体" w:hAnsi="宋体"/>
                <w:color w:val="000000" w:themeColor="text1"/>
                <w:szCs w:val="21"/>
              </w:rPr>
              <w:t>个标配</w:t>
            </w:r>
            <w:r>
              <w:rPr>
                <w:rFonts w:ascii="宋体" w:hAnsi="宋体"/>
                <w:color w:val="000000" w:themeColor="text1"/>
                <w:szCs w:val="21"/>
              </w:rPr>
              <w:t>RAID</w:t>
            </w:r>
            <w:r>
              <w:rPr>
                <w:rFonts w:hint="eastAsia" w:ascii="宋体" w:hAnsi="宋体"/>
                <w:color w:val="000000" w:themeColor="text1"/>
                <w:szCs w:val="21"/>
              </w:rPr>
              <w:t>阵列卡。</w:t>
            </w:r>
          </w:p>
        </w:tc>
        <w:tc>
          <w:tcPr>
            <w:tcW w:w="636" w:type="dxa"/>
            <w:vAlign w:val="center"/>
          </w:tcPr>
          <w:p>
            <w:pPr>
              <w:spacing w:line="300" w:lineRule="exact"/>
              <w:rPr>
                <w:rFonts w:ascii="仿宋_GB2312"/>
                <w:bCs/>
                <w:color w:val="000000" w:themeColor="text1"/>
              </w:rPr>
            </w:pPr>
            <w:r>
              <w:rPr>
                <w:rFonts w:hint="eastAsia" w:ascii="仿宋_GB2312"/>
                <w:bCs/>
                <w:color w:val="000000" w:themeColor="text1"/>
              </w:rPr>
              <w:t>59</w:t>
            </w:r>
          </w:p>
        </w:tc>
        <w:tc>
          <w:tcPr>
            <w:tcW w:w="467" w:type="dxa"/>
            <w:vAlign w:val="center"/>
          </w:tcPr>
          <w:p>
            <w:pPr>
              <w:spacing w:line="300" w:lineRule="exact"/>
              <w:jc w:val="center"/>
              <w:rPr>
                <w:rFonts w:ascii="仿宋_GB2312"/>
                <w:bCs/>
                <w:color w:val="000000" w:themeColor="text1"/>
              </w:rPr>
            </w:pPr>
          </w:p>
        </w:tc>
        <w:tc>
          <w:tcPr>
            <w:tcW w:w="447" w:type="dxa"/>
            <w:vAlign w:val="center"/>
          </w:tcPr>
          <w:p>
            <w:pPr>
              <w:spacing w:line="300" w:lineRule="exact"/>
              <w:jc w:val="center"/>
              <w:rPr>
                <w:rFonts w:ascii="仿宋_GB2312"/>
                <w:bCs/>
                <w:color w:val="000000" w:themeColor="text1"/>
              </w:rPr>
            </w:pPr>
            <w:r>
              <w:rPr>
                <w:rFonts w:hint="eastAsia" w:ascii="仿宋_GB2312"/>
                <w:bCs/>
                <w:color w:val="000000" w:themeColor="text1"/>
              </w:rPr>
              <w:t>节点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0" w:type="dxa"/>
            <w:vMerge w:val="continue"/>
            <w:vAlign w:val="center"/>
          </w:tcPr>
          <w:p>
            <w:pPr>
              <w:spacing w:line="300" w:lineRule="exact"/>
              <w:jc w:val="center"/>
              <w:rPr>
                <w:rFonts w:ascii="仿宋_GB2312"/>
                <w:bCs/>
                <w:color w:val="000000" w:themeColor="text1"/>
              </w:rPr>
            </w:pPr>
          </w:p>
        </w:tc>
        <w:tc>
          <w:tcPr>
            <w:tcW w:w="1882" w:type="dxa"/>
            <w:vMerge w:val="continue"/>
            <w:vAlign w:val="center"/>
          </w:tcPr>
          <w:p>
            <w:pPr>
              <w:spacing w:line="300" w:lineRule="exact"/>
              <w:jc w:val="center"/>
              <w:rPr>
                <w:rFonts w:ascii="仿宋_GB2312"/>
                <w:bCs/>
                <w:color w:val="000000" w:themeColor="text1"/>
              </w:rPr>
            </w:pPr>
          </w:p>
        </w:tc>
        <w:tc>
          <w:tcPr>
            <w:tcW w:w="4526" w:type="dxa"/>
            <w:vAlign w:val="center"/>
          </w:tcPr>
          <w:p>
            <w:pPr>
              <w:spacing w:line="300" w:lineRule="exact"/>
              <w:rPr>
                <w:rFonts w:ascii="仿宋_GB2312"/>
                <w:bCs/>
                <w:color w:val="000000" w:themeColor="text1"/>
              </w:rPr>
            </w:pPr>
            <w:r>
              <w:rPr>
                <w:rFonts w:hint="eastAsia"/>
                <w:color w:val="000000" w:themeColor="text1"/>
              </w:rPr>
              <w:t>★</w:t>
            </w:r>
            <w:r>
              <w:rPr>
                <w:rFonts w:hint="eastAsia" w:ascii="仿宋_GB2312"/>
                <w:bCs/>
                <w:color w:val="000000" w:themeColor="text1"/>
              </w:rPr>
              <w:t>Cpu：Intel Xeon (≥14核，≥2.2GHz)×2</w:t>
            </w:r>
          </w:p>
          <w:p>
            <w:pPr>
              <w:spacing w:line="300" w:lineRule="exact"/>
              <w:rPr>
                <w:rFonts w:ascii="仿宋_GB2312"/>
                <w:bCs/>
                <w:color w:val="000000" w:themeColor="text1"/>
              </w:rPr>
            </w:pPr>
            <w:r>
              <w:rPr>
                <w:rFonts w:hint="eastAsia"/>
                <w:color w:val="000000" w:themeColor="text1"/>
              </w:rPr>
              <w:t>★</w:t>
            </w:r>
            <w:r>
              <w:rPr>
                <w:rFonts w:hint="eastAsia" w:ascii="仿宋_GB2312"/>
                <w:bCs/>
                <w:color w:val="000000" w:themeColor="text1"/>
              </w:rPr>
              <w:t>内存：≥32GB DDR4×16</w:t>
            </w:r>
          </w:p>
          <w:p>
            <w:pPr>
              <w:spacing w:line="300" w:lineRule="exact"/>
              <w:rPr>
                <w:rFonts w:ascii="仿宋_GB2312"/>
                <w:bCs/>
                <w:color w:val="000000" w:themeColor="text1"/>
              </w:rPr>
            </w:pPr>
            <w:r>
              <w:rPr>
                <w:rFonts w:hint="eastAsia"/>
                <w:color w:val="000000" w:themeColor="text1"/>
              </w:rPr>
              <w:t>★</w:t>
            </w:r>
            <w:r>
              <w:rPr>
                <w:rFonts w:hint="eastAsia" w:ascii="仿宋_GB2312"/>
                <w:bCs/>
                <w:color w:val="000000" w:themeColor="text1"/>
              </w:rPr>
              <w:t>硬盘：≥480GB SSD+≥20TBSSD</w:t>
            </w:r>
          </w:p>
          <w:p>
            <w:pPr>
              <w:spacing w:line="300" w:lineRule="exact"/>
              <w:rPr>
                <w:rFonts w:ascii="仿宋_GB2312"/>
                <w:bCs/>
                <w:color w:val="000000" w:themeColor="text1"/>
              </w:rPr>
            </w:pPr>
            <w:r>
              <w:rPr>
                <w:rFonts w:hint="eastAsia"/>
                <w:color w:val="000000" w:themeColor="text1"/>
              </w:rPr>
              <w:t>★</w:t>
            </w:r>
            <w:r>
              <w:rPr>
                <w:rFonts w:hint="eastAsia" w:ascii="仿宋_GB2312"/>
                <w:bCs/>
                <w:color w:val="000000" w:themeColor="text1"/>
              </w:rPr>
              <w:t>网口：10GbE×2（光口）</w:t>
            </w:r>
          </w:p>
          <w:p>
            <w:pPr>
              <w:spacing w:line="300" w:lineRule="exact"/>
              <w:rPr>
                <w:rFonts w:ascii="仿宋_GB2312"/>
                <w:bCs/>
                <w:color w:val="000000" w:themeColor="text1"/>
              </w:rPr>
            </w:pPr>
            <w:r>
              <w:rPr>
                <w:rFonts w:hint="eastAsia"/>
                <w:color w:val="000000" w:themeColor="text1"/>
              </w:rPr>
              <w:t>★</w:t>
            </w:r>
            <w:r>
              <w:rPr>
                <w:rFonts w:hint="eastAsia" w:ascii="仿宋_GB2312"/>
                <w:bCs/>
                <w:color w:val="000000" w:themeColor="text1"/>
              </w:rPr>
              <w:t>GPU: NVIDIA Tesla P4×4</w:t>
            </w:r>
          </w:p>
          <w:p>
            <w:pPr>
              <w:spacing w:line="300" w:lineRule="exact"/>
              <w:rPr>
                <w:rFonts w:ascii="宋体" w:hAnsi="宋体"/>
                <w:color w:val="000000" w:themeColor="text1"/>
                <w:szCs w:val="21"/>
              </w:rPr>
            </w:pPr>
            <w:r>
              <w:rPr>
                <w:color w:val="000000" w:themeColor="text1"/>
              </w:rPr>
              <w:t>2</w:t>
            </w:r>
            <w:r>
              <w:rPr>
                <w:rFonts w:hint="eastAsia" w:ascii="宋体" w:hAnsi="宋体"/>
                <w:color w:val="000000" w:themeColor="text1"/>
                <w:szCs w:val="21"/>
              </w:rPr>
              <w:t>个热插拔冗余电源，冗余风扇</w:t>
            </w:r>
          </w:p>
          <w:p>
            <w:pPr>
              <w:spacing w:line="300" w:lineRule="exact"/>
              <w:rPr>
                <w:rFonts w:ascii="宋体" w:hAnsi="宋体"/>
                <w:color w:val="000000" w:themeColor="text1"/>
                <w:szCs w:val="21"/>
              </w:rPr>
            </w:pPr>
            <w:r>
              <w:rPr>
                <w:rFonts w:hint="eastAsia" w:ascii="宋体" w:hAnsi="宋体"/>
                <w:color w:val="000000" w:themeColor="text1"/>
                <w:szCs w:val="21"/>
              </w:rPr>
              <w:t>工作温度</w:t>
            </w:r>
            <w:r>
              <w:rPr>
                <w:rFonts w:ascii="宋体" w:hAnsi="宋体"/>
                <w:color w:val="000000" w:themeColor="text1"/>
                <w:szCs w:val="21"/>
              </w:rPr>
              <w:t>:</w:t>
            </w:r>
            <w:r>
              <w:rPr>
                <w:rFonts w:hint="eastAsia" w:ascii="宋体" w:hAnsi="宋体"/>
                <w:color w:val="000000" w:themeColor="text1"/>
                <w:szCs w:val="21"/>
              </w:rPr>
              <w:t>支持最高</w:t>
            </w:r>
            <w:r>
              <w:rPr>
                <w:rFonts w:ascii="宋体" w:hAnsi="宋体"/>
                <w:color w:val="000000" w:themeColor="text1"/>
                <w:szCs w:val="21"/>
              </w:rPr>
              <w:t>5-40</w:t>
            </w:r>
            <w:r>
              <w:rPr>
                <w:rFonts w:hint="eastAsia" w:ascii="宋体" w:hAnsi="宋体"/>
                <w:color w:val="000000" w:themeColor="text1"/>
                <w:szCs w:val="21"/>
              </w:rPr>
              <w:t>°</w:t>
            </w:r>
            <w:r>
              <w:rPr>
                <w:rFonts w:ascii="宋体" w:hAnsi="宋体"/>
                <w:color w:val="000000" w:themeColor="text1"/>
                <w:szCs w:val="21"/>
              </w:rPr>
              <w:t>C</w:t>
            </w:r>
            <w:r>
              <w:rPr>
                <w:rFonts w:hint="eastAsia" w:ascii="宋体" w:hAnsi="宋体"/>
                <w:color w:val="000000" w:themeColor="text1"/>
                <w:szCs w:val="21"/>
              </w:rPr>
              <w:t>标准工作温度</w:t>
            </w:r>
          </w:p>
          <w:p>
            <w:pPr>
              <w:spacing w:line="300" w:lineRule="exact"/>
              <w:rPr>
                <w:rFonts w:ascii="宋体" w:hAnsi="宋体"/>
                <w:color w:val="000000" w:themeColor="text1"/>
                <w:szCs w:val="21"/>
              </w:rPr>
            </w:pPr>
            <w:r>
              <w:rPr>
                <w:rFonts w:hint="eastAsia" w:ascii="宋体" w:hAnsi="宋体"/>
                <w:color w:val="000000" w:themeColor="text1"/>
                <w:szCs w:val="21"/>
              </w:rPr>
              <w:t>网络带宽</w:t>
            </w:r>
            <w:r>
              <w:rPr>
                <w:rFonts w:ascii="宋体" w:hAnsi="宋体"/>
                <w:color w:val="000000" w:themeColor="text1"/>
                <w:szCs w:val="21"/>
              </w:rPr>
              <w:t>:</w:t>
            </w:r>
            <w:r>
              <w:rPr>
                <w:rFonts w:hint="eastAsia" w:ascii="宋体" w:hAnsi="宋体"/>
                <w:color w:val="000000" w:themeColor="text1"/>
                <w:szCs w:val="21"/>
              </w:rPr>
              <w:t>支持多种网络带宽；</w:t>
            </w:r>
          </w:p>
          <w:p>
            <w:pPr>
              <w:spacing w:line="300" w:lineRule="exact"/>
              <w:rPr>
                <w:rFonts w:ascii="宋体" w:hAnsi="宋体"/>
                <w:color w:val="000000" w:themeColor="text1"/>
                <w:szCs w:val="21"/>
              </w:rPr>
            </w:pPr>
            <w:r>
              <w:rPr>
                <w:rFonts w:hint="eastAsia" w:ascii="宋体" w:hAnsi="宋体"/>
                <w:color w:val="000000" w:themeColor="text1"/>
                <w:szCs w:val="21"/>
              </w:rPr>
              <w:t>配置≥</w:t>
            </w:r>
            <w:r>
              <w:rPr>
                <w:rFonts w:ascii="宋体" w:hAnsi="宋体"/>
                <w:color w:val="000000" w:themeColor="text1"/>
                <w:szCs w:val="21"/>
              </w:rPr>
              <w:t>1Gb</w:t>
            </w:r>
            <w:r>
              <w:rPr>
                <w:rFonts w:hint="eastAsia" w:ascii="宋体" w:hAnsi="宋体"/>
                <w:color w:val="000000" w:themeColor="text1"/>
                <w:szCs w:val="21"/>
              </w:rPr>
              <w:t>独立的远程管理控制端口；</w:t>
            </w:r>
          </w:p>
          <w:p>
            <w:pPr>
              <w:spacing w:line="300" w:lineRule="exact"/>
              <w:rPr>
                <w:rFonts w:ascii="仿宋_GB2312"/>
                <w:bCs/>
                <w:color w:val="000000" w:themeColor="text1"/>
              </w:rPr>
            </w:pPr>
            <w:r>
              <w:rPr>
                <w:rFonts w:hint="eastAsia" w:ascii="宋体" w:hAnsi="宋体"/>
                <w:color w:val="000000" w:themeColor="text1"/>
                <w:szCs w:val="21"/>
              </w:rPr>
              <w:t>阵列控制器</w:t>
            </w:r>
            <w:r>
              <w:rPr>
                <w:rFonts w:ascii="宋体" w:hAnsi="宋体"/>
                <w:color w:val="000000" w:themeColor="text1"/>
                <w:szCs w:val="21"/>
              </w:rPr>
              <w:t>:</w:t>
            </w:r>
            <w:r>
              <w:rPr>
                <w:rFonts w:hint="eastAsia" w:ascii="宋体" w:hAnsi="宋体"/>
                <w:color w:val="000000" w:themeColor="text1"/>
                <w:szCs w:val="21"/>
              </w:rPr>
              <w:t>≥</w:t>
            </w:r>
            <w:r>
              <w:rPr>
                <w:rFonts w:ascii="宋体" w:hAnsi="宋体"/>
                <w:color w:val="000000" w:themeColor="text1"/>
                <w:szCs w:val="21"/>
              </w:rPr>
              <w:t>1</w:t>
            </w:r>
            <w:r>
              <w:rPr>
                <w:rFonts w:hint="eastAsia" w:ascii="宋体" w:hAnsi="宋体"/>
                <w:color w:val="000000" w:themeColor="text1"/>
                <w:szCs w:val="21"/>
              </w:rPr>
              <w:t>个标配</w:t>
            </w:r>
            <w:r>
              <w:rPr>
                <w:rFonts w:ascii="宋体" w:hAnsi="宋体"/>
                <w:color w:val="000000" w:themeColor="text1"/>
                <w:szCs w:val="21"/>
              </w:rPr>
              <w:t>RAID</w:t>
            </w:r>
            <w:r>
              <w:rPr>
                <w:rFonts w:hint="eastAsia" w:ascii="宋体" w:hAnsi="宋体"/>
                <w:color w:val="000000" w:themeColor="text1"/>
                <w:szCs w:val="21"/>
              </w:rPr>
              <w:t>阵列卡。</w:t>
            </w:r>
          </w:p>
        </w:tc>
        <w:tc>
          <w:tcPr>
            <w:tcW w:w="636" w:type="dxa"/>
            <w:vAlign w:val="center"/>
          </w:tcPr>
          <w:p>
            <w:pPr>
              <w:spacing w:line="300" w:lineRule="exact"/>
              <w:rPr>
                <w:rFonts w:ascii="仿宋_GB2312"/>
                <w:bCs/>
                <w:color w:val="000000" w:themeColor="text1"/>
              </w:rPr>
            </w:pPr>
            <w:r>
              <w:rPr>
                <w:rFonts w:hint="eastAsia" w:ascii="仿宋_GB2312"/>
                <w:bCs/>
                <w:color w:val="000000" w:themeColor="text1"/>
              </w:rPr>
              <w:t>3</w:t>
            </w:r>
          </w:p>
        </w:tc>
        <w:tc>
          <w:tcPr>
            <w:tcW w:w="467" w:type="dxa"/>
            <w:vAlign w:val="center"/>
          </w:tcPr>
          <w:p>
            <w:pPr>
              <w:spacing w:line="300" w:lineRule="exact"/>
              <w:jc w:val="center"/>
              <w:rPr>
                <w:rFonts w:ascii="仿宋_GB2312"/>
                <w:bCs/>
                <w:color w:val="000000" w:themeColor="text1"/>
              </w:rPr>
            </w:pPr>
          </w:p>
        </w:tc>
        <w:tc>
          <w:tcPr>
            <w:tcW w:w="447" w:type="dxa"/>
            <w:vAlign w:val="center"/>
          </w:tcPr>
          <w:p>
            <w:pPr>
              <w:spacing w:line="300" w:lineRule="exact"/>
              <w:jc w:val="center"/>
              <w:rPr>
                <w:rFonts w:ascii="仿宋_GB2312"/>
                <w:bCs/>
                <w:color w:val="000000" w:themeColor="text1"/>
              </w:rPr>
            </w:pPr>
            <w:r>
              <w:rPr>
                <w:rFonts w:hint="eastAsia" w:ascii="仿宋_GB2312"/>
                <w:bCs/>
                <w:color w:val="000000" w:themeColor="text1"/>
              </w:rPr>
              <w:t>节点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0" w:type="dxa"/>
            <w:vMerge w:val="continue"/>
            <w:vAlign w:val="center"/>
          </w:tcPr>
          <w:p>
            <w:pPr>
              <w:spacing w:line="300" w:lineRule="exact"/>
              <w:jc w:val="center"/>
              <w:rPr>
                <w:rFonts w:ascii="仿宋_GB2312"/>
                <w:bCs/>
                <w:color w:val="000000" w:themeColor="text1"/>
              </w:rPr>
            </w:pPr>
          </w:p>
        </w:tc>
        <w:tc>
          <w:tcPr>
            <w:tcW w:w="1882" w:type="dxa"/>
            <w:vAlign w:val="center"/>
          </w:tcPr>
          <w:p>
            <w:pPr>
              <w:spacing w:line="300" w:lineRule="exact"/>
              <w:jc w:val="center"/>
              <w:rPr>
                <w:rFonts w:ascii="仿宋_GB2312"/>
                <w:bCs/>
                <w:color w:val="000000" w:themeColor="text1"/>
              </w:rPr>
            </w:pPr>
            <w:r>
              <w:rPr>
                <w:rFonts w:hint="eastAsia"/>
                <w:color w:val="000000" w:themeColor="text1"/>
              </w:rPr>
              <w:t>▲</w:t>
            </w:r>
            <w:r>
              <w:rPr>
                <w:rFonts w:hint="eastAsia" w:ascii="仿宋_GB2312"/>
                <w:bCs/>
                <w:color w:val="000000" w:themeColor="text1"/>
              </w:rPr>
              <w:t>视频萃取单节点</w:t>
            </w:r>
          </w:p>
        </w:tc>
        <w:tc>
          <w:tcPr>
            <w:tcW w:w="4526" w:type="dxa"/>
            <w:vAlign w:val="center"/>
          </w:tcPr>
          <w:p>
            <w:pPr>
              <w:spacing w:line="300" w:lineRule="exact"/>
              <w:rPr>
                <w:rFonts w:ascii="仿宋_GB2312"/>
                <w:bCs/>
                <w:color w:val="000000" w:themeColor="text1"/>
              </w:rPr>
            </w:pPr>
            <w:r>
              <w:rPr>
                <w:rFonts w:hint="eastAsia"/>
                <w:color w:val="000000" w:themeColor="text1"/>
              </w:rPr>
              <w:t>★</w:t>
            </w:r>
            <w:r>
              <w:rPr>
                <w:rFonts w:hint="eastAsia" w:ascii="仿宋_GB2312"/>
                <w:bCs/>
                <w:color w:val="000000" w:themeColor="text1"/>
              </w:rPr>
              <w:t>Cpu：Intel Xeon(≥14核，≥2.4GHz)×2</w:t>
            </w:r>
          </w:p>
          <w:p>
            <w:pPr>
              <w:spacing w:line="300" w:lineRule="exact"/>
              <w:rPr>
                <w:rFonts w:ascii="仿宋_GB2312"/>
                <w:bCs/>
                <w:color w:val="000000" w:themeColor="text1"/>
              </w:rPr>
            </w:pPr>
            <w:r>
              <w:rPr>
                <w:rFonts w:hint="eastAsia"/>
                <w:color w:val="000000" w:themeColor="text1"/>
              </w:rPr>
              <w:t>★</w:t>
            </w:r>
            <w:r>
              <w:rPr>
                <w:rFonts w:hint="eastAsia" w:ascii="仿宋_GB2312"/>
                <w:bCs/>
                <w:color w:val="000000" w:themeColor="text1"/>
              </w:rPr>
              <w:t>内存：≥32GB DDR4×4</w:t>
            </w:r>
          </w:p>
          <w:p>
            <w:pPr>
              <w:spacing w:line="300" w:lineRule="exact"/>
              <w:rPr>
                <w:rFonts w:ascii="仿宋_GB2312"/>
                <w:bCs/>
                <w:color w:val="000000" w:themeColor="text1"/>
              </w:rPr>
            </w:pPr>
            <w:r>
              <w:rPr>
                <w:rFonts w:hint="eastAsia"/>
                <w:color w:val="000000" w:themeColor="text1"/>
              </w:rPr>
              <w:t>★</w:t>
            </w:r>
            <w:r>
              <w:rPr>
                <w:rFonts w:hint="eastAsia" w:ascii="仿宋_GB2312"/>
                <w:bCs/>
                <w:color w:val="000000" w:themeColor="text1"/>
              </w:rPr>
              <w:t>硬盘：≥8TB SATA（磁盘转速≥7200rpm）+≥480GB SSD×2</w:t>
            </w:r>
          </w:p>
          <w:p>
            <w:pPr>
              <w:spacing w:line="300" w:lineRule="exact"/>
              <w:rPr>
                <w:rFonts w:ascii="仿宋_GB2312"/>
                <w:bCs/>
                <w:color w:val="000000" w:themeColor="text1"/>
              </w:rPr>
            </w:pPr>
            <w:r>
              <w:rPr>
                <w:rFonts w:hint="eastAsia"/>
                <w:color w:val="000000" w:themeColor="text1"/>
              </w:rPr>
              <w:t>★</w:t>
            </w:r>
            <w:r>
              <w:rPr>
                <w:rFonts w:hint="eastAsia" w:ascii="仿宋_GB2312"/>
                <w:bCs/>
                <w:color w:val="000000" w:themeColor="text1"/>
              </w:rPr>
              <w:t>网口：1GbE×2（光口）</w:t>
            </w:r>
          </w:p>
          <w:p>
            <w:pPr>
              <w:spacing w:line="300" w:lineRule="exact"/>
              <w:rPr>
                <w:rFonts w:ascii="仿宋_GB2312"/>
                <w:bCs/>
                <w:color w:val="000000" w:themeColor="text1"/>
              </w:rPr>
            </w:pPr>
            <w:r>
              <w:rPr>
                <w:rFonts w:hint="eastAsia"/>
                <w:color w:val="000000" w:themeColor="text1"/>
              </w:rPr>
              <w:t>★</w:t>
            </w:r>
            <w:r>
              <w:rPr>
                <w:rFonts w:hint="eastAsia" w:ascii="仿宋_GB2312"/>
                <w:bCs/>
                <w:color w:val="000000" w:themeColor="text1"/>
              </w:rPr>
              <w:t>GPU: NVIDIA Tesla P4×4</w:t>
            </w:r>
          </w:p>
          <w:p>
            <w:pPr>
              <w:spacing w:line="300" w:lineRule="exact"/>
              <w:rPr>
                <w:rFonts w:ascii="宋体" w:hAnsi="宋体"/>
                <w:color w:val="000000" w:themeColor="text1"/>
                <w:szCs w:val="21"/>
              </w:rPr>
            </w:pPr>
            <w:r>
              <w:rPr>
                <w:color w:val="000000" w:themeColor="text1"/>
              </w:rPr>
              <w:t>2</w:t>
            </w:r>
            <w:r>
              <w:rPr>
                <w:rFonts w:hint="eastAsia" w:ascii="宋体" w:hAnsi="宋体"/>
                <w:color w:val="000000" w:themeColor="text1"/>
                <w:szCs w:val="21"/>
              </w:rPr>
              <w:t>个热插拔冗余电源，冗余风扇</w:t>
            </w:r>
          </w:p>
          <w:p>
            <w:pPr>
              <w:spacing w:line="300" w:lineRule="exact"/>
              <w:rPr>
                <w:rFonts w:ascii="宋体" w:hAnsi="宋体"/>
                <w:color w:val="000000" w:themeColor="text1"/>
                <w:szCs w:val="21"/>
              </w:rPr>
            </w:pPr>
            <w:r>
              <w:rPr>
                <w:rFonts w:hint="eastAsia" w:ascii="宋体" w:hAnsi="宋体"/>
                <w:color w:val="000000" w:themeColor="text1"/>
                <w:szCs w:val="21"/>
              </w:rPr>
              <w:t>工作温度</w:t>
            </w:r>
            <w:r>
              <w:rPr>
                <w:rFonts w:ascii="宋体" w:hAnsi="宋体"/>
                <w:color w:val="000000" w:themeColor="text1"/>
                <w:szCs w:val="21"/>
              </w:rPr>
              <w:t>:</w:t>
            </w:r>
            <w:r>
              <w:rPr>
                <w:rFonts w:hint="eastAsia" w:ascii="宋体" w:hAnsi="宋体"/>
                <w:color w:val="000000" w:themeColor="text1"/>
                <w:szCs w:val="21"/>
              </w:rPr>
              <w:t>支持最高</w:t>
            </w:r>
            <w:r>
              <w:rPr>
                <w:rFonts w:ascii="宋体" w:hAnsi="宋体"/>
                <w:color w:val="000000" w:themeColor="text1"/>
                <w:szCs w:val="21"/>
              </w:rPr>
              <w:t>5-40</w:t>
            </w:r>
            <w:r>
              <w:rPr>
                <w:rFonts w:hint="eastAsia" w:ascii="宋体" w:hAnsi="宋体"/>
                <w:color w:val="000000" w:themeColor="text1"/>
                <w:szCs w:val="21"/>
              </w:rPr>
              <w:t>°</w:t>
            </w:r>
            <w:r>
              <w:rPr>
                <w:rFonts w:ascii="宋体" w:hAnsi="宋体"/>
                <w:color w:val="000000" w:themeColor="text1"/>
                <w:szCs w:val="21"/>
              </w:rPr>
              <w:t>C</w:t>
            </w:r>
            <w:r>
              <w:rPr>
                <w:rFonts w:hint="eastAsia" w:ascii="宋体" w:hAnsi="宋体"/>
                <w:color w:val="000000" w:themeColor="text1"/>
                <w:szCs w:val="21"/>
              </w:rPr>
              <w:t>标准工作温度</w:t>
            </w:r>
          </w:p>
          <w:p>
            <w:pPr>
              <w:spacing w:line="300" w:lineRule="exact"/>
              <w:rPr>
                <w:rFonts w:ascii="宋体" w:hAnsi="宋体"/>
                <w:color w:val="000000" w:themeColor="text1"/>
                <w:szCs w:val="21"/>
              </w:rPr>
            </w:pPr>
            <w:r>
              <w:rPr>
                <w:rFonts w:hint="eastAsia" w:ascii="宋体" w:hAnsi="宋体"/>
                <w:color w:val="000000" w:themeColor="text1"/>
                <w:szCs w:val="21"/>
              </w:rPr>
              <w:t>网络带宽</w:t>
            </w:r>
            <w:r>
              <w:rPr>
                <w:rFonts w:ascii="宋体" w:hAnsi="宋体"/>
                <w:color w:val="000000" w:themeColor="text1"/>
                <w:szCs w:val="21"/>
              </w:rPr>
              <w:t>:</w:t>
            </w:r>
            <w:r>
              <w:rPr>
                <w:rFonts w:hint="eastAsia" w:ascii="宋体" w:hAnsi="宋体"/>
                <w:color w:val="000000" w:themeColor="text1"/>
                <w:szCs w:val="21"/>
              </w:rPr>
              <w:t>支持多种网络带宽；</w:t>
            </w:r>
          </w:p>
          <w:p>
            <w:pPr>
              <w:spacing w:line="300" w:lineRule="exact"/>
              <w:rPr>
                <w:rFonts w:ascii="宋体" w:hAnsi="宋体"/>
                <w:color w:val="000000" w:themeColor="text1"/>
                <w:szCs w:val="21"/>
              </w:rPr>
            </w:pPr>
            <w:r>
              <w:rPr>
                <w:rFonts w:hint="eastAsia" w:ascii="宋体" w:hAnsi="宋体"/>
                <w:color w:val="000000" w:themeColor="text1"/>
                <w:szCs w:val="21"/>
              </w:rPr>
              <w:t>配置≥</w:t>
            </w:r>
            <w:r>
              <w:rPr>
                <w:rFonts w:ascii="宋体" w:hAnsi="宋体"/>
                <w:color w:val="000000" w:themeColor="text1"/>
                <w:szCs w:val="21"/>
              </w:rPr>
              <w:t>1Gb</w:t>
            </w:r>
            <w:r>
              <w:rPr>
                <w:rFonts w:hint="eastAsia" w:ascii="宋体" w:hAnsi="宋体"/>
                <w:color w:val="000000" w:themeColor="text1"/>
                <w:szCs w:val="21"/>
              </w:rPr>
              <w:t>独立的远程管理控制端口；</w:t>
            </w:r>
          </w:p>
          <w:p>
            <w:pPr>
              <w:spacing w:line="300" w:lineRule="exact"/>
              <w:rPr>
                <w:rFonts w:ascii="仿宋_GB2312"/>
                <w:bCs/>
                <w:color w:val="000000" w:themeColor="text1"/>
              </w:rPr>
            </w:pPr>
            <w:r>
              <w:rPr>
                <w:rFonts w:hint="eastAsia" w:ascii="宋体" w:hAnsi="宋体"/>
                <w:color w:val="000000" w:themeColor="text1"/>
                <w:szCs w:val="21"/>
              </w:rPr>
              <w:t>阵列控制器</w:t>
            </w:r>
            <w:r>
              <w:rPr>
                <w:rFonts w:ascii="宋体" w:hAnsi="宋体"/>
                <w:color w:val="000000" w:themeColor="text1"/>
                <w:szCs w:val="21"/>
              </w:rPr>
              <w:t>:</w:t>
            </w:r>
            <w:r>
              <w:rPr>
                <w:rFonts w:hint="eastAsia" w:ascii="宋体" w:hAnsi="宋体"/>
                <w:color w:val="000000" w:themeColor="text1"/>
                <w:szCs w:val="21"/>
              </w:rPr>
              <w:t>≥</w:t>
            </w:r>
            <w:r>
              <w:rPr>
                <w:rFonts w:ascii="宋体" w:hAnsi="宋体"/>
                <w:color w:val="000000" w:themeColor="text1"/>
                <w:szCs w:val="21"/>
              </w:rPr>
              <w:t>1</w:t>
            </w:r>
            <w:r>
              <w:rPr>
                <w:rFonts w:hint="eastAsia" w:ascii="宋体" w:hAnsi="宋体"/>
                <w:color w:val="000000" w:themeColor="text1"/>
                <w:szCs w:val="21"/>
              </w:rPr>
              <w:t>个标配</w:t>
            </w:r>
            <w:r>
              <w:rPr>
                <w:rFonts w:ascii="宋体" w:hAnsi="宋体"/>
                <w:color w:val="000000" w:themeColor="text1"/>
                <w:szCs w:val="21"/>
              </w:rPr>
              <w:t>RAID</w:t>
            </w:r>
            <w:r>
              <w:rPr>
                <w:rFonts w:hint="eastAsia" w:ascii="宋体" w:hAnsi="宋体"/>
                <w:color w:val="000000" w:themeColor="text1"/>
                <w:szCs w:val="21"/>
              </w:rPr>
              <w:t>阵列卡。</w:t>
            </w:r>
          </w:p>
        </w:tc>
        <w:tc>
          <w:tcPr>
            <w:tcW w:w="636" w:type="dxa"/>
            <w:vAlign w:val="center"/>
          </w:tcPr>
          <w:p>
            <w:pPr>
              <w:spacing w:line="300" w:lineRule="exact"/>
              <w:rPr>
                <w:rFonts w:ascii="仿宋_GB2312"/>
                <w:bCs/>
                <w:color w:val="000000" w:themeColor="text1"/>
              </w:rPr>
            </w:pPr>
            <w:r>
              <w:rPr>
                <w:rFonts w:hint="eastAsia" w:ascii="仿宋_GB2312"/>
                <w:bCs/>
                <w:color w:val="000000" w:themeColor="text1"/>
              </w:rPr>
              <w:t>19</w:t>
            </w:r>
          </w:p>
        </w:tc>
        <w:tc>
          <w:tcPr>
            <w:tcW w:w="467" w:type="dxa"/>
            <w:vAlign w:val="center"/>
          </w:tcPr>
          <w:p>
            <w:pPr>
              <w:spacing w:line="300" w:lineRule="exact"/>
              <w:jc w:val="center"/>
              <w:rPr>
                <w:rFonts w:ascii="仿宋_GB2312"/>
                <w:bCs/>
                <w:color w:val="000000" w:themeColor="text1"/>
              </w:rPr>
            </w:pPr>
          </w:p>
        </w:tc>
        <w:tc>
          <w:tcPr>
            <w:tcW w:w="447" w:type="dxa"/>
            <w:vAlign w:val="center"/>
          </w:tcPr>
          <w:p>
            <w:pPr>
              <w:spacing w:line="300" w:lineRule="exact"/>
              <w:jc w:val="center"/>
              <w:rPr>
                <w:rFonts w:ascii="仿宋_GB2312"/>
                <w:bCs/>
                <w:color w:val="000000" w:themeColor="text1"/>
              </w:rPr>
            </w:pPr>
            <w:r>
              <w:rPr>
                <w:rFonts w:hint="eastAsia" w:ascii="仿宋_GB2312"/>
                <w:bCs/>
                <w:color w:val="000000" w:themeColor="text1"/>
              </w:rPr>
              <w:t>节点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0" w:type="dxa"/>
            <w:vMerge w:val="continue"/>
            <w:vAlign w:val="center"/>
          </w:tcPr>
          <w:p>
            <w:pPr>
              <w:spacing w:line="300" w:lineRule="exact"/>
              <w:jc w:val="center"/>
              <w:rPr>
                <w:rFonts w:ascii="仿宋_GB2312"/>
                <w:bCs/>
                <w:color w:val="000000" w:themeColor="text1"/>
              </w:rPr>
            </w:pPr>
          </w:p>
        </w:tc>
        <w:tc>
          <w:tcPr>
            <w:tcW w:w="1882" w:type="dxa"/>
            <w:vAlign w:val="center"/>
          </w:tcPr>
          <w:p>
            <w:pPr>
              <w:spacing w:line="300" w:lineRule="exact"/>
              <w:jc w:val="center"/>
              <w:rPr>
                <w:rFonts w:ascii="仿宋_GB2312"/>
                <w:bCs/>
                <w:color w:val="000000" w:themeColor="text1"/>
              </w:rPr>
            </w:pPr>
            <w:r>
              <w:rPr>
                <w:rFonts w:hint="eastAsia" w:ascii="仿宋_GB2312"/>
                <w:bCs/>
                <w:color w:val="000000" w:themeColor="text1"/>
              </w:rPr>
              <w:t>解析中心节点交换机1</w:t>
            </w:r>
          </w:p>
        </w:tc>
        <w:tc>
          <w:tcPr>
            <w:tcW w:w="4526" w:type="dxa"/>
            <w:vAlign w:val="center"/>
          </w:tcPr>
          <w:p>
            <w:pPr>
              <w:spacing w:line="300" w:lineRule="exact"/>
              <w:rPr>
                <w:rFonts w:ascii="仿宋_GB2312" w:hAnsi="宋体" w:cs="宋体"/>
                <w:color w:val="000000" w:themeColor="text1"/>
              </w:rPr>
            </w:pPr>
            <w:r>
              <w:rPr>
                <w:rFonts w:hint="eastAsia"/>
                <w:color w:val="000000" w:themeColor="text1"/>
              </w:rPr>
              <w:t>★</w:t>
            </w:r>
            <w:r>
              <w:rPr>
                <w:rFonts w:hint="eastAsia" w:ascii="仿宋_GB2312" w:hAnsi="宋体" w:cs="宋体"/>
                <w:color w:val="000000" w:themeColor="text1"/>
              </w:rPr>
              <w:t>交换容量≥2.56Tbps（取官网最小值）</w:t>
            </w:r>
          </w:p>
          <w:p>
            <w:pPr>
              <w:spacing w:line="300" w:lineRule="exact"/>
              <w:rPr>
                <w:rFonts w:ascii="仿宋_GB2312" w:hAnsi="宋体" w:cs="宋体"/>
                <w:color w:val="000000" w:themeColor="text1"/>
              </w:rPr>
            </w:pPr>
            <w:r>
              <w:rPr>
                <w:rFonts w:hint="eastAsia"/>
                <w:color w:val="000000" w:themeColor="text1"/>
              </w:rPr>
              <w:t>★</w:t>
            </w:r>
            <w:r>
              <w:rPr>
                <w:rFonts w:hint="eastAsia" w:ascii="仿宋_GB2312" w:hAnsi="宋体" w:cs="宋体"/>
                <w:color w:val="000000" w:themeColor="text1"/>
              </w:rPr>
              <w:t>转发性能≥1080Mpps</w:t>
            </w:r>
          </w:p>
          <w:p>
            <w:pPr>
              <w:spacing w:line="300" w:lineRule="exact"/>
              <w:rPr>
                <w:rFonts w:ascii="仿宋_GB2312" w:hAnsi="宋体" w:cs="宋体"/>
                <w:color w:val="000000" w:themeColor="text1"/>
              </w:rPr>
            </w:pPr>
            <w:r>
              <w:rPr>
                <w:rFonts w:hint="eastAsia"/>
                <w:color w:val="000000" w:themeColor="text1"/>
              </w:rPr>
              <w:t>★</w:t>
            </w:r>
            <w:r>
              <w:rPr>
                <w:rFonts w:hint="eastAsia" w:ascii="仿宋_GB2312" w:hAnsi="宋体" w:cs="宋体"/>
                <w:color w:val="000000" w:themeColor="text1"/>
              </w:rPr>
              <w:t>扩展插槽数：扩展插槽≥2</w:t>
            </w:r>
          </w:p>
          <w:p>
            <w:pPr>
              <w:spacing w:line="300" w:lineRule="exact"/>
              <w:rPr>
                <w:rFonts w:ascii="仿宋_GB2312" w:hAnsi="宋体" w:cs="宋体"/>
                <w:color w:val="000000" w:themeColor="text1"/>
              </w:rPr>
            </w:pPr>
            <w:r>
              <w:rPr>
                <w:rFonts w:hint="eastAsia" w:ascii="仿宋_GB2312" w:hAnsi="宋体" w:cs="宋体"/>
                <w:color w:val="000000" w:themeColor="text1"/>
              </w:rPr>
              <w:t>电源模块冗余</w:t>
            </w:r>
          </w:p>
          <w:p>
            <w:pPr>
              <w:spacing w:line="300" w:lineRule="exact"/>
              <w:rPr>
                <w:rFonts w:ascii="仿宋_GB2312" w:hAnsi="宋体" w:cs="宋体"/>
                <w:color w:val="000000" w:themeColor="text1"/>
              </w:rPr>
            </w:pPr>
            <w:r>
              <w:rPr>
                <w:rFonts w:hint="eastAsia" w:ascii="仿宋_GB2312" w:hAnsi="宋体" w:cs="宋体"/>
                <w:color w:val="000000" w:themeColor="text1"/>
              </w:rPr>
              <w:t>实配接口：实配≥48个万兆光口（含光模块）</w:t>
            </w:r>
          </w:p>
          <w:p>
            <w:pPr>
              <w:spacing w:line="300" w:lineRule="exact"/>
              <w:rPr>
                <w:rFonts w:ascii="仿宋_GB2312" w:hAnsi="宋体" w:cs="宋体"/>
                <w:color w:val="000000" w:themeColor="text1"/>
              </w:rPr>
            </w:pPr>
            <w:r>
              <w:rPr>
                <w:rFonts w:hint="eastAsia" w:ascii="仿宋_GB2312" w:hAnsi="宋体" w:cs="宋体"/>
                <w:color w:val="000000" w:themeColor="text1"/>
              </w:rPr>
              <w:t>支持VxLAN二层网关</w:t>
            </w:r>
          </w:p>
          <w:p>
            <w:pPr>
              <w:spacing w:line="300" w:lineRule="exact"/>
              <w:rPr>
                <w:rFonts w:ascii="仿宋_GB2312" w:hAnsi="宋体" w:cs="宋体"/>
                <w:color w:val="000000" w:themeColor="text1"/>
              </w:rPr>
            </w:pPr>
            <w:r>
              <w:rPr>
                <w:rFonts w:hint="eastAsia" w:ascii="仿宋_GB2312" w:hAnsi="宋体" w:cs="宋体"/>
                <w:color w:val="000000" w:themeColor="text1"/>
              </w:rPr>
              <w:t>支持VxLAN三层网关</w:t>
            </w:r>
          </w:p>
          <w:p>
            <w:pPr>
              <w:spacing w:line="300" w:lineRule="exact"/>
              <w:rPr>
                <w:rFonts w:ascii="仿宋_GB2312" w:hAnsi="宋体" w:cs="宋体"/>
                <w:color w:val="000000" w:themeColor="text1"/>
              </w:rPr>
            </w:pPr>
            <w:r>
              <w:rPr>
                <w:rFonts w:hint="eastAsia" w:ascii="仿宋_GB2312" w:hAnsi="宋体" w:cs="宋体"/>
                <w:color w:val="000000" w:themeColor="text1"/>
              </w:rPr>
              <w:t>支持EVPN</w:t>
            </w:r>
          </w:p>
          <w:p>
            <w:pPr>
              <w:spacing w:line="300" w:lineRule="exact"/>
              <w:rPr>
                <w:rFonts w:ascii="仿宋_GB2312"/>
                <w:bCs/>
                <w:color w:val="000000" w:themeColor="text1"/>
              </w:rPr>
            </w:pPr>
            <w:r>
              <w:rPr>
                <w:rFonts w:hint="eastAsia" w:ascii="仿宋_GB2312"/>
                <w:color w:val="000000" w:themeColor="text1"/>
              </w:rPr>
              <w:t>路由特性：支持IPv4、IPv6静态路由，RIP等三层动态路由协议；支持策略路由器；支持RIP v1/2、RIPng ；支持等价路由、VRRP、OSPFv1/v2、OSPF v3、BGP、ISIS等增强三层路由协议</w:t>
            </w:r>
            <w:r>
              <w:rPr>
                <w:rFonts w:hint="eastAsia" w:ascii="仿宋_GB2312"/>
                <w:color w:val="000000" w:themeColor="text1"/>
              </w:rPr>
              <w:br w:type="textWrapping"/>
            </w:r>
            <w:r>
              <w:rPr>
                <w:rFonts w:hint="eastAsia" w:ascii="仿宋_GB2312"/>
                <w:color w:val="000000" w:themeColor="text1"/>
              </w:rPr>
              <w:t>支持链路聚合、MAC地址表、VLAN、流量监控、FHCP、ARP、MPLS、组播协议、QOS/ACL等</w:t>
            </w:r>
          </w:p>
        </w:tc>
        <w:tc>
          <w:tcPr>
            <w:tcW w:w="636" w:type="dxa"/>
            <w:vAlign w:val="center"/>
          </w:tcPr>
          <w:p>
            <w:pPr>
              <w:spacing w:line="300" w:lineRule="exact"/>
              <w:jc w:val="center"/>
              <w:rPr>
                <w:rFonts w:ascii="仿宋_GB2312"/>
                <w:bCs/>
                <w:color w:val="000000" w:themeColor="text1"/>
              </w:rPr>
            </w:pPr>
            <w:r>
              <w:rPr>
                <w:rFonts w:hint="eastAsia" w:ascii="仿宋_GB2312"/>
                <w:bCs/>
                <w:color w:val="000000" w:themeColor="text1"/>
              </w:rPr>
              <w:t>4</w:t>
            </w:r>
          </w:p>
        </w:tc>
        <w:tc>
          <w:tcPr>
            <w:tcW w:w="467" w:type="dxa"/>
            <w:vAlign w:val="center"/>
          </w:tcPr>
          <w:p>
            <w:pPr>
              <w:spacing w:line="300" w:lineRule="exact"/>
              <w:jc w:val="center"/>
              <w:rPr>
                <w:rFonts w:ascii="仿宋_GB2312"/>
                <w:bCs/>
                <w:color w:val="000000" w:themeColor="text1"/>
              </w:rPr>
            </w:pPr>
          </w:p>
        </w:tc>
        <w:tc>
          <w:tcPr>
            <w:tcW w:w="447" w:type="dxa"/>
            <w:vAlign w:val="center"/>
          </w:tcPr>
          <w:p>
            <w:pPr>
              <w:spacing w:line="300" w:lineRule="exact"/>
              <w:jc w:val="center"/>
              <w:rPr>
                <w:rFonts w:ascii="仿宋_GB2312"/>
                <w:bCs/>
                <w:color w:val="000000" w:themeColor="text1"/>
              </w:rPr>
            </w:pPr>
            <w:r>
              <w:rPr>
                <w:rFonts w:hint="eastAsia" w:ascii="仿宋_GB2312"/>
                <w:bCs/>
                <w:color w:val="000000" w:themeColor="text1"/>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0" w:type="dxa"/>
            <w:vMerge w:val="continue"/>
            <w:vAlign w:val="center"/>
          </w:tcPr>
          <w:p>
            <w:pPr>
              <w:spacing w:line="300" w:lineRule="exact"/>
              <w:jc w:val="center"/>
              <w:rPr>
                <w:rFonts w:ascii="仿宋_GB2312"/>
                <w:bCs/>
                <w:color w:val="000000" w:themeColor="text1"/>
              </w:rPr>
            </w:pPr>
          </w:p>
        </w:tc>
        <w:tc>
          <w:tcPr>
            <w:tcW w:w="1882" w:type="dxa"/>
            <w:vAlign w:val="center"/>
          </w:tcPr>
          <w:p>
            <w:pPr>
              <w:spacing w:line="300" w:lineRule="exact"/>
              <w:jc w:val="center"/>
              <w:rPr>
                <w:rFonts w:ascii="仿宋_GB2312"/>
                <w:bCs/>
                <w:color w:val="000000" w:themeColor="text1"/>
              </w:rPr>
            </w:pPr>
            <w:r>
              <w:rPr>
                <w:rFonts w:hint="eastAsia" w:ascii="仿宋_GB2312"/>
                <w:bCs/>
                <w:color w:val="000000" w:themeColor="text1"/>
              </w:rPr>
              <w:t>解析中心节点交换机2</w:t>
            </w:r>
          </w:p>
        </w:tc>
        <w:tc>
          <w:tcPr>
            <w:tcW w:w="4526" w:type="dxa"/>
            <w:vAlign w:val="center"/>
          </w:tcPr>
          <w:p>
            <w:pPr>
              <w:spacing w:line="300" w:lineRule="exact"/>
              <w:rPr>
                <w:rFonts w:ascii="仿宋_GB2312" w:hAnsi="宋体" w:cs="宋体"/>
                <w:color w:val="000000" w:themeColor="text1"/>
              </w:rPr>
            </w:pPr>
            <w:r>
              <w:rPr>
                <w:rFonts w:hint="eastAsia"/>
                <w:color w:val="000000" w:themeColor="text1"/>
              </w:rPr>
              <w:t>★</w:t>
            </w:r>
            <w:r>
              <w:rPr>
                <w:rFonts w:hint="eastAsia" w:ascii="仿宋_GB2312" w:hAnsi="宋体" w:cs="宋体"/>
                <w:color w:val="000000" w:themeColor="text1"/>
              </w:rPr>
              <w:t>交换容量≥2.56Tbps（取官网最小值）</w:t>
            </w:r>
          </w:p>
          <w:p>
            <w:pPr>
              <w:spacing w:line="300" w:lineRule="exact"/>
              <w:rPr>
                <w:rFonts w:ascii="仿宋_GB2312" w:hAnsi="宋体" w:cs="宋体"/>
                <w:color w:val="000000" w:themeColor="text1"/>
              </w:rPr>
            </w:pPr>
            <w:r>
              <w:rPr>
                <w:rFonts w:hint="eastAsia"/>
                <w:color w:val="000000" w:themeColor="text1"/>
              </w:rPr>
              <w:t>★</w:t>
            </w:r>
            <w:r>
              <w:rPr>
                <w:rFonts w:hint="eastAsia" w:ascii="仿宋_GB2312" w:hAnsi="宋体" w:cs="宋体"/>
                <w:color w:val="000000" w:themeColor="text1"/>
              </w:rPr>
              <w:t>转发性能≥1080Mpps</w:t>
            </w:r>
          </w:p>
          <w:p>
            <w:pPr>
              <w:spacing w:line="300" w:lineRule="exact"/>
              <w:rPr>
                <w:rFonts w:ascii="仿宋_GB2312" w:hAnsi="宋体" w:cs="宋体"/>
                <w:color w:val="000000" w:themeColor="text1"/>
              </w:rPr>
            </w:pPr>
            <w:r>
              <w:rPr>
                <w:rFonts w:hint="eastAsia"/>
                <w:color w:val="000000" w:themeColor="text1"/>
              </w:rPr>
              <w:t>★</w:t>
            </w:r>
            <w:r>
              <w:rPr>
                <w:rFonts w:hint="eastAsia" w:ascii="仿宋_GB2312" w:hAnsi="宋体" w:cs="宋体"/>
                <w:color w:val="000000" w:themeColor="text1"/>
              </w:rPr>
              <w:t>扩展插槽数：扩展插槽≥2</w:t>
            </w:r>
          </w:p>
          <w:p>
            <w:pPr>
              <w:spacing w:line="300" w:lineRule="exact"/>
              <w:rPr>
                <w:rFonts w:ascii="仿宋_GB2312" w:hAnsi="宋体" w:cs="宋体"/>
                <w:color w:val="000000" w:themeColor="text1"/>
              </w:rPr>
            </w:pPr>
            <w:r>
              <w:rPr>
                <w:rFonts w:hint="eastAsia" w:ascii="仿宋_GB2312" w:hAnsi="宋体" w:cs="宋体"/>
                <w:color w:val="000000" w:themeColor="text1"/>
              </w:rPr>
              <w:t>电源模块冗余</w:t>
            </w:r>
          </w:p>
          <w:p>
            <w:pPr>
              <w:spacing w:line="300" w:lineRule="exact"/>
              <w:rPr>
                <w:rFonts w:ascii="仿宋_GB2312" w:hAnsi="宋体" w:cs="宋体"/>
                <w:color w:val="000000" w:themeColor="text1"/>
              </w:rPr>
            </w:pPr>
            <w:r>
              <w:rPr>
                <w:rFonts w:hint="eastAsia" w:ascii="仿宋_GB2312" w:hAnsi="宋体" w:cs="宋体"/>
                <w:color w:val="000000" w:themeColor="text1"/>
              </w:rPr>
              <w:t>实配接口：实配≥48个万兆光口（含光模块）</w:t>
            </w:r>
          </w:p>
          <w:p>
            <w:pPr>
              <w:spacing w:line="300" w:lineRule="exact"/>
              <w:rPr>
                <w:rFonts w:ascii="仿宋_GB2312" w:hAnsi="宋体" w:cs="宋体"/>
                <w:color w:val="000000" w:themeColor="text1"/>
              </w:rPr>
            </w:pPr>
            <w:r>
              <w:rPr>
                <w:rFonts w:hint="eastAsia" w:ascii="仿宋_GB2312" w:hAnsi="宋体" w:cs="宋体"/>
                <w:color w:val="000000" w:themeColor="text1"/>
              </w:rPr>
              <w:t>支持VxLAN二层网关</w:t>
            </w:r>
          </w:p>
          <w:p>
            <w:pPr>
              <w:spacing w:line="300" w:lineRule="exact"/>
              <w:rPr>
                <w:rFonts w:ascii="仿宋_GB2312" w:hAnsi="宋体" w:cs="宋体"/>
                <w:color w:val="000000" w:themeColor="text1"/>
              </w:rPr>
            </w:pPr>
            <w:r>
              <w:rPr>
                <w:rFonts w:hint="eastAsia" w:ascii="仿宋_GB2312" w:hAnsi="宋体" w:cs="宋体"/>
                <w:color w:val="000000" w:themeColor="text1"/>
              </w:rPr>
              <w:t>支持VxLAN三层网关</w:t>
            </w:r>
          </w:p>
          <w:p>
            <w:pPr>
              <w:spacing w:line="300" w:lineRule="exact"/>
              <w:rPr>
                <w:rFonts w:ascii="仿宋_GB2312" w:hAnsi="宋体" w:cs="宋体"/>
                <w:color w:val="000000" w:themeColor="text1"/>
              </w:rPr>
            </w:pPr>
            <w:r>
              <w:rPr>
                <w:rFonts w:hint="eastAsia" w:ascii="仿宋_GB2312" w:hAnsi="宋体" w:cs="宋体"/>
                <w:color w:val="000000" w:themeColor="text1"/>
              </w:rPr>
              <w:t>支持EVPN</w:t>
            </w:r>
          </w:p>
          <w:p>
            <w:pPr>
              <w:spacing w:line="300" w:lineRule="exact"/>
              <w:rPr>
                <w:rFonts w:ascii="仿宋_GB2312"/>
                <w:bCs/>
                <w:color w:val="000000" w:themeColor="text1"/>
              </w:rPr>
            </w:pPr>
            <w:r>
              <w:rPr>
                <w:rFonts w:hint="eastAsia" w:ascii="仿宋_GB2312"/>
                <w:color w:val="000000" w:themeColor="text1"/>
              </w:rPr>
              <w:t>路由特性：支持IPv4、IPv6静态路由，RIP等三层动态路由协议；支持策略路由器；支持RIP v1/2、RIPng ；支持等价路由、VRRP、OSPFv1/v2、OSPF v3、BGP、ISIS等增强三层路由协议</w:t>
            </w:r>
            <w:r>
              <w:rPr>
                <w:rFonts w:hint="eastAsia" w:ascii="仿宋_GB2312"/>
                <w:color w:val="000000" w:themeColor="text1"/>
              </w:rPr>
              <w:br w:type="textWrapping"/>
            </w:r>
            <w:r>
              <w:rPr>
                <w:rFonts w:hint="eastAsia" w:ascii="仿宋_GB2312"/>
                <w:color w:val="000000" w:themeColor="text1"/>
              </w:rPr>
              <w:t>支持链路聚合、MAC地址表、VLAN、流量监控、FHCP、ARP、MPLS、组播协议、QOS/ACL等</w:t>
            </w:r>
          </w:p>
        </w:tc>
        <w:tc>
          <w:tcPr>
            <w:tcW w:w="636" w:type="dxa"/>
            <w:vAlign w:val="center"/>
          </w:tcPr>
          <w:p>
            <w:pPr>
              <w:spacing w:line="300" w:lineRule="exact"/>
              <w:jc w:val="center"/>
              <w:rPr>
                <w:rFonts w:ascii="仿宋_GB2312"/>
                <w:bCs/>
                <w:color w:val="000000" w:themeColor="text1"/>
              </w:rPr>
            </w:pPr>
            <w:r>
              <w:rPr>
                <w:rFonts w:hint="eastAsia" w:ascii="仿宋_GB2312"/>
                <w:bCs/>
                <w:color w:val="000000" w:themeColor="text1"/>
              </w:rPr>
              <w:t>6</w:t>
            </w:r>
          </w:p>
        </w:tc>
        <w:tc>
          <w:tcPr>
            <w:tcW w:w="467" w:type="dxa"/>
            <w:vAlign w:val="center"/>
          </w:tcPr>
          <w:p>
            <w:pPr>
              <w:spacing w:line="300" w:lineRule="exact"/>
              <w:jc w:val="center"/>
              <w:rPr>
                <w:rFonts w:ascii="仿宋_GB2312"/>
                <w:bCs/>
                <w:color w:val="000000" w:themeColor="text1"/>
              </w:rPr>
            </w:pPr>
          </w:p>
        </w:tc>
        <w:tc>
          <w:tcPr>
            <w:tcW w:w="447" w:type="dxa"/>
            <w:vAlign w:val="center"/>
          </w:tcPr>
          <w:p>
            <w:pPr>
              <w:spacing w:line="300" w:lineRule="exact"/>
              <w:jc w:val="center"/>
              <w:rPr>
                <w:rFonts w:ascii="仿宋_GB2312"/>
                <w:bCs/>
                <w:color w:val="000000" w:themeColor="text1"/>
              </w:rPr>
            </w:pPr>
            <w:r>
              <w:rPr>
                <w:rFonts w:hint="eastAsia" w:ascii="仿宋_GB2312"/>
                <w:bCs/>
                <w:color w:val="000000" w:themeColor="text1"/>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0" w:type="dxa"/>
            <w:vMerge w:val="continue"/>
            <w:vAlign w:val="center"/>
          </w:tcPr>
          <w:p>
            <w:pPr>
              <w:spacing w:line="300" w:lineRule="exact"/>
              <w:jc w:val="center"/>
              <w:rPr>
                <w:rFonts w:ascii="仿宋_GB2312"/>
                <w:bCs/>
                <w:color w:val="000000" w:themeColor="text1"/>
              </w:rPr>
            </w:pPr>
          </w:p>
        </w:tc>
        <w:tc>
          <w:tcPr>
            <w:tcW w:w="1882" w:type="dxa"/>
            <w:vMerge w:val="restart"/>
            <w:vAlign w:val="center"/>
          </w:tcPr>
          <w:p>
            <w:pPr>
              <w:spacing w:before="240" w:line="300" w:lineRule="exact"/>
              <w:jc w:val="center"/>
              <w:rPr>
                <w:rFonts w:ascii="仿宋_GB2312"/>
                <w:bCs/>
                <w:color w:val="000000" w:themeColor="text1"/>
              </w:rPr>
            </w:pPr>
            <w:r>
              <w:rPr>
                <w:rFonts w:hint="eastAsia"/>
                <w:color w:val="000000" w:themeColor="text1"/>
              </w:rPr>
              <w:t>▲</w:t>
            </w:r>
            <w:r>
              <w:rPr>
                <w:rFonts w:hint="eastAsia" w:ascii="仿宋_GB2312"/>
                <w:bCs/>
                <w:color w:val="000000" w:themeColor="text1"/>
              </w:rPr>
              <w:t>解析算法软件</w:t>
            </w:r>
          </w:p>
        </w:tc>
        <w:tc>
          <w:tcPr>
            <w:tcW w:w="4526" w:type="dxa"/>
            <w:vAlign w:val="center"/>
          </w:tcPr>
          <w:p>
            <w:pPr>
              <w:spacing w:line="300" w:lineRule="exact"/>
              <w:rPr>
                <w:rFonts w:ascii="仿宋_GB2312"/>
                <w:bCs/>
                <w:color w:val="000000" w:themeColor="text1"/>
              </w:rPr>
            </w:pPr>
            <w:r>
              <w:rPr>
                <w:rFonts w:hint="eastAsia" w:ascii="仿宋_GB2312"/>
                <w:bCs/>
                <w:color w:val="000000" w:themeColor="text1"/>
              </w:rPr>
              <w:t>车辆二次分析算法</w:t>
            </w:r>
            <w:r>
              <w:rPr>
                <w:rFonts w:hint="eastAsia" w:ascii="仿宋_GB2312"/>
                <w:bCs/>
                <w:color w:val="000000" w:themeColor="text1"/>
              </w:rPr>
              <w:br w:type="textWrapping"/>
            </w:r>
            <w:r>
              <w:rPr>
                <w:rFonts w:hint="eastAsia" w:ascii="仿宋_GB2312"/>
                <w:bCs/>
                <w:color w:val="000000" w:themeColor="text1"/>
              </w:rPr>
              <w:t>支持车辆型号识别</w:t>
            </w:r>
            <w:r>
              <w:rPr>
                <w:rFonts w:hint="eastAsia" w:ascii="仿宋_GB2312"/>
                <w:bCs/>
                <w:color w:val="000000" w:themeColor="text1"/>
              </w:rPr>
              <w:br w:type="textWrapping"/>
            </w:r>
            <w:r>
              <w:rPr>
                <w:rFonts w:hint="eastAsia" w:ascii="仿宋_GB2312"/>
                <w:bCs/>
                <w:color w:val="000000" w:themeColor="text1"/>
              </w:rPr>
              <w:t>支持车辆品牌和子品牌分析</w:t>
            </w:r>
            <w:r>
              <w:rPr>
                <w:rFonts w:hint="eastAsia" w:ascii="仿宋_GB2312"/>
                <w:bCs/>
                <w:color w:val="000000" w:themeColor="text1"/>
              </w:rPr>
              <w:br w:type="textWrapping"/>
            </w:r>
            <w:r>
              <w:rPr>
                <w:rFonts w:hint="eastAsia" w:ascii="仿宋_GB2312"/>
                <w:bCs/>
                <w:color w:val="000000" w:themeColor="text1"/>
              </w:rPr>
              <w:t>支撑车辆颜色分析</w:t>
            </w:r>
            <w:r>
              <w:rPr>
                <w:rFonts w:hint="eastAsia" w:ascii="仿宋_GB2312"/>
                <w:bCs/>
                <w:color w:val="000000" w:themeColor="text1"/>
              </w:rPr>
              <w:br w:type="textWrapping"/>
            </w:r>
            <w:r>
              <w:rPr>
                <w:rFonts w:hint="eastAsia" w:ascii="仿宋_GB2312"/>
                <w:bCs/>
                <w:color w:val="000000" w:themeColor="text1"/>
              </w:rPr>
              <w:t>支持车辆挂件、年检标等目标个体识别</w:t>
            </w:r>
            <w:r>
              <w:rPr>
                <w:rFonts w:hint="eastAsia" w:ascii="仿宋_GB2312"/>
                <w:bCs/>
                <w:color w:val="000000" w:themeColor="text1"/>
              </w:rPr>
              <w:br w:type="textWrapping"/>
            </w:r>
            <w:r>
              <w:rPr>
                <w:rFonts w:hint="eastAsia" w:ascii="仿宋_GB2312"/>
                <w:bCs/>
                <w:color w:val="000000" w:themeColor="text1"/>
              </w:rPr>
              <w:t>支持驾驶员特征识别，比如系安全带等</w:t>
            </w:r>
          </w:p>
          <w:p>
            <w:pPr>
              <w:spacing w:line="300" w:lineRule="exact"/>
              <w:rPr>
                <w:rFonts w:ascii="仿宋_GB2312"/>
                <w:bCs/>
                <w:color w:val="000000" w:themeColor="text1"/>
              </w:rPr>
            </w:pPr>
            <w:r>
              <w:rPr>
                <w:rFonts w:hint="eastAsia" w:ascii="仿宋_GB2312"/>
                <w:bCs/>
                <w:color w:val="000000" w:themeColor="text1"/>
              </w:rPr>
              <w:t>处理能力≥100万张过车图片/每日</w:t>
            </w:r>
          </w:p>
        </w:tc>
        <w:tc>
          <w:tcPr>
            <w:tcW w:w="636" w:type="dxa"/>
            <w:vAlign w:val="center"/>
          </w:tcPr>
          <w:p>
            <w:pPr>
              <w:spacing w:line="300" w:lineRule="exact"/>
              <w:jc w:val="center"/>
              <w:rPr>
                <w:rFonts w:ascii="仿宋_GB2312"/>
                <w:bCs/>
                <w:color w:val="000000" w:themeColor="text1"/>
              </w:rPr>
            </w:pPr>
            <w:r>
              <w:rPr>
                <w:rFonts w:hint="eastAsia" w:ascii="仿宋_GB2312"/>
                <w:bCs/>
                <w:color w:val="000000" w:themeColor="text1"/>
              </w:rPr>
              <w:t>35</w:t>
            </w:r>
          </w:p>
        </w:tc>
        <w:tc>
          <w:tcPr>
            <w:tcW w:w="467" w:type="dxa"/>
            <w:vAlign w:val="center"/>
          </w:tcPr>
          <w:p>
            <w:pPr>
              <w:spacing w:line="300" w:lineRule="exact"/>
              <w:jc w:val="center"/>
              <w:rPr>
                <w:rFonts w:ascii="仿宋_GB2312"/>
                <w:bCs/>
                <w:color w:val="000000" w:themeColor="text1"/>
              </w:rPr>
            </w:pPr>
          </w:p>
        </w:tc>
        <w:tc>
          <w:tcPr>
            <w:tcW w:w="447" w:type="dxa"/>
            <w:vAlign w:val="center"/>
          </w:tcPr>
          <w:p>
            <w:pPr>
              <w:spacing w:line="300" w:lineRule="exact"/>
              <w:jc w:val="center"/>
              <w:rPr>
                <w:rFonts w:ascii="仿宋_GB2312"/>
                <w:bCs/>
                <w:color w:val="000000" w:themeColor="text1"/>
              </w:rPr>
            </w:pPr>
            <w:r>
              <w:rPr>
                <w:rFonts w:hint="eastAsia" w:ascii="仿宋_GB2312"/>
                <w:bCs/>
                <w:color w:val="000000" w:themeColor="text1"/>
              </w:rPr>
              <w:t>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0" w:type="dxa"/>
            <w:vMerge w:val="continue"/>
            <w:vAlign w:val="center"/>
          </w:tcPr>
          <w:p>
            <w:pPr>
              <w:spacing w:line="300" w:lineRule="exact"/>
              <w:jc w:val="center"/>
              <w:rPr>
                <w:rFonts w:ascii="仿宋_GB2312"/>
                <w:bCs/>
                <w:color w:val="000000" w:themeColor="text1"/>
              </w:rPr>
            </w:pPr>
          </w:p>
        </w:tc>
        <w:tc>
          <w:tcPr>
            <w:tcW w:w="1882" w:type="dxa"/>
            <w:vMerge w:val="continue"/>
            <w:vAlign w:val="center"/>
          </w:tcPr>
          <w:p>
            <w:pPr>
              <w:spacing w:line="300" w:lineRule="exact"/>
              <w:jc w:val="center"/>
              <w:rPr>
                <w:rFonts w:ascii="仿宋_GB2312"/>
                <w:bCs/>
                <w:color w:val="000000" w:themeColor="text1"/>
              </w:rPr>
            </w:pPr>
          </w:p>
        </w:tc>
        <w:tc>
          <w:tcPr>
            <w:tcW w:w="4526" w:type="dxa"/>
            <w:vAlign w:val="center"/>
          </w:tcPr>
          <w:p>
            <w:pPr>
              <w:spacing w:line="300" w:lineRule="exact"/>
              <w:rPr>
                <w:rFonts w:ascii="仿宋_GB2312"/>
                <w:bCs/>
                <w:color w:val="000000" w:themeColor="text1"/>
              </w:rPr>
            </w:pPr>
            <w:r>
              <w:rPr>
                <w:rFonts w:hint="eastAsia" w:ascii="仿宋_GB2312"/>
                <w:bCs/>
                <w:color w:val="000000" w:themeColor="text1"/>
              </w:rPr>
              <w:t>★</w:t>
            </w:r>
            <w:r>
              <w:rPr>
                <w:rFonts w:hint="eastAsia" w:ascii="仿宋_GB2312"/>
                <w:b/>
                <w:bCs/>
                <w:color w:val="000000" w:themeColor="text1"/>
              </w:rPr>
              <w:t>本项目涉及的人像解析算法,</w:t>
            </w:r>
            <w:r>
              <w:rPr>
                <w:rFonts w:hint="eastAsia"/>
                <w:b/>
                <w:color w:val="000000" w:themeColor="text1"/>
              </w:rPr>
              <w:t>投标</w:t>
            </w:r>
            <w:r>
              <w:rPr>
                <w:b/>
                <w:color w:val="000000" w:themeColor="text1"/>
              </w:rPr>
              <w:t>时</w:t>
            </w:r>
            <w:r>
              <w:rPr>
                <w:rFonts w:hint="eastAsia"/>
                <w:b/>
                <w:color w:val="000000" w:themeColor="text1"/>
              </w:rPr>
              <w:t>必须明确</w:t>
            </w:r>
            <w:r>
              <w:rPr>
                <w:b/>
                <w:color w:val="000000" w:themeColor="text1"/>
              </w:rPr>
              <w:t>算法</w:t>
            </w:r>
            <w:r>
              <w:rPr>
                <w:rFonts w:hint="eastAsia"/>
                <w:b/>
                <w:color w:val="000000" w:themeColor="text1"/>
              </w:rPr>
              <w:t>厂商，且厂商必须唯一。</w:t>
            </w:r>
            <w:r>
              <w:rPr>
                <w:rFonts w:hint="eastAsia" w:ascii="仿宋_GB2312"/>
                <w:bCs/>
                <w:color w:val="000000" w:themeColor="text1"/>
              </w:rPr>
              <w:br w:type="textWrapping"/>
            </w:r>
            <w:r>
              <w:rPr>
                <w:rFonts w:hint="eastAsia" w:ascii="仿宋_GB2312"/>
                <w:bCs/>
                <w:color w:val="000000" w:themeColor="text1"/>
              </w:rPr>
              <w:t>支持人脸抓拍、比对功能，人像抓拍率无干扰情况下97%以上</w:t>
            </w:r>
            <w:r>
              <w:rPr>
                <w:rFonts w:hint="eastAsia" w:ascii="仿宋_GB2312"/>
                <w:bCs/>
                <w:color w:val="000000" w:themeColor="text1"/>
              </w:rPr>
              <w:br w:type="textWrapping"/>
            </w:r>
            <w:r>
              <w:rPr>
                <w:rFonts w:hint="eastAsia" w:ascii="仿宋_GB2312"/>
                <w:bCs/>
                <w:color w:val="000000" w:themeColor="text1"/>
              </w:rPr>
              <w:t>支持黑名单布控</w:t>
            </w:r>
            <w:r>
              <w:rPr>
                <w:rFonts w:hint="eastAsia" w:ascii="仿宋_GB2312"/>
                <w:bCs/>
                <w:color w:val="000000" w:themeColor="text1"/>
              </w:rPr>
              <w:br w:type="textWrapping"/>
            </w:r>
            <w:r>
              <w:rPr>
                <w:rFonts w:hint="eastAsia" w:ascii="仿宋_GB2312"/>
                <w:bCs/>
                <w:color w:val="000000" w:themeColor="text1"/>
              </w:rPr>
              <w:t>支持人脸路人库检索功能</w:t>
            </w:r>
          </w:p>
          <w:p>
            <w:pPr>
              <w:spacing w:line="300" w:lineRule="exact"/>
              <w:rPr>
                <w:rFonts w:ascii="仿宋_GB2312"/>
                <w:bCs/>
                <w:color w:val="000000" w:themeColor="text1"/>
              </w:rPr>
            </w:pPr>
            <w:r>
              <w:rPr>
                <w:rFonts w:hint="eastAsia" w:ascii="仿宋_GB2312"/>
                <w:bCs/>
                <w:color w:val="000000" w:themeColor="text1"/>
              </w:rPr>
              <w:t>人脸图片建模成功率99%以上</w:t>
            </w:r>
          </w:p>
          <w:p>
            <w:pPr>
              <w:spacing w:line="300" w:lineRule="exact"/>
              <w:rPr>
                <w:rFonts w:ascii="仿宋_GB2312"/>
                <w:bCs/>
                <w:color w:val="000000" w:themeColor="text1"/>
              </w:rPr>
            </w:pPr>
            <w:r>
              <w:rPr>
                <w:rFonts w:hint="eastAsia" w:ascii="仿宋_GB2312"/>
                <w:bCs/>
                <w:color w:val="000000" w:themeColor="text1"/>
              </w:rPr>
              <w:t>部署一人一档：</w:t>
            </w:r>
          </w:p>
          <w:p>
            <w:pPr>
              <w:spacing w:line="300" w:lineRule="exact"/>
              <w:rPr>
                <w:rFonts w:ascii="仿宋_GB2312"/>
                <w:bCs/>
                <w:color w:val="000000" w:themeColor="text1"/>
              </w:rPr>
            </w:pPr>
            <w:r>
              <w:rPr>
                <w:rFonts w:hint="eastAsia" w:ascii="仿宋_GB2312"/>
                <w:bCs/>
                <w:color w:val="000000" w:themeColor="text1"/>
              </w:rPr>
              <w:t>须实现人像的实时在线解析，部署一人一档软件平台，系统支持对1万路以上前端设备采集的人脸照片进行聚档，路人轨迹、同行人分析、落脚点分析、昼伏夜出、频繁路人、轨迹展示等功能，可支持查询一年的档案数据，查询结果3秒内返回，相应的数据接口必须按照业主要求进行开放。特征值</w:t>
            </w:r>
            <w:r>
              <w:rPr>
                <w:rFonts w:ascii="仿宋_GB2312"/>
                <w:bCs/>
                <w:color w:val="000000" w:themeColor="text1"/>
              </w:rPr>
              <w:t>数据存储</w:t>
            </w:r>
            <w:r>
              <w:rPr>
                <w:rFonts w:hint="eastAsia" w:ascii="仿宋_GB2312"/>
                <w:bCs/>
                <w:color w:val="000000" w:themeColor="text1"/>
              </w:rPr>
              <w:t>不少于1年</w:t>
            </w:r>
          </w:p>
          <w:p>
            <w:pPr>
              <w:spacing w:line="300" w:lineRule="exact"/>
              <w:rPr>
                <w:rFonts w:ascii="仿宋_GB2312"/>
                <w:bCs/>
                <w:color w:val="000000" w:themeColor="text1"/>
              </w:rPr>
            </w:pPr>
            <w:r>
              <w:rPr>
                <w:rFonts w:hint="eastAsia" w:ascii="仿宋_GB2312"/>
                <w:bCs/>
                <w:color w:val="000000" w:themeColor="text1"/>
              </w:rPr>
              <w:t>维护期内算法支持GPU卡</w:t>
            </w:r>
            <w:r>
              <w:rPr>
                <w:rFonts w:ascii="仿宋_GB2312"/>
                <w:bCs/>
                <w:color w:val="000000" w:themeColor="text1"/>
              </w:rPr>
              <w:t>硬件升级</w:t>
            </w:r>
          </w:p>
        </w:tc>
        <w:tc>
          <w:tcPr>
            <w:tcW w:w="636" w:type="dxa"/>
            <w:vAlign w:val="center"/>
          </w:tcPr>
          <w:p>
            <w:pPr>
              <w:spacing w:line="300" w:lineRule="exact"/>
              <w:rPr>
                <w:rFonts w:ascii="仿宋_GB2312"/>
                <w:bCs/>
                <w:color w:val="000000" w:themeColor="text1"/>
              </w:rPr>
            </w:pPr>
            <w:r>
              <w:rPr>
                <w:rFonts w:hint="eastAsia" w:ascii="仿宋_GB2312"/>
                <w:bCs/>
                <w:color w:val="000000" w:themeColor="text1"/>
              </w:rPr>
              <w:t>5454</w:t>
            </w:r>
          </w:p>
        </w:tc>
        <w:tc>
          <w:tcPr>
            <w:tcW w:w="467" w:type="dxa"/>
            <w:vAlign w:val="center"/>
          </w:tcPr>
          <w:p>
            <w:pPr>
              <w:spacing w:line="300" w:lineRule="exact"/>
              <w:jc w:val="center"/>
              <w:rPr>
                <w:rFonts w:ascii="仿宋_GB2312"/>
                <w:bCs/>
                <w:color w:val="000000" w:themeColor="text1"/>
              </w:rPr>
            </w:pPr>
          </w:p>
        </w:tc>
        <w:tc>
          <w:tcPr>
            <w:tcW w:w="447" w:type="dxa"/>
            <w:vAlign w:val="center"/>
          </w:tcPr>
          <w:p>
            <w:pPr>
              <w:spacing w:line="300" w:lineRule="exact"/>
              <w:jc w:val="center"/>
              <w:rPr>
                <w:rFonts w:ascii="仿宋_GB2312"/>
                <w:bCs/>
                <w:color w:val="000000" w:themeColor="text1"/>
              </w:rPr>
            </w:pPr>
            <w:r>
              <w:rPr>
                <w:rFonts w:hint="eastAsia" w:ascii="仿宋_GB2312"/>
                <w:bCs/>
                <w:color w:val="000000" w:themeColor="text1"/>
              </w:rPr>
              <w:t>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0" w:type="dxa"/>
            <w:vMerge w:val="continue"/>
            <w:vAlign w:val="center"/>
          </w:tcPr>
          <w:p>
            <w:pPr>
              <w:spacing w:line="300" w:lineRule="exact"/>
              <w:jc w:val="center"/>
              <w:rPr>
                <w:rFonts w:ascii="仿宋_GB2312"/>
                <w:bCs/>
                <w:color w:val="000000" w:themeColor="text1"/>
              </w:rPr>
            </w:pPr>
          </w:p>
        </w:tc>
        <w:tc>
          <w:tcPr>
            <w:tcW w:w="1882" w:type="dxa"/>
            <w:vMerge w:val="continue"/>
            <w:vAlign w:val="center"/>
          </w:tcPr>
          <w:p>
            <w:pPr>
              <w:spacing w:line="300" w:lineRule="exact"/>
              <w:jc w:val="center"/>
              <w:rPr>
                <w:rFonts w:ascii="仿宋_GB2312"/>
                <w:bCs/>
                <w:color w:val="000000" w:themeColor="text1"/>
              </w:rPr>
            </w:pPr>
          </w:p>
        </w:tc>
        <w:tc>
          <w:tcPr>
            <w:tcW w:w="4526" w:type="dxa"/>
            <w:vAlign w:val="center"/>
          </w:tcPr>
          <w:p>
            <w:pPr>
              <w:spacing w:line="300" w:lineRule="exact"/>
              <w:rPr>
                <w:rFonts w:ascii="仿宋_GB2312"/>
                <w:bCs/>
                <w:color w:val="000000" w:themeColor="text1"/>
              </w:rPr>
            </w:pPr>
            <w:r>
              <w:rPr>
                <w:rFonts w:hint="eastAsia" w:ascii="仿宋_GB2312"/>
                <w:bCs/>
                <w:color w:val="000000" w:themeColor="text1"/>
              </w:rPr>
              <w:t>视频萃取算法</w:t>
            </w:r>
            <w:r>
              <w:rPr>
                <w:rFonts w:hint="eastAsia" w:ascii="仿宋_GB2312"/>
                <w:bCs/>
                <w:color w:val="000000" w:themeColor="text1"/>
              </w:rPr>
              <w:br w:type="textWrapping"/>
            </w:r>
            <w:r>
              <w:rPr>
                <w:rFonts w:hint="eastAsia" w:ascii="仿宋_GB2312"/>
                <w:bCs/>
                <w:color w:val="000000" w:themeColor="text1"/>
              </w:rPr>
              <w:t>支持人、车、物活动目标分类提取；</w:t>
            </w:r>
            <w:r>
              <w:rPr>
                <w:rFonts w:hint="eastAsia" w:ascii="仿宋_GB2312"/>
                <w:bCs/>
                <w:color w:val="000000" w:themeColor="text1"/>
              </w:rPr>
              <w:br w:type="textWrapping"/>
            </w:r>
            <w:r>
              <w:rPr>
                <w:rFonts w:hint="eastAsia" w:ascii="仿宋_GB2312"/>
                <w:bCs/>
                <w:color w:val="000000" w:themeColor="text1"/>
              </w:rPr>
              <w:t>支持车相关特征提取：车辆品牌、车辆型号、车辆年款识别、车身颜色、车牌颜色、车牌号码、车牌号码类型；</w:t>
            </w:r>
            <w:r>
              <w:rPr>
                <w:rFonts w:hint="eastAsia" w:ascii="仿宋_GB2312"/>
                <w:bCs/>
                <w:color w:val="000000" w:themeColor="text1"/>
              </w:rPr>
              <w:br w:type="textWrapping"/>
            </w:r>
            <w:r>
              <w:rPr>
                <w:rFonts w:hint="eastAsia" w:ascii="仿宋_GB2312"/>
                <w:bCs/>
                <w:color w:val="000000" w:themeColor="text1"/>
              </w:rPr>
              <w:t>支持行人特征信息提取，性别、年龄段等</w:t>
            </w:r>
            <w:r>
              <w:rPr>
                <w:rFonts w:hint="eastAsia" w:ascii="仿宋_GB2312"/>
                <w:bCs/>
                <w:color w:val="000000" w:themeColor="text1"/>
              </w:rPr>
              <w:br w:type="textWrapping"/>
            </w:r>
            <w:r>
              <w:rPr>
                <w:rFonts w:hint="eastAsia" w:ascii="仿宋_GB2312"/>
                <w:bCs/>
                <w:color w:val="000000" w:themeColor="text1"/>
              </w:rPr>
              <w:t>支持目标颜色、速度、方向、大小检测；</w:t>
            </w:r>
          </w:p>
        </w:tc>
        <w:tc>
          <w:tcPr>
            <w:tcW w:w="636" w:type="dxa"/>
            <w:vAlign w:val="center"/>
          </w:tcPr>
          <w:p>
            <w:pPr>
              <w:spacing w:line="300" w:lineRule="exact"/>
              <w:rPr>
                <w:rFonts w:ascii="仿宋_GB2312"/>
                <w:bCs/>
                <w:color w:val="000000" w:themeColor="text1"/>
              </w:rPr>
            </w:pPr>
            <w:r>
              <w:rPr>
                <w:rFonts w:hint="eastAsia" w:ascii="仿宋_GB2312"/>
                <w:bCs/>
                <w:color w:val="000000" w:themeColor="text1"/>
              </w:rPr>
              <w:t>750</w:t>
            </w:r>
          </w:p>
        </w:tc>
        <w:tc>
          <w:tcPr>
            <w:tcW w:w="467" w:type="dxa"/>
            <w:vAlign w:val="center"/>
          </w:tcPr>
          <w:p>
            <w:pPr>
              <w:spacing w:line="300" w:lineRule="exact"/>
              <w:jc w:val="center"/>
              <w:rPr>
                <w:rFonts w:ascii="仿宋_GB2312"/>
                <w:bCs/>
                <w:color w:val="000000" w:themeColor="text1"/>
              </w:rPr>
            </w:pPr>
          </w:p>
        </w:tc>
        <w:tc>
          <w:tcPr>
            <w:tcW w:w="447" w:type="dxa"/>
            <w:vAlign w:val="center"/>
          </w:tcPr>
          <w:p>
            <w:pPr>
              <w:spacing w:line="300" w:lineRule="exact"/>
              <w:jc w:val="center"/>
              <w:rPr>
                <w:rFonts w:ascii="仿宋_GB2312"/>
                <w:bCs/>
                <w:color w:val="000000" w:themeColor="text1"/>
              </w:rPr>
            </w:pPr>
            <w:r>
              <w:rPr>
                <w:rFonts w:hint="eastAsia" w:ascii="仿宋_GB2312"/>
                <w:bCs/>
                <w:color w:val="000000" w:themeColor="text1"/>
              </w:rPr>
              <w:t>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0" w:type="dxa"/>
            <w:vMerge w:val="continue"/>
            <w:vAlign w:val="center"/>
          </w:tcPr>
          <w:p>
            <w:pPr>
              <w:spacing w:line="300" w:lineRule="exact"/>
              <w:jc w:val="center"/>
              <w:rPr>
                <w:rFonts w:ascii="仿宋_GB2312"/>
                <w:bCs/>
                <w:color w:val="000000" w:themeColor="text1"/>
              </w:rPr>
            </w:pPr>
          </w:p>
        </w:tc>
        <w:tc>
          <w:tcPr>
            <w:tcW w:w="1882" w:type="dxa"/>
            <w:vAlign w:val="center"/>
          </w:tcPr>
          <w:p>
            <w:pPr>
              <w:spacing w:line="300" w:lineRule="exact"/>
              <w:jc w:val="center"/>
              <w:rPr>
                <w:rFonts w:ascii="仿宋_GB2312"/>
                <w:bCs/>
                <w:color w:val="000000" w:themeColor="text1"/>
              </w:rPr>
            </w:pPr>
            <w:r>
              <w:rPr>
                <w:rFonts w:hint="eastAsia"/>
                <w:color w:val="000000" w:themeColor="text1"/>
              </w:rPr>
              <w:t>解析中心资源管理平台</w:t>
            </w:r>
          </w:p>
        </w:tc>
        <w:tc>
          <w:tcPr>
            <w:tcW w:w="4526" w:type="dxa"/>
            <w:vAlign w:val="center"/>
          </w:tcPr>
          <w:p>
            <w:pPr>
              <w:rPr>
                <w:color w:val="000000" w:themeColor="text1"/>
              </w:rPr>
            </w:pPr>
            <w:r>
              <w:rPr>
                <w:rFonts w:hint="eastAsia"/>
                <w:color w:val="000000" w:themeColor="text1"/>
              </w:rPr>
              <w:t>平台要求包括但不限于以下功能：</w:t>
            </w:r>
          </w:p>
          <w:p>
            <w:pPr>
              <w:rPr>
                <w:color w:val="000000" w:themeColor="text1"/>
              </w:rPr>
            </w:pPr>
            <w:r>
              <w:rPr>
                <w:rFonts w:hint="eastAsia"/>
                <w:color w:val="000000" w:themeColor="text1"/>
              </w:rPr>
              <w:t>（1）提供统一管理门户，实现计算资源、网络设备等的统一管理、业务配置下发、资源调度、负载均衡等功能；</w:t>
            </w:r>
          </w:p>
          <w:p>
            <w:pPr>
              <w:rPr>
                <w:color w:val="000000" w:themeColor="text1"/>
              </w:rPr>
            </w:pPr>
            <w:r>
              <w:rPr>
                <w:rFonts w:hint="eastAsia"/>
                <w:color w:val="000000" w:themeColor="text1"/>
              </w:rPr>
              <w:t>（2）提供统一运维门户，支持资源申请、资源状态检查、资源使用统计、故障排查等功能，并对收集到的运维信息（告警、拓扑、性能等）进行综合分析和呈现；</w:t>
            </w:r>
          </w:p>
        </w:tc>
        <w:tc>
          <w:tcPr>
            <w:tcW w:w="636" w:type="dxa"/>
            <w:vAlign w:val="center"/>
          </w:tcPr>
          <w:p>
            <w:pPr>
              <w:spacing w:line="300" w:lineRule="exact"/>
              <w:rPr>
                <w:rFonts w:ascii="仿宋_GB2312"/>
                <w:bCs/>
                <w:color w:val="000000" w:themeColor="text1"/>
              </w:rPr>
            </w:pPr>
            <w:r>
              <w:rPr>
                <w:rFonts w:hint="eastAsia" w:ascii="仿宋_GB2312"/>
                <w:bCs/>
                <w:color w:val="000000" w:themeColor="text1"/>
              </w:rPr>
              <w:t>1</w:t>
            </w:r>
          </w:p>
        </w:tc>
        <w:tc>
          <w:tcPr>
            <w:tcW w:w="467" w:type="dxa"/>
            <w:vAlign w:val="center"/>
          </w:tcPr>
          <w:p>
            <w:pPr>
              <w:spacing w:line="300" w:lineRule="exact"/>
              <w:jc w:val="center"/>
              <w:rPr>
                <w:rFonts w:ascii="仿宋_GB2312"/>
                <w:bCs/>
                <w:color w:val="000000" w:themeColor="text1"/>
              </w:rPr>
            </w:pPr>
          </w:p>
        </w:tc>
        <w:tc>
          <w:tcPr>
            <w:tcW w:w="447" w:type="dxa"/>
            <w:vAlign w:val="center"/>
          </w:tcPr>
          <w:p>
            <w:pPr>
              <w:spacing w:line="300" w:lineRule="exact"/>
              <w:jc w:val="center"/>
              <w:rPr>
                <w:rFonts w:ascii="仿宋_GB2312"/>
                <w:bCs/>
                <w:color w:val="000000" w:themeColor="text1"/>
              </w:rPr>
            </w:pPr>
            <w:r>
              <w:rPr>
                <w:rFonts w:hint="eastAsia" w:ascii="仿宋_GB2312"/>
                <w:bCs/>
                <w:color w:val="000000" w:themeColor="text1"/>
              </w:rPr>
              <w:t>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0" w:type="dxa"/>
            <w:vMerge w:val="continue"/>
            <w:vAlign w:val="center"/>
          </w:tcPr>
          <w:p>
            <w:pPr>
              <w:spacing w:line="300" w:lineRule="exact"/>
              <w:jc w:val="center"/>
              <w:rPr>
                <w:rFonts w:ascii="仿宋_GB2312"/>
                <w:bCs/>
                <w:color w:val="000000" w:themeColor="text1"/>
              </w:rPr>
            </w:pPr>
          </w:p>
        </w:tc>
        <w:tc>
          <w:tcPr>
            <w:tcW w:w="1882" w:type="dxa"/>
            <w:noWrap/>
            <w:vAlign w:val="center"/>
          </w:tcPr>
          <w:p>
            <w:pPr>
              <w:spacing w:line="300" w:lineRule="exact"/>
              <w:jc w:val="center"/>
              <w:rPr>
                <w:rFonts w:ascii="仿宋_GB2312"/>
                <w:bCs/>
                <w:color w:val="000000" w:themeColor="text1"/>
              </w:rPr>
            </w:pPr>
            <w:r>
              <w:rPr>
                <w:rFonts w:hint="eastAsia" w:ascii="仿宋_GB2312"/>
                <w:bCs/>
                <w:color w:val="000000" w:themeColor="text1"/>
              </w:rPr>
              <w:t>机柜租赁费</w:t>
            </w:r>
          </w:p>
        </w:tc>
        <w:tc>
          <w:tcPr>
            <w:tcW w:w="4526" w:type="dxa"/>
            <w:vAlign w:val="center"/>
          </w:tcPr>
          <w:p>
            <w:pPr>
              <w:spacing w:line="300" w:lineRule="exact"/>
              <w:rPr>
                <w:rFonts w:ascii="仿宋_GB2312"/>
                <w:bCs/>
                <w:color w:val="000000" w:themeColor="text1"/>
              </w:rPr>
            </w:pPr>
            <w:r>
              <w:rPr>
                <w:rFonts w:hint="eastAsia" w:ascii="仿宋_GB2312"/>
                <w:bCs/>
                <w:color w:val="000000" w:themeColor="text1"/>
              </w:rPr>
              <w:t>机架数17（服务器机柜15，网络安全柜2）,单机架功耗不低于4000W，主备交流PDU包含电费、链路的与空调费等</w:t>
            </w:r>
          </w:p>
        </w:tc>
        <w:tc>
          <w:tcPr>
            <w:tcW w:w="636" w:type="dxa"/>
            <w:vAlign w:val="center"/>
          </w:tcPr>
          <w:p>
            <w:pPr>
              <w:spacing w:line="300" w:lineRule="exact"/>
              <w:rPr>
                <w:rFonts w:ascii="仿宋_GB2312"/>
                <w:bCs/>
                <w:color w:val="000000" w:themeColor="text1"/>
              </w:rPr>
            </w:pPr>
            <w:r>
              <w:rPr>
                <w:rFonts w:hint="eastAsia" w:ascii="仿宋_GB2312"/>
                <w:bCs/>
                <w:color w:val="000000" w:themeColor="text1"/>
              </w:rPr>
              <w:t>17</w:t>
            </w:r>
          </w:p>
        </w:tc>
        <w:tc>
          <w:tcPr>
            <w:tcW w:w="467" w:type="dxa"/>
            <w:vAlign w:val="center"/>
          </w:tcPr>
          <w:p>
            <w:pPr>
              <w:spacing w:line="300" w:lineRule="exact"/>
              <w:jc w:val="center"/>
              <w:rPr>
                <w:rFonts w:ascii="仿宋_GB2312"/>
                <w:bCs/>
                <w:color w:val="000000" w:themeColor="text1"/>
              </w:rPr>
            </w:pPr>
          </w:p>
        </w:tc>
        <w:tc>
          <w:tcPr>
            <w:tcW w:w="447" w:type="dxa"/>
            <w:noWrap/>
            <w:vAlign w:val="center"/>
          </w:tcPr>
          <w:p>
            <w:pPr>
              <w:spacing w:line="300" w:lineRule="exact"/>
              <w:jc w:val="center"/>
              <w:rPr>
                <w:rFonts w:ascii="仿宋_GB2312"/>
                <w:bCs/>
                <w:color w:val="000000" w:themeColor="text1"/>
              </w:rPr>
            </w:pPr>
            <w:r>
              <w:rPr>
                <w:rFonts w:hint="eastAsia" w:ascii="仿宋_GB2312"/>
                <w:bCs/>
                <w:color w:val="000000" w:themeColor="text1"/>
              </w:rPr>
              <w:t>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0" w:type="dxa"/>
            <w:vMerge w:val="restart"/>
            <w:vAlign w:val="center"/>
          </w:tcPr>
          <w:p>
            <w:pPr>
              <w:spacing w:line="300" w:lineRule="exact"/>
              <w:jc w:val="center"/>
              <w:rPr>
                <w:rFonts w:ascii="仿宋_GB2312"/>
                <w:bCs/>
                <w:color w:val="000000" w:themeColor="text1"/>
              </w:rPr>
            </w:pPr>
            <w:r>
              <w:rPr>
                <w:rFonts w:hint="eastAsia" w:ascii="仿宋_GB2312"/>
                <w:bCs/>
                <w:color w:val="000000" w:themeColor="text1"/>
              </w:rPr>
              <w:t>人像大数据应用</w:t>
            </w:r>
          </w:p>
        </w:tc>
        <w:tc>
          <w:tcPr>
            <w:tcW w:w="1882" w:type="dxa"/>
            <w:vAlign w:val="center"/>
          </w:tcPr>
          <w:p>
            <w:pPr>
              <w:spacing w:line="300" w:lineRule="exact"/>
              <w:jc w:val="center"/>
              <w:rPr>
                <w:rFonts w:ascii="仿宋_GB2312"/>
                <w:bCs/>
                <w:color w:val="000000" w:themeColor="text1"/>
              </w:rPr>
            </w:pPr>
            <w:r>
              <w:rPr>
                <w:rFonts w:hint="eastAsia" w:ascii="仿宋_GB2312"/>
                <w:bCs/>
                <w:color w:val="000000" w:themeColor="text1"/>
              </w:rPr>
              <w:t>人像大数据应用服务器</w:t>
            </w:r>
          </w:p>
        </w:tc>
        <w:tc>
          <w:tcPr>
            <w:tcW w:w="4526" w:type="dxa"/>
            <w:vAlign w:val="center"/>
          </w:tcPr>
          <w:p>
            <w:pPr>
              <w:spacing w:line="300" w:lineRule="exact"/>
              <w:rPr>
                <w:rFonts w:ascii="仿宋_GB2312"/>
                <w:bCs/>
                <w:color w:val="000000" w:themeColor="text1"/>
              </w:rPr>
            </w:pPr>
            <w:r>
              <w:rPr>
                <w:rFonts w:hint="eastAsia"/>
                <w:color w:val="000000" w:themeColor="text1"/>
              </w:rPr>
              <w:t>★</w:t>
            </w:r>
            <w:r>
              <w:rPr>
                <w:rFonts w:hint="eastAsia" w:ascii="仿宋_GB2312"/>
                <w:bCs/>
                <w:color w:val="000000" w:themeColor="text1"/>
              </w:rPr>
              <w:t>Cpu：Intel Xeon(≥8核，≥2.1GHz)×2</w:t>
            </w:r>
          </w:p>
          <w:p>
            <w:pPr>
              <w:spacing w:line="300" w:lineRule="exact"/>
              <w:rPr>
                <w:rFonts w:ascii="仿宋_GB2312"/>
                <w:bCs/>
                <w:color w:val="000000" w:themeColor="text1"/>
              </w:rPr>
            </w:pPr>
            <w:r>
              <w:rPr>
                <w:rFonts w:hint="eastAsia"/>
                <w:color w:val="000000" w:themeColor="text1"/>
              </w:rPr>
              <w:t>★</w:t>
            </w:r>
            <w:r>
              <w:rPr>
                <w:rFonts w:hint="eastAsia" w:ascii="仿宋_GB2312"/>
                <w:bCs/>
                <w:color w:val="000000" w:themeColor="text1"/>
              </w:rPr>
              <w:t>内存：≥32GB DDR4×2</w:t>
            </w:r>
          </w:p>
          <w:p>
            <w:pPr>
              <w:spacing w:line="300" w:lineRule="exact"/>
              <w:rPr>
                <w:rFonts w:ascii="仿宋_GB2312"/>
                <w:bCs/>
                <w:color w:val="000000" w:themeColor="text1"/>
              </w:rPr>
            </w:pPr>
            <w:r>
              <w:rPr>
                <w:rFonts w:hint="eastAsia"/>
                <w:color w:val="000000" w:themeColor="text1"/>
              </w:rPr>
              <w:t>★</w:t>
            </w:r>
            <w:r>
              <w:rPr>
                <w:rFonts w:hint="eastAsia" w:ascii="仿宋_GB2312"/>
                <w:bCs/>
                <w:color w:val="000000" w:themeColor="text1"/>
              </w:rPr>
              <w:t>硬盘：≥480G SSD+≥4TB SATA（磁盘转速≥7200rpm）</w:t>
            </w:r>
          </w:p>
          <w:p>
            <w:pPr>
              <w:spacing w:line="300" w:lineRule="exact"/>
              <w:rPr>
                <w:rFonts w:ascii="仿宋_GB2312"/>
                <w:bCs/>
                <w:color w:val="000000" w:themeColor="text1"/>
              </w:rPr>
            </w:pPr>
            <w:r>
              <w:rPr>
                <w:rFonts w:hint="eastAsia" w:ascii="仿宋_GB2312"/>
                <w:bCs/>
                <w:color w:val="000000" w:themeColor="text1"/>
              </w:rPr>
              <w:t>网口：1GbE×8（光口）</w:t>
            </w:r>
          </w:p>
          <w:p>
            <w:pPr>
              <w:spacing w:line="300" w:lineRule="exact"/>
              <w:rPr>
                <w:rFonts w:ascii="宋体" w:hAnsi="宋体"/>
                <w:color w:val="000000" w:themeColor="text1"/>
                <w:szCs w:val="21"/>
              </w:rPr>
            </w:pPr>
            <w:r>
              <w:rPr>
                <w:color w:val="000000" w:themeColor="text1"/>
              </w:rPr>
              <w:t>2</w:t>
            </w:r>
            <w:r>
              <w:rPr>
                <w:rFonts w:hint="eastAsia" w:ascii="宋体" w:hAnsi="宋体"/>
                <w:color w:val="000000" w:themeColor="text1"/>
                <w:szCs w:val="21"/>
              </w:rPr>
              <w:t>个热插拔冗余电源，冗余风扇</w:t>
            </w:r>
          </w:p>
          <w:p>
            <w:pPr>
              <w:spacing w:line="300" w:lineRule="exact"/>
              <w:rPr>
                <w:rFonts w:ascii="宋体" w:hAnsi="宋体"/>
                <w:color w:val="000000" w:themeColor="text1"/>
                <w:szCs w:val="21"/>
              </w:rPr>
            </w:pPr>
            <w:r>
              <w:rPr>
                <w:rFonts w:hint="eastAsia" w:ascii="宋体" w:hAnsi="宋体"/>
                <w:color w:val="000000" w:themeColor="text1"/>
                <w:szCs w:val="21"/>
              </w:rPr>
              <w:t>工作温度</w:t>
            </w:r>
            <w:r>
              <w:rPr>
                <w:rFonts w:ascii="宋体" w:hAnsi="宋体"/>
                <w:color w:val="000000" w:themeColor="text1"/>
                <w:szCs w:val="21"/>
              </w:rPr>
              <w:t>:</w:t>
            </w:r>
            <w:r>
              <w:rPr>
                <w:rFonts w:hint="eastAsia" w:ascii="宋体" w:hAnsi="宋体"/>
                <w:color w:val="000000" w:themeColor="text1"/>
                <w:szCs w:val="21"/>
              </w:rPr>
              <w:t>支持最高</w:t>
            </w:r>
            <w:r>
              <w:rPr>
                <w:rFonts w:ascii="宋体" w:hAnsi="宋体"/>
                <w:color w:val="000000" w:themeColor="text1"/>
                <w:szCs w:val="21"/>
              </w:rPr>
              <w:t>5-40</w:t>
            </w:r>
            <w:r>
              <w:rPr>
                <w:rFonts w:hint="eastAsia" w:ascii="宋体" w:hAnsi="宋体"/>
                <w:color w:val="000000" w:themeColor="text1"/>
                <w:szCs w:val="21"/>
              </w:rPr>
              <w:t>°</w:t>
            </w:r>
            <w:r>
              <w:rPr>
                <w:rFonts w:ascii="宋体" w:hAnsi="宋体"/>
                <w:color w:val="000000" w:themeColor="text1"/>
                <w:szCs w:val="21"/>
              </w:rPr>
              <w:t>C</w:t>
            </w:r>
            <w:r>
              <w:rPr>
                <w:rFonts w:hint="eastAsia" w:ascii="宋体" w:hAnsi="宋体"/>
                <w:color w:val="000000" w:themeColor="text1"/>
                <w:szCs w:val="21"/>
              </w:rPr>
              <w:t>标准工作温度</w:t>
            </w:r>
          </w:p>
          <w:p>
            <w:pPr>
              <w:spacing w:line="300" w:lineRule="exact"/>
              <w:rPr>
                <w:rFonts w:ascii="宋体" w:hAnsi="宋体"/>
                <w:color w:val="000000" w:themeColor="text1"/>
                <w:szCs w:val="21"/>
              </w:rPr>
            </w:pPr>
            <w:r>
              <w:rPr>
                <w:rFonts w:hint="eastAsia" w:ascii="宋体" w:hAnsi="宋体"/>
                <w:color w:val="000000" w:themeColor="text1"/>
                <w:szCs w:val="21"/>
              </w:rPr>
              <w:t>网络带宽</w:t>
            </w:r>
            <w:r>
              <w:rPr>
                <w:rFonts w:ascii="宋体" w:hAnsi="宋体"/>
                <w:color w:val="000000" w:themeColor="text1"/>
                <w:szCs w:val="21"/>
              </w:rPr>
              <w:t>:</w:t>
            </w:r>
            <w:r>
              <w:rPr>
                <w:rFonts w:hint="eastAsia" w:ascii="宋体" w:hAnsi="宋体"/>
                <w:color w:val="000000" w:themeColor="text1"/>
                <w:szCs w:val="21"/>
              </w:rPr>
              <w:t>支持多种网络带宽；</w:t>
            </w:r>
          </w:p>
          <w:p>
            <w:pPr>
              <w:spacing w:line="300" w:lineRule="exact"/>
              <w:rPr>
                <w:rFonts w:ascii="宋体" w:hAnsi="宋体"/>
                <w:color w:val="000000" w:themeColor="text1"/>
                <w:szCs w:val="21"/>
              </w:rPr>
            </w:pPr>
            <w:r>
              <w:rPr>
                <w:rFonts w:hint="eastAsia" w:ascii="宋体" w:hAnsi="宋体"/>
                <w:color w:val="000000" w:themeColor="text1"/>
                <w:szCs w:val="21"/>
              </w:rPr>
              <w:t>配置≥</w:t>
            </w:r>
            <w:r>
              <w:rPr>
                <w:rFonts w:ascii="宋体" w:hAnsi="宋体"/>
                <w:color w:val="000000" w:themeColor="text1"/>
                <w:szCs w:val="21"/>
              </w:rPr>
              <w:t>1Gb</w:t>
            </w:r>
            <w:r>
              <w:rPr>
                <w:rFonts w:hint="eastAsia" w:ascii="宋体" w:hAnsi="宋体"/>
                <w:color w:val="000000" w:themeColor="text1"/>
                <w:szCs w:val="21"/>
              </w:rPr>
              <w:t>独立的远程管理控制端口；</w:t>
            </w:r>
          </w:p>
          <w:p>
            <w:pPr>
              <w:spacing w:line="300" w:lineRule="exact"/>
              <w:rPr>
                <w:rFonts w:ascii="仿宋_GB2312"/>
                <w:bCs/>
                <w:color w:val="000000" w:themeColor="text1"/>
              </w:rPr>
            </w:pPr>
            <w:r>
              <w:rPr>
                <w:rFonts w:hint="eastAsia" w:ascii="宋体" w:hAnsi="宋体"/>
                <w:color w:val="000000" w:themeColor="text1"/>
                <w:szCs w:val="21"/>
              </w:rPr>
              <w:t>阵列控制器</w:t>
            </w:r>
            <w:r>
              <w:rPr>
                <w:rFonts w:ascii="宋体" w:hAnsi="宋体"/>
                <w:color w:val="000000" w:themeColor="text1"/>
                <w:szCs w:val="21"/>
              </w:rPr>
              <w:t>:</w:t>
            </w:r>
            <w:r>
              <w:rPr>
                <w:rFonts w:hint="eastAsia" w:ascii="宋体" w:hAnsi="宋体"/>
                <w:color w:val="000000" w:themeColor="text1"/>
                <w:szCs w:val="21"/>
              </w:rPr>
              <w:t>≥</w:t>
            </w:r>
            <w:r>
              <w:rPr>
                <w:rFonts w:ascii="宋体" w:hAnsi="宋体"/>
                <w:color w:val="000000" w:themeColor="text1"/>
                <w:szCs w:val="21"/>
              </w:rPr>
              <w:t>1</w:t>
            </w:r>
            <w:r>
              <w:rPr>
                <w:rFonts w:hint="eastAsia" w:ascii="宋体" w:hAnsi="宋体"/>
                <w:color w:val="000000" w:themeColor="text1"/>
                <w:szCs w:val="21"/>
              </w:rPr>
              <w:t>个标配</w:t>
            </w:r>
            <w:r>
              <w:rPr>
                <w:rFonts w:ascii="宋体" w:hAnsi="宋体"/>
                <w:color w:val="000000" w:themeColor="text1"/>
                <w:szCs w:val="21"/>
              </w:rPr>
              <w:t>RAID</w:t>
            </w:r>
            <w:r>
              <w:rPr>
                <w:rFonts w:hint="eastAsia" w:ascii="宋体" w:hAnsi="宋体"/>
                <w:color w:val="000000" w:themeColor="text1"/>
                <w:szCs w:val="21"/>
              </w:rPr>
              <w:t>阵列卡。</w:t>
            </w:r>
          </w:p>
        </w:tc>
        <w:tc>
          <w:tcPr>
            <w:tcW w:w="636" w:type="dxa"/>
            <w:noWrap/>
            <w:vAlign w:val="center"/>
          </w:tcPr>
          <w:p>
            <w:pPr>
              <w:spacing w:line="300" w:lineRule="exact"/>
              <w:rPr>
                <w:rFonts w:ascii="仿宋_GB2312"/>
                <w:bCs/>
                <w:color w:val="000000" w:themeColor="text1"/>
              </w:rPr>
            </w:pPr>
            <w:r>
              <w:rPr>
                <w:rFonts w:hint="eastAsia" w:ascii="仿宋_GB2312"/>
                <w:bCs/>
                <w:color w:val="000000" w:themeColor="text1"/>
              </w:rPr>
              <w:t>1</w:t>
            </w:r>
          </w:p>
        </w:tc>
        <w:tc>
          <w:tcPr>
            <w:tcW w:w="467" w:type="dxa"/>
            <w:vAlign w:val="center"/>
          </w:tcPr>
          <w:p>
            <w:pPr>
              <w:spacing w:line="300" w:lineRule="exact"/>
              <w:jc w:val="center"/>
              <w:rPr>
                <w:rFonts w:ascii="仿宋_GB2312"/>
                <w:bCs/>
                <w:color w:val="000000" w:themeColor="text1"/>
              </w:rPr>
            </w:pPr>
          </w:p>
        </w:tc>
        <w:tc>
          <w:tcPr>
            <w:tcW w:w="447" w:type="dxa"/>
            <w:noWrap/>
            <w:vAlign w:val="center"/>
          </w:tcPr>
          <w:p>
            <w:pPr>
              <w:spacing w:line="300" w:lineRule="exact"/>
              <w:jc w:val="center"/>
              <w:rPr>
                <w:rFonts w:ascii="仿宋_GB2312"/>
                <w:bCs/>
                <w:color w:val="000000" w:themeColor="text1"/>
              </w:rPr>
            </w:pPr>
            <w:r>
              <w:rPr>
                <w:rFonts w:hint="eastAsia" w:ascii="仿宋_GB2312"/>
                <w:bCs/>
                <w:color w:val="000000" w:themeColor="text1"/>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0" w:type="dxa"/>
            <w:vMerge w:val="continue"/>
            <w:vAlign w:val="center"/>
          </w:tcPr>
          <w:p>
            <w:pPr>
              <w:spacing w:line="300" w:lineRule="exact"/>
              <w:jc w:val="center"/>
              <w:rPr>
                <w:rFonts w:ascii="仿宋_GB2312"/>
                <w:bCs/>
                <w:color w:val="000000" w:themeColor="text1"/>
              </w:rPr>
            </w:pPr>
          </w:p>
        </w:tc>
        <w:tc>
          <w:tcPr>
            <w:tcW w:w="1882" w:type="dxa"/>
            <w:vAlign w:val="center"/>
          </w:tcPr>
          <w:p>
            <w:pPr>
              <w:spacing w:line="300" w:lineRule="exact"/>
              <w:jc w:val="center"/>
              <w:rPr>
                <w:rFonts w:ascii="仿宋_GB2312"/>
                <w:bCs/>
                <w:color w:val="000000" w:themeColor="text1"/>
              </w:rPr>
            </w:pPr>
            <w:r>
              <w:rPr>
                <w:rFonts w:hint="eastAsia" w:ascii="仿宋_GB2312"/>
                <w:bCs/>
                <w:color w:val="000000" w:themeColor="text1"/>
              </w:rPr>
              <w:t>人像卡口管理</w:t>
            </w:r>
          </w:p>
        </w:tc>
        <w:tc>
          <w:tcPr>
            <w:tcW w:w="4526" w:type="dxa"/>
            <w:vAlign w:val="center"/>
          </w:tcPr>
          <w:p>
            <w:pPr>
              <w:spacing w:line="300" w:lineRule="exact"/>
              <w:rPr>
                <w:rFonts w:ascii="仿宋_GB2312"/>
                <w:bCs/>
                <w:color w:val="000000" w:themeColor="text1"/>
              </w:rPr>
            </w:pPr>
            <w:r>
              <w:rPr>
                <w:rFonts w:hint="eastAsia" w:ascii="仿宋_GB2312"/>
                <w:bCs/>
                <w:color w:val="000000" w:themeColor="text1"/>
              </w:rPr>
              <w:t>动态人像应用主要应用于重点单位、旅馆、酒店、火车站、汽车站等人员社会属性复杂，流动性大的场所。用于远程快速确认人员身份信息，海量人员布控预警，嫌疑目标轨迹查询和局部特征检索等应用。系统支持对卡口的管理，包括点位添加、修改、删除、转发、码流分类存储等一系列基础动作</w:t>
            </w:r>
          </w:p>
        </w:tc>
        <w:tc>
          <w:tcPr>
            <w:tcW w:w="636" w:type="dxa"/>
            <w:vMerge w:val="restart"/>
            <w:noWrap/>
            <w:vAlign w:val="center"/>
          </w:tcPr>
          <w:p>
            <w:pPr>
              <w:spacing w:line="300" w:lineRule="exact"/>
              <w:rPr>
                <w:rFonts w:ascii="仿宋_GB2312"/>
                <w:bCs/>
                <w:color w:val="000000" w:themeColor="text1"/>
              </w:rPr>
            </w:pPr>
            <w:r>
              <w:rPr>
                <w:rFonts w:hint="eastAsia" w:ascii="仿宋_GB2312"/>
                <w:bCs/>
                <w:color w:val="000000" w:themeColor="text1"/>
              </w:rPr>
              <w:t>1</w:t>
            </w:r>
          </w:p>
        </w:tc>
        <w:tc>
          <w:tcPr>
            <w:tcW w:w="467" w:type="dxa"/>
            <w:vAlign w:val="center"/>
          </w:tcPr>
          <w:p>
            <w:pPr>
              <w:spacing w:line="300" w:lineRule="exact"/>
              <w:jc w:val="center"/>
              <w:rPr>
                <w:rFonts w:ascii="仿宋_GB2312"/>
                <w:bCs/>
                <w:color w:val="000000" w:themeColor="text1"/>
              </w:rPr>
            </w:pPr>
          </w:p>
        </w:tc>
        <w:tc>
          <w:tcPr>
            <w:tcW w:w="447" w:type="dxa"/>
            <w:vMerge w:val="restart"/>
            <w:noWrap/>
            <w:vAlign w:val="center"/>
          </w:tcPr>
          <w:p>
            <w:pPr>
              <w:spacing w:line="300" w:lineRule="exact"/>
              <w:jc w:val="center"/>
              <w:rPr>
                <w:rFonts w:ascii="仿宋_GB2312"/>
                <w:bCs/>
                <w:color w:val="000000" w:themeColor="text1"/>
              </w:rPr>
            </w:pPr>
            <w:r>
              <w:rPr>
                <w:rFonts w:hint="eastAsia" w:ascii="仿宋_GB2312"/>
                <w:bCs/>
                <w:color w:val="000000" w:themeColor="text1"/>
              </w:rPr>
              <w:t>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0" w:type="dxa"/>
            <w:vMerge w:val="continue"/>
            <w:vAlign w:val="center"/>
          </w:tcPr>
          <w:p>
            <w:pPr>
              <w:spacing w:line="300" w:lineRule="exact"/>
              <w:jc w:val="center"/>
              <w:rPr>
                <w:rFonts w:ascii="仿宋_GB2312"/>
                <w:bCs/>
                <w:color w:val="000000" w:themeColor="text1"/>
              </w:rPr>
            </w:pPr>
          </w:p>
        </w:tc>
        <w:tc>
          <w:tcPr>
            <w:tcW w:w="1882" w:type="dxa"/>
            <w:vAlign w:val="center"/>
          </w:tcPr>
          <w:p>
            <w:pPr>
              <w:spacing w:line="300" w:lineRule="exact"/>
              <w:jc w:val="center"/>
              <w:rPr>
                <w:rFonts w:ascii="仿宋_GB2312"/>
                <w:bCs/>
                <w:color w:val="000000" w:themeColor="text1"/>
              </w:rPr>
            </w:pPr>
            <w:r>
              <w:rPr>
                <w:rFonts w:hint="eastAsia" w:ascii="仿宋_GB2312"/>
                <w:bCs/>
                <w:color w:val="000000" w:themeColor="text1"/>
              </w:rPr>
              <w:t>实时抓拍滚动显示</w:t>
            </w:r>
          </w:p>
        </w:tc>
        <w:tc>
          <w:tcPr>
            <w:tcW w:w="4526" w:type="dxa"/>
            <w:vAlign w:val="center"/>
          </w:tcPr>
          <w:p>
            <w:pPr>
              <w:spacing w:line="300" w:lineRule="exact"/>
              <w:rPr>
                <w:rFonts w:ascii="仿宋_GB2312"/>
                <w:bCs/>
                <w:color w:val="000000" w:themeColor="text1"/>
              </w:rPr>
            </w:pPr>
            <w:r>
              <w:rPr>
                <w:rFonts w:hint="eastAsia" w:ascii="仿宋_GB2312"/>
                <w:bCs/>
                <w:color w:val="000000" w:themeColor="text1"/>
              </w:rPr>
              <w:t>系统可实时查看指定通道的抓拍大图，并在界面显示指定通道所产生的报警信息(包含报警处置状态、人脸相似度、对应的抓拍设备、报警时间及人员信息)；而人脸抓拍图片则在界面下窗口滚动显示。</w:t>
            </w:r>
          </w:p>
        </w:tc>
        <w:tc>
          <w:tcPr>
            <w:tcW w:w="636" w:type="dxa"/>
            <w:vMerge w:val="continue"/>
            <w:vAlign w:val="center"/>
          </w:tcPr>
          <w:p>
            <w:pPr>
              <w:spacing w:line="300" w:lineRule="exact"/>
              <w:rPr>
                <w:rFonts w:ascii="仿宋_GB2312"/>
                <w:bCs/>
                <w:color w:val="000000" w:themeColor="text1"/>
              </w:rPr>
            </w:pPr>
          </w:p>
        </w:tc>
        <w:tc>
          <w:tcPr>
            <w:tcW w:w="467" w:type="dxa"/>
            <w:vAlign w:val="center"/>
          </w:tcPr>
          <w:p>
            <w:pPr>
              <w:spacing w:line="300" w:lineRule="exact"/>
              <w:jc w:val="center"/>
              <w:rPr>
                <w:rFonts w:ascii="仿宋_GB2312"/>
                <w:bCs/>
                <w:color w:val="000000" w:themeColor="text1"/>
              </w:rPr>
            </w:pPr>
          </w:p>
        </w:tc>
        <w:tc>
          <w:tcPr>
            <w:tcW w:w="447" w:type="dxa"/>
            <w:vMerge w:val="continue"/>
            <w:vAlign w:val="center"/>
          </w:tcPr>
          <w:p>
            <w:pPr>
              <w:spacing w:line="300" w:lineRule="exact"/>
              <w:jc w:val="center"/>
              <w:rPr>
                <w:rFonts w:ascii="仿宋_GB2312"/>
                <w:bCs/>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0" w:type="dxa"/>
            <w:vMerge w:val="continue"/>
            <w:vAlign w:val="center"/>
          </w:tcPr>
          <w:p>
            <w:pPr>
              <w:spacing w:line="300" w:lineRule="exact"/>
              <w:jc w:val="center"/>
              <w:rPr>
                <w:rFonts w:ascii="仿宋_GB2312"/>
                <w:bCs/>
                <w:color w:val="000000" w:themeColor="text1"/>
              </w:rPr>
            </w:pPr>
          </w:p>
        </w:tc>
        <w:tc>
          <w:tcPr>
            <w:tcW w:w="1882" w:type="dxa"/>
            <w:vAlign w:val="center"/>
          </w:tcPr>
          <w:p>
            <w:pPr>
              <w:spacing w:line="300" w:lineRule="exact"/>
              <w:jc w:val="center"/>
              <w:rPr>
                <w:rFonts w:ascii="仿宋_GB2312"/>
                <w:bCs/>
                <w:color w:val="000000" w:themeColor="text1"/>
              </w:rPr>
            </w:pPr>
            <w:r>
              <w:rPr>
                <w:rFonts w:hint="eastAsia" w:ascii="仿宋_GB2312"/>
                <w:bCs/>
                <w:color w:val="000000" w:themeColor="text1"/>
              </w:rPr>
              <w:t>人员布控应用</w:t>
            </w:r>
          </w:p>
        </w:tc>
        <w:tc>
          <w:tcPr>
            <w:tcW w:w="4526" w:type="dxa"/>
            <w:vAlign w:val="center"/>
          </w:tcPr>
          <w:p>
            <w:pPr>
              <w:spacing w:line="300" w:lineRule="exact"/>
              <w:rPr>
                <w:rFonts w:ascii="仿宋_GB2312"/>
                <w:bCs/>
                <w:color w:val="000000" w:themeColor="text1"/>
              </w:rPr>
            </w:pPr>
            <w:r>
              <w:rPr>
                <w:rFonts w:hint="eastAsia" w:ascii="仿宋_GB2312"/>
                <w:bCs/>
                <w:color w:val="000000" w:themeColor="text1"/>
              </w:rPr>
              <w:t>用户可自行指定需要系统报警的“黑名单”人员图片，通过建立布控库，系统可进行选择性布控。系统可以提供基于人脸图片的布控，指定布控时限、布控原因、预警方式（客户端报警、短信报警）、布控单位、布控类型等。</w:t>
            </w:r>
          </w:p>
        </w:tc>
        <w:tc>
          <w:tcPr>
            <w:tcW w:w="636" w:type="dxa"/>
            <w:vMerge w:val="continue"/>
            <w:vAlign w:val="center"/>
          </w:tcPr>
          <w:p>
            <w:pPr>
              <w:spacing w:line="300" w:lineRule="exact"/>
              <w:rPr>
                <w:rFonts w:ascii="仿宋_GB2312"/>
                <w:bCs/>
                <w:color w:val="000000" w:themeColor="text1"/>
              </w:rPr>
            </w:pPr>
          </w:p>
        </w:tc>
        <w:tc>
          <w:tcPr>
            <w:tcW w:w="467" w:type="dxa"/>
            <w:vAlign w:val="center"/>
          </w:tcPr>
          <w:p>
            <w:pPr>
              <w:spacing w:line="300" w:lineRule="exact"/>
              <w:jc w:val="center"/>
              <w:rPr>
                <w:rFonts w:ascii="仿宋_GB2312"/>
                <w:bCs/>
                <w:color w:val="000000" w:themeColor="text1"/>
              </w:rPr>
            </w:pPr>
          </w:p>
        </w:tc>
        <w:tc>
          <w:tcPr>
            <w:tcW w:w="447" w:type="dxa"/>
            <w:vMerge w:val="continue"/>
            <w:vAlign w:val="center"/>
          </w:tcPr>
          <w:p>
            <w:pPr>
              <w:spacing w:line="300" w:lineRule="exact"/>
              <w:jc w:val="center"/>
              <w:rPr>
                <w:rFonts w:ascii="仿宋_GB2312"/>
                <w:bCs/>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0" w:type="dxa"/>
            <w:vMerge w:val="continue"/>
            <w:vAlign w:val="center"/>
          </w:tcPr>
          <w:p>
            <w:pPr>
              <w:spacing w:line="300" w:lineRule="exact"/>
              <w:jc w:val="center"/>
              <w:rPr>
                <w:rFonts w:ascii="仿宋_GB2312"/>
                <w:bCs/>
                <w:color w:val="000000" w:themeColor="text1"/>
              </w:rPr>
            </w:pPr>
          </w:p>
        </w:tc>
        <w:tc>
          <w:tcPr>
            <w:tcW w:w="1882" w:type="dxa"/>
            <w:vAlign w:val="center"/>
          </w:tcPr>
          <w:p>
            <w:pPr>
              <w:spacing w:line="300" w:lineRule="exact"/>
              <w:jc w:val="center"/>
              <w:rPr>
                <w:rFonts w:ascii="仿宋_GB2312"/>
                <w:bCs/>
                <w:color w:val="000000" w:themeColor="text1"/>
              </w:rPr>
            </w:pPr>
            <w:r>
              <w:rPr>
                <w:rFonts w:hint="eastAsia" w:ascii="仿宋_GB2312"/>
                <w:bCs/>
                <w:color w:val="000000" w:themeColor="text1"/>
              </w:rPr>
              <w:t>布控预警应用</w:t>
            </w:r>
          </w:p>
        </w:tc>
        <w:tc>
          <w:tcPr>
            <w:tcW w:w="4526" w:type="dxa"/>
            <w:vAlign w:val="center"/>
          </w:tcPr>
          <w:p>
            <w:pPr>
              <w:spacing w:line="300" w:lineRule="exact"/>
              <w:rPr>
                <w:rFonts w:ascii="仿宋_GB2312"/>
                <w:bCs/>
                <w:color w:val="000000" w:themeColor="text1"/>
              </w:rPr>
            </w:pPr>
            <w:r>
              <w:rPr>
                <w:rFonts w:hint="eastAsia" w:ascii="仿宋_GB2312"/>
                <w:bCs/>
                <w:color w:val="000000" w:themeColor="text1"/>
              </w:rPr>
              <w:t>针对公安民警重点关注的人员图片，一旦出现在某人脸卡口上，系统能在实时预警中按照红橙蓝绿四种报警级别进行报警显示，红色报警等级最高，需要优先处理。报警出现后，可以显示出当前报警嫌疑人的轨迹，并显示当前出现的报警点，民警根据抓拍到的图片和布控库的图片进行对比，进行相同、不同、疑似的手工确认。</w:t>
            </w:r>
          </w:p>
        </w:tc>
        <w:tc>
          <w:tcPr>
            <w:tcW w:w="636" w:type="dxa"/>
            <w:vMerge w:val="continue"/>
            <w:vAlign w:val="center"/>
          </w:tcPr>
          <w:p>
            <w:pPr>
              <w:spacing w:line="300" w:lineRule="exact"/>
              <w:rPr>
                <w:rFonts w:ascii="仿宋_GB2312"/>
                <w:bCs/>
                <w:color w:val="000000" w:themeColor="text1"/>
              </w:rPr>
            </w:pPr>
          </w:p>
        </w:tc>
        <w:tc>
          <w:tcPr>
            <w:tcW w:w="467" w:type="dxa"/>
            <w:vAlign w:val="center"/>
          </w:tcPr>
          <w:p>
            <w:pPr>
              <w:spacing w:line="300" w:lineRule="exact"/>
              <w:jc w:val="center"/>
              <w:rPr>
                <w:rFonts w:ascii="仿宋_GB2312"/>
                <w:bCs/>
                <w:color w:val="000000" w:themeColor="text1"/>
              </w:rPr>
            </w:pPr>
          </w:p>
        </w:tc>
        <w:tc>
          <w:tcPr>
            <w:tcW w:w="447" w:type="dxa"/>
            <w:vMerge w:val="continue"/>
            <w:vAlign w:val="center"/>
          </w:tcPr>
          <w:p>
            <w:pPr>
              <w:spacing w:line="300" w:lineRule="exact"/>
              <w:jc w:val="center"/>
              <w:rPr>
                <w:rFonts w:ascii="仿宋_GB2312"/>
                <w:bCs/>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0" w:type="dxa"/>
            <w:vMerge w:val="continue"/>
            <w:vAlign w:val="center"/>
          </w:tcPr>
          <w:p>
            <w:pPr>
              <w:spacing w:line="300" w:lineRule="exact"/>
              <w:jc w:val="center"/>
              <w:rPr>
                <w:rFonts w:ascii="仿宋_GB2312"/>
                <w:bCs/>
                <w:color w:val="000000" w:themeColor="text1"/>
              </w:rPr>
            </w:pPr>
          </w:p>
        </w:tc>
        <w:tc>
          <w:tcPr>
            <w:tcW w:w="1882" w:type="dxa"/>
            <w:vAlign w:val="center"/>
          </w:tcPr>
          <w:p>
            <w:pPr>
              <w:spacing w:line="300" w:lineRule="exact"/>
              <w:jc w:val="center"/>
              <w:rPr>
                <w:rFonts w:ascii="仿宋_GB2312"/>
                <w:bCs/>
                <w:color w:val="000000" w:themeColor="text1"/>
              </w:rPr>
            </w:pPr>
            <w:r>
              <w:rPr>
                <w:rFonts w:hint="eastAsia" w:ascii="仿宋_GB2312"/>
                <w:bCs/>
                <w:color w:val="000000" w:themeColor="text1"/>
              </w:rPr>
              <w:t>路人库检索应用</w:t>
            </w:r>
          </w:p>
        </w:tc>
        <w:tc>
          <w:tcPr>
            <w:tcW w:w="4526" w:type="dxa"/>
            <w:vAlign w:val="center"/>
          </w:tcPr>
          <w:p>
            <w:pPr>
              <w:spacing w:line="300" w:lineRule="exact"/>
              <w:rPr>
                <w:rFonts w:ascii="仿宋_GB2312"/>
                <w:bCs/>
                <w:color w:val="000000" w:themeColor="text1"/>
              </w:rPr>
            </w:pPr>
            <w:r>
              <w:rPr>
                <w:rFonts w:hint="eastAsia" w:ascii="仿宋_GB2312"/>
                <w:bCs/>
                <w:color w:val="000000" w:themeColor="text1"/>
              </w:rPr>
              <w:t>所有被抓拍的路人被自动存入抓拍库，在业务应用过程中，需对案发时间地点出现的可疑目标查询时，用户上传嫌疑目标人脸图片，根据设定对应的抓拍地点、相似度、抓拍时间等检索条件，通过以图搜图方式检索抓拍库比对结果，系统将按照相似度由高到低排序返回最相似的结果，从而快速查询嫌疑目标是否在可疑时间段内出现在案发地点中。</w:t>
            </w:r>
          </w:p>
        </w:tc>
        <w:tc>
          <w:tcPr>
            <w:tcW w:w="636" w:type="dxa"/>
            <w:vMerge w:val="continue"/>
            <w:vAlign w:val="center"/>
          </w:tcPr>
          <w:p>
            <w:pPr>
              <w:spacing w:line="300" w:lineRule="exact"/>
              <w:rPr>
                <w:rFonts w:ascii="仿宋_GB2312"/>
                <w:bCs/>
                <w:color w:val="000000" w:themeColor="text1"/>
              </w:rPr>
            </w:pPr>
          </w:p>
        </w:tc>
        <w:tc>
          <w:tcPr>
            <w:tcW w:w="467" w:type="dxa"/>
            <w:vAlign w:val="center"/>
          </w:tcPr>
          <w:p>
            <w:pPr>
              <w:spacing w:line="300" w:lineRule="exact"/>
              <w:jc w:val="center"/>
              <w:rPr>
                <w:rFonts w:ascii="仿宋_GB2312"/>
                <w:bCs/>
                <w:color w:val="000000" w:themeColor="text1"/>
              </w:rPr>
            </w:pPr>
          </w:p>
        </w:tc>
        <w:tc>
          <w:tcPr>
            <w:tcW w:w="447" w:type="dxa"/>
            <w:vMerge w:val="continue"/>
            <w:vAlign w:val="center"/>
          </w:tcPr>
          <w:p>
            <w:pPr>
              <w:spacing w:line="300" w:lineRule="exact"/>
              <w:jc w:val="center"/>
              <w:rPr>
                <w:rFonts w:ascii="仿宋_GB2312"/>
                <w:bCs/>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0" w:type="dxa"/>
            <w:vMerge w:val="continue"/>
            <w:vAlign w:val="center"/>
          </w:tcPr>
          <w:p>
            <w:pPr>
              <w:spacing w:line="300" w:lineRule="exact"/>
              <w:jc w:val="center"/>
              <w:rPr>
                <w:rFonts w:ascii="仿宋_GB2312"/>
                <w:bCs/>
                <w:color w:val="000000" w:themeColor="text1"/>
              </w:rPr>
            </w:pPr>
          </w:p>
        </w:tc>
        <w:tc>
          <w:tcPr>
            <w:tcW w:w="1882" w:type="dxa"/>
            <w:vAlign w:val="center"/>
          </w:tcPr>
          <w:p>
            <w:pPr>
              <w:spacing w:line="300" w:lineRule="exact"/>
              <w:jc w:val="center"/>
              <w:rPr>
                <w:rFonts w:ascii="仿宋_GB2312"/>
                <w:bCs/>
                <w:color w:val="000000" w:themeColor="text1"/>
              </w:rPr>
            </w:pPr>
            <w:r>
              <w:rPr>
                <w:rFonts w:hint="eastAsia" w:ascii="仿宋_GB2312"/>
                <w:bCs/>
                <w:color w:val="000000" w:themeColor="text1"/>
              </w:rPr>
              <w:t>离线视频分析</w:t>
            </w:r>
          </w:p>
        </w:tc>
        <w:tc>
          <w:tcPr>
            <w:tcW w:w="4526" w:type="dxa"/>
            <w:vAlign w:val="center"/>
          </w:tcPr>
          <w:p>
            <w:pPr>
              <w:spacing w:line="300" w:lineRule="exact"/>
              <w:rPr>
                <w:rFonts w:ascii="仿宋_GB2312"/>
                <w:bCs/>
                <w:color w:val="000000" w:themeColor="text1"/>
              </w:rPr>
            </w:pPr>
            <w:r>
              <w:rPr>
                <w:rFonts w:hint="eastAsia" w:ascii="仿宋_GB2312"/>
                <w:bCs/>
                <w:color w:val="000000" w:themeColor="text1"/>
              </w:rPr>
              <w:t>系统支持对离线视频文件进行分析，截取出视频中出现的所有人脸照片。离线视频分析结果会存在对应的人像库中，支持对该人像库进行检索、布控等操作。系统支持主流视频格式分析。</w:t>
            </w:r>
          </w:p>
        </w:tc>
        <w:tc>
          <w:tcPr>
            <w:tcW w:w="636" w:type="dxa"/>
            <w:vMerge w:val="continue"/>
            <w:vAlign w:val="center"/>
          </w:tcPr>
          <w:p>
            <w:pPr>
              <w:spacing w:line="300" w:lineRule="exact"/>
              <w:rPr>
                <w:rFonts w:ascii="仿宋_GB2312"/>
                <w:bCs/>
                <w:color w:val="000000" w:themeColor="text1"/>
              </w:rPr>
            </w:pPr>
          </w:p>
        </w:tc>
        <w:tc>
          <w:tcPr>
            <w:tcW w:w="467" w:type="dxa"/>
            <w:vAlign w:val="center"/>
          </w:tcPr>
          <w:p>
            <w:pPr>
              <w:spacing w:line="300" w:lineRule="exact"/>
              <w:jc w:val="center"/>
              <w:rPr>
                <w:rFonts w:ascii="仿宋_GB2312"/>
                <w:bCs/>
                <w:color w:val="000000" w:themeColor="text1"/>
              </w:rPr>
            </w:pPr>
          </w:p>
        </w:tc>
        <w:tc>
          <w:tcPr>
            <w:tcW w:w="447" w:type="dxa"/>
            <w:vMerge w:val="continue"/>
            <w:vAlign w:val="center"/>
          </w:tcPr>
          <w:p>
            <w:pPr>
              <w:spacing w:line="300" w:lineRule="exact"/>
              <w:jc w:val="center"/>
              <w:rPr>
                <w:rFonts w:ascii="仿宋_GB2312"/>
                <w:bCs/>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0" w:type="dxa"/>
            <w:vMerge w:val="continue"/>
            <w:vAlign w:val="center"/>
          </w:tcPr>
          <w:p>
            <w:pPr>
              <w:spacing w:line="300" w:lineRule="exact"/>
              <w:jc w:val="center"/>
              <w:rPr>
                <w:rFonts w:ascii="仿宋_GB2312"/>
                <w:bCs/>
                <w:color w:val="000000" w:themeColor="text1"/>
              </w:rPr>
            </w:pPr>
          </w:p>
        </w:tc>
        <w:tc>
          <w:tcPr>
            <w:tcW w:w="1882" w:type="dxa"/>
            <w:vAlign w:val="center"/>
          </w:tcPr>
          <w:p>
            <w:pPr>
              <w:spacing w:line="300" w:lineRule="exact"/>
              <w:jc w:val="center"/>
              <w:rPr>
                <w:rFonts w:ascii="仿宋_GB2312"/>
                <w:bCs/>
                <w:color w:val="000000" w:themeColor="text1"/>
              </w:rPr>
            </w:pPr>
            <w:r>
              <w:rPr>
                <w:rFonts w:hint="eastAsia" w:ascii="仿宋_GB2312"/>
                <w:bCs/>
                <w:color w:val="000000" w:themeColor="text1"/>
              </w:rPr>
              <w:t>视图人像建模统计</w:t>
            </w:r>
          </w:p>
        </w:tc>
        <w:tc>
          <w:tcPr>
            <w:tcW w:w="4526" w:type="dxa"/>
            <w:vAlign w:val="center"/>
          </w:tcPr>
          <w:p>
            <w:pPr>
              <w:spacing w:line="300" w:lineRule="exact"/>
              <w:rPr>
                <w:rFonts w:ascii="仿宋_GB2312"/>
                <w:bCs/>
                <w:color w:val="000000" w:themeColor="text1"/>
              </w:rPr>
            </w:pPr>
            <w:r>
              <w:rPr>
                <w:rFonts w:hint="eastAsia" w:ascii="仿宋_GB2312"/>
                <w:bCs/>
                <w:color w:val="000000" w:themeColor="text1"/>
              </w:rPr>
              <w:t>可多维度展示人像业务实时运行情况和统计汇总信息：</w:t>
            </w:r>
            <w:r>
              <w:rPr>
                <w:rFonts w:hint="eastAsia" w:ascii="仿宋_GB2312"/>
                <w:bCs/>
                <w:color w:val="000000" w:themeColor="text1"/>
              </w:rPr>
              <w:br w:type="textWrapping"/>
            </w:r>
            <w:r>
              <w:rPr>
                <w:rFonts w:hint="eastAsia" w:ascii="仿宋_GB2312"/>
                <w:bCs/>
                <w:color w:val="000000" w:themeColor="text1"/>
              </w:rPr>
              <w:t>支持统计累计抓拍总数，今日抓拍总数；</w:t>
            </w:r>
            <w:r>
              <w:rPr>
                <w:rFonts w:hint="eastAsia" w:ascii="仿宋_GB2312"/>
                <w:bCs/>
                <w:color w:val="000000" w:themeColor="text1"/>
              </w:rPr>
              <w:br w:type="textWrapping"/>
            </w:r>
            <w:r>
              <w:rPr>
                <w:rFonts w:hint="eastAsia" w:ascii="仿宋_GB2312"/>
                <w:bCs/>
                <w:color w:val="000000" w:themeColor="text1"/>
              </w:rPr>
              <w:t>支持统计累计报警总数，今日报警总数；</w:t>
            </w:r>
            <w:r>
              <w:rPr>
                <w:rFonts w:hint="eastAsia" w:ascii="仿宋_GB2312"/>
                <w:bCs/>
                <w:color w:val="000000" w:themeColor="text1"/>
              </w:rPr>
              <w:br w:type="textWrapping"/>
            </w:r>
            <w:r>
              <w:rPr>
                <w:rFonts w:hint="eastAsia" w:ascii="仿宋_GB2312"/>
                <w:bCs/>
                <w:color w:val="000000" w:themeColor="text1"/>
              </w:rPr>
              <w:t>支持展示报警成效，对近期有效报警的基本情况进行一览展示；</w:t>
            </w:r>
            <w:r>
              <w:rPr>
                <w:rFonts w:hint="eastAsia" w:ascii="仿宋_GB2312"/>
                <w:bCs/>
                <w:color w:val="000000" w:themeColor="text1"/>
              </w:rPr>
              <w:br w:type="textWrapping"/>
            </w:r>
            <w:r>
              <w:rPr>
                <w:rFonts w:hint="eastAsia" w:ascii="仿宋_GB2312"/>
                <w:bCs/>
                <w:color w:val="000000" w:themeColor="text1"/>
              </w:rPr>
              <w:t>支持分析报警处置率和报警有效率，展示一周报警总数、报警确认数及报警处置率；展示一周报警总数、有效报警总数及报警有效率；</w:t>
            </w:r>
            <w:r>
              <w:rPr>
                <w:rFonts w:hint="eastAsia" w:ascii="仿宋_GB2312"/>
                <w:bCs/>
                <w:color w:val="000000" w:themeColor="text1"/>
              </w:rPr>
              <w:br w:type="textWrapping"/>
            </w:r>
            <w:r>
              <w:rPr>
                <w:rFonts w:hint="eastAsia" w:ascii="仿宋_GB2312"/>
                <w:bCs/>
                <w:color w:val="000000" w:themeColor="text1"/>
              </w:rPr>
              <w:t>支持统计分析一周内，每日产生的抓拍、报警数目，并以图表展示；</w:t>
            </w:r>
          </w:p>
        </w:tc>
        <w:tc>
          <w:tcPr>
            <w:tcW w:w="636" w:type="dxa"/>
            <w:vMerge w:val="continue"/>
            <w:vAlign w:val="center"/>
          </w:tcPr>
          <w:p>
            <w:pPr>
              <w:spacing w:line="300" w:lineRule="exact"/>
              <w:rPr>
                <w:rFonts w:ascii="仿宋_GB2312"/>
                <w:bCs/>
                <w:color w:val="000000" w:themeColor="text1"/>
              </w:rPr>
            </w:pPr>
          </w:p>
        </w:tc>
        <w:tc>
          <w:tcPr>
            <w:tcW w:w="467" w:type="dxa"/>
            <w:vAlign w:val="center"/>
          </w:tcPr>
          <w:p>
            <w:pPr>
              <w:spacing w:line="300" w:lineRule="exact"/>
              <w:jc w:val="center"/>
              <w:rPr>
                <w:rFonts w:ascii="仿宋_GB2312"/>
                <w:bCs/>
                <w:color w:val="000000" w:themeColor="text1"/>
              </w:rPr>
            </w:pPr>
          </w:p>
        </w:tc>
        <w:tc>
          <w:tcPr>
            <w:tcW w:w="447" w:type="dxa"/>
            <w:vMerge w:val="continue"/>
            <w:vAlign w:val="center"/>
          </w:tcPr>
          <w:p>
            <w:pPr>
              <w:spacing w:line="300" w:lineRule="exact"/>
              <w:jc w:val="center"/>
              <w:rPr>
                <w:rFonts w:ascii="仿宋_GB2312"/>
                <w:bCs/>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0" w:type="dxa"/>
            <w:vMerge w:val="restart"/>
            <w:vAlign w:val="center"/>
          </w:tcPr>
          <w:p>
            <w:pPr>
              <w:spacing w:line="300" w:lineRule="exact"/>
              <w:jc w:val="center"/>
              <w:rPr>
                <w:rFonts w:ascii="仿宋_GB2312"/>
                <w:bCs/>
                <w:color w:val="000000" w:themeColor="text1"/>
              </w:rPr>
            </w:pPr>
            <w:r>
              <w:rPr>
                <w:rFonts w:hint="eastAsia" w:ascii="仿宋_GB2312"/>
                <w:bCs/>
                <w:color w:val="000000" w:themeColor="text1"/>
              </w:rPr>
              <w:t>视频萃取应用</w:t>
            </w:r>
          </w:p>
        </w:tc>
        <w:tc>
          <w:tcPr>
            <w:tcW w:w="1882" w:type="dxa"/>
            <w:vAlign w:val="center"/>
          </w:tcPr>
          <w:p>
            <w:pPr>
              <w:spacing w:line="300" w:lineRule="exact"/>
              <w:jc w:val="center"/>
              <w:rPr>
                <w:rFonts w:ascii="仿宋_GB2312"/>
                <w:bCs/>
                <w:color w:val="000000" w:themeColor="text1"/>
              </w:rPr>
            </w:pPr>
            <w:r>
              <w:rPr>
                <w:rFonts w:hint="eastAsia" w:ascii="仿宋_GB2312"/>
                <w:bCs/>
                <w:color w:val="000000" w:themeColor="text1"/>
              </w:rPr>
              <w:t>视频萃取应用服务器</w:t>
            </w:r>
          </w:p>
        </w:tc>
        <w:tc>
          <w:tcPr>
            <w:tcW w:w="4526" w:type="dxa"/>
            <w:vAlign w:val="center"/>
          </w:tcPr>
          <w:p>
            <w:pPr>
              <w:spacing w:line="300" w:lineRule="exact"/>
              <w:rPr>
                <w:rFonts w:ascii="仿宋_GB2312"/>
                <w:bCs/>
                <w:color w:val="000000" w:themeColor="text1"/>
              </w:rPr>
            </w:pPr>
            <w:r>
              <w:rPr>
                <w:rFonts w:hint="eastAsia"/>
                <w:color w:val="000000" w:themeColor="text1"/>
              </w:rPr>
              <w:t>★</w:t>
            </w:r>
            <w:r>
              <w:rPr>
                <w:rFonts w:hint="eastAsia" w:ascii="仿宋_GB2312"/>
                <w:bCs/>
                <w:color w:val="000000" w:themeColor="text1"/>
              </w:rPr>
              <w:t>Cpu：Intel Xeon(≥8核，≥2.1GHz)×2</w:t>
            </w:r>
          </w:p>
          <w:p>
            <w:pPr>
              <w:spacing w:line="300" w:lineRule="exact"/>
              <w:rPr>
                <w:rFonts w:ascii="仿宋_GB2312"/>
                <w:bCs/>
                <w:color w:val="000000" w:themeColor="text1"/>
              </w:rPr>
            </w:pPr>
            <w:r>
              <w:rPr>
                <w:rFonts w:hint="eastAsia"/>
                <w:color w:val="000000" w:themeColor="text1"/>
              </w:rPr>
              <w:t>★</w:t>
            </w:r>
            <w:r>
              <w:rPr>
                <w:rFonts w:hint="eastAsia" w:ascii="仿宋_GB2312"/>
                <w:bCs/>
                <w:color w:val="000000" w:themeColor="text1"/>
              </w:rPr>
              <w:t>内存：≥32GB DDR4×2</w:t>
            </w:r>
          </w:p>
          <w:p>
            <w:pPr>
              <w:spacing w:line="300" w:lineRule="exact"/>
              <w:rPr>
                <w:rFonts w:ascii="仿宋_GB2312"/>
                <w:bCs/>
                <w:color w:val="000000" w:themeColor="text1"/>
              </w:rPr>
            </w:pPr>
            <w:r>
              <w:rPr>
                <w:rFonts w:hint="eastAsia"/>
                <w:color w:val="000000" w:themeColor="text1"/>
              </w:rPr>
              <w:t>★</w:t>
            </w:r>
            <w:r>
              <w:rPr>
                <w:rFonts w:hint="eastAsia" w:ascii="仿宋_GB2312"/>
                <w:bCs/>
                <w:color w:val="000000" w:themeColor="text1"/>
              </w:rPr>
              <w:t>硬盘：≥480G SSD+≥4TB SATA（磁盘转速≥7200rpm）</w:t>
            </w:r>
          </w:p>
          <w:p>
            <w:pPr>
              <w:spacing w:line="300" w:lineRule="exact"/>
              <w:rPr>
                <w:rFonts w:ascii="仿宋_GB2312"/>
                <w:bCs/>
                <w:color w:val="000000" w:themeColor="text1"/>
              </w:rPr>
            </w:pPr>
            <w:r>
              <w:rPr>
                <w:rFonts w:hint="eastAsia"/>
                <w:color w:val="000000" w:themeColor="text1"/>
              </w:rPr>
              <w:t>★</w:t>
            </w:r>
            <w:r>
              <w:rPr>
                <w:rFonts w:hint="eastAsia" w:ascii="仿宋_GB2312"/>
                <w:bCs/>
                <w:color w:val="000000" w:themeColor="text1"/>
              </w:rPr>
              <w:t>网口：1GbE×8（光口）</w:t>
            </w:r>
          </w:p>
          <w:p>
            <w:pPr>
              <w:spacing w:line="300" w:lineRule="exact"/>
              <w:rPr>
                <w:rFonts w:ascii="宋体" w:hAnsi="宋体"/>
                <w:color w:val="000000" w:themeColor="text1"/>
                <w:szCs w:val="21"/>
              </w:rPr>
            </w:pPr>
            <w:r>
              <w:rPr>
                <w:color w:val="000000" w:themeColor="text1"/>
              </w:rPr>
              <w:t>2</w:t>
            </w:r>
            <w:r>
              <w:rPr>
                <w:rFonts w:hint="eastAsia" w:ascii="宋体" w:hAnsi="宋体"/>
                <w:color w:val="000000" w:themeColor="text1"/>
                <w:szCs w:val="21"/>
              </w:rPr>
              <w:t>个热插拔冗余电源，冗余风扇</w:t>
            </w:r>
          </w:p>
          <w:p>
            <w:pPr>
              <w:spacing w:line="300" w:lineRule="exact"/>
              <w:rPr>
                <w:rFonts w:ascii="宋体" w:hAnsi="宋体"/>
                <w:color w:val="000000" w:themeColor="text1"/>
                <w:szCs w:val="21"/>
              </w:rPr>
            </w:pPr>
            <w:r>
              <w:rPr>
                <w:rFonts w:hint="eastAsia" w:ascii="宋体" w:hAnsi="宋体"/>
                <w:color w:val="000000" w:themeColor="text1"/>
                <w:szCs w:val="21"/>
              </w:rPr>
              <w:t>工作温度</w:t>
            </w:r>
            <w:r>
              <w:rPr>
                <w:rFonts w:ascii="宋体" w:hAnsi="宋体"/>
                <w:color w:val="000000" w:themeColor="text1"/>
                <w:szCs w:val="21"/>
              </w:rPr>
              <w:t>:</w:t>
            </w:r>
            <w:r>
              <w:rPr>
                <w:rFonts w:hint="eastAsia" w:ascii="宋体" w:hAnsi="宋体"/>
                <w:color w:val="000000" w:themeColor="text1"/>
                <w:szCs w:val="21"/>
              </w:rPr>
              <w:t>支持最高</w:t>
            </w:r>
            <w:r>
              <w:rPr>
                <w:rFonts w:ascii="宋体" w:hAnsi="宋体"/>
                <w:color w:val="000000" w:themeColor="text1"/>
                <w:szCs w:val="21"/>
              </w:rPr>
              <w:t>5-40</w:t>
            </w:r>
            <w:r>
              <w:rPr>
                <w:rFonts w:hint="eastAsia" w:ascii="宋体" w:hAnsi="宋体"/>
                <w:color w:val="000000" w:themeColor="text1"/>
                <w:szCs w:val="21"/>
              </w:rPr>
              <w:t>°</w:t>
            </w:r>
            <w:r>
              <w:rPr>
                <w:rFonts w:ascii="宋体" w:hAnsi="宋体"/>
                <w:color w:val="000000" w:themeColor="text1"/>
                <w:szCs w:val="21"/>
              </w:rPr>
              <w:t>C</w:t>
            </w:r>
            <w:r>
              <w:rPr>
                <w:rFonts w:hint="eastAsia" w:ascii="宋体" w:hAnsi="宋体"/>
                <w:color w:val="000000" w:themeColor="text1"/>
                <w:szCs w:val="21"/>
              </w:rPr>
              <w:t>标准工作温度</w:t>
            </w:r>
          </w:p>
          <w:p>
            <w:pPr>
              <w:spacing w:line="300" w:lineRule="exact"/>
              <w:rPr>
                <w:rFonts w:ascii="宋体" w:hAnsi="宋体"/>
                <w:color w:val="000000" w:themeColor="text1"/>
                <w:szCs w:val="21"/>
              </w:rPr>
            </w:pPr>
            <w:r>
              <w:rPr>
                <w:rFonts w:hint="eastAsia" w:ascii="宋体" w:hAnsi="宋体"/>
                <w:color w:val="000000" w:themeColor="text1"/>
                <w:szCs w:val="21"/>
              </w:rPr>
              <w:t>网络带宽</w:t>
            </w:r>
            <w:r>
              <w:rPr>
                <w:rFonts w:ascii="宋体" w:hAnsi="宋体"/>
                <w:color w:val="000000" w:themeColor="text1"/>
                <w:szCs w:val="21"/>
              </w:rPr>
              <w:t>:</w:t>
            </w:r>
            <w:r>
              <w:rPr>
                <w:rFonts w:hint="eastAsia" w:ascii="宋体" w:hAnsi="宋体"/>
                <w:color w:val="000000" w:themeColor="text1"/>
                <w:szCs w:val="21"/>
              </w:rPr>
              <w:t>支持多种网络带宽；</w:t>
            </w:r>
          </w:p>
          <w:p>
            <w:pPr>
              <w:spacing w:line="300" w:lineRule="exact"/>
              <w:rPr>
                <w:rFonts w:ascii="宋体" w:hAnsi="宋体"/>
                <w:color w:val="000000" w:themeColor="text1"/>
                <w:szCs w:val="21"/>
              </w:rPr>
            </w:pPr>
            <w:r>
              <w:rPr>
                <w:rFonts w:hint="eastAsia" w:ascii="宋体" w:hAnsi="宋体"/>
                <w:color w:val="000000" w:themeColor="text1"/>
                <w:szCs w:val="21"/>
              </w:rPr>
              <w:t>配置≥</w:t>
            </w:r>
            <w:r>
              <w:rPr>
                <w:rFonts w:ascii="宋体" w:hAnsi="宋体"/>
                <w:color w:val="000000" w:themeColor="text1"/>
                <w:szCs w:val="21"/>
              </w:rPr>
              <w:t>1Gb</w:t>
            </w:r>
            <w:r>
              <w:rPr>
                <w:rFonts w:hint="eastAsia" w:ascii="宋体" w:hAnsi="宋体"/>
                <w:color w:val="000000" w:themeColor="text1"/>
                <w:szCs w:val="21"/>
              </w:rPr>
              <w:t>独立的远程管理控制端口；</w:t>
            </w:r>
          </w:p>
          <w:p>
            <w:pPr>
              <w:spacing w:line="300" w:lineRule="exact"/>
              <w:rPr>
                <w:rFonts w:ascii="仿宋_GB2312"/>
                <w:bCs/>
                <w:color w:val="000000" w:themeColor="text1"/>
              </w:rPr>
            </w:pPr>
            <w:r>
              <w:rPr>
                <w:rFonts w:hint="eastAsia" w:ascii="宋体" w:hAnsi="宋体"/>
                <w:color w:val="000000" w:themeColor="text1"/>
                <w:szCs w:val="21"/>
              </w:rPr>
              <w:t>阵列控制器</w:t>
            </w:r>
            <w:r>
              <w:rPr>
                <w:rFonts w:ascii="宋体" w:hAnsi="宋体"/>
                <w:color w:val="000000" w:themeColor="text1"/>
                <w:szCs w:val="21"/>
              </w:rPr>
              <w:t>:</w:t>
            </w:r>
            <w:r>
              <w:rPr>
                <w:rFonts w:hint="eastAsia" w:ascii="宋体" w:hAnsi="宋体"/>
                <w:color w:val="000000" w:themeColor="text1"/>
                <w:szCs w:val="21"/>
              </w:rPr>
              <w:t>≥</w:t>
            </w:r>
            <w:r>
              <w:rPr>
                <w:rFonts w:ascii="宋体" w:hAnsi="宋体"/>
                <w:color w:val="000000" w:themeColor="text1"/>
                <w:szCs w:val="21"/>
              </w:rPr>
              <w:t>1</w:t>
            </w:r>
            <w:r>
              <w:rPr>
                <w:rFonts w:hint="eastAsia" w:ascii="宋体" w:hAnsi="宋体"/>
                <w:color w:val="000000" w:themeColor="text1"/>
                <w:szCs w:val="21"/>
              </w:rPr>
              <w:t>个标配</w:t>
            </w:r>
            <w:r>
              <w:rPr>
                <w:rFonts w:ascii="宋体" w:hAnsi="宋体"/>
                <w:color w:val="000000" w:themeColor="text1"/>
                <w:szCs w:val="21"/>
              </w:rPr>
              <w:t>RAID</w:t>
            </w:r>
            <w:r>
              <w:rPr>
                <w:rFonts w:hint="eastAsia" w:ascii="宋体" w:hAnsi="宋体"/>
                <w:color w:val="000000" w:themeColor="text1"/>
                <w:szCs w:val="21"/>
              </w:rPr>
              <w:t>阵列卡。</w:t>
            </w:r>
          </w:p>
        </w:tc>
        <w:tc>
          <w:tcPr>
            <w:tcW w:w="636" w:type="dxa"/>
            <w:noWrap/>
            <w:vAlign w:val="center"/>
          </w:tcPr>
          <w:p>
            <w:pPr>
              <w:spacing w:line="300" w:lineRule="exact"/>
              <w:rPr>
                <w:rFonts w:ascii="仿宋_GB2312"/>
                <w:bCs/>
                <w:color w:val="000000" w:themeColor="text1"/>
              </w:rPr>
            </w:pPr>
            <w:r>
              <w:rPr>
                <w:rFonts w:hint="eastAsia" w:ascii="仿宋_GB2312"/>
                <w:bCs/>
                <w:color w:val="000000" w:themeColor="text1"/>
              </w:rPr>
              <w:t>1</w:t>
            </w:r>
          </w:p>
        </w:tc>
        <w:tc>
          <w:tcPr>
            <w:tcW w:w="467" w:type="dxa"/>
            <w:vAlign w:val="center"/>
          </w:tcPr>
          <w:p>
            <w:pPr>
              <w:spacing w:line="300" w:lineRule="exact"/>
              <w:jc w:val="center"/>
              <w:rPr>
                <w:rFonts w:ascii="仿宋_GB2312"/>
                <w:bCs/>
                <w:color w:val="000000" w:themeColor="text1"/>
              </w:rPr>
            </w:pPr>
          </w:p>
        </w:tc>
        <w:tc>
          <w:tcPr>
            <w:tcW w:w="447" w:type="dxa"/>
            <w:noWrap/>
            <w:vAlign w:val="center"/>
          </w:tcPr>
          <w:p>
            <w:pPr>
              <w:spacing w:line="300" w:lineRule="exact"/>
              <w:jc w:val="center"/>
              <w:rPr>
                <w:rFonts w:ascii="仿宋_GB2312"/>
                <w:bCs/>
                <w:color w:val="000000" w:themeColor="text1"/>
              </w:rPr>
            </w:pPr>
            <w:r>
              <w:rPr>
                <w:rFonts w:hint="eastAsia" w:ascii="仿宋_GB2312"/>
                <w:bCs/>
                <w:color w:val="000000" w:themeColor="text1"/>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0" w:type="dxa"/>
            <w:vMerge w:val="continue"/>
            <w:vAlign w:val="center"/>
          </w:tcPr>
          <w:p>
            <w:pPr>
              <w:spacing w:line="300" w:lineRule="exact"/>
              <w:jc w:val="center"/>
              <w:rPr>
                <w:rFonts w:ascii="仿宋_GB2312"/>
                <w:bCs/>
                <w:color w:val="000000" w:themeColor="text1"/>
              </w:rPr>
            </w:pPr>
          </w:p>
        </w:tc>
        <w:tc>
          <w:tcPr>
            <w:tcW w:w="1882" w:type="dxa"/>
            <w:vAlign w:val="center"/>
          </w:tcPr>
          <w:p>
            <w:pPr>
              <w:spacing w:line="300" w:lineRule="exact"/>
              <w:jc w:val="center"/>
              <w:rPr>
                <w:rFonts w:ascii="仿宋_GB2312"/>
                <w:bCs/>
                <w:color w:val="000000" w:themeColor="text1"/>
              </w:rPr>
            </w:pPr>
            <w:r>
              <w:rPr>
                <w:rFonts w:hint="eastAsia" w:ascii="仿宋_GB2312"/>
                <w:bCs/>
                <w:color w:val="000000" w:themeColor="text1"/>
              </w:rPr>
              <w:t>智能检索应用</w:t>
            </w:r>
          </w:p>
        </w:tc>
        <w:tc>
          <w:tcPr>
            <w:tcW w:w="4526" w:type="dxa"/>
            <w:vAlign w:val="center"/>
          </w:tcPr>
          <w:p>
            <w:pPr>
              <w:spacing w:line="300" w:lineRule="exact"/>
              <w:rPr>
                <w:rFonts w:ascii="仿宋_GB2312"/>
                <w:bCs/>
                <w:color w:val="000000" w:themeColor="text1"/>
              </w:rPr>
            </w:pPr>
            <w:r>
              <w:rPr>
                <w:rFonts w:hint="eastAsia" w:ascii="仿宋_GB2312"/>
                <w:bCs/>
                <w:color w:val="000000" w:themeColor="text1"/>
              </w:rPr>
              <w:t>视频结构化系统具备智能检索功能如下：</w:t>
            </w:r>
            <w:r>
              <w:rPr>
                <w:rFonts w:hint="eastAsia" w:ascii="仿宋_GB2312"/>
                <w:bCs/>
                <w:color w:val="000000" w:themeColor="text1"/>
              </w:rPr>
              <w:br w:type="textWrapping"/>
            </w:r>
            <w:r>
              <w:rPr>
                <w:rFonts w:hint="eastAsia" w:ascii="仿宋_GB2312"/>
                <w:bCs/>
                <w:color w:val="000000" w:themeColor="text1"/>
              </w:rPr>
              <w:t xml:space="preserve"> 目标类型检索</w:t>
            </w:r>
            <w:r>
              <w:rPr>
                <w:rFonts w:hint="eastAsia" w:ascii="仿宋_GB2312"/>
                <w:bCs/>
                <w:color w:val="000000" w:themeColor="text1"/>
              </w:rPr>
              <w:br w:type="textWrapping"/>
            </w:r>
            <w:r>
              <w:rPr>
                <w:rFonts w:hint="eastAsia" w:ascii="仿宋_GB2312"/>
                <w:bCs/>
                <w:color w:val="000000" w:themeColor="text1"/>
              </w:rPr>
              <w:t>支持以人、机动车、非机动车为条件进行智能检索；</w:t>
            </w:r>
            <w:r>
              <w:rPr>
                <w:rFonts w:hint="eastAsia" w:ascii="仿宋_GB2312"/>
                <w:bCs/>
                <w:color w:val="000000" w:themeColor="text1"/>
              </w:rPr>
              <w:br w:type="textWrapping"/>
            </w:r>
            <w:r>
              <w:rPr>
                <w:rFonts w:hint="eastAsia" w:ascii="仿宋_GB2312"/>
                <w:bCs/>
                <w:color w:val="000000" w:themeColor="text1"/>
              </w:rPr>
              <w:t xml:space="preserve"> 按时间段检索</w:t>
            </w:r>
            <w:r>
              <w:rPr>
                <w:rFonts w:hint="eastAsia" w:ascii="仿宋_GB2312"/>
                <w:bCs/>
                <w:color w:val="000000" w:themeColor="text1"/>
              </w:rPr>
              <w:br w:type="textWrapping"/>
            </w:r>
            <w:r>
              <w:rPr>
                <w:rFonts w:hint="eastAsia" w:ascii="仿宋_GB2312"/>
                <w:bCs/>
                <w:color w:val="000000" w:themeColor="text1"/>
              </w:rPr>
              <w:t>支持按时间段检索目标，可设置检索的起始和结束时间；</w:t>
            </w:r>
            <w:r>
              <w:rPr>
                <w:rFonts w:hint="eastAsia" w:ascii="仿宋_GB2312"/>
                <w:bCs/>
                <w:color w:val="000000" w:themeColor="text1"/>
              </w:rPr>
              <w:br w:type="textWrapping"/>
            </w:r>
            <w:r>
              <w:rPr>
                <w:rFonts w:hint="eastAsia" w:ascii="仿宋_GB2312"/>
                <w:bCs/>
                <w:color w:val="000000" w:themeColor="text1"/>
              </w:rPr>
              <w:t xml:space="preserve"> 车辆信息检索</w:t>
            </w:r>
            <w:r>
              <w:rPr>
                <w:rFonts w:hint="eastAsia" w:ascii="仿宋_GB2312"/>
                <w:bCs/>
                <w:color w:val="000000" w:themeColor="text1"/>
              </w:rPr>
              <w:br w:type="textWrapping"/>
            </w:r>
            <w:r>
              <w:rPr>
                <w:rFonts w:hint="eastAsia" w:ascii="仿宋_GB2312"/>
                <w:bCs/>
                <w:color w:val="000000" w:themeColor="text1"/>
              </w:rPr>
              <w:t>支持以通道、过车时间、车牌号、车牌颜色、车辆颜色、车辆类型、车辆品牌为条件对车辆进行检索；</w:t>
            </w:r>
            <w:r>
              <w:rPr>
                <w:rFonts w:hint="eastAsia" w:ascii="仿宋_GB2312"/>
                <w:bCs/>
                <w:color w:val="000000" w:themeColor="text1"/>
              </w:rPr>
              <w:br w:type="textWrapping"/>
            </w:r>
            <w:r>
              <w:rPr>
                <w:rFonts w:hint="eastAsia" w:ascii="仿宋_GB2312"/>
                <w:bCs/>
                <w:color w:val="000000" w:themeColor="text1"/>
              </w:rPr>
              <w:t>支持车牌号码模糊检索功能；</w:t>
            </w:r>
            <w:r>
              <w:rPr>
                <w:rFonts w:hint="eastAsia" w:ascii="仿宋_GB2312"/>
                <w:bCs/>
                <w:color w:val="000000" w:themeColor="text1"/>
              </w:rPr>
              <w:br w:type="textWrapping"/>
            </w:r>
            <w:r>
              <w:rPr>
                <w:rFonts w:hint="eastAsia" w:ascii="仿宋_GB2312"/>
                <w:bCs/>
                <w:color w:val="000000" w:themeColor="text1"/>
              </w:rPr>
              <w:t>行人信息检索</w:t>
            </w:r>
            <w:r>
              <w:rPr>
                <w:rFonts w:hint="eastAsia" w:ascii="仿宋_GB2312"/>
                <w:bCs/>
                <w:color w:val="000000" w:themeColor="text1"/>
              </w:rPr>
              <w:br w:type="textWrapping"/>
            </w:r>
            <w:r>
              <w:rPr>
                <w:rFonts w:hint="eastAsia" w:ascii="仿宋_GB2312"/>
                <w:bCs/>
                <w:color w:val="000000" w:themeColor="text1"/>
              </w:rPr>
              <w:t>支持以通道、经过时间、支持性别、年龄段、是否拎包、是否背包、是否打伞、发饰类型、是否戴帽、上身衣服类型、上身衣服颜色、下身衣服类型、下身衣服颜色、人身体朝向（前、后、侧）等特征进行人体特征检索；</w:t>
            </w:r>
            <w:r>
              <w:rPr>
                <w:rFonts w:hint="eastAsia" w:ascii="仿宋_GB2312"/>
                <w:bCs/>
                <w:color w:val="000000" w:themeColor="text1"/>
              </w:rPr>
              <w:br w:type="textWrapping"/>
            </w:r>
            <w:r>
              <w:rPr>
                <w:rFonts w:hint="eastAsia" w:ascii="仿宋_GB2312"/>
                <w:bCs/>
                <w:color w:val="000000" w:themeColor="text1"/>
              </w:rPr>
              <w:t xml:space="preserve"> 智能轨迹还原</w:t>
            </w:r>
            <w:r>
              <w:rPr>
                <w:rFonts w:hint="eastAsia" w:ascii="仿宋_GB2312"/>
                <w:bCs/>
                <w:color w:val="000000" w:themeColor="text1"/>
              </w:rPr>
              <w:br w:type="textWrapping"/>
            </w:r>
            <w:r>
              <w:rPr>
                <w:rFonts w:hint="eastAsia" w:ascii="仿宋_GB2312"/>
                <w:bCs/>
                <w:color w:val="000000" w:themeColor="text1"/>
              </w:rPr>
              <w:t>结合视频结构化信息在人工确认配合下对目标轨迹进行快速还原；</w:t>
            </w:r>
            <w:r>
              <w:rPr>
                <w:rFonts w:hint="eastAsia" w:ascii="仿宋_GB2312"/>
                <w:bCs/>
                <w:color w:val="000000" w:themeColor="text1"/>
              </w:rPr>
              <w:br w:type="textWrapping"/>
            </w:r>
            <w:r>
              <w:rPr>
                <w:rFonts w:hint="eastAsia" w:ascii="仿宋_GB2312"/>
                <w:bCs/>
                <w:color w:val="000000" w:themeColor="text1"/>
              </w:rPr>
              <w:t xml:space="preserve"> 检索结果</w:t>
            </w:r>
            <w:r>
              <w:rPr>
                <w:rFonts w:hint="eastAsia" w:ascii="仿宋_GB2312"/>
                <w:bCs/>
                <w:color w:val="000000" w:themeColor="text1"/>
              </w:rPr>
              <w:br w:type="textWrapping"/>
            </w:r>
            <w:r>
              <w:rPr>
                <w:rFonts w:hint="eastAsia" w:ascii="仿宋_GB2312"/>
                <w:bCs/>
                <w:color w:val="000000" w:themeColor="text1"/>
              </w:rPr>
              <w:t>车辆检索结果应包括过车的时间、车牌号、车辆颜色、车辆类型、车辆品牌，车辆子品牌、车辆方向，遮阳板，安全带，打手机，年检标以及对应的车辆图片等信息；</w:t>
            </w:r>
            <w:r>
              <w:rPr>
                <w:rFonts w:hint="eastAsia" w:ascii="仿宋_GB2312"/>
                <w:bCs/>
                <w:color w:val="000000" w:themeColor="text1"/>
              </w:rPr>
              <w:br w:type="textWrapping"/>
            </w:r>
            <w:r>
              <w:rPr>
                <w:rFonts w:hint="eastAsia" w:ascii="仿宋_GB2312"/>
                <w:bCs/>
                <w:color w:val="000000" w:themeColor="text1"/>
              </w:rPr>
              <w:t>行人检索结果应包括时间、颜色、大小、运动方向、速度、年龄段、性别、是否戴眼镜、是否骑车、是否背包、是否拎东西及对应的图片等信息；</w:t>
            </w:r>
            <w:r>
              <w:rPr>
                <w:rFonts w:hint="eastAsia" w:ascii="仿宋_GB2312"/>
                <w:bCs/>
                <w:color w:val="000000" w:themeColor="text1"/>
              </w:rPr>
              <w:br w:type="textWrapping"/>
            </w:r>
            <w:r>
              <w:rPr>
                <w:rFonts w:hint="eastAsia" w:ascii="仿宋_GB2312"/>
                <w:bCs/>
                <w:color w:val="000000" w:themeColor="text1"/>
              </w:rPr>
              <w:t>车辆、人、活动目标的检索结果支持以缩略图形式展现；</w:t>
            </w:r>
            <w:r>
              <w:rPr>
                <w:rFonts w:hint="eastAsia" w:ascii="仿宋_GB2312"/>
                <w:bCs/>
                <w:color w:val="000000" w:themeColor="text1"/>
              </w:rPr>
              <w:br w:type="textWrapping"/>
            </w:r>
            <w:r>
              <w:rPr>
                <w:rFonts w:hint="eastAsia" w:ascii="仿宋_GB2312"/>
                <w:bCs/>
                <w:color w:val="000000" w:themeColor="text1"/>
              </w:rPr>
              <w:t xml:space="preserve"> 数据导出</w:t>
            </w:r>
            <w:r>
              <w:rPr>
                <w:rFonts w:hint="eastAsia" w:ascii="仿宋_GB2312"/>
                <w:bCs/>
                <w:color w:val="000000" w:themeColor="text1"/>
              </w:rPr>
              <w:br w:type="textWrapping"/>
            </w:r>
            <w:r>
              <w:rPr>
                <w:rFonts w:hint="eastAsia" w:ascii="仿宋_GB2312"/>
                <w:bCs/>
                <w:color w:val="000000" w:themeColor="text1"/>
              </w:rPr>
              <w:t>支持将检索到的结构化数据和图片结果以Excel表格形式导出；</w:t>
            </w:r>
          </w:p>
        </w:tc>
        <w:tc>
          <w:tcPr>
            <w:tcW w:w="636" w:type="dxa"/>
            <w:vMerge w:val="restart"/>
            <w:noWrap/>
            <w:vAlign w:val="center"/>
          </w:tcPr>
          <w:p>
            <w:pPr>
              <w:spacing w:line="300" w:lineRule="exact"/>
              <w:rPr>
                <w:rFonts w:ascii="仿宋_GB2312"/>
                <w:bCs/>
                <w:color w:val="000000" w:themeColor="text1"/>
              </w:rPr>
            </w:pPr>
            <w:r>
              <w:rPr>
                <w:rFonts w:hint="eastAsia" w:ascii="仿宋_GB2312"/>
                <w:bCs/>
                <w:color w:val="000000" w:themeColor="text1"/>
              </w:rPr>
              <w:t>1</w:t>
            </w:r>
          </w:p>
        </w:tc>
        <w:tc>
          <w:tcPr>
            <w:tcW w:w="467" w:type="dxa"/>
            <w:vAlign w:val="center"/>
          </w:tcPr>
          <w:p>
            <w:pPr>
              <w:spacing w:line="300" w:lineRule="exact"/>
              <w:jc w:val="center"/>
              <w:rPr>
                <w:rFonts w:ascii="仿宋_GB2312"/>
                <w:bCs/>
                <w:color w:val="000000" w:themeColor="text1"/>
              </w:rPr>
            </w:pPr>
          </w:p>
        </w:tc>
        <w:tc>
          <w:tcPr>
            <w:tcW w:w="447" w:type="dxa"/>
            <w:vMerge w:val="restart"/>
            <w:noWrap/>
            <w:vAlign w:val="center"/>
          </w:tcPr>
          <w:p>
            <w:pPr>
              <w:spacing w:line="300" w:lineRule="exact"/>
              <w:jc w:val="center"/>
              <w:rPr>
                <w:rFonts w:ascii="仿宋_GB2312"/>
                <w:bCs/>
                <w:color w:val="000000" w:themeColor="text1"/>
              </w:rPr>
            </w:pPr>
            <w:r>
              <w:rPr>
                <w:rFonts w:hint="eastAsia" w:ascii="仿宋_GB2312"/>
                <w:bCs/>
                <w:color w:val="000000" w:themeColor="text1"/>
              </w:rPr>
              <w:t>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0" w:type="dxa"/>
            <w:vMerge w:val="continue"/>
            <w:vAlign w:val="center"/>
          </w:tcPr>
          <w:p>
            <w:pPr>
              <w:spacing w:line="300" w:lineRule="exact"/>
              <w:jc w:val="center"/>
              <w:rPr>
                <w:rFonts w:ascii="仿宋_GB2312"/>
                <w:bCs/>
                <w:color w:val="000000" w:themeColor="text1"/>
              </w:rPr>
            </w:pPr>
          </w:p>
        </w:tc>
        <w:tc>
          <w:tcPr>
            <w:tcW w:w="1882" w:type="dxa"/>
            <w:vAlign w:val="center"/>
          </w:tcPr>
          <w:p>
            <w:pPr>
              <w:spacing w:line="300" w:lineRule="exact"/>
              <w:jc w:val="center"/>
              <w:rPr>
                <w:rFonts w:ascii="仿宋_GB2312"/>
                <w:bCs/>
                <w:color w:val="000000" w:themeColor="text1"/>
              </w:rPr>
            </w:pPr>
            <w:r>
              <w:rPr>
                <w:rFonts w:hint="eastAsia" w:ascii="仿宋_GB2312"/>
                <w:bCs/>
                <w:color w:val="000000" w:themeColor="text1"/>
              </w:rPr>
              <w:t>全局搜索服务</w:t>
            </w:r>
          </w:p>
        </w:tc>
        <w:tc>
          <w:tcPr>
            <w:tcW w:w="4526" w:type="dxa"/>
            <w:vAlign w:val="center"/>
          </w:tcPr>
          <w:p>
            <w:pPr>
              <w:spacing w:line="300" w:lineRule="exact"/>
              <w:rPr>
                <w:rFonts w:ascii="仿宋_GB2312"/>
                <w:bCs/>
                <w:color w:val="000000" w:themeColor="text1"/>
              </w:rPr>
            </w:pPr>
            <w:r>
              <w:rPr>
                <w:rFonts w:hint="eastAsia" w:ascii="仿宋_GB2312"/>
                <w:bCs/>
                <w:color w:val="000000" w:themeColor="text1"/>
              </w:rPr>
              <w:t>所有的视频萃取结果进行统一的目标全局检索，根据视频查看单个文件的分析结果，也可以根据历史任务查看多个文件的分析结果，同时也提供了全局搜索的入口方便根据条件查找所有已分析过的视频摘要结果。让耗时耗力的视频侦查变为轻松高效的图片查找，配合关联视频播放即可快速定位关键线索，进行全局的目标人、车定位和查找。</w:t>
            </w:r>
          </w:p>
        </w:tc>
        <w:tc>
          <w:tcPr>
            <w:tcW w:w="636" w:type="dxa"/>
            <w:vMerge w:val="continue"/>
            <w:vAlign w:val="center"/>
          </w:tcPr>
          <w:p>
            <w:pPr>
              <w:spacing w:line="300" w:lineRule="exact"/>
              <w:rPr>
                <w:rFonts w:ascii="仿宋_GB2312"/>
                <w:bCs/>
                <w:color w:val="000000" w:themeColor="text1"/>
              </w:rPr>
            </w:pPr>
          </w:p>
        </w:tc>
        <w:tc>
          <w:tcPr>
            <w:tcW w:w="467" w:type="dxa"/>
            <w:vAlign w:val="center"/>
          </w:tcPr>
          <w:p>
            <w:pPr>
              <w:spacing w:line="300" w:lineRule="exact"/>
              <w:jc w:val="center"/>
              <w:rPr>
                <w:rFonts w:ascii="仿宋_GB2312"/>
                <w:bCs/>
                <w:color w:val="000000" w:themeColor="text1"/>
              </w:rPr>
            </w:pPr>
          </w:p>
        </w:tc>
        <w:tc>
          <w:tcPr>
            <w:tcW w:w="447" w:type="dxa"/>
            <w:vMerge w:val="continue"/>
            <w:vAlign w:val="center"/>
          </w:tcPr>
          <w:p>
            <w:pPr>
              <w:spacing w:line="300" w:lineRule="exact"/>
              <w:jc w:val="center"/>
              <w:rPr>
                <w:rFonts w:ascii="仿宋_GB2312"/>
                <w:bCs/>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0" w:type="dxa"/>
            <w:vMerge w:val="continue"/>
            <w:vAlign w:val="center"/>
          </w:tcPr>
          <w:p>
            <w:pPr>
              <w:spacing w:line="300" w:lineRule="exact"/>
              <w:jc w:val="center"/>
              <w:rPr>
                <w:rFonts w:ascii="仿宋_GB2312"/>
                <w:bCs/>
                <w:color w:val="000000" w:themeColor="text1"/>
              </w:rPr>
            </w:pPr>
          </w:p>
        </w:tc>
        <w:tc>
          <w:tcPr>
            <w:tcW w:w="1882" w:type="dxa"/>
            <w:vAlign w:val="center"/>
          </w:tcPr>
          <w:p>
            <w:pPr>
              <w:spacing w:line="300" w:lineRule="exact"/>
              <w:jc w:val="center"/>
              <w:rPr>
                <w:rFonts w:ascii="仿宋_GB2312"/>
                <w:bCs/>
                <w:color w:val="000000" w:themeColor="text1"/>
              </w:rPr>
            </w:pPr>
            <w:r>
              <w:rPr>
                <w:rFonts w:hint="eastAsia" w:ascii="仿宋_GB2312"/>
                <w:bCs/>
                <w:color w:val="000000" w:themeColor="text1"/>
              </w:rPr>
              <w:t>萃取图片处理</w:t>
            </w:r>
          </w:p>
        </w:tc>
        <w:tc>
          <w:tcPr>
            <w:tcW w:w="4526" w:type="dxa"/>
            <w:vAlign w:val="center"/>
          </w:tcPr>
          <w:p>
            <w:pPr>
              <w:spacing w:line="300" w:lineRule="exact"/>
              <w:rPr>
                <w:rFonts w:ascii="仿宋_GB2312"/>
                <w:bCs/>
                <w:color w:val="000000" w:themeColor="text1"/>
              </w:rPr>
            </w:pPr>
            <w:r>
              <w:rPr>
                <w:rFonts w:hint="eastAsia" w:ascii="仿宋_GB2312"/>
                <w:bCs/>
                <w:color w:val="000000" w:themeColor="text1"/>
              </w:rPr>
              <w:t>视频结构化系统具备图片处理功能，可对检测结果图片进行优化处理，处理功能包括对比度调节、明亮度调节、去雾处理、去噪处理、强光抑制、锐化。在获取检测结果后，有效提升画面质量，为实际实战应用提供有力视图保障。</w:t>
            </w:r>
          </w:p>
        </w:tc>
        <w:tc>
          <w:tcPr>
            <w:tcW w:w="636" w:type="dxa"/>
            <w:vMerge w:val="continue"/>
            <w:vAlign w:val="center"/>
          </w:tcPr>
          <w:p>
            <w:pPr>
              <w:spacing w:line="300" w:lineRule="exact"/>
              <w:rPr>
                <w:rFonts w:ascii="仿宋_GB2312"/>
                <w:bCs/>
                <w:color w:val="000000" w:themeColor="text1"/>
              </w:rPr>
            </w:pPr>
          </w:p>
        </w:tc>
        <w:tc>
          <w:tcPr>
            <w:tcW w:w="467" w:type="dxa"/>
            <w:vAlign w:val="center"/>
          </w:tcPr>
          <w:p>
            <w:pPr>
              <w:spacing w:line="300" w:lineRule="exact"/>
              <w:jc w:val="center"/>
              <w:rPr>
                <w:rFonts w:ascii="仿宋_GB2312"/>
                <w:bCs/>
                <w:color w:val="000000" w:themeColor="text1"/>
              </w:rPr>
            </w:pPr>
          </w:p>
        </w:tc>
        <w:tc>
          <w:tcPr>
            <w:tcW w:w="447" w:type="dxa"/>
            <w:vMerge w:val="continue"/>
            <w:vAlign w:val="center"/>
          </w:tcPr>
          <w:p>
            <w:pPr>
              <w:spacing w:line="300" w:lineRule="exact"/>
              <w:jc w:val="center"/>
              <w:rPr>
                <w:rFonts w:ascii="仿宋_GB2312"/>
                <w:bCs/>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0" w:type="dxa"/>
            <w:vMerge w:val="restart"/>
            <w:vAlign w:val="center"/>
          </w:tcPr>
          <w:p>
            <w:pPr>
              <w:spacing w:line="300" w:lineRule="exact"/>
              <w:jc w:val="center"/>
              <w:rPr>
                <w:rFonts w:ascii="仿宋_GB2312"/>
                <w:bCs/>
                <w:color w:val="000000" w:themeColor="text1"/>
              </w:rPr>
            </w:pPr>
            <w:r>
              <w:rPr>
                <w:rFonts w:hint="eastAsia" w:ascii="仿宋_GB2312"/>
                <w:bCs/>
                <w:color w:val="000000" w:themeColor="text1"/>
              </w:rPr>
              <w:t>重点区域安保应用</w:t>
            </w:r>
          </w:p>
        </w:tc>
        <w:tc>
          <w:tcPr>
            <w:tcW w:w="1882" w:type="dxa"/>
            <w:vMerge w:val="restart"/>
            <w:vAlign w:val="center"/>
          </w:tcPr>
          <w:p>
            <w:pPr>
              <w:spacing w:line="300" w:lineRule="exact"/>
              <w:jc w:val="center"/>
              <w:rPr>
                <w:rFonts w:ascii="仿宋_GB2312"/>
                <w:bCs/>
                <w:color w:val="000000" w:themeColor="text1"/>
              </w:rPr>
            </w:pPr>
            <w:r>
              <w:rPr>
                <w:rFonts w:hint="eastAsia" w:ascii="仿宋_GB2312"/>
                <w:bCs/>
                <w:color w:val="000000" w:themeColor="text1"/>
              </w:rPr>
              <w:t>AR实景指挥</w:t>
            </w:r>
          </w:p>
        </w:tc>
        <w:tc>
          <w:tcPr>
            <w:tcW w:w="4526" w:type="dxa"/>
            <w:vAlign w:val="center"/>
          </w:tcPr>
          <w:p>
            <w:pPr>
              <w:spacing w:line="300" w:lineRule="exact"/>
              <w:rPr>
                <w:rFonts w:ascii="仿宋_GB2312"/>
                <w:bCs/>
                <w:color w:val="000000" w:themeColor="text1"/>
              </w:rPr>
            </w:pPr>
            <w:r>
              <w:rPr>
                <w:rFonts w:hint="eastAsia" w:ascii="仿宋_GB2312"/>
                <w:bCs/>
                <w:color w:val="000000" w:themeColor="text1"/>
              </w:rPr>
              <w:t>地图实景指挥</w:t>
            </w:r>
            <w:r>
              <w:rPr>
                <w:rFonts w:hint="eastAsia" w:ascii="仿宋_GB2312"/>
                <w:bCs/>
                <w:color w:val="000000" w:themeColor="text1"/>
              </w:rPr>
              <w:br w:type="textWrapping"/>
            </w:r>
            <w:r>
              <w:rPr>
                <w:rFonts w:hint="eastAsia" w:ascii="仿宋_GB2312"/>
                <w:bCs/>
                <w:color w:val="000000" w:themeColor="text1"/>
              </w:rPr>
              <w:t>高点AR视频俯瞰地面，实时视频场景作为实景地图，通过AR增强技术，操作实时视频中标签与其他子系统进行联动，通过联动低点监控资源，可实现联网布控、联动指挥</w:t>
            </w:r>
          </w:p>
        </w:tc>
        <w:tc>
          <w:tcPr>
            <w:tcW w:w="636" w:type="dxa"/>
            <w:vMerge w:val="restart"/>
            <w:noWrap/>
            <w:vAlign w:val="center"/>
          </w:tcPr>
          <w:p>
            <w:pPr>
              <w:spacing w:line="300" w:lineRule="exact"/>
              <w:rPr>
                <w:rFonts w:ascii="仿宋_GB2312"/>
                <w:bCs/>
                <w:color w:val="000000" w:themeColor="text1"/>
              </w:rPr>
            </w:pPr>
            <w:r>
              <w:rPr>
                <w:rFonts w:hint="eastAsia" w:ascii="仿宋_GB2312"/>
                <w:bCs/>
                <w:color w:val="000000" w:themeColor="text1"/>
              </w:rPr>
              <w:t>1</w:t>
            </w:r>
          </w:p>
        </w:tc>
        <w:tc>
          <w:tcPr>
            <w:tcW w:w="467" w:type="dxa"/>
            <w:vAlign w:val="center"/>
          </w:tcPr>
          <w:p>
            <w:pPr>
              <w:spacing w:line="300" w:lineRule="exact"/>
              <w:jc w:val="center"/>
              <w:rPr>
                <w:rFonts w:ascii="仿宋_GB2312"/>
                <w:bCs/>
                <w:color w:val="000000" w:themeColor="text1"/>
              </w:rPr>
            </w:pPr>
          </w:p>
        </w:tc>
        <w:tc>
          <w:tcPr>
            <w:tcW w:w="447" w:type="dxa"/>
            <w:vMerge w:val="restart"/>
            <w:noWrap/>
            <w:vAlign w:val="center"/>
          </w:tcPr>
          <w:p>
            <w:pPr>
              <w:spacing w:line="300" w:lineRule="exact"/>
              <w:jc w:val="center"/>
              <w:rPr>
                <w:rFonts w:ascii="仿宋_GB2312"/>
                <w:bCs/>
                <w:color w:val="000000" w:themeColor="text1"/>
              </w:rPr>
            </w:pPr>
            <w:r>
              <w:rPr>
                <w:rFonts w:hint="eastAsia" w:ascii="仿宋_GB2312"/>
                <w:bCs/>
                <w:color w:val="000000" w:themeColor="text1"/>
              </w:rPr>
              <w:t>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0" w:type="dxa"/>
            <w:vMerge w:val="continue"/>
            <w:vAlign w:val="center"/>
          </w:tcPr>
          <w:p>
            <w:pPr>
              <w:spacing w:line="300" w:lineRule="exact"/>
              <w:jc w:val="center"/>
              <w:rPr>
                <w:rFonts w:ascii="仿宋_GB2312"/>
                <w:bCs/>
                <w:color w:val="000000" w:themeColor="text1"/>
              </w:rPr>
            </w:pPr>
          </w:p>
        </w:tc>
        <w:tc>
          <w:tcPr>
            <w:tcW w:w="1882" w:type="dxa"/>
            <w:vMerge w:val="continue"/>
            <w:vAlign w:val="center"/>
          </w:tcPr>
          <w:p>
            <w:pPr>
              <w:spacing w:line="300" w:lineRule="exact"/>
              <w:jc w:val="center"/>
              <w:rPr>
                <w:rFonts w:ascii="仿宋_GB2312"/>
                <w:bCs/>
                <w:color w:val="000000" w:themeColor="text1"/>
              </w:rPr>
            </w:pPr>
          </w:p>
        </w:tc>
        <w:tc>
          <w:tcPr>
            <w:tcW w:w="4526" w:type="dxa"/>
            <w:vAlign w:val="center"/>
          </w:tcPr>
          <w:p>
            <w:pPr>
              <w:spacing w:line="300" w:lineRule="exact"/>
              <w:rPr>
                <w:rFonts w:ascii="仿宋_GB2312"/>
                <w:bCs/>
                <w:color w:val="000000" w:themeColor="text1"/>
              </w:rPr>
            </w:pPr>
            <w:r>
              <w:rPr>
                <w:rFonts w:hint="eastAsia" w:ascii="仿宋_GB2312"/>
                <w:bCs/>
                <w:color w:val="000000" w:themeColor="text1"/>
              </w:rPr>
              <w:t>标签图层过滤</w:t>
            </w:r>
            <w:r>
              <w:rPr>
                <w:rFonts w:hint="eastAsia" w:ascii="仿宋_GB2312"/>
                <w:bCs/>
                <w:color w:val="000000" w:themeColor="text1"/>
              </w:rPr>
              <w:br w:type="textWrapping"/>
            </w:r>
            <w:r>
              <w:rPr>
                <w:rFonts w:hint="eastAsia" w:ascii="仿宋_GB2312"/>
                <w:bCs/>
                <w:color w:val="000000" w:themeColor="text1"/>
              </w:rPr>
              <w:t>对当前场景中的目标进行图层分层展现，比如按重要性分层，按类型数据（卡口、路口、警员、商场、客流、执勤岗亭、人脸抓拍等）分层。</w:t>
            </w:r>
          </w:p>
        </w:tc>
        <w:tc>
          <w:tcPr>
            <w:tcW w:w="636" w:type="dxa"/>
            <w:vMerge w:val="continue"/>
            <w:vAlign w:val="center"/>
          </w:tcPr>
          <w:p>
            <w:pPr>
              <w:spacing w:line="300" w:lineRule="exact"/>
              <w:rPr>
                <w:rFonts w:ascii="仿宋_GB2312"/>
                <w:bCs/>
                <w:color w:val="000000" w:themeColor="text1"/>
              </w:rPr>
            </w:pPr>
          </w:p>
        </w:tc>
        <w:tc>
          <w:tcPr>
            <w:tcW w:w="467" w:type="dxa"/>
            <w:vAlign w:val="center"/>
          </w:tcPr>
          <w:p>
            <w:pPr>
              <w:spacing w:line="300" w:lineRule="exact"/>
              <w:jc w:val="center"/>
              <w:rPr>
                <w:rFonts w:ascii="仿宋_GB2312"/>
                <w:bCs/>
                <w:color w:val="000000" w:themeColor="text1"/>
              </w:rPr>
            </w:pPr>
          </w:p>
        </w:tc>
        <w:tc>
          <w:tcPr>
            <w:tcW w:w="447" w:type="dxa"/>
            <w:vMerge w:val="continue"/>
            <w:vAlign w:val="center"/>
          </w:tcPr>
          <w:p>
            <w:pPr>
              <w:spacing w:line="300" w:lineRule="exact"/>
              <w:jc w:val="center"/>
              <w:rPr>
                <w:rFonts w:ascii="仿宋_GB2312"/>
                <w:bCs/>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0" w:type="dxa"/>
            <w:vMerge w:val="continue"/>
            <w:vAlign w:val="center"/>
          </w:tcPr>
          <w:p>
            <w:pPr>
              <w:spacing w:line="300" w:lineRule="exact"/>
              <w:jc w:val="center"/>
              <w:rPr>
                <w:rFonts w:ascii="仿宋_GB2312"/>
                <w:bCs/>
                <w:color w:val="000000" w:themeColor="text1"/>
              </w:rPr>
            </w:pPr>
          </w:p>
        </w:tc>
        <w:tc>
          <w:tcPr>
            <w:tcW w:w="1882" w:type="dxa"/>
            <w:vMerge w:val="continue"/>
            <w:vAlign w:val="center"/>
          </w:tcPr>
          <w:p>
            <w:pPr>
              <w:spacing w:line="300" w:lineRule="exact"/>
              <w:jc w:val="center"/>
              <w:rPr>
                <w:rFonts w:ascii="仿宋_GB2312"/>
                <w:bCs/>
                <w:color w:val="000000" w:themeColor="text1"/>
              </w:rPr>
            </w:pPr>
          </w:p>
        </w:tc>
        <w:tc>
          <w:tcPr>
            <w:tcW w:w="4526" w:type="dxa"/>
            <w:vAlign w:val="center"/>
          </w:tcPr>
          <w:p>
            <w:pPr>
              <w:spacing w:line="300" w:lineRule="exact"/>
              <w:rPr>
                <w:rFonts w:ascii="仿宋_GB2312"/>
                <w:bCs/>
                <w:color w:val="000000" w:themeColor="text1"/>
              </w:rPr>
            </w:pPr>
            <w:r>
              <w:rPr>
                <w:rFonts w:hint="eastAsia" w:ascii="仿宋_GB2312"/>
                <w:bCs/>
                <w:color w:val="000000" w:themeColor="text1"/>
              </w:rPr>
              <w:t>标签业务多样化呈现</w:t>
            </w:r>
            <w:r>
              <w:rPr>
                <w:rFonts w:hint="eastAsia" w:ascii="仿宋_GB2312"/>
                <w:bCs/>
                <w:color w:val="000000" w:themeColor="text1"/>
              </w:rPr>
              <w:br w:type="textWrapping"/>
            </w:r>
            <w:r>
              <w:rPr>
                <w:rFonts w:hint="eastAsia" w:ascii="仿宋_GB2312"/>
                <w:bCs/>
                <w:color w:val="000000" w:themeColor="text1"/>
              </w:rPr>
              <w:t>标签内容支持灵活的自定义，可以在标签上面添加文字、图片、链接，以及关联视频资源,比如卡口资源、人脸抓拍资源、**资源等。标签图标带分类标示的，标签可以按业务场景进行自定义模板</w:t>
            </w:r>
          </w:p>
        </w:tc>
        <w:tc>
          <w:tcPr>
            <w:tcW w:w="636" w:type="dxa"/>
            <w:vMerge w:val="continue"/>
            <w:vAlign w:val="center"/>
          </w:tcPr>
          <w:p>
            <w:pPr>
              <w:spacing w:line="300" w:lineRule="exact"/>
              <w:rPr>
                <w:rFonts w:ascii="仿宋_GB2312"/>
                <w:bCs/>
                <w:color w:val="000000" w:themeColor="text1"/>
              </w:rPr>
            </w:pPr>
          </w:p>
        </w:tc>
        <w:tc>
          <w:tcPr>
            <w:tcW w:w="467" w:type="dxa"/>
            <w:vAlign w:val="center"/>
          </w:tcPr>
          <w:p>
            <w:pPr>
              <w:spacing w:line="300" w:lineRule="exact"/>
              <w:jc w:val="center"/>
              <w:rPr>
                <w:rFonts w:ascii="仿宋_GB2312"/>
                <w:bCs/>
                <w:color w:val="000000" w:themeColor="text1"/>
              </w:rPr>
            </w:pPr>
          </w:p>
        </w:tc>
        <w:tc>
          <w:tcPr>
            <w:tcW w:w="447" w:type="dxa"/>
            <w:vMerge w:val="continue"/>
            <w:vAlign w:val="center"/>
          </w:tcPr>
          <w:p>
            <w:pPr>
              <w:spacing w:line="300" w:lineRule="exact"/>
              <w:jc w:val="center"/>
              <w:rPr>
                <w:rFonts w:ascii="仿宋_GB2312"/>
                <w:bCs/>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0" w:type="dxa"/>
            <w:vMerge w:val="continue"/>
            <w:vAlign w:val="center"/>
          </w:tcPr>
          <w:p>
            <w:pPr>
              <w:spacing w:line="300" w:lineRule="exact"/>
              <w:jc w:val="center"/>
              <w:rPr>
                <w:rFonts w:ascii="仿宋_GB2312"/>
                <w:bCs/>
                <w:color w:val="000000" w:themeColor="text1"/>
              </w:rPr>
            </w:pPr>
          </w:p>
        </w:tc>
        <w:tc>
          <w:tcPr>
            <w:tcW w:w="1882" w:type="dxa"/>
            <w:vMerge w:val="continue"/>
            <w:vAlign w:val="center"/>
          </w:tcPr>
          <w:p>
            <w:pPr>
              <w:spacing w:line="300" w:lineRule="exact"/>
              <w:jc w:val="center"/>
              <w:rPr>
                <w:rFonts w:ascii="仿宋_GB2312"/>
                <w:bCs/>
                <w:color w:val="000000" w:themeColor="text1"/>
              </w:rPr>
            </w:pPr>
          </w:p>
        </w:tc>
        <w:tc>
          <w:tcPr>
            <w:tcW w:w="4526" w:type="dxa"/>
            <w:vAlign w:val="center"/>
          </w:tcPr>
          <w:p>
            <w:pPr>
              <w:spacing w:line="300" w:lineRule="exact"/>
              <w:rPr>
                <w:rFonts w:ascii="仿宋_GB2312"/>
                <w:bCs/>
                <w:color w:val="000000" w:themeColor="text1"/>
              </w:rPr>
            </w:pPr>
            <w:r>
              <w:rPr>
                <w:rFonts w:hint="eastAsia" w:ascii="仿宋_GB2312"/>
                <w:bCs/>
                <w:color w:val="000000" w:themeColor="text1"/>
              </w:rPr>
              <w:t>前端设备接入和实景展示</w:t>
            </w:r>
            <w:r>
              <w:rPr>
                <w:rFonts w:hint="eastAsia" w:ascii="仿宋_GB2312"/>
                <w:bCs/>
                <w:color w:val="000000" w:themeColor="text1"/>
              </w:rPr>
              <w:br w:type="textWrapping"/>
            </w:r>
            <w:r>
              <w:rPr>
                <w:rFonts w:hint="eastAsia" w:ascii="仿宋_GB2312"/>
                <w:bCs/>
                <w:color w:val="000000" w:themeColor="text1"/>
              </w:rPr>
              <w:t>满足各类智能前端、移动终端的接入和可视化标签展示，包括前端枪机、人像卡口、车辆卡口、球机等设备；同时，前端移动终端采集拍摄的视频画面也能实时上传</w:t>
            </w:r>
          </w:p>
        </w:tc>
        <w:tc>
          <w:tcPr>
            <w:tcW w:w="636" w:type="dxa"/>
            <w:vMerge w:val="continue"/>
            <w:vAlign w:val="center"/>
          </w:tcPr>
          <w:p>
            <w:pPr>
              <w:spacing w:line="300" w:lineRule="exact"/>
              <w:rPr>
                <w:rFonts w:ascii="仿宋_GB2312"/>
                <w:bCs/>
                <w:color w:val="000000" w:themeColor="text1"/>
              </w:rPr>
            </w:pPr>
          </w:p>
        </w:tc>
        <w:tc>
          <w:tcPr>
            <w:tcW w:w="467" w:type="dxa"/>
            <w:vAlign w:val="center"/>
          </w:tcPr>
          <w:p>
            <w:pPr>
              <w:spacing w:line="300" w:lineRule="exact"/>
              <w:jc w:val="center"/>
              <w:rPr>
                <w:rFonts w:ascii="仿宋_GB2312"/>
                <w:bCs/>
                <w:color w:val="000000" w:themeColor="text1"/>
              </w:rPr>
            </w:pPr>
          </w:p>
        </w:tc>
        <w:tc>
          <w:tcPr>
            <w:tcW w:w="447" w:type="dxa"/>
            <w:vMerge w:val="continue"/>
            <w:vAlign w:val="center"/>
          </w:tcPr>
          <w:p>
            <w:pPr>
              <w:spacing w:line="300" w:lineRule="exact"/>
              <w:jc w:val="center"/>
              <w:rPr>
                <w:rFonts w:ascii="仿宋_GB2312"/>
                <w:bCs/>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0" w:type="dxa"/>
            <w:vMerge w:val="continue"/>
            <w:vAlign w:val="center"/>
          </w:tcPr>
          <w:p>
            <w:pPr>
              <w:spacing w:line="300" w:lineRule="exact"/>
              <w:jc w:val="center"/>
              <w:rPr>
                <w:rFonts w:ascii="仿宋_GB2312"/>
                <w:bCs/>
                <w:color w:val="000000" w:themeColor="text1"/>
              </w:rPr>
            </w:pPr>
          </w:p>
        </w:tc>
        <w:tc>
          <w:tcPr>
            <w:tcW w:w="1882" w:type="dxa"/>
            <w:vMerge w:val="continue"/>
            <w:vAlign w:val="center"/>
          </w:tcPr>
          <w:p>
            <w:pPr>
              <w:spacing w:line="300" w:lineRule="exact"/>
              <w:jc w:val="center"/>
              <w:rPr>
                <w:rFonts w:ascii="仿宋_GB2312"/>
                <w:bCs/>
                <w:color w:val="000000" w:themeColor="text1"/>
              </w:rPr>
            </w:pPr>
          </w:p>
        </w:tc>
        <w:tc>
          <w:tcPr>
            <w:tcW w:w="4526" w:type="dxa"/>
            <w:vAlign w:val="center"/>
          </w:tcPr>
          <w:p>
            <w:pPr>
              <w:spacing w:line="300" w:lineRule="exact"/>
              <w:rPr>
                <w:rFonts w:ascii="仿宋_GB2312"/>
                <w:bCs/>
                <w:color w:val="000000" w:themeColor="text1"/>
              </w:rPr>
            </w:pPr>
            <w:r>
              <w:rPr>
                <w:rFonts w:hint="eastAsia" w:ascii="仿宋_GB2312"/>
                <w:bCs/>
                <w:color w:val="000000" w:themeColor="text1"/>
              </w:rPr>
              <w:t>AR场景画中画</w:t>
            </w:r>
            <w:r>
              <w:rPr>
                <w:rFonts w:hint="eastAsia" w:ascii="仿宋_GB2312"/>
                <w:bCs/>
                <w:color w:val="000000" w:themeColor="text1"/>
              </w:rPr>
              <w:br w:type="textWrapping"/>
            </w:r>
            <w:r>
              <w:rPr>
                <w:rFonts w:hint="eastAsia" w:ascii="仿宋_GB2312"/>
                <w:bCs/>
                <w:color w:val="000000" w:themeColor="text1"/>
              </w:rPr>
              <w:t>在AR场景中，通过对已建系统进行对接，各对接子系统已标签的形式在AR场景中进行叠加，指挥中心工作人员可以实时与各子系统进行联动交互，以“画中画”的方式进行展示</w:t>
            </w:r>
          </w:p>
        </w:tc>
        <w:tc>
          <w:tcPr>
            <w:tcW w:w="636" w:type="dxa"/>
            <w:vMerge w:val="continue"/>
            <w:vAlign w:val="center"/>
          </w:tcPr>
          <w:p>
            <w:pPr>
              <w:spacing w:line="300" w:lineRule="exact"/>
              <w:rPr>
                <w:rFonts w:ascii="仿宋_GB2312"/>
                <w:bCs/>
                <w:color w:val="000000" w:themeColor="text1"/>
              </w:rPr>
            </w:pPr>
          </w:p>
        </w:tc>
        <w:tc>
          <w:tcPr>
            <w:tcW w:w="467" w:type="dxa"/>
            <w:vAlign w:val="center"/>
          </w:tcPr>
          <w:p>
            <w:pPr>
              <w:spacing w:line="300" w:lineRule="exact"/>
              <w:jc w:val="center"/>
              <w:rPr>
                <w:rFonts w:ascii="仿宋_GB2312"/>
                <w:bCs/>
                <w:color w:val="000000" w:themeColor="text1"/>
              </w:rPr>
            </w:pPr>
          </w:p>
        </w:tc>
        <w:tc>
          <w:tcPr>
            <w:tcW w:w="447" w:type="dxa"/>
            <w:vMerge w:val="continue"/>
            <w:vAlign w:val="center"/>
          </w:tcPr>
          <w:p>
            <w:pPr>
              <w:spacing w:line="300" w:lineRule="exact"/>
              <w:jc w:val="center"/>
              <w:rPr>
                <w:rFonts w:ascii="仿宋_GB2312"/>
                <w:bCs/>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0" w:type="dxa"/>
            <w:vMerge w:val="continue"/>
            <w:vAlign w:val="center"/>
          </w:tcPr>
          <w:p>
            <w:pPr>
              <w:spacing w:line="300" w:lineRule="exact"/>
              <w:jc w:val="center"/>
              <w:rPr>
                <w:rFonts w:ascii="仿宋_GB2312"/>
                <w:bCs/>
                <w:color w:val="000000" w:themeColor="text1"/>
              </w:rPr>
            </w:pPr>
          </w:p>
        </w:tc>
        <w:tc>
          <w:tcPr>
            <w:tcW w:w="1882" w:type="dxa"/>
            <w:vMerge w:val="continue"/>
            <w:vAlign w:val="center"/>
          </w:tcPr>
          <w:p>
            <w:pPr>
              <w:spacing w:line="300" w:lineRule="exact"/>
              <w:jc w:val="center"/>
              <w:rPr>
                <w:rFonts w:ascii="仿宋_GB2312"/>
                <w:bCs/>
                <w:color w:val="000000" w:themeColor="text1"/>
              </w:rPr>
            </w:pPr>
          </w:p>
        </w:tc>
        <w:tc>
          <w:tcPr>
            <w:tcW w:w="4526" w:type="dxa"/>
            <w:vAlign w:val="center"/>
          </w:tcPr>
          <w:p>
            <w:pPr>
              <w:spacing w:line="300" w:lineRule="exact"/>
              <w:rPr>
                <w:rFonts w:ascii="仿宋_GB2312"/>
                <w:bCs/>
                <w:color w:val="000000" w:themeColor="text1"/>
              </w:rPr>
            </w:pPr>
            <w:r>
              <w:rPr>
                <w:rFonts w:hint="eastAsia" w:ascii="仿宋_GB2312"/>
                <w:bCs/>
                <w:color w:val="000000" w:themeColor="text1"/>
              </w:rPr>
              <w:t>全景多目标跟踪</w:t>
            </w:r>
            <w:r>
              <w:rPr>
                <w:rFonts w:hint="eastAsia" w:ascii="仿宋_GB2312"/>
                <w:bCs/>
                <w:color w:val="000000" w:themeColor="text1"/>
              </w:rPr>
              <w:br w:type="textWrapping"/>
            </w:r>
            <w:r>
              <w:rPr>
                <w:rFonts w:hint="eastAsia" w:ascii="仿宋_GB2312"/>
                <w:bCs/>
                <w:color w:val="000000" w:themeColor="text1"/>
              </w:rPr>
              <w:t>在大场景覆盖区域中，存在部分区域无法覆盖情况，依托高点优势，可以通过高空球机对当前画面中的单个或多个车辆进行自动跟踪或手动跟踪，实时关注车辆运行轨迹情况。</w:t>
            </w:r>
          </w:p>
        </w:tc>
        <w:tc>
          <w:tcPr>
            <w:tcW w:w="636" w:type="dxa"/>
            <w:vMerge w:val="continue"/>
            <w:vAlign w:val="center"/>
          </w:tcPr>
          <w:p>
            <w:pPr>
              <w:spacing w:line="300" w:lineRule="exact"/>
              <w:rPr>
                <w:rFonts w:ascii="仿宋_GB2312"/>
                <w:bCs/>
                <w:color w:val="000000" w:themeColor="text1"/>
              </w:rPr>
            </w:pPr>
          </w:p>
        </w:tc>
        <w:tc>
          <w:tcPr>
            <w:tcW w:w="467" w:type="dxa"/>
            <w:vAlign w:val="center"/>
          </w:tcPr>
          <w:p>
            <w:pPr>
              <w:spacing w:line="300" w:lineRule="exact"/>
              <w:jc w:val="center"/>
              <w:rPr>
                <w:rFonts w:ascii="仿宋_GB2312"/>
                <w:bCs/>
                <w:color w:val="000000" w:themeColor="text1"/>
              </w:rPr>
            </w:pPr>
          </w:p>
        </w:tc>
        <w:tc>
          <w:tcPr>
            <w:tcW w:w="447" w:type="dxa"/>
            <w:vMerge w:val="continue"/>
            <w:vAlign w:val="center"/>
          </w:tcPr>
          <w:p>
            <w:pPr>
              <w:spacing w:line="300" w:lineRule="exact"/>
              <w:jc w:val="center"/>
              <w:rPr>
                <w:rFonts w:ascii="仿宋_GB2312"/>
                <w:bCs/>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0" w:type="dxa"/>
            <w:vMerge w:val="continue"/>
            <w:vAlign w:val="center"/>
          </w:tcPr>
          <w:p>
            <w:pPr>
              <w:spacing w:line="300" w:lineRule="exact"/>
              <w:jc w:val="center"/>
              <w:rPr>
                <w:rFonts w:ascii="仿宋_GB2312"/>
                <w:bCs/>
                <w:color w:val="000000" w:themeColor="text1"/>
              </w:rPr>
            </w:pPr>
          </w:p>
        </w:tc>
        <w:tc>
          <w:tcPr>
            <w:tcW w:w="1882" w:type="dxa"/>
            <w:vMerge w:val="continue"/>
            <w:vAlign w:val="center"/>
          </w:tcPr>
          <w:p>
            <w:pPr>
              <w:spacing w:line="300" w:lineRule="exact"/>
              <w:jc w:val="center"/>
              <w:rPr>
                <w:rFonts w:ascii="仿宋_GB2312"/>
                <w:bCs/>
                <w:color w:val="000000" w:themeColor="text1"/>
              </w:rPr>
            </w:pPr>
          </w:p>
        </w:tc>
        <w:tc>
          <w:tcPr>
            <w:tcW w:w="4526" w:type="dxa"/>
            <w:vAlign w:val="center"/>
          </w:tcPr>
          <w:p>
            <w:pPr>
              <w:spacing w:line="300" w:lineRule="exact"/>
              <w:rPr>
                <w:rFonts w:ascii="仿宋_GB2312"/>
                <w:bCs/>
                <w:color w:val="000000" w:themeColor="text1"/>
              </w:rPr>
            </w:pPr>
            <w:r>
              <w:rPr>
                <w:rFonts w:hint="eastAsia" w:ascii="仿宋_GB2312"/>
                <w:bCs/>
                <w:color w:val="000000" w:themeColor="text1"/>
              </w:rPr>
              <w:t>全息场景追溯</w:t>
            </w:r>
            <w:r>
              <w:rPr>
                <w:rFonts w:hint="eastAsia" w:ascii="仿宋_GB2312"/>
                <w:bCs/>
                <w:color w:val="000000" w:themeColor="text1"/>
              </w:rPr>
              <w:br w:type="textWrapping"/>
            </w:r>
            <w:r>
              <w:rPr>
                <w:rFonts w:hint="eastAsia" w:ascii="仿宋_GB2312"/>
                <w:bCs/>
                <w:color w:val="000000" w:themeColor="text1"/>
              </w:rPr>
              <w:t>AR是景指挥应用系统不仅面向事前预警、事中管控，同样适用于事后场景追溯，让用户能够从历史视频追查中，实现基于AR技术的场景还原、视频播放、标签展示、信息复原等功能</w:t>
            </w:r>
          </w:p>
        </w:tc>
        <w:tc>
          <w:tcPr>
            <w:tcW w:w="636" w:type="dxa"/>
            <w:vMerge w:val="continue"/>
            <w:vAlign w:val="center"/>
          </w:tcPr>
          <w:p>
            <w:pPr>
              <w:spacing w:line="300" w:lineRule="exact"/>
              <w:rPr>
                <w:rFonts w:ascii="仿宋_GB2312"/>
                <w:bCs/>
                <w:color w:val="000000" w:themeColor="text1"/>
              </w:rPr>
            </w:pPr>
          </w:p>
        </w:tc>
        <w:tc>
          <w:tcPr>
            <w:tcW w:w="467" w:type="dxa"/>
            <w:vAlign w:val="center"/>
          </w:tcPr>
          <w:p>
            <w:pPr>
              <w:spacing w:line="300" w:lineRule="exact"/>
              <w:jc w:val="center"/>
              <w:rPr>
                <w:rFonts w:ascii="仿宋_GB2312"/>
                <w:bCs/>
                <w:color w:val="000000" w:themeColor="text1"/>
              </w:rPr>
            </w:pPr>
          </w:p>
        </w:tc>
        <w:tc>
          <w:tcPr>
            <w:tcW w:w="447" w:type="dxa"/>
            <w:vMerge w:val="continue"/>
            <w:vAlign w:val="center"/>
          </w:tcPr>
          <w:p>
            <w:pPr>
              <w:spacing w:line="300" w:lineRule="exact"/>
              <w:jc w:val="center"/>
              <w:rPr>
                <w:rFonts w:ascii="仿宋_GB2312"/>
                <w:bCs/>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0" w:type="dxa"/>
            <w:vMerge w:val="continue"/>
            <w:vAlign w:val="center"/>
          </w:tcPr>
          <w:p>
            <w:pPr>
              <w:spacing w:line="300" w:lineRule="exact"/>
              <w:jc w:val="center"/>
              <w:rPr>
                <w:rFonts w:ascii="仿宋_GB2312"/>
                <w:bCs/>
                <w:color w:val="000000" w:themeColor="text1"/>
              </w:rPr>
            </w:pPr>
          </w:p>
        </w:tc>
        <w:tc>
          <w:tcPr>
            <w:tcW w:w="1882" w:type="dxa"/>
            <w:vMerge w:val="continue"/>
            <w:vAlign w:val="center"/>
          </w:tcPr>
          <w:p>
            <w:pPr>
              <w:spacing w:line="300" w:lineRule="exact"/>
              <w:jc w:val="center"/>
              <w:rPr>
                <w:rFonts w:ascii="仿宋_GB2312"/>
                <w:bCs/>
                <w:color w:val="000000" w:themeColor="text1"/>
              </w:rPr>
            </w:pPr>
          </w:p>
        </w:tc>
        <w:tc>
          <w:tcPr>
            <w:tcW w:w="4526" w:type="dxa"/>
            <w:vAlign w:val="center"/>
          </w:tcPr>
          <w:p>
            <w:pPr>
              <w:spacing w:line="300" w:lineRule="exact"/>
              <w:rPr>
                <w:rFonts w:ascii="仿宋_GB2312"/>
                <w:bCs/>
                <w:color w:val="000000" w:themeColor="text1"/>
              </w:rPr>
            </w:pPr>
            <w:r>
              <w:rPr>
                <w:rFonts w:hint="eastAsia" w:ascii="仿宋_GB2312"/>
                <w:bCs/>
                <w:color w:val="000000" w:themeColor="text1"/>
              </w:rPr>
              <w:t>多系统融合实战</w:t>
            </w:r>
            <w:r>
              <w:rPr>
                <w:rFonts w:hint="eastAsia" w:ascii="仿宋_GB2312"/>
                <w:bCs/>
                <w:color w:val="000000" w:themeColor="text1"/>
              </w:rPr>
              <w:br w:type="textWrapping"/>
            </w:r>
            <w:r>
              <w:rPr>
                <w:rFonts w:hint="eastAsia" w:ascii="仿宋_GB2312"/>
                <w:bCs/>
                <w:color w:val="000000" w:themeColor="text1"/>
              </w:rPr>
              <w:t>系统平台能和公安已建的信息化系统对接，如车辆大数据、人像大数据、多维大数据、视频监控系统、PGIS系统、解析中心等。</w:t>
            </w:r>
          </w:p>
        </w:tc>
        <w:tc>
          <w:tcPr>
            <w:tcW w:w="636" w:type="dxa"/>
            <w:vMerge w:val="continue"/>
            <w:vAlign w:val="center"/>
          </w:tcPr>
          <w:p>
            <w:pPr>
              <w:spacing w:line="300" w:lineRule="exact"/>
              <w:rPr>
                <w:rFonts w:ascii="仿宋_GB2312"/>
                <w:bCs/>
                <w:color w:val="000000" w:themeColor="text1"/>
              </w:rPr>
            </w:pPr>
          </w:p>
        </w:tc>
        <w:tc>
          <w:tcPr>
            <w:tcW w:w="467" w:type="dxa"/>
            <w:vAlign w:val="center"/>
          </w:tcPr>
          <w:p>
            <w:pPr>
              <w:spacing w:line="300" w:lineRule="exact"/>
              <w:jc w:val="center"/>
              <w:rPr>
                <w:rFonts w:ascii="仿宋_GB2312"/>
                <w:bCs/>
                <w:color w:val="000000" w:themeColor="text1"/>
              </w:rPr>
            </w:pPr>
          </w:p>
        </w:tc>
        <w:tc>
          <w:tcPr>
            <w:tcW w:w="447" w:type="dxa"/>
            <w:vMerge w:val="continue"/>
            <w:vAlign w:val="center"/>
          </w:tcPr>
          <w:p>
            <w:pPr>
              <w:spacing w:line="300" w:lineRule="exact"/>
              <w:jc w:val="center"/>
              <w:rPr>
                <w:rFonts w:ascii="仿宋_GB2312"/>
                <w:bCs/>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0" w:type="dxa"/>
            <w:vMerge w:val="continue"/>
            <w:vAlign w:val="center"/>
          </w:tcPr>
          <w:p>
            <w:pPr>
              <w:spacing w:line="300" w:lineRule="exact"/>
              <w:jc w:val="center"/>
              <w:rPr>
                <w:rFonts w:ascii="仿宋_GB2312"/>
                <w:bCs/>
                <w:color w:val="000000" w:themeColor="text1"/>
              </w:rPr>
            </w:pPr>
          </w:p>
        </w:tc>
        <w:tc>
          <w:tcPr>
            <w:tcW w:w="1882" w:type="dxa"/>
            <w:vMerge w:val="restart"/>
            <w:vAlign w:val="center"/>
          </w:tcPr>
          <w:p>
            <w:pPr>
              <w:spacing w:line="300" w:lineRule="exact"/>
              <w:jc w:val="center"/>
              <w:rPr>
                <w:rFonts w:ascii="仿宋_GB2312"/>
                <w:bCs/>
                <w:color w:val="000000" w:themeColor="text1"/>
              </w:rPr>
            </w:pPr>
            <w:r>
              <w:rPr>
                <w:rFonts w:hint="eastAsia" w:ascii="仿宋_GB2312"/>
                <w:bCs/>
                <w:color w:val="000000" w:themeColor="text1"/>
              </w:rPr>
              <w:t>大数据推送</w:t>
            </w:r>
          </w:p>
        </w:tc>
        <w:tc>
          <w:tcPr>
            <w:tcW w:w="4526" w:type="dxa"/>
            <w:vAlign w:val="center"/>
          </w:tcPr>
          <w:p>
            <w:pPr>
              <w:spacing w:line="300" w:lineRule="exact"/>
              <w:rPr>
                <w:rFonts w:ascii="仿宋_GB2312"/>
                <w:bCs/>
                <w:color w:val="000000" w:themeColor="text1"/>
              </w:rPr>
            </w:pPr>
            <w:r>
              <w:rPr>
                <w:rFonts w:hint="eastAsia" w:ascii="仿宋_GB2312"/>
                <w:bCs/>
                <w:color w:val="000000" w:themeColor="text1"/>
              </w:rPr>
              <w:t>人像大数据展示（人员身份确认需要在公安信息网实现）</w:t>
            </w:r>
            <w:r>
              <w:rPr>
                <w:rFonts w:hint="eastAsia" w:ascii="仿宋_GB2312"/>
                <w:bCs/>
                <w:color w:val="000000" w:themeColor="text1"/>
              </w:rPr>
              <w:br w:type="textWrapping"/>
            </w:r>
            <w:r>
              <w:rPr>
                <w:rFonts w:hint="eastAsia" w:ascii="仿宋_GB2312"/>
                <w:bCs/>
                <w:color w:val="000000" w:themeColor="text1"/>
              </w:rPr>
              <w:t>系统满足**人员在线实时查看人员布控信息的需求，在出现符合布控条件的重点人员时，将马上产生重点人员预警信息，并将预警信息同步推送至大屏上进行预警。在大屏上实时展示人脸预警信息，展示内容包括采集地点、采集时间、相似度，同时可进行该时间段前后联动相关录像进行确认。</w:t>
            </w:r>
          </w:p>
        </w:tc>
        <w:tc>
          <w:tcPr>
            <w:tcW w:w="636" w:type="dxa"/>
            <w:vMerge w:val="restart"/>
            <w:noWrap/>
            <w:vAlign w:val="center"/>
          </w:tcPr>
          <w:p>
            <w:pPr>
              <w:spacing w:line="300" w:lineRule="exact"/>
              <w:rPr>
                <w:rFonts w:ascii="仿宋_GB2312"/>
                <w:bCs/>
                <w:color w:val="000000" w:themeColor="text1"/>
              </w:rPr>
            </w:pPr>
            <w:r>
              <w:rPr>
                <w:rFonts w:hint="eastAsia" w:ascii="仿宋_GB2312"/>
                <w:bCs/>
                <w:color w:val="000000" w:themeColor="text1"/>
              </w:rPr>
              <w:t>1</w:t>
            </w:r>
          </w:p>
        </w:tc>
        <w:tc>
          <w:tcPr>
            <w:tcW w:w="467" w:type="dxa"/>
            <w:vAlign w:val="center"/>
          </w:tcPr>
          <w:p>
            <w:pPr>
              <w:spacing w:line="300" w:lineRule="exact"/>
              <w:jc w:val="center"/>
              <w:rPr>
                <w:rFonts w:ascii="仿宋_GB2312"/>
                <w:bCs/>
                <w:color w:val="000000" w:themeColor="text1"/>
              </w:rPr>
            </w:pPr>
          </w:p>
        </w:tc>
        <w:tc>
          <w:tcPr>
            <w:tcW w:w="447" w:type="dxa"/>
            <w:vMerge w:val="restart"/>
            <w:noWrap/>
            <w:vAlign w:val="center"/>
          </w:tcPr>
          <w:p>
            <w:pPr>
              <w:spacing w:line="300" w:lineRule="exact"/>
              <w:jc w:val="center"/>
              <w:rPr>
                <w:rFonts w:ascii="仿宋_GB2312"/>
                <w:bCs/>
                <w:color w:val="000000" w:themeColor="text1"/>
              </w:rPr>
            </w:pPr>
            <w:r>
              <w:rPr>
                <w:rFonts w:hint="eastAsia" w:ascii="仿宋_GB2312"/>
                <w:bCs/>
                <w:color w:val="000000" w:themeColor="text1"/>
              </w:rPr>
              <w:t>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0" w:type="dxa"/>
            <w:vMerge w:val="continue"/>
            <w:vAlign w:val="center"/>
          </w:tcPr>
          <w:p>
            <w:pPr>
              <w:spacing w:line="300" w:lineRule="exact"/>
              <w:jc w:val="center"/>
              <w:rPr>
                <w:rFonts w:ascii="仿宋_GB2312"/>
                <w:bCs/>
                <w:color w:val="000000" w:themeColor="text1"/>
              </w:rPr>
            </w:pPr>
          </w:p>
        </w:tc>
        <w:tc>
          <w:tcPr>
            <w:tcW w:w="1882" w:type="dxa"/>
            <w:vMerge w:val="continue"/>
            <w:vAlign w:val="center"/>
          </w:tcPr>
          <w:p>
            <w:pPr>
              <w:spacing w:line="300" w:lineRule="exact"/>
              <w:jc w:val="center"/>
              <w:rPr>
                <w:rFonts w:ascii="仿宋_GB2312"/>
                <w:bCs/>
                <w:color w:val="000000" w:themeColor="text1"/>
              </w:rPr>
            </w:pPr>
          </w:p>
        </w:tc>
        <w:tc>
          <w:tcPr>
            <w:tcW w:w="4526" w:type="dxa"/>
            <w:vAlign w:val="center"/>
          </w:tcPr>
          <w:p>
            <w:pPr>
              <w:spacing w:line="300" w:lineRule="exact"/>
              <w:rPr>
                <w:rFonts w:ascii="仿宋_GB2312"/>
                <w:bCs/>
                <w:color w:val="000000" w:themeColor="text1"/>
              </w:rPr>
            </w:pPr>
            <w:r>
              <w:rPr>
                <w:rFonts w:hint="eastAsia" w:ascii="仿宋_GB2312"/>
                <w:bCs/>
                <w:color w:val="000000" w:themeColor="text1"/>
              </w:rPr>
              <w:t>车辆大数据展示（车辆身份确认需要在公安信息网实现）</w:t>
            </w:r>
            <w:r>
              <w:rPr>
                <w:rFonts w:hint="eastAsia" w:ascii="仿宋_GB2312"/>
                <w:bCs/>
                <w:color w:val="000000" w:themeColor="text1"/>
              </w:rPr>
              <w:br w:type="textWrapping"/>
            </w:r>
            <w:r>
              <w:rPr>
                <w:rFonts w:hint="eastAsia" w:ascii="仿宋_GB2312"/>
                <w:bCs/>
                <w:color w:val="000000" w:themeColor="text1"/>
              </w:rPr>
              <w:t>系统满足**人员在线实时查看车辆布控信息的需求，在出现符合布控条件的车辆时，将马上产生嫌疑车辆预警信息，并将信息同步推送至大屏上预警。展示内容预警地点、预警时间、预警车牌等信息，同时可进行预警时间段前后联动相关录像进行确认。同时可展示车型比对信息、布控车辆信息。</w:t>
            </w:r>
          </w:p>
        </w:tc>
        <w:tc>
          <w:tcPr>
            <w:tcW w:w="636" w:type="dxa"/>
            <w:vMerge w:val="continue"/>
            <w:vAlign w:val="center"/>
          </w:tcPr>
          <w:p>
            <w:pPr>
              <w:spacing w:line="300" w:lineRule="exact"/>
              <w:rPr>
                <w:rFonts w:ascii="仿宋_GB2312"/>
                <w:bCs/>
                <w:color w:val="000000" w:themeColor="text1"/>
              </w:rPr>
            </w:pPr>
          </w:p>
        </w:tc>
        <w:tc>
          <w:tcPr>
            <w:tcW w:w="467" w:type="dxa"/>
            <w:vAlign w:val="center"/>
          </w:tcPr>
          <w:p>
            <w:pPr>
              <w:spacing w:line="300" w:lineRule="exact"/>
              <w:jc w:val="center"/>
              <w:rPr>
                <w:rFonts w:ascii="仿宋_GB2312"/>
                <w:bCs/>
                <w:color w:val="000000" w:themeColor="text1"/>
              </w:rPr>
            </w:pPr>
          </w:p>
        </w:tc>
        <w:tc>
          <w:tcPr>
            <w:tcW w:w="447" w:type="dxa"/>
            <w:vMerge w:val="continue"/>
            <w:vAlign w:val="center"/>
          </w:tcPr>
          <w:p>
            <w:pPr>
              <w:spacing w:line="300" w:lineRule="exact"/>
              <w:jc w:val="center"/>
              <w:rPr>
                <w:rFonts w:ascii="仿宋_GB2312"/>
                <w:bCs/>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0" w:type="dxa"/>
            <w:vMerge w:val="continue"/>
            <w:vAlign w:val="center"/>
          </w:tcPr>
          <w:p>
            <w:pPr>
              <w:spacing w:line="300" w:lineRule="exact"/>
              <w:jc w:val="center"/>
              <w:rPr>
                <w:rFonts w:ascii="仿宋_GB2312"/>
                <w:bCs/>
                <w:color w:val="000000" w:themeColor="text1"/>
              </w:rPr>
            </w:pPr>
          </w:p>
        </w:tc>
        <w:tc>
          <w:tcPr>
            <w:tcW w:w="1882" w:type="dxa"/>
            <w:vMerge w:val="continue"/>
            <w:vAlign w:val="center"/>
          </w:tcPr>
          <w:p>
            <w:pPr>
              <w:spacing w:line="300" w:lineRule="exact"/>
              <w:jc w:val="center"/>
              <w:rPr>
                <w:rFonts w:ascii="仿宋_GB2312"/>
                <w:bCs/>
                <w:color w:val="000000" w:themeColor="text1"/>
              </w:rPr>
            </w:pPr>
          </w:p>
        </w:tc>
        <w:tc>
          <w:tcPr>
            <w:tcW w:w="4526" w:type="dxa"/>
            <w:vAlign w:val="center"/>
          </w:tcPr>
          <w:p>
            <w:pPr>
              <w:spacing w:line="300" w:lineRule="exact"/>
              <w:rPr>
                <w:rFonts w:ascii="仿宋_GB2312"/>
                <w:bCs/>
                <w:color w:val="000000" w:themeColor="text1"/>
              </w:rPr>
            </w:pPr>
            <w:r>
              <w:rPr>
                <w:rFonts w:hint="eastAsia" w:ascii="仿宋_GB2312"/>
                <w:bCs/>
                <w:color w:val="000000" w:themeColor="text1"/>
              </w:rPr>
              <w:t>其他应用</w:t>
            </w:r>
            <w:r>
              <w:rPr>
                <w:rFonts w:hint="eastAsia" w:ascii="仿宋_GB2312"/>
                <w:bCs/>
                <w:color w:val="000000" w:themeColor="text1"/>
              </w:rPr>
              <w:br w:type="textWrapping"/>
            </w:r>
            <w:r>
              <w:rPr>
                <w:rFonts w:hint="eastAsia" w:ascii="仿宋_GB2312"/>
                <w:bCs/>
                <w:color w:val="000000" w:themeColor="text1"/>
              </w:rPr>
              <w:t>可在电子地图上展示实时警力分布情况，支持车辆轨迹的展示，已经人员、车辆等预警事件的实时展示，同时将电子地图推送至大屏进行展示。</w:t>
            </w:r>
          </w:p>
        </w:tc>
        <w:tc>
          <w:tcPr>
            <w:tcW w:w="636" w:type="dxa"/>
            <w:vMerge w:val="continue"/>
            <w:vAlign w:val="center"/>
          </w:tcPr>
          <w:p>
            <w:pPr>
              <w:spacing w:line="300" w:lineRule="exact"/>
              <w:rPr>
                <w:rFonts w:ascii="仿宋_GB2312"/>
                <w:bCs/>
                <w:color w:val="000000" w:themeColor="text1"/>
              </w:rPr>
            </w:pPr>
          </w:p>
        </w:tc>
        <w:tc>
          <w:tcPr>
            <w:tcW w:w="467" w:type="dxa"/>
            <w:vAlign w:val="center"/>
          </w:tcPr>
          <w:p>
            <w:pPr>
              <w:spacing w:line="300" w:lineRule="exact"/>
              <w:jc w:val="center"/>
              <w:rPr>
                <w:rFonts w:ascii="仿宋_GB2312"/>
                <w:bCs/>
                <w:color w:val="000000" w:themeColor="text1"/>
              </w:rPr>
            </w:pPr>
          </w:p>
        </w:tc>
        <w:tc>
          <w:tcPr>
            <w:tcW w:w="447" w:type="dxa"/>
            <w:vMerge w:val="continue"/>
            <w:vAlign w:val="center"/>
          </w:tcPr>
          <w:p>
            <w:pPr>
              <w:spacing w:line="300" w:lineRule="exact"/>
              <w:jc w:val="center"/>
              <w:rPr>
                <w:rFonts w:ascii="仿宋_GB2312"/>
                <w:bCs/>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0" w:type="dxa"/>
            <w:vMerge w:val="continue"/>
            <w:vAlign w:val="center"/>
          </w:tcPr>
          <w:p>
            <w:pPr>
              <w:spacing w:line="300" w:lineRule="exact"/>
              <w:jc w:val="center"/>
              <w:rPr>
                <w:rFonts w:ascii="仿宋_GB2312"/>
                <w:bCs/>
                <w:color w:val="000000" w:themeColor="text1"/>
              </w:rPr>
            </w:pPr>
          </w:p>
        </w:tc>
        <w:tc>
          <w:tcPr>
            <w:tcW w:w="1882" w:type="dxa"/>
            <w:vAlign w:val="center"/>
          </w:tcPr>
          <w:p>
            <w:pPr>
              <w:spacing w:line="300" w:lineRule="exact"/>
              <w:jc w:val="center"/>
              <w:rPr>
                <w:rFonts w:ascii="仿宋_GB2312"/>
                <w:bCs/>
                <w:color w:val="000000" w:themeColor="text1"/>
              </w:rPr>
            </w:pPr>
            <w:r>
              <w:rPr>
                <w:rFonts w:hint="eastAsia" w:ascii="仿宋_GB2312"/>
                <w:bCs/>
                <w:color w:val="000000" w:themeColor="text1"/>
              </w:rPr>
              <w:t>重点区域场所安保服务器</w:t>
            </w:r>
          </w:p>
        </w:tc>
        <w:tc>
          <w:tcPr>
            <w:tcW w:w="4526" w:type="dxa"/>
            <w:vAlign w:val="center"/>
          </w:tcPr>
          <w:p>
            <w:pPr>
              <w:spacing w:line="300" w:lineRule="exact"/>
              <w:rPr>
                <w:rFonts w:ascii="仿宋_GB2312"/>
                <w:bCs/>
                <w:color w:val="000000" w:themeColor="text1"/>
              </w:rPr>
            </w:pPr>
            <w:r>
              <w:rPr>
                <w:rFonts w:hint="eastAsia"/>
                <w:color w:val="000000" w:themeColor="text1"/>
              </w:rPr>
              <w:t>★</w:t>
            </w:r>
            <w:r>
              <w:rPr>
                <w:rFonts w:hint="eastAsia" w:ascii="仿宋_GB2312"/>
                <w:bCs/>
                <w:color w:val="000000" w:themeColor="text1"/>
              </w:rPr>
              <w:t>Cpu：Intel Xeon(≥8核，≥2.1GHz)×2</w:t>
            </w:r>
          </w:p>
          <w:p>
            <w:pPr>
              <w:spacing w:line="300" w:lineRule="exact"/>
              <w:rPr>
                <w:rFonts w:ascii="仿宋_GB2312"/>
                <w:bCs/>
                <w:color w:val="000000" w:themeColor="text1"/>
              </w:rPr>
            </w:pPr>
            <w:r>
              <w:rPr>
                <w:rFonts w:hint="eastAsia"/>
                <w:color w:val="000000" w:themeColor="text1"/>
              </w:rPr>
              <w:t>★</w:t>
            </w:r>
            <w:r>
              <w:rPr>
                <w:rFonts w:hint="eastAsia" w:ascii="仿宋_GB2312"/>
                <w:bCs/>
                <w:color w:val="000000" w:themeColor="text1"/>
              </w:rPr>
              <w:t>内存：≥32GB DDR4×2</w:t>
            </w:r>
          </w:p>
          <w:p>
            <w:pPr>
              <w:spacing w:line="300" w:lineRule="exact"/>
              <w:rPr>
                <w:rFonts w:ascii="仿宋_GB2312"/>
                <w:bCs/>
                <w:color w:val="000000" w:themeColor="text1"/>
              </w:rPr>
            </w:pPr>
            <w:r>
              <w:rPr>
                <w:rFonts w:hint="eastAsia"/>
                <w:color w:val="000000" w:themeColor="text1"/>
              </w:rPr>
              <w:t>★</w:t>
            </w:r>
            <w:r>
              <w:rPr>
                <w:rFonts w:hint="eastAsia" w:ascii="仿宋_GB2312"/>
                <w:bCs/>
                <w:color w:val="000000" w:themeColor="text1"/>
              </w:rPr>
              <w:t>硬盘：≥480G SSD+≥4TB SATA（磁盘转速≥7200rpm）</w:t>
            </w:r>
          </w:p>
          <w:p>
            <w:pPr>
              <w:spacing w:line="300" w:lineRule="exact"/>
              <w:rPr>
                <w:rFonts w:ascii="仿宋_GB2312"/>
                <w:bCs/>
                <w:color w:val="000000" w:themeColor="text1"/>
              </w:rPr>
            </w:pPr>
            <w:r>
              <w:rPr>
                <w:rFonts w:hint="eastAsia"/>
                <w:color w:val="000000" w:themeColor="text1"/>
              </w:rPr>
              <w:t>★</w:t>
            </w:r>
            <w:r>
              <w:rPr>
                <w:rFonts w:hint="eastAsia" w:ascii="仿宋_GB2312"/>
                <w:bCs/>
                <w:color w:val="000000" w:themeColor="text1"/>
              </w:rPr>
              <w:t>网口：1GbE×8（光口）</w:t>
            </w:r>
          </w:p>
          <w:p>
            <w:pPr>
              <w:spacing w:line="300" w:lineRule="exact"/>
              <w:rPr>
                <w:rFonts w:ascii="宋体" w:hAnsi="宋体"/>
                <w:color w:val="000000" w:themeColor="text1"/>
                <w:szCs w:val="21"/>
              </w:rPr>
            </w:pPr>
            <w:r>
              <w:rPr>
                <w:color w:val="000000" w:themeColor="text1"/>
              </w:rPr>
              <w:t>2</w:t>
            </w:r>
            <w:r>
              <w:rPr>
                <w:rFonts w:hint="eastAsia" w:ascii="宋体" w:hAnsi="宋体"/>
                <w:color w:val="000000" w:themeColor="text1"/>
                <w:szCs w:val="21"/>
              </w:rPr>
              <w:t>个热插拔冗余电源，冗余风扇</w:t>
            </w:r>
          </w:p>
          <w:p>
            <w:pPr>
              <w:spacing w:line="300" w:lineRule="exact"/>
              <w:rPr>
                <w:rFonts w:ascii="宋体" w:hAnsi="宋体"/>
                <w:color w:val="000000" w:themeColor="text1"/>
                <w:szCs w:val="21"/>
              </w:rPr>
            </w:pPr>
            <w:r>
              <w:rPr>
                <w:rFonts w:hint="eastAsia" w:ascii="宋体" w:hAnsi="宋体"/>
                <w:color w:val="000000" w:themeColor="text1"/>
                <w:szCs w:val="21"/>
              </w:rPr>
              <w:t>工作温度</w:t>
            </w:r>
            <w:r>
              <w:rPr>
                <w:rFonts w:ascii="宋体" w:hAnsi="宋体"/>
                <w:color w:val="000000" w:themeColor="text1"/>
                <w:szCs w:val="21"/>
              </w:rPr>
              <w:t>:</w:t>
            </w:r>
            <w:r>
              <w:rPr>
                <w:rFonts w:hint="eastAsia" w:ascii="宋体" w:hAnsi="宋体"/>
                <w:color w:val="000000" w:themeColor="text1"/>
                <w:szCs w:val="21"/>
              </w:rPr>
              <w:t>支持最高</w:t>
            </w:r>
            <w:r>
              <w:rPr>
                <w:rFonts w:ascii="宋体" w:hAnsi="宋体"/>
                <w:color w:val="000000" w:themeColor="text1"/>
                <w:szCs w:val="21"/>
              </w:rPr>
              <w:t>5-40</w:t>
            </w:r>
            <w:r>
              <w:rPr>
                <w:rFonts w:hint="eastAsia" w:ascii="宋体" w:hAnsi="宋体"/>
                <w:color w:val="000000" w:themeColor="text1"/>
                <w:szCs w:val="21"/>
              </w:rPr>
              <w:t>°</w:t>
            </w:r>
            <w:r>
              <w:rPr>
                <w:rFonts w:ascii="宋体" w:hAnsi="宋体"/>
                <w:color w:val="000000" w:themeColor="text1"/>
                <w:szCs w:val="21"/>
              </w:rPr>
              <w:t>C</w:t>
            </w:r>
            <w:r>
              <w:rPr>
                <w:rFonts w:hint="eastAsia" w:ascii="宋体" w:hAnsi="宋体"/>
                <w:color w:val="000000" w:themeColor="text1"/>
                <w:szCs w:val="21"/>
              </w:rPr>
              <w:t>标准工作温度</w:t>
            </w:r>
          </w:p>
          <w:p>
            <w:pPr>
              <w:spacing w:line="300" w:lineRule="exact"/>
              <w:rPr>
                <w:rFonts w:ascii="宋体" w:hAnsi="宋体"/>
                <w:color w:val="000000" w:themeColor="text1"/>
                <w:szCs w:val="21"/>
              </w:rPr>
            </w:pPr>
            <w:r>
              <w:rPr>
                <w:rFonts w:hint="eastAsia" w:ascii="宋体" w:hAnsi="宋体"/>
                <w:color w:val="000000" w:themeColor="text1"/>
                <w:szCs w:val="21"/>
              </w:rPr>
              <w:t>网络带宽</w:t>
            </w:r>
            <w:r>
              <w:rPr>
                <w:rFonts w:ascii="宋体" w:hAnsi="宋体"/>
                <w:color w:val="000000" w:themeColor="text1"/>
                <w:szCs w:val="21"/>
              </w:rPr>
              <w:t>:</w:t>
            </w:r>
            <w:r>
              <w:rPr>
                <w:rFonts w:hint="eastAsia" w:ascii="宋体" w:hAnsi="宋体"/>
                <w:color w:val="000000" w:themeColor="text1"/>
                <w:szCs w:val="21"/>
              </w:rPr>
              <w:t>支持多种网络带宽；</w:t>
            </w:r>
          </w:p>
          <w:p>
            <w:pPr>
              <w:spacing w:line="300" w:lineRule="exact"/>
              <w:rPr>
                <w:rFonts w:ascii="宋体" w:hAnsi="宋体"/>
                <w:color w:val="000000" w:themeColor="text1"/>
                <w:szCs w:val="21"/>
              </w:rPr>
            </w:pPr>
            <w:r>
              <w:rPr>
                <w:rFonts w:hint="eastAsia" w:ascii="宋体" w:hAnsi="宋体"/>
                <w:color w:val="000000" w:themeColor="text1"/>
                <w:szCs w:val="21"/>
              </w:rPr>
              <w:t>配置≥</w:t>
            </w:r>
            <w:r>
              <w:rPr>
                <w:rFonts w:ascii="宋体" w:hAnsi="宋体"/>
                <w:color w:val="000000" w:themeColor="text1"/>
                <w:szCs w:val="21"/>
              </w:rPr>
              <w:t>1Gb</w:t>
            </w:r>
            <w:r>
              <w:rPr>
                <w:rFonts w:hint="eastAsia" w:ascii="宋体" w:hAnsi="宋体"/>
                <w:color w:val="000000" w:themeColor="text1"/>
                <w:szCs w:val="21"/>
              </w:rPr>
              <w:t>独立的远程管理控制端口；</w:t>
            </w:r>
          </w:p>
          <w:p>
            <w:pPr>
              <w:spacing w:line="300" w:lineRule="exact"/>
              <w:rPr>
                <w:rFonts w:ascii="仿宋_GB2312"/>
                <w:bCs/>
                <w:color w:val="000000" w:themeColor="text1"/>
              </w:rPr>
            </w:pPr>
            <w:r>
              <w:rPr>
                <w:rFonts w:hint="eastAsia" w:ascii="宋体" w:hAnsi="宋体"/>
                <w:color w:val="000000" w:themeColor="text1"/>
                <w:szCs w:val="21"/>
              </w:rPr>
              <w:t>阵列控制器</w:t>
            </w:r>
            <w:r>
              <w:rPr>
                <w:rFonts w:ascii="宋体" w:hAnsi="宋体"/>
                <w:color w:val="000000" w:themeColor="text1"/>
                <w:szCs w:val="21"/>
              </w:rPr>
              <w:t>:</w:t>
            </w:r>
            <w:r>
              <w:rPr>
                <w:rFonts w:hint="eastAsia" w:ascii="宋体" w:hAnsi="宋体"/>
                <w:color w:val="000000" w:themeColor="text1"/>
                <w:szCs w:val="21"/>
              </w:rPr>
              <w:t>≥</w:t>
            </w:r>
            <w:r>
              <w:rPr>
                <w:rFonts w:ascii="宋体" w:hAnsi="宋体"/>
                <w:color w:val="000000" w:themeColor="text1"/>
                <w:szCs w:val="21"/>
              </w:rPr>
              <w:t>1</w:t>
            </w:r>
            <w:r>
              <w:rPr>
                <w:rFonts w:hint="eastAsia" w:ascii="宋体" w:hAnsi="宋体"/>
                <w:color w:val="000000" w:themeColor="text1"/>
                <w:szCs w:val="21"/>
              </w:rPr>
              <w:t>个标配</w:t>
            </w:r>
            <w:r>
              <w:rPr>
                <w:rFonts w:ascii="宋体" w:hAnsi="宋体"/>
                <w:color w:val="000000" w:themeColor="text1"/>
                <w:szCs w:val="21"/>
              </w:rPr>
              <w:t>RAID</w:t>
            </w:r>
            <w:r>
              <w:rPr>
                <w:rFonts w:hint="eastAsia" w:ascii="宋体" w:hAnsi="宋体"/>
                <w:color w:val="000000" w:themeColor="text1"/>
                <w:szCs w:val="21"/>
              </w:rPr>
              <w:t>阵列卡。</w:t>
            </w:r>
          </w:p>
        </w:tc>
        <w:tc>
          <w:tcPr>
            <w:tcW w:w="636" w:type="dxa"/>
            <w:noWrap/>
            <w:vAlign w:val="center"/>
          </w:tcPr>
          <w:p>
            <w:pPr>
              <w:spacing w:line="300" w:lineRule="exact"/>
              <w:rPr>
                <w:rFonts w:ascii="仿宋_GB2312"/>
                <w:bCs/>
                <w:color w:val="000000" w:themeColor="text1"/>
              </w:rPr>
            </w:pPr>
            <w:r>
              <w:rPr>
                <w:rFonts w:hint="eastAsia" w:ascii="仿宋_GB2312"/>
                <w:bCs/>
                <w:color w:val="000000" w:themeColor="text1"/>
              </w:rPr>
              <w:t>1</w:t>
            </w:r>
          </w:p>
        </w:tc>
        <w:tc>
          <w:tcPr>
            <w:tcW w:w="467" w:type="dxa"/>
            <w:vAlign w:val="center"/>
          </w:tcPr>
          <w:p>
            <w:pPr>
              <w:spacing w:line="300" w:lineRule="exact"/>
              <w:jc w:val="center"/>
              <w:rPr>
                <w:rFonts w:ascii="仿宋_GB2312"/>
                <w:bCs/>
                <w:color w:val="000000" w:themeColor="text1"/>
              </w:rPr>
            </w:pPr>
          </w:p>
        </w:tc>
        <w:tc>
          <w:tcPr>
            <w:tcW w:w="447" w:type="dxa"/>
            <w:noWrap/>
            <w:vAlign w:val="center"/>
          </w:tcPr>
          <w:p>
            <w:pPr>
              <w:spacing w:line="300" w:lineRule="exact"/>
              <w:jc w:val="center"/>
              <w:rPr>
                <w:rFonts w:ascii="仿宋_GB2312"/>
                <w:bCs/>
                <w:color w:val="000000" w:themeColor="text1"/>
              </w:rPr>
            </w:pPr>
            <w:r>
              <w:rPr>
                <w:rFonts w:hint="eastAsia" w:ascii="仿宋_GB2312"/>
                <w:bCs/>
                <w:color w:val="000000" w:themeColor="text1"/>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0" w:type="dxa"/>
            <w:vMerge w:val="restart"/>
            <w:vAlign w:val="center"/>
          </w:tcPr>
          <w:p>
            <w:pPr>
              <w:spacing w:line="300" w:lineRule="exact"/>
              <w:jc w:val="center"/>
              <w:rPr>
                <w:rFonts w:ascii="仿宋_GB2312"/>
                <w:bCs/>
                <w:color w:val="000000" w:themeColor="text1"/>
              </w:rPr>
            </w:pPr>
            <w:r>
              <w:rPr>
                <w:rFonts w:hint="eastAsia" w:ascii="仿宋_GB2312"/>
                <w:bCs/>
                <w:color w:val="000000" w:themeColor="text1"/>
              </w:rPr>
              <w:t>数据服务总线</w:t>
            </w:r>
          </w:p>
        </w:tc>
        <w:tc>
          <w:tcPr>
            <w:tcW w:w="1882" w:type="dxa"/>
            <w:vAlign w:val="center"/>
          </w:tcPr>
          <w:p>
            <w:pPr>
              <w:spacing w:line="300" w:lineRule="exact"/>
              <w:jc w:val="center"/>
              <w:rPr>
                <w:rFonts w:ascii="仿宋_GB2312"/>
                <w:bCs/>
                <w:color w:val="000000" w:themeColor="text1"/>
              </w:rPr>
            </w:pPr>
            <w:r>
              <w:rPr>
                <w:rFonts w:hint="eastAsia" w:ascii="仿宋_GB2312"/>
                <w:bCs/>
                <w:color w:val="000000" w:themeColor="text1"/>
              </w:rPr>
              <w:t>服务注册模块</w:t>
            </w:r>
          </w:p>
        </w:tc>
        <w:tc>
          <w:tcPr>
            <w:tcW w:w="4526" w:type="dxa"/>
            <w:vAlign w:val="center"/>
          </w:tcPr>
          <w:p>
            <w:pPr>
              <w:spacing w:line="300" w:lineRule="exact"/>
              <w:rPr>
                <w:rFonts w:ascii="仿宋_GB2312"/>
                <w:bCs/>
                <w:color w:val="000000" w:themeColor="text1"/>
              </w:rPr>
            </w:pPr>
            <w:r>
              <w:rPr>
                <w:rFonts w:hint="eastAsia" w:ascii="仿宋_GB2312"/>
                <w:bCs/>
                <w:color w:val="000000" w:themeColor="text1"/>
              </w:rPr>
              <w:t>服务注册模块包括资源目录管理、服务注册、服务发布、服务回收等子模块。目录管理:将总线上注册的服务按资源类别、资源提供方式进行分类。按照资源目录提供分类层级检索、提供服务名称关键字检索;服务注册:将共享类资源注册到总线，由总线提供对外服务。服务注册包括：服务名、版本号、服务描述、服务URL、服务提供方、提供方联系人、提供方联系电话、服务归属目录（可多选）。服务注册后生成服务注册编号;服务发布:在总线注册的服务经过调试无问题后，通过服务发布功能正式生效。服务发布后，方能在资源目录中查找;服务回收:对原已在总线注册的服务停止提供，通过服务回收将撤销总线上注册服务。服务撤销后，在资源目录中无法查找。必须满足以后业主应用接口的开发。</w:t>
            </w:r>
          </w:p>
        </w:tc>
        <w:tc>
          <w:tcPr>
            <w:tcW w:w="636" w:type="dxa"/>
            <w:noWrap/>
            <w:vAlign w:val="center"/>
          </w:tcPr>
          <w:p>
            <w:pPr>
              <w:spacing w:line="300" w:lineRule="exact"/>
              <w:rPr>
                <w:rFonts w:ascii="仿宋_GB2312"/>
                <w:bCs/>
                <w:color w:val="000000" w:themeColor="text1"/>
              </w:rPr>
            </w:pPr>
            <w:r>
              <w:rPr>
                <w:rFonts w:hint="eastAsia" w:ascii="仿宋_GB2312"/>
                <w:bCs/>
                <w:color w:val="000000" w:themeColor="text1"/>
              </w:rPr>
              <w:t>2</w:t>
            </w:r>
          </w:p>
        </w:tc>
        <w:tc>
          <w:tcPr>
            <w:tcW w:w="467" w:type="dxa"/>
            <w:vAlign w:val="center"/>
          </w:tcPr>
          <w:p>
            <w:pPr>
              <w:spacing w:line="300" w:lineRule="exact"/>
              <w:jc w:val="center"/>
              <w:rPr>
                <w:rFonts w:ascii="仿宋_GB2312"/>
                <w:bCs/>
                <w:color w:val="000000" w:themeColor="text1"/>
              </w:rPr>
            </w:pPr>
          </w:p>
        </w:tc>
        <w:tc>
          <w:tcPr>
            <w:tcW w:w="447" w:type="dxa"/>
            <w:noWrap/>
            <w:vAlign w:val="center"/>
          </w:tcPr>
          <w:p>
            <w:pPr>
              <w:spacing w:line="300" w:lineRule="exact"/>
              <w:jc w:val="center"/>
              <w:rPr>
                <w:rFonts w:ascii="仿宋_GB2312"/>
                <w:bCs/>
                <w:color w:val="000000" w:themeColor="text1"/>
              </w:rPr>
            </w:pPr>
            <w:r>
              <w:rPr>
                <w:rFonts w:hint="eastAsia" w:ascii="仿宋_GB2312"/>
                <w:bCs/>
                <w:color w:val="000000" w:themeColor="text1"/>
              </w:rPr>
              <w:t>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0" w:type="dxa"/>
            <w:vMerge w:val="continue"/>
            <w:vAlign w:val="center"/>
          </w:tcPr>
          <w:p>
            <w:pPr>
              <w:spacing w:line="300" w:lineRule="exact"/>
              <w:jc w:val="center"/>
              <w:rPr>
                <w:rFonts w:ascii="仿宋_GB2312"/>
                <w:bCs/>
                <w:color w:val="000000" w:themeColor="text1"/>
              </w:rPr>
            </w:pPr>
          </w:p>
        </w:tc>
        <w:tc>
          <w:tcPr>
            <w:tcW w:w="1882" w:type="dxa"/>
            <w:vAlign w:val="center"/>
          </w:tcPr>
          <w:p>
            <w:pPr>
              <w:spacing w:line="300" w:lineRule="exact"/>
              <w:jc w:val="center"/>
              <w:rPr>
                <w:rFonts w:ascii="仿宋_GB2312"/>
                <w:bCs/>
                <w:color w:val="000000" w:themeColor="text1"/>
              </w:rPr>
            </w:pPr>
            <w:r>
              <w:rPr>
                <w:rFonts w:hint="eastAsia" w:ascii="仿宋_GB2312"/>
                <w:bCs/>
                <w:color w:val="000000" w:themeColor="text1"/>
              </w:rPr>
              <w:t>服务申请模块</w:t>
            </w:r>
          </w:p>
        </w:tc>
        <w:tc>
          <w:tcPr>
            <w:tcW w:w="4526" w:type="dxa"/>
            <w:vAlign w:val="center"/>
          </w:tcPr>
          <w:p>
            <w:pPr>
              <w:spacing w:line="300" w:lineRule="exact"/>
              <w:rPr>
                <w:rFonts w:ascii="仿宋_GB2312"/>
                <w:bCs/>
                <w:color w:val="000000" w:themeColor="text1"/>
              </w:rPr>
            </w:pPr>
            <w:r>
              <w:rPr>
                <w:rFonts w:hint="eastAsia" w:ascii="仿宋_GB2312"/>
                <w:bCs/>
                <w:color w:val="000000" w:themeColor="text1"/>
              </w:rPr>
              <w:t>服务申请模块包括请求方系统注册、请求方资源申请、请求方授权审批、请求方资源回收等子模块。请求方系统注册：资源申请以系统为粒度进行申请及授权。请求方系统需在总线平台上进行注册。注册信息包括：应用系统名称、主管部门、联系人、联系人电话、系统介绍、系统状态。请求方系统注册后，由总线平台分配一个唯一请求方系统编号；请求方资源申请：通过总线平台登录后，用户可查看总线上注册的资源服务。根据资源服务目录进行分类筛选，用户选择需要申请的资源服务，进入资源服务申请流程。资源服务申请内容包括：申请单位、申请人、申请人联系电话、请求方系统、请求方IP、申请事由、申请资源服务。提交资源申请表，自动生成申请单信息并提交信通处审核。审核通过后请求方资源访问方能生效；请求方授权审批：部门提交资源申请后，申请单自动流转到信通处，由信通处负责资源开通审批。信通处对提交的材料进行审核并填写审核意见，审批通过则开通资源服务的访问，否则将审批单退回到申请人；请求方资源回收：提供对已授权的资源服务进行收回功能，支持按请求方系统逐个资源回收，支持按服务资源批量回收功能。对存在已授权的服务资源，请求方系统长时间未使用或恶意使用，可对请求方资源进行回收。必须满足以后业主应用接口的开发。</w:t>
            </w:r>
          </w:p>
        </w:tc>
        <w:tc>
          <w:tcPr>
            <w:tcW w:w="636" w:type="dxa"/>
            <w:noWrap/>
            <w:vAlign w:val="center"/>
          </w:tcPr>
          <w:p>
            <w:pPr>
              <w:spacing w:line="300" w:lineRule="exact"/>
              <w:rPr>
                <w:rFonts w:ascii="仿宋_GB2312"/>
                <w:bCs/>
                <w:color w:val="000000" w:themeColor="text1"/>
              </w:rPr>
            </w:pPr>
            <w:r>
              <w:rPr>
                <w:rFonts w:hint="eastAsia" w:ascii="仿宋_GB2312"/>
                <w:bCs/>
                <w:color w:val="000000" w:themeColor="text1"/>
              </w:rPr>
              <w:t>2</w:t>
            </w:r>
          </w:p>
        </w:tc>
        <w:tc>
          <w:tcPr>
            <w:tcW w:w="467" w:type="dxa"/>
            <w:vAlign w:val="center"/>
          </w:tcPr>
          <w:p>
            <w:pPr>
              <w:spacing w:line="300" w:lineRule="exact"/>
              <w:jc w:val="center"/>
              <w:rPr>
                <w:rFonts w:ascii="仿宋_GB2312"/>
                <w:bCs/>
                <w:color w:val="000000" w:themeColor="text1"/>
              </w:rPr>
            </w:pPr>
          </w:p>
        </w:tc>
        <w:tc>
          <w:tcPr>
            <w:tcW w:w="447" w:type="dxa"/>
            <w:noWrap/>
            <w:vAlign w:val="center"/>
          </w:tcPr>
          <w:p>
            <w:pPr>
              <w:spacing w:line="300" w:lineRule="exact"/>
              <w:jc w:val="center"/>
              <w:rPr>
                <w:rFonts w:ascii="仿宋_GB2312"/>
                <w:bCs/>
                <w:color w:val="000000" w:themeColor="text1"/>
              </w:rPr>
            </w:pPr>
            <w:r>
              <w:rPr>
                <w:rFonts w:hint="eastAsia" w:ascii="仿宋_GB2312"/>
                <w:bCs/>
                <w:color w:val="000000" w:themeColor="text1"/>
              </w:rPr>
              <w:t>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0" w:type="dxa"/>
            <w:vMerge w:val="continue"/>
            <w:vAlign w:val="center"/>
          </w:tcPr>
          <w:p>
            <w:pPr>
              <w:spacing w:line="300" w:lineRule="exact"/>
              <w:jc w:val="center"/>
              <w:rPr>
                <w:rFonts w:ascii="仿宋_GB2312"/>
                <w:bCs/>
                <w:color w:val="000000" w:themeColor="text1"/>
              </w:rPr>
            </w:pPr>
          </w:p>
        </w:tc>
        <w:tc>
          <w:tcPr>
            <w:tcW w:w="1882" w:type="dxa"/>
            <w:vAlign w:val="center"/>
          </w:tcPr>
          <w:p>
            <w:pPr>
              <w:spacing w:line="300" w:lineRule="exact"/>
              <w:jc w:val="center"/>
              <w:rPr>
                <w:rFonts w:ascii="仿宋_GB2312"/>
                <w:bCs/>
                <w:color w:val="000000" w:themeColor="text1"/>
              </w:rPr>
            </w:pPr>
            <w:r>
              <w:rPr>
                <w:rFonts w:hint="eastAsia" w:ascii="仿宋_GB2312"/>
                <w:bCs/>
                <w:color w:val="000000" w:themeColor="text1"/>
              </w:rPr>
              <w:t>安全控制模块</w:t>
            </w:r>
          </w:p>
        </w:tc>
        <w:tc>
          <w:tcPr>
            <w:tcW w:w="4526" w:type="dxa"/>
            <w:vAlign w:val="center"/>
          </w:tcPr>
          <w:p>
            <w:pPr>
              <w:spacing w:after="240" w:line="300" w:lineRule="exact"/>
              <w:rPr>
                <w:rFonts w:ascii="仿宋_GB2312"/>
                <w:bCs/>
                <w:color w:val="000000" w:themeColor="text1"/>
              </w:rPr>
            </w:pPr>
            <w:r>
              <w:rPr>
                <w:rFonts w:hint="eastAsia" w:ascii="仿宋_GB2312"/>
                <w:bCs/>
                <w:color w:val="000000" w:themeColor="text1"/>
              </w:rPr>
              <w:t>安全控制模块主要包括IP授权认证、资源授权认证、行为审计等功能。IP授权认证：对请求方系统访问资源时进行访问IP认证。IP授权按照请求方系统+访问服务资源进行认证。对未许可的IP，进行访问失败提醒；资源授权认证：对请求方系统访问资源进行授权认证。请求方访问某类服务资源，需验证服务资源是否已授权与请求方，对未授权的请求方不允许访问该类资源，并反馈访问失败提醒；行为审计：提供各服务资源访问的行为审计。记录各服务资源访问的实名信息。信息包括：访问时间、服务资源名、访问人身份证号、访问人姓名、访问ip、访问内容详情。必须满足以后业主应用接口的开发。</w:t>
            </w:r>
          </w:p>
        </w:tc>
        <w:tc>
          <w:tcPr>
            <w:tcW w:w="636" w:type="dxa"/>
            <w:noWrap/>
            <w:vAlign w:val="center"/>
          </w:tcPr>
          <w:p>
            <w:pPr>
              <w:spacing w:line="300" w:lineRule="exact"/>
              <w:rPr>
                <w:rFonts w:ascii="仿宋_GB2312"/>
                <w:bCs/>
                <w:color w:val="000000" w:themeColor="text1"/>
              </w:rPr>
            </w:pPr>
            <w:r>
              <w:rPr>
                <w:rFonts w:hint="eastAsia" w:ascii="仿宋_GB2312"/>
                <w:bCs/>
                <w:color w:val="000000" w:themeColor="text1"/>
              </w:rPr>
              <w:t>2</w:t>
            </w:r>
          </w:p>
        </w:tc>
        <w:tc>
          <w:tcPr>
            <w:tcW w:w="467" w:type="dxa"/>
            <w:vAlign w:val="center"/>
          </w:tcPr>
          <w:p>
            <w:pPr>
              <w:spacing w:line="300" w:lineRule="exact"/>
              <w:jc w:val="center"/>
              <w:rPr>
                <w:rFonts w:ascii="仿宋_GB2312"/>
                <w:bCs/>
                <w:color w:val="000000" w:themeColor="text1"/>
              </w:rPr>
            </w:pPr>
          </w:p>
        </w:tc>
        <w:tc>
          <w:tcPr>
            <w:tcW w:w="447" w:type="dxa"/>
            <w:noWrap/>
            <w:vAlign w:val="center"/>
          </w:tcPr>
          <w:p>
            <w:pPr>
              <w:spacing w:line="300" w:lineRule="exact"/>
              <w:jc w:val="center"/>
              <w:rPr>
                <w:rFonts w:ascii="仿宋_GB2312"/>
                <w:bCs/>
                <w:color w:val="000000" w:themeColor="text1"/>
              </w:rPr>
            </w:pPr>
            <w:r>
              <w:rPr>
                <w:rFonts w:hint="eastAsia" w:ascii="仿宋_GB2312"/>
                <w:bCs/>
                <w:color w:val="000000" w:themeColor="text1"/>
              </w:rPr>
              <w:t>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0" w:type="dxa"/>
            <w:vMerge w:val="continue"/>
            <w:vAlign w:val="center"/>
          </w:tcPr>
          <w:p>
            <w:pPr>
              <w:spacing w:line="300" w:lineRule="exact"/>
              <w:jc w:val="center"/>
              <w:rPr>
                <w:rFonts w:ascii="仿宋_GB2312"/>
                <w:bCs/>
                <w:color w:val="000000" w:themeColor="text1"/>
              </w:rPr>
            </w:pPr>
          </w:p>
        </w:tc>
        <w:tc>
          <w:tcPr>
            <w:tcW w:w="1882" w:type="dxa"/>
            <w:vAlign w:val="center"/>
          </w:tcPr>
          <w:p>
            <w:pPr>
              <w:spacing w:line="300" w:lineRule="exact"/>
              <w:jc w:val="center"/>
              <w:rPr>
                <w:rFonts w:ascii="仿宋_GB2312"/>
                <w:bCs/>
                <w:color w:val="000000" w:themeColor="text1"/>
              </w:rPr>
            </w:pPr>
            <w:r>
              <w:rPr>
                <w:rFonts w:hint="eastAsia" w:ascii="仿宋_GB2312"/>
                <w:bCs/>
                <w:color w:val="000000" w:themeColor="text1"/>
              </w:rPr>
              <w:t>服务监测模块</w:t>
            </w:r>
          </w:p>
        </w:tc>
        <w:tc>
          <w:tcPr>
            <w:tcW w:w="4526" w:type="dxa"/>
            <w:vAlign w:val="center"/>
          </w:tcPr>
          <w:p>
            <w:pPr>
              <w:spacing w:line="300" w:lineRule="exact"/>
              <w:rPr>
                <w:rFonts w:ascii="仿宋_GB2312"/>
                <w:bCs/>
                <w:color w:val="000000" w:themeColor="text1"/>
              </w:rPr>
            </w:pPr>
            <w:r>
              <w:rPr>
                <w:rFonts w:hint="eastAsia" w:ascii="仿宋_GB2312"/>
                <w:bCs/>
                <w:color w:val="000000" w:themeColor="text1"/>
              </w:rPr>
              <w:t>提供在总线上注册的服务资源进行监控，包括服务资源状态监控、服务资源使用情况监控。服务监测模块包括服务资源使用情况监控、请求方系统使用排名、计查询等。</w:t>
            </w:r>
            <w:r>
              <w:rPr>
                <w:rFonts w:hint="eastAsia" w:ascii="仿宋_GB2312"/>
                <w:bCs/>
                <w:color w:val="000000" w:themeColor="text1"/>
              </w:rPr>
              <w:br w:type="textWrapping"/>
            </w:r>
            <w:r>
              <w:rPr>
                <w:rFonts w:hint="eastAsia" w:ascii="仿宋_GB2312"/>
                <w:bCs/>
                <w:color w:val="000000" w:themeColor="text1"/>
              </w:rPr>
              <w:t>服务资源使用情况监控：对总线上提供的服务资源根据访问量进行排名，访问量按日、月、总量进行排名。单个服务资源使用情况监控。对单个服务资源统计一周内访问情况，按照曲线图进行展示。对单个服务资源统计请求方系统访问情况排名，展示单个服务资源各请求方系统使用情况。</w:t>
            </w:r>
            <w:r>
              <w:rPr>
                <w:rFonts w:hint="eastAsia" w:ascii="仿宋_GB2312"/>
                <w:bCs/>
                <w:color w:val="000000" w:themeColor="text1"/>
              </w:rPr>
              <w:br w:type="textWrapping"/>
            </w:r>
            <w:r>
              <w:rPr>
                <w:rFonts w:hint="eastAsia" w:ascii="仿宋_GB2312"/>
                <w:bCs/>
                <w:color w:val="000000" w:themeColor="text1"/>
              </w:rPr>
              <w:t>请求方系统使用排名：提供对总线注册的请求方系统使用服务资源情况进行统计排名。提供按昨日访问量进行排名。提供统计项目包括：昨日访问量、本月访问量、总访问量。</w:t>
            </w:r>
            <w:r>
              <w:rPr>
                <w:rFonts w:hint="eastAsia" w:ascii="仿宋_GB2312"/>
                <w:bCs/>
                <w:color w:val="000000" w:themeColor="text1"/>
              </w:rPr>
              <w:br w:type="textWrapping"/>
            </w:r>
            <w:r>
              <w:rPr>
                <w:rFonts w:hint="eastAsia" w:ascii="仿宋_GB2312"/>
                <w:bCs/>
                <w:color w:val="000000" w:themeColor="text1"/>
              </w:rPr>
              <w:t>审计查询：提供按访问用户、访问服务资源、访问内容等条件的检索功能。必须满足以后业主应用接口的开发。</w:t>
            </w:r>
          </w:p>
        </w:tc>
        <w:tc>
          <w:tcPr>
            <w:tcW w:w="636" w:type="dxa"/>
            <w:noWrap/>
            <w:vAlign w:val="center"/>
          </w:tcPr>
          <w:p>
            <w:pPr>
              <w:spacing w:line="300" w:lineRule="exact"/>
              <w:rPr>
                <w:rFonts w:ascii="仿宋_GB2312"/>
                <w:bCs/>
                <w:color w:val="000000" w:themeColor="text1"/>
              </w:rPr>
            </w:pPr>
            <w:r>
              <w:rPr>
                <w:rFonts w:hint="eastAsia" w:ascii="仿宋_GB2312"/>
                <w:bCs/>
                <w:color w:val="000000" w:themeColor="text1"/>
              </w:rPr>
              <w:t>2</w:t>
            </w:r>
          </w:p>
        </w:tc>
        <w:tc>
          <w:tcPr>
            <w:tcW w:w="467" w:type="dxa"/>
            <w:vAlign w:val="center"/>
          </w:tcPr>
          <w:p>
            <w:pPr>
              <w:spacing w:line="300" w:lineRule="exact"/>
              <w:jc w:val="center"/>
              <w:rPr>
                <w:rFonts w:ascii="仿宋_GB2312"/>
                <w:bCs/>
                <w:color w:val="000000" w:themeColor="text1"/>
              </w:rPr>
            </w:pPr>
          </w:p>
        </w:tc>
        <w:tc>
          <w:tcPr>
            <w:tcW w:w="447" w:type="dxa"/>
            <w:noWrap/>
            <w:vAlign w:val="center"/>
          </w:tcPr>
          <w:p>
            <w:pPr>
              <w:spacing w:line="300" w:lineRule="exact"/>
              <w:jc w:val="center"/>
              <w:rPr>
                <w:rFonts w:ascii="仿宋_GB2312"/>
                <w:bCs/>
                <w:color w:val="000000" w:themeColor="text1"/>
              </w:rPr>
            </w:pPr>
            <w:r>
              <w:rPr>
                <w:rFonts w:hint="eastAsia" w:ascii="仿宋_GB2312"/>
                <w:bCs/>
                <w:color w:val="000000" w:themeColor="text1"/>
              </w:rPr>
              <w:t>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0" w:type="dxa"/>
            <w:vMerge w:val="continue"/>
            <w:vAlign w:val="center"/>
          </w:tcPr>
          <w:p>
            <w:pPr>
              <w:spacing w:line="300" w:lineRule="exact"/>
              <w:jc w:val="center"/>
              <w:rPr>
                <w:rFonts w:ascii="仿宋_GB2312"/>
                <w:bCs/>
                <w:color w:val="000000" w:themeColor="text1"/>
              </w:rPr>
            </w:pPr>
          </w:p>
        </w:tc>
        <w:tc>
          <w:tcPr>
            <w:tcW w:w="1882" w:type="dxa"/>
            <w:vAlign w:val="center"/>
          </w:tcPr>
          <w:p>
            <w:pPr>
              <w:spacing w:line="300" w:lineRule="exact"/>
              <w:jc w:val="center"/>
              <w:rPr>
                <w:rFonts w:ascii="仿宋_GB2312"/>
                <w:bCs/>
                <w:color w:val="000000" w:themeColor="text1"/>
              </w:rPr>
            </w:pPr>
            <w:r>
              <w:rPr>
                <w:rFonts w:hint="eastAsia" w:ascii="仿宋_GB2312"/>
                <w:bCs/>
                <w:color w:val="000000" w:themeColor="text1"/>
              </w:rPr>
              <w:t>总线引擎模块</w:t>
            </w:r>
          </w:p>
        </w:tc>
        <w:tc>
          <w:tcPr>
            <w:tcW w:w="4526" w:type="dxa"/>
            <w:vAlign w:val="center"/>
          </w:tcPr>
          <w:p>
            <w:pPr>
              <w:spacing w:line="300" w:lineRule="exact"/>
              <w:rPr>
                <w:rFonts w:ascii="仿宋_GB2312"/>
                <w:bCs/>
                <w:color w:val="000000" w:themeColor="text1"/>
              </w:rPr>
            </w:pPr>
            <w:r>
              <w:rPr>
                <w:rFonts w:hint="eastAsia" w:ascii="仿宋_GB2312"/>
                <w:bCs/>
                <w:color w:val="000000" w:themeColor="text1"/>
              </w:rPr>
              <w:t>总线引擎模块主要包括：总线集群、数据缓存、协议转换、消息路由等。总线集群：</w:t>
            </w:r>
            <w:r>
              <w:rPr>
                <w:rFonts w:hint="eastAsia" w:ascii="仿宋_GB2312"/>
                <w:bCs/>
                <w:color w:val="000000" w:themeColor="text1"/>
              </w:rPr>
              <w:br w:type="textWrapping"/>
            </w:r>
            <w:r>
              <w:rPr>
                <w:rFonts w:hint="eastAsia" w:ascii="仿宋_GB2312"/>
                <w:bCs/>
                <w:color w:val="000000" w:themeColor="text1"/>
              </w:rPr>
              <w:t>为提高并发响应能力及容错能力，提供多实例集群。数据缓存：支持在集群环境下各个总线实例共享缓存数据。对相同请求被总线处理完后返回响应信息，当再次向集群中总线实例发送请求时，直接从缓存中获取原有的响应信息。代理服务：对部分已提供的服务的厂家，在不改变现有的服务而对服务进行转换或增加额外功能，通过由代理服务实现无缝集成。</w:t>
            </w:r>
            <w:r>
              <w:rPr>
                <w:rFonts w:hint="eastAsia" w:ascii="仿宋_GB2312"/>
                <w:bCs/>
                <w:color w:val="000000" w:themeColor="text1"/>
              </w:rPr>
              <w:br w:type="textWrapping"/>
            </w:r>
            <w:r>
              <w:rPr>
                <w:rFonts w:hint="eastAsia" w:ascii="仿宋_GB2312"/>
                <w:bCs/>
                <w:color w:val="000000" w:themeColor="text1"/>
              </w:rPr>
              <w:t>协议转换：不同的业务系统可能会使用不同的协议传递消息,总线支持接受多种不同协议的消息,并按照服务请求放\提供方系统支持的协议进行封装。支持TCP、HTTP、HTTPS、SOAP、JMS等通讯协议转换。消息路由：支持按照一定的规则和逻辑，将服务请求消息正确地传达到服务提供端。请求方向总线发送请求时，由总线根据消息内容、路由策略确定选择服务提供端。必须满足以后业主应用接口的开发。</w:t>
            </w:r>
          </w:p>
        </w:tc>
        <w:tc>
          <w:tcPr>
            <w:tcW w:w="636" w:type="dxa"/>
            <w:noWrap/>
            <w:vAlign w:val="center"/>
          </w:tcPr>
          <w:p>
            <w:pPr>
              <w:spacing w:line="300" w:lineRule="exact"/>
              <w:rPr>
                <w:rFonts w:ascii="仿宋_GB2312"/>
                <w:bCs/>
                <w:color w:val="000000" w:themeColor="text1"/>
              </w:rPr>
            </w:pPr>
            <w:r>
              <w:rPr>
                <w:rFonts w:hint="eastAsia" w:ascii="仿宋_GB2312"/>
                <w:bCs/>
                <w:color w:val="000000" w:themeColor="text1"/>
              </w:rPr>
              <w:t>2</w:t>
            </w:r>
          </w:p>
        </w:tc>
        <w:tc>
          <w:tcPr>
            <w:tcW w:w="467" w:type="dxa"/>
            <w:vAlign w:val="center"/>
          </w:tcPr>
          <w:p>
            <w:pPr>
              <w:spacing w:line="300" w:lineRule="exact"/>
              <w:jc w:val="center"/>
              <w:rPr>
                <w:rFonts w:ascii="仿宋_GB2312"/>
                <w:bCs/>
                <w:color w:val="000000" w:themeColor="text1"/>
              </w:rPr>
            </w:pPr>
          </w:p>
        </w:tc>
        <w:tc>
          <w:tcPr>
            <w:tcW w:w="447" w:type="dxa"/>
            <w:noWrap/>
            <w:vAlign w:val="center"/>
          </w:tcPr>
          <w:p>
            <w:pPr>
              <w:spacing w:line="300" w:lineRule="exact"/>
              <w:jc w:val="center"/>
              <w:rPr>
                <w:rFonts w:ascii="仿宋_GB2312"/>
                <w:bCs/>
                <w:color w:val="000000" w:themeColor="text1"/>
              </w:rPr>
            </w:pPr>
            <w:r>
              <w:rPr>
                <w:rFonts w:hint="eastAsia" w:ascii="仿宋_GB2312"/>
                <w:bCs/>
                <w:color w:val="000000" w:themeColor="text1"/>
              </w:rPr>
              <w:t>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120" w:hRule="atLeast"/>
          <w:jc w:val="center"/>
        </w:trPr>
        <w:tc>
          <w:tcPr>
            <w:tcW w:w="570" w:type="dxa"/>
            <w:vMerge w:val="continue"/>
            <w:vAlign w:val="center"/>
          </w:tcPr>
          <w:p>
            <w:pPr>
              <w:spacing w:line="300" w:lineRule="exact"/>
              <w:jc w:val="center"/>
              <w:rPr>
                <w:rFonts w:ascii="仿宋_GB2312"/>
                <w:bCs/>
                <w:color w:val="000000" w:themeColor="text1"/>
              </w:rPr>
            </w:pPr>
          </w:p>
        </w:tc>
        <w:tc>
          <w:tcPr>
            <w:tcW w:w="1882" w:type="dxa"/>
            <w:vAlign w:val="center"/>
          </w:tcPr>
          <w:p>
            <w:pPr>
              <w:spacing w:line="300" w:lineRule="exact"/>
              <w:rPr>
                <w:rFonts w:ascii="仿宋_GB2312"/>
                <w:bCs/>
                <w:color w:val="000000" w:themeColor="text1"/>
              </w:rPr>
            </w:pPr>
            <w:r>
              <w:rPr>
                <w:rFonts w:hint="eastAsia" w:ascii="仿宋_GB2312"/>
                <w:bCs/>
                <w:color w:val="000000" w:themeColor="text1"/>
              </w:rPr>
              <w:t>总线服务服务器</w:t>
            </w:r>
          </w:p>
        </w:tc>
        <w:tc>
          <w:tcPr>
            <w:tcW w:w="4526" w:type="dxa"/>
            <w:vAlign w:val="center"/>
          </w:tcPr>
          <w:p>
            <w:pPr>
              <w:spacing w:line="300" w:lineRule="exact"/>
              <w:rPr>
                <w:rFonts w:ascii="仿宋_GB2312"/>
                <w:bCs/>
                <w:color w:val="000000" w:themeColor="text1"/>
              </w:rPr>
            </w:pPr>
            <w:r>
              <w:rPr>
                <w:rFonts w:hint="eastAsia"/>
                <w:color w:val="000000" w:themeColor="text1"/>
              </w:rPr>
              <w:t>★</w:t>
            </w:r>
            <w:r>
              <w:rPr>
                <w:rFonts w:hint="eastAsia" w:ascii="仿宋_GB2312"/>
                <w:bCs/>
                <w:color w:val="000000" w:themeColor="text1"/>
              </w:rPr>
              <w:t>Cpu：Intel Xeon(≥8核，≥2.1GHz)×2</w:t>
            </w:r>
          </w:p>
          <w:p>
            <w:pPr>
              <w:spacing w:line="300" w:lineRule="exact"/>
              <w:rPr>
                <w:rFonts w:ascii="仿宋_GB2312"/>
                <w:bCs/>
                <w:color w:val="000000" w:themeColor="text1"/>
              </w:rPr>
            </w:pPr>
            <w:r>
              <w:rPr>
                <w:rFonts w:hint="eastAsia"/>
                <w:color w:val="000000" w:themeColor="text1"/>
              </w:rPr>
              <w:t>★</w:t>
            </w:r>
            <w:r>
              <w:rPr>
                <w:rFonts w:hint="eastAsia" w:ascii="仿宋_GB2312"/>
                <w:bCs/>
                <w:color w:val="000000" w:themeColor="text1"/>
              </w:rPr>
              <w:t>内存：≥32GB DDR4×2</w:t>
            </w:r>
          </w:p>
          <w:p>
            <w:pPr>
              <w:spacing w:line="300" w:lineRule="exact"/>
              <w:rPr>
                <w:rFonts w:ascii="仿宋_GB2312"/>
                <w:bCs/>
                <w:color w:val="000000" w:themeColor="text1"/>
              </w:rPr>
            </w:pPr>
            <w:r>
              <w:rPr>
                <w:rFonts w:hint="eastAsia"/>
                <w:color w:val="000000" w:themeColor="text1"/>
              </w:rPr>
              <w:t>★</w:t>
            </w:r>
            <w:r>
              <w:rPr>
                <w:rFonts w:hint="eastAsia" w:ascii="仿宋_GB2312"/>
                <w:bCs/>
                <w:color w:val="000000" w:themeColor="text1"/>
              </w:rPr>
              <w:t>硬盘：≥480G SSD+≥4TB SATA（磁盘转速≥7200rpm）</w:t>
            </w:r>
          </w:p>
          <w:p>
            <w:pPr>
              <w:spacing w:line="300" w:lineRule="exact"/>
              <w:rPr>
                <w:rFonts w:ascii="仿宋_GB2312"/>
                <w:bCs/>
                <w:color w:val="000000" w:themeColor="text1"/>
              </w:rPr>
            </w:pPr>
            <w:r>
              <w:rPr>
                <w:rFonts w:hint="eastAsia"/>
                <w:color w:val="000000" w:themeColor="text1"/>
              </w:rPr>
              <w:t>★</w:t>
            </w:r>
            <w:r>
              <w:rPr>
                <w:rFonts w:hint="eastAsia" w:ascii="仿宋_GB2312"/>
                <w:bCs/>
                <w:color w:val="000000" w:themeColor="text1"/>
              </w:rPr>
              <w:t>网口：1GbE×8（光口）</w:t>
            </w:r>
          </w:p>
          <w:p>
            <w:pPr>
              <w:spacing w:line="300" w:lineRule="exact"/>
              <w:rPr>
                <w:rFonts w:ascii="宋体" w:hAnsi="宋体"/>
                <w:color w:val="000000" w:themeColor="text1"/>
                <w:szCs w:val="21"/>
              </w:rPr>
            </w:pPr>
            <w:r>
              <w:rPr>
                <w:color w:val="000000" w:themeColor="text1"/>
              </w:rPr>
              <w:t>2</w:t>
            </w:r>
            <w:r>
              <w:rPr>
                <w:rFonts w:hint="eastAsia" w:ascii="宋体" w:hAnsi="宋体"/>
                <w:color w:val="000000" w:themeColor="text1"/>
                <w:szCs w:val="21"/>
              </w:rPr>
              <w:t>个热插拔冗余电源，冗余风扇</w:t>
            </w:r>
          </w:p>
          <w:p>
            <w:pPr>
              <w:spacing w:line="300" w:lineRule="exact"/>
              <w:rPr>
                <w:rFonts w:ascii="宋体" w:hAnsi="宋体"/>
                <w:color w:val="000000" w:themeColor="text1"/>
                <w:szCs w:val="21"/>
              </w:rPr>
            </w:pPr>
            <w:r>
              <w:rPr>
                <w:rFonts w:hint="eastAsia" w:ascii="宋体" w:hAnsi="宋体"/>
                <w:color w:val="000000" w:themeColor="text1"/>
                <w:szCs w:val="21"/>
              </w:rPr>
              <w:t>工作温度</w:t>
            </w:r>
            <w:r>
              <w:rPr>
                <w:rFonts w:ascii="宋体" w:hAnsi="宋体"/>
                <w:color w:val="000000" w:themeColor="text1"/>
                <w:szCs w:val="21"/>
              </w:rPr>
              <w:t>:</w:t>
            </w:r>
            <w:r>
              <w:rPr>
                <w:rFonts w:hint="eastAsia" w:ascii="宋体" w:hAnsi="宋体"/>
                <w:color w:val="000000" w:themeColor="text1"/>
                <w:szCs w:val="21"/>
              </w:rPr>
              <w:t>支持最高</w:t>
            </w:r>
            <w:r>
              <w:rPr>
                <w:rFonts w:ascii="宋体" w:hAnsi="宋体"/>
                <w:color w:val="000000" w:themeColor="text1"/>
                <w:szCs w:val="21"/>
              </w:rPr>
              <w:t>5-40</w:t>
            </w:r>
            <w:r>
              <w:rPr>
                <w:rFonts w:hint="eastAsia" w:ascii="宋体" w:hAnsi="宋体"/>
                <w:color w:val="000000" w:themeColor="text1"/>
                <w:szCs w:val="21"/>
              </w:rPr>
              <w:t>°</w:t>
            </w:r>
            <w:r>
              <w:rPr>
                <w:rFonts w:ascii="宋体" w:hAnsi="宋体"/>
                <w:color w:val="000000" w:themeColor="text1"/>
                <w:szCs w:val="21"/>
              </w:rPr>
              <w:t>C</w:t>
            </w:r>
            <w:r>
              <w:rPr>
                <w:rFonts w:hint="eastAsia" w:ascii="宋体" w:hAnsi="宋体"/>
                <w:color w:val="000000" w:themeColor="text1"/>
                <w:szCs w:val="21"/>
              </w:rPr>
              <w:t>标准工作温度</w:t>
            </w:r>
          </w:p>
          <w:p>
            <w:pPr>
              <w:spacing w:line="300" w:lineRule="exact"/>
              <w:rPr>
                <w:rFonts w:ascii="宋体" w:hAnsi="宋体"/>
                <w:color w:val="000000" w:themeColor="text1"/>
                <w:szCs w:val="21"/>
              </w:rPr>
            </w:pPr>
            <w:r>
              <w:rPr>
                <w:rFonts w:hint="eastAsia" w:ascii="宋体" w:hAnsi="宋体"/>
                <w:color w:val="000000" w:themeColor="text1"/>
                <w:szCs w:val="21"/>
              </w:rPr>
              <w:t>网络带宽</w:t>
            </w:r>
            <w:r>
              <w:rPr>
                <w:rFonts w:ascii="宋体" w:hAnsi="宋体"/>
                <w:color w:val="000000" w:themeColor="text1"/>
                <w:szCs w:val="21"/>
              </w:rPr>
              <w:t>:</w:t>
            </w:r>
            <w:r>
              <w:rPr>
                <w:rFonts w:hint="eastAsia" w:ascii="宋体" w:hAnsi="宋体"/>
                <w:color w:val="000000" w:themeColor="text1"/>
                <w:szCs w:val="21"/>
              </w:rPr>
              <w:t>支持多种网络带宽；</w:t>
            </w:r>
          </w:p>
          <w:p>
            <w:pPr>
              <w:spacing w:line="300" w:lineRule="exact"/>
              <w:rPr>
                <w:rFonts w:ascii="宋体" w:hAnsi="宋体"/>
                <w:color w:val="000000" w:themeColor="text1"/>
                <w:szCs w:val="21"/>
              </w:rPr>
            </w:pPr>
            <w:r>
              <w:rPr>
                <w:rFonts w:hint="eastAsia" w:ascii="宋体" w:hAnsi="宋体"/>
                <w:color w:val="000000" w:themeColor="text1"/>
                <w:szCs w:val="21"/>
              </w:rPr>
              <w:t>配置≥</w:t>
            </w:r>
            <w:r>
              <w:rPr>
                <w:rFonts w:ascii="宋体" w:hAnsi="宋体"/>
                <w:color w:val="000000" w:themeColor="text1"/>
                <w:szCs w:val="21"/>
              </w:rPr>
              <w:t>1Gb</w:t>
            </w:r>
            <w:r>
              <w:rPr>
                <w:rFonts w:hint="eastAsia" w:ascii="宋体" w:hAnsi="宋体"/>
                <w:color w:val="000000" w:themeColor="text1"/>
                <w:szCs w:val="21"/>
              </w:rPr>
              <w:t>独立的远程管理控制端口；</w:t>
            </w:r>
          </w:p>
          <w:p>
            <w:pPr>
              <w:spacing w:line="300" w:lineRule="exact"/>
              <w:ind w:firstLine="480"/>
              <w:rPr>
                <w:rFonts w:ascii="仿宋_GB2312"/>
                <w:bCs/>
                <w:color w:val="000000" w:themeColor="text1"/>
              </w:rPr>
            </w:pPr>
            <w:r>
              <w:rPr>
                <w:rFonts w:hint="eastAsia" w:ascii="宋体" w:hAnsi="宋体"/>
                <w:color w:val="000000" w:themeColor="text1"/>
                <w:szCs w:val="21"/>
              </w:rPr>
              <w:t>阵列控制器</w:t>
            </w:r>
            <w:r>
              <w:rPr>
                <w:rFonts w:ascii="宋体" w:hAnsi="宋体"/>
                <w:color w:val="000000" w:themeColor="text1"/>
                <w:szCs w:val="21"/>
              </w:rPr>
              <w:t>:</w:t>
            </w:r>
            <w:r>
              <w:rPr>
                <w:rFonts w:hint="eastAsia" w:ascii="宋体" w:hAnsi="宋体"/>
                <w:color w:val="000000" w:themeColor="text1"/>
                <w:szCs w:val="21"/>
              </w:rPr>
              <w:t>≥</w:t>
            </w:r>
            <w:r>
              <w:rPr>
                <w:rFonts w:ascii="宋体" w:hAnsi="宋体"/>
                <w:color w:val="000000" w:themeColor="text1"/>
                <w:szCs w:val="21"/>
              </w:rPr>
              <w:t>1</w:t>
            </w:r>
            <w:r>
              <w:rPr>
                <w:rFonts w:hint="eastAsia" w:ascii="宋体" w:hAnsi="宋体"/>
                <w:color w:val="000000" w:themeColor="text1"/>
                <w:szCs w:val="21"/>
              </w:rPr>
              <w:t>个标配</w:t>
            </w:r>
            <w:r>
              <w:rPr>
                <w:rFonts w:ascii="宋体" w:hAnsi="宋体"/>
                <w:color w:val="000000" w:themeColor="text1"/>
                <w:szCs w:val="21"/>
              </w:rPr>
              <w:t>RAID</w:t>
            </w:r>
            <w:r>
              <w:rPr>
                <w:rFonts w:hint="eastAsia" w:ascii="宋体" w:hAnsi="宋体"/>
                <w:color w:val="000000" w:themeColor="text1"/>
                <w:szCs w:val="21"/>
              </w:rPr>
              <w:t>阵列卡。</w:t>
            </w:r>
          </w:p>
        </w:tc>
        <w:tc>
          <w:tcPr>
            <w:tcW w:w="636" w:type="dxa"/>
            <w:noWrap/>
            <w:vAlign w:val="center"/>
          </w:tcPr>
          <w:p>
            <w:pPr>
              <w:spacing w:line="300" w:lineRule="exact"/>
              <w:ind w:firstLine="174" w:firstLineChars="83"/>
              <w:rPr>
                <w:rFonts w:ascii="仿宋_GB2312"/>
                <w:bCs/>
                <w:color w:val="000000" w:themeColor="text1"/>
              </w:rPr>
            </w:pPr>
            <w:r>
              <w:rPr>
                <w:rFonts w:hint="eastAsia" w:ascii="仿宋_GB2312"/>
                <w:bCs/>
                <w:color w:val="000000" w:themeColor="text1"/>
              </w:rPr>
              <w:t>8</w:t>
            </w:r>
          </w:p>
        </w:tc>
        <w:tc>
          <w:tcPr>
            <w:tcW w:w="467" w:type="dxa"/>
            <w:vAlign w:val="center"/>
          </w:tcPr>
          <w:p>
            <w:pPr>
              <w:spacing w:line="300" w:lineRule="exact"/>
              <w:jc w:val="center"/>
              <w:rPr>
                <w:rFonts w:ascii="仿宋_GB2312"/>
                <w:bCs/>
                <w:color w:val="000000" w:themeColor="text1"/>
              </w:rPr>
            </w:pPr>
          </w:p>
        </w:tc>
        <w:tc>
          <w:tcPr>
            <w:tcW w:w="447" w:type="dxa"/>
            <w:noWrap/>
            <w:vAlign w:val="center"/>
          </w:tcPr>
          <w:p>
            <w:pPr>
              <w:spacing w:line="300" w:lineRule="exact"/>
              <w:ind w:firstLine="174" w:firstLineChars="83"/>
              <w:rPr>
                <w:rFonts w:ascii="仿宋_GB2312"/>
                <w:bCs/>
                <w:color w:val="000000" w:themeColor="text1"/>
              </w:rPr>
            </w:pPr>
            <w:r>
              <w:rPr>
                <w:rFonts w:hint="eastAsia" w:ascii="仿宋_GB2312"/>
                <w:bCs/>
                <w:color w:val="000000" w:themeColor="text1"/>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20" w:hRule="atLeast"/>
          <w:jc w:val="center"/>
        </w:trPr>
        <w:tc>
          <w:tcPr>
            <w:tcW w:w="570" w:type="dxa"/>
            <w:vMerge w:val="continue"/>
            <w:vAlign w:val="center"/>
          </w:tcPr>
          <w:p>
            <w:pPr>
              <w:spacing w:line="300" w:lineRule="exact"/>
              <w:jc w:val="center"/>
              <w:rPr>
                <w:rFonts w:ascii="仿宋_GB2312"/>
                <w:bCs/>
                <w:color w:val="000000" w:themeColor="text1"/>
              </w:rPr>
            </w:pPr>
          </w:p>
        </w:tc>
        <w:tc>
          <w:tcPr>
            <w:tcW w:w="1882" w:type="dxa"/>
            <w:vAlign w:val="center"/>
          </w:tcPr>
          <w:p>
            <w:pPr>
              <w:spacing w:line="300" w:lineRule="exact"/>
              <w:jc w:val="center"/>
              <w:rPr>
                <w:rFonts w:ascii="仿宋_GB2312"/>
                <w:bCs/>
                <w:color w:val="000000" w:themeColor="text1"/>
              </w:rPr>
            </w:pPr>
            <w:r>
              <w:rPr>
                <w:rFonts w:hint="eastAsia" w:ascii="仿宋_GB2312"/>
                <w:bCs/>
                <w:color w:val="000000" w:themeColor="text1"/>
              </w:rPr>
              <w:t>数据缓存服务器</w:t>
            </w:r>
          </w:p>
        </w:tc>
        <w:tc>
          <w:tcPr>
            <w:tcW w:w="4526" w:type="dxa"/>
            <w:vAlign w:val="center"/>
          </w:tcPr>
          <w:p>
            <w:pPr>
              <w:spacing w:line="300" w:lineRule="exact"/>
              <w:rPr>
                <w:rFonts w:ascii="仿宋_GB2312"/>
                <w:bCs/>
                <w:color w:val="000000" w:themeColor="text1"/>
              </w:rPr>
            </w:pPr>
            <w:r>
              <w:rPr>
                <w:rFonts w:hint="eastAsia"/>
                <w:color w:val="000000" w:themeColor="text1"/>
              </w:rPr>
              <w:t>★</w:t>
            </w:r>
            <w:r>
              <w:rPr>
                <w:rFonts w:hint="eastAsia" w:ascii="仿宋_GB2312"/>
                <w:bCs/>
                <w:color w:val="000000" w:themeColor="text1"/>
              </w:rPr>
              <w:t>Cpu：Intel Xeon(≥8核，≥2.1GHz)×2</w:t>
            </w:r>
          </w:p>
          <w:p>
            <w:pPr>
              <w:spacing w:line="300" w:lineRule="exact"/>
              <w:rPr>
                <w:rFonts w:ascii="仿宋_GB2312"/>
                <w:bCs/>
                <w:color w:val="000000" w:themeColor="text1"/>
              </w:rPr>
            </w:pPr>
            <w:r>
              <w:rPr>
                <w:rFonts w:hint="eastAsia"/>
                <w:color w:val="000000" w:themeColor="text1"/>
              </w:rPr>
              <w:t>★</w:t>
            </w:r>
            <w:r>
              <w:rPr>
                <w:rFonts w:hint="eastAsia" w:ascii="仿宋_GB2312"/>
                <w:bCs/>
                <w:color w:val="000000" w:themeColor="text1"/>
              </w:rPr>
              <w:t>内存：≥32GB DDR4×4</w:t>
            </w:r>
          </w:p>
          <w:p>
            <w:pPr>
              <w:spacing w:line="300" w:lineRule="exact"/>
              <w:rPr>
                <w:rFonts w:ascii="仿宋_GB2312"/>
                <w:bCs/>
                <w:color w:val="000000" w:themeColor="text1"/>
              </w:rPr>
            </w:pPr>
            <w:r>
              <w:rPr>
                <w:rFonts w:hint="eastAsia"/>
                <w:color w:val="000000" w:themeColor="text1"/>
              </w:rPr>
              <w:t>★</w:t>
            </w:r>
            <w:r>
              <w:rPr>
                <w:rFonts w:hint="eastAsia" w:ascii="仿宋_GB2312"/>
                <w:bCs/>
                <w:color w:val="000000" w:themeColor="text1"/>
              </w:rPr>
              <w:t>硬盘：≥480G SSD</w:t>
            </w:r>
          </w:p>
          <w:p>
            <w:pPr>
              <w:spacing w:line="300" w:lineRule="exact"/>
              <w:rPr>
                <w:rFonts w:ascii="仿宋_GB2312"/>
                <w:bCs/>
                <w:color w:val="000000" w:themeColor="text1"/>
              </w:rPr>
            </w:pPr>
            <w:r>
              <w:rPr>
                <w:rFonts w:hint="eastAsia"/>
                <w:color w:val="000000" w:themeColor="text1"/>
              </w:rPr>
              <w:t>★</w:t>
            </w:r>
            <w:r>
              <w:rPr>
                <w:rFonts w:hint="eastAsia" w:ascii="仿宋_GB2312"/>
                <w:bCs/>
                <w:color w:val="000000" w:themeColor="text1"/>
              </w:rPr>
              <w:t>网口：1GbE×4（光口）</w:t>
            </w:r>
          </w:p>
          <w:p>
            <w:pPr>
              <w:spacing w:line="300" w:lineRule="exact"/>
              <w:rPr>
                <w:rFonts w:ascii="宋体" w:hAnsi="宋体"/>
                <w:color w:val="000000" w:themeColor="text1"/>
                <w:szCs w:val="21"/>
              </w:rPr>
            </w:pPr>
            <w:r>
              <w:rPr>
                <w:color w:val="000000" w:themeColor="text1"/>
              </w:rPr>
              <w:t>2</w:t>
            </w:r>
            <w:r>
              <w:rPr>
                <w:rFonts w:hint="eastAsia" w:ascii="宋体" w:hAnsi="宋体"/>
                <w:color w:val="000000" w:themeColor="text1"/>
                <w:szCs w:val="21"/>
              </w:rPr>
              <w:t>个热插拔冗余电源，冗余风扇</w:t>
            </w:r>
          </w:p>
          <w:p>
            <w:pPr>
              <w:spacing w:line="300" w:lineRule="exact"/>
              <w:rPr>
                <w:rFonts w:ascii="宋体" w:hAnsi="宋体"/>
                <w:color w:val="000000" w:themeColor="text1"/>
                <w:szCs w:val="21"/>
              </w:rPr>
            </w:pPr>
            <w:r>
              <w:rPr>
                <w:rFonts w:hint="eastAsia" w:ascii="宋体" w:hAnsi="宋体"/>
                <w:color w:val="000000" w:themeColor="text1"/>
                <w:szCs w:val="21"/>
              </w:rPr>
              <w:t>工作温度</w:t>
            </w:r>
            <w:r>
              <w:rPr>
                <w:rFonts w:ascii="宋体" w:hAnsi="宋体"/>
                <w:color w:val="000000" w:themeColor="text1"/>
                <w:szCs w:val="21"/>
              </w:rPr>
              <w:t>:</w:t>
            </w:r>
            <w:r>
              <w:rPr>
                <w:rFonts w:hint="eastAsia" w:ascii="宋体" w:hAnsi="宋体"/>
                <w:color w:val="000000" w:themeColor="text1"/>
                <w:szCs w:val="21"/>
              </w:rPr>
              <w:t>支持最高</w:t>
            </w:r>
            <w:r>
              <w:rPr>
                <w:rFonts w:ascii="宋体" w:hAnsi="宋体"/>
                <w:color w:val="000000" w:themeColor="text1"/>
                <w:szCs w:val="21"/>
              </w:rPr>
              <w:t>5-40</w:t>
            </w:r>
            <w:r>
              <w:rPr>
                <w:rFonts w:hint="eastAsia" w:ascii="宋体" w:hAnsi="宋体"/>
                <w:color w:val="000000" w:themeColor="text1"/>
                <w:szCs w:val="21"/>
              </w:rPr>
              <w:t>°</w:t>
            </w:r>
            <w:r>
              <w:rPr>
                <w:rFonts w:ascii="宋体" w:hAnsi="宋体"/>
                <w:color w:val="000000" w:themeColor="text1"/>
                <w:szCs w:val="21"/>
              </w:rPr>
              <w:t>C</w:t>
            </w:r>
            <w:r>
              <w:rPr>
                <w:rFonts w:hint="eastAsia" w:ascii="宋体" w:hAnsi="宋体"/>
                <w:color w:val="000000" w:themeColor="text1"/>
                <w:szCs w:val="21"/>
              </w:rPr>
              <w:t>标准工作温度</w:t>
            </w:r>
          </w:p>
          <w:p>
            <w:pPr>
              <w:spacing w:line="300" w:lineRule="exact"/>
              <w:rPr>
                <w:rFonts w:ascii="宋体" w:hAnsi="宋体"/>
                <w:color w:val="000000" w:themeColor="text1"/>
                <w:szCs w:val="21"/>
              </w:rPr>
            </w:pPr>
            <w:r>
              <w:rPr>
                <w:rFonts w:hint="eastAsia" w:ascii="宋体" w:hAnsi="宋体"/>
                <w:color w:val="000000" w:themeColor="text1"/>
                <w:szCs w:val="21"/>
              </w:rPr>
              <w:t>网络带宽</w:t>
            </w:r>
            <w:r>
              <w:rPr>
                <w:rFonts w:ascii="宋体" w:hAnsi="宋体"/>
                <w:color w:val="000000" w:themeColor="text1"/>
                <w:szCs w:val="21"/>
              </w:rPr>
              <w:t>:</w:t>
            </w:r>
            <w:r>
              <w:rPr>
                <w:rFonts w:hint="eastAsia" w:ascii="宋体" w:hAnsi="宋体"/>
                <w:color w:val="000000" w:themeColor="text1"/>
                <w:szCs w:val="21"/>
              </w:rPr>
              <w:t>支持多种网络带宽；</w:t>
            </w:r>
          </w:p>
          <w:p>
            <w:pPr>
              <w:spacing w:line="300" w:lineRule="exact"/>
              <w:rPr>
                <w:rFonts w:ascii="宋体" w:hAnsi="宋体"/>
                <w:color w:val="000000" w:themeColor="text1"/>
                <w:szCs w:val="21"/>
              </w:rPr>
            </w:pPr>
            <w:r>
              <w:rPr>
                <w:rFonts w:hint="eastAsia" w:ascii="宋体" w:hAnsi="宋体"/>
                <w:color w:val="000000" w:themeColor="text1"/>
                <w:szCs w:val="21"/>
              </w:rPr>
              <w:t>配置≥</w:t>
            </w:r>
            <w:r>
              <w:rPr>
                <w:rFonts w:ascii="宋体" w:hAnsi="宋体"/>
                <w:color w:val="000000" w:themeColor="text1"/>
                <w:szCs w:val="21"/>
              </w:rPr>
              <w:t>1Gb</w:t>
            </w:r>
            <w:r>
              <w:rPr>
                <w:rFonts w:hint="eastAsia" w:ascii="宋体" w:hAnsi="宋体"/>
                <w:color w:val="000000" w:themeColor="text1"/>
                <w:szCs w:val="21"/>
              </w:rPr>
              <w:t>独立的远程管理控制端口；</w:t>
            </w:r>
          </w:p>
          <w:p>
            <w:pPr>
              <w:spacing w:line="300" w:lineRule="exact"/>
              <w:rPr>
                <w:rFonts w:ascii="仿宋_GB2312"/>
                <w:bCs/>
                <w:color w:val="000000" w:themeColor="text1"/>
              </w:rPr>
            </w:pPr>
            <w:r>
              <w:rPr>
                <w:rFonts w:hint="eastAsia" w:ascii="宋体" w:hAnsi="宋体"/>
                <w:color w:val="000000" w:themeColor="text1"/>
                <w:szCs w:val="21"/>
              </w:rPr>
              <w:t>阵列控制器</w:t>
            </w:r>
            <w:r>
              <w:rPr>
                <w:rFonts w:ascii="宋体" w:hAnsi="宋体"/>
                <w:color w:val="000000" w:themeColor="text1"/>
                <w:szCs w:val="21"/>
              </w:rPr>
              <w:t>:</w:t>
            </w:r>
            <w:r>
              <w:rPr>
                <w:rFonts w:hint="eastAsia" w:ascii="宋体" w:hAnsi="宋体"/>
                <w:color w:val="000000" w:themeColor="text1"/>
                <w:szCs w:val="21"/>
              </w:rPr>
              <w:t>≥</w:t>
            </w:r>
            <w:r>
              <w:rPr>
                <w:rFonts w:ascii="宋体" w:hAnsi="宋体"/>
                <w:color w:val="000000" w:themeColor="text1"/>
                <w:szCs w:val="21"/>
              </w:rPr>
              <w:t>1</w:t>
            </w:r>
            <w:r>
              <w:rPr>
                <w:rFonts w:hint="eastAsia" w:ascii="宋体" w:hAnsi="宋体"/>
                <w:color w:val="000000" w:themeColor="text1"/>
                <w:szCs w:val="21"/>
              </w:rPr>
              <w:t>个标配</w:t>
            </w:r>
            <w:r>
              <w:rPr>
                <w:rFonts w:ascii="宋体" w:hAnsi="宋体"/>
                <w:color w:val="000000" w:themeColor="text1"/>
                <w:szCs w:val="21"/>
              </w:rPr>
              <w:t>RAID</w:t>
            </w:r>
            <w:r>
              <w:rPr>
                <w:rFonts w:hint="eastAsia" w:ascii="宋体" w:hAnsi="宋体"/>
                <w:color w:val="000000" w:themeColor="text1"/>
                <w:szCs w:val="21"/>
              </w:rPr>
              <w:t>阵列卡。</w:t>
            </w:r>
          </w:p>
        </w:tc>
        <w:tc>
          <w:tcPr>
            <w:tcW w:w="636" w:type="dxa"/>
            <w:noWrap/>
            <w:vAlign w:val="center"/>
          </w:tcPr>
          <w:p>
            <w:pPr>
              <w:spacing w:line="300" w:lineRule="exact"/>
              <w:rPr>
                <w:rFonts w:ascii="仿宋_GB2312"/>
                <w:bCs/>
                <w:color w:val="000000" w:themeColor="text1"/>
              </w:rPr>
            </w:pPr>
            <w:r>
              <w:rPr>
                <w:rFonts w:hint="eastAsia" w:ascii="仿宋_GB2312"/>
                <w:bCs/>
                <w:color w:val="000000" w:themeColor="text1"/>
              </w:rPr>
              <w:t>4</w:t>
            </w:r>
          </w:p>
        </w:tc>
        <w:tc>
          <w:tcPr>
            <w:tcW w:w="467" w:type="dxa"/>
            <w:vAlign w:val="center"/>
          </w:tcPr>
          <w:p>
            <w:pPr>
              <w:spacing w:line="300" w:lineRule="exact"/>
              <w:jc w:val="center"/>
              <w:rPr>
                <w:rFonts w:ascii="仿宋_GB2312"/>
                <w:bCs/>
                <w:color w:val="000000" w:themeColor="text1"/>
              </w:rPr>
            </w:pPr>
          </w:p>
        </w:tc>
        <w:tc>
          <w:tcPr>
            <w:tcW w:w="447" w:type="dxa"/>
            <w:noWrap/>
            <w:vAlign w:val="center"/>
          </w:tcPr>
          <w:p>
            <w:pPr>
              <w:spacing w:line="300" w:lineRule="exact"/>
              <w:jc w:val="center"/>
              <w:rPr>
                <w:rFonts w:ascii="仿宋_GB2312"/>
                <w:bCs/>
                <w:color w:val="000000" w:themeColor="text1"/>
              </w:rPr>
            </w:pPr>
            <w:r>
              <w:rPr>
                <w:rFonts w:hint="eastAsia" w:ascii="仿宋_GB2312"/>
                <w:bCs/>
                <w:color w:val="000000" w:themeColor="text1"/>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0" w:type="dxa"/>
            <w:vMerge w:val="restart"/>
            <w:vAlign w:val="center"/>
          </w:tcPr>
          <w:p>
            <w:pPr>
              <w:spacing w:line="300" w:lineRule="exact"/>
              <w:jc w:val="center"/>
              <w:rPr>
                <w:rFonts w:ascii="仿宋_GB2312"/>
                <w:bCs/>
                <w:color w:val="000000" w:themeColor="text1"/>
              </w:rPr>
            </w:pPr>
            <w:r>
              <w:rPr>
                <w:rFonts w:hint="eastAsia" w:ascii="仿宋_GB2312"/>
                <w:bCs/>
                <w:color w:val="000000" w:themeColor="text1"/>
              </w:rPr>
              <w:t>数据仓库系统</w:t>
            </w:r>
          </w:p>
        </w:tc>
        <w:tc>
          <w:tcPr>
            <w:tcW w:w="1882" w:type="dxa"/>
            <w:vAlign w:val="center"/>
          </w:tcPr>
          <w:p>
            <w:pPr>
              <w:spacing w:line="300" w:lineRule="exact"/>
              <w:jc w:val="center"/>
              <w:rPr>
                <w:rFonts w:ascii="仿宋_GB2312"/>
                <w:bCs/>
                <w:color w:val="000000" w:themeColor="text1"/>
              </w:rPr>
            </w:pPr>
            <w:r>
              <w:rPr>
                <w:rFonts w:hint="eastAsia" w:ascii="仿宋_GB2312"/>
                <w:bCs/>
                <w:color w:val="000000" w:themeColor="text1"/>
              </w:rPr>
              <w:t>数据仓库服务器</w:t>
            </w:r>
          </w:p>
        </w:tc>
        <w:tc>
          <w:tcPr>
            <w:tcW w:w="4526" w:type="dxa"/>
            <w:vAlign w:val="center"/>
          </w:tcPr>
          <w:p>
            <w:pPr>
              <w:spacing w:line="300" w:lineRule="exact"/>
              <w:rPr>
                <w:rFonts w:ascii="仿宋_GB2312"/>
                <w:bCs/>
                <w:color w:val="000000" w:themeColor="text1"/>
              </w:rPr>
            </w:pPr>
            <w:r>
              <w:rPr>
                <w:rFonts w:hint="eastAsia"/>
                <w:color w:val="000000" w:themeColor="text1"/>
              </w:rPr>
              <w:t>★</w:t>
            </w:r>
            <w:r>
              <w:rPr>
                <w:rFonts w:hint="eastAsia" w:ascii="仿宋_GB2312"/>
                <w:bCs/>
                <w:color w:val="000000" w:themeColor="text1"/>
              </w:rPr>
              <w:t>Cpu：Intel Xeon(≥8核，≥2.1GHz)×2</w:t>
            </w:r>
          </w:p>
          <w:p>
            <w:pPr>
              <w:spacing w:line="300" w:lineRule="exact"/>
              <w:rPr>
                <w:rFonts w:ascii="仿宋_GB2312"/>
                <w:bCs/>
                <w:color w:val="000000" w:themeColor="text1"/>
              </w:rPr>
            </w:pPr>
            <w:r>
              <w:rPr>
                <w:rFonts w:hint="eastAsia"/>
                <w:color w:val="000000" w:themeColor="text1"/>
              </w:rPr>
              <w:t>★</w:t>
            </w:r>
            <w:r>
              <w:rPr>
                <w:rFonts w:hint="eastAsia" w:ascii="仿宋_GB2312"/>
                <w:bCs/>
                <w:color w:val="000000" w:themeColor="text1"/>
              </w:rPr>
              <w:t>内存：≥16GB DDR4×2</w:t>
            </w:r>
          </w:p>
          <w:p>
            <w:pPr>
              <w:spacing w:line="300" w:lineRule="exact"/>
              <w:rPr>
                <w:rFonts w:ascii="仿宋_GB2312"/>
                <w:bCs/>
                <w:color w:val="000000" w:themeColor="text1"/>
              </w:rPr>
            </w:pPr>
            <w:r>
              <w:rPr>
                <w:rFonts w:hint="eastAsia"/>
                <w:color w:val="000000" w:themeColor="text1"/>
              </w:rPr>
              <w:t>★</w:t>
            </w:r>
            <w:r>
              <w:rPr>
                <w:rFonts w:hint="eastAsia" w:ascii="仿宋_GB2312"/>
                <w:bCs/>
                <w:color w:val="000000" w:themeColor="text1"/>
              </w:rPr>
              <w:t>硬盘：≥480G SSD</w:t>
            </w:r>
          </w:p>
          <w:p>
            <w:pPr>
              <w:spacing w:line="300" w:lineRule="exact"/>
              <w:rPr>
                <w:rFonts w:ascii="仿宋_GB2312"/>
                <w:bCs/>
                <w:color w:val="000000" w:themeColor="text1"/>
              </w:rPr>
            </w:pPr>
            <w:r>
              <w:rPr>
                <w:rFonts w:hint="eastAsia"/>
                <w:color w:val="000000" w:themeColor="text1"/>
              </w:rPr>
              <w:t>★</w:t>
            </w:r>
            <w:r>
              <w:rPr>
                <w:rFonts w:hint="eastAsia" w:ascii="仿宋_GB2312"/>
                <w:bCs/>
                <w:color w:val="000000" w:themeColor="text1"/>
              </w:rPr>
              <w:t>网口：1GbE×2（光口）</w:t>
            </w:r>
          </w:p>
          <w:p>
            <w:pPr>
              <w:spacing w:line="300" w:lineRule="exact"/>
              <w:rPr>
                <w:rFonts w:ascii="宋体" w:hAnsi="宋体"/>
                <w:color w:val="000000" w:themeColor="text1"/>
                <w:szCs w:val="21"/>
              </w:rPr>
            </w:pPr>
            <w:r>
              <w:rPr>
                <w:color w:val="000000" w:themeColor="text1"/>
              </w:rPr>
              <w:t>2</w:t>
            </w:r>
            <w:r>
              <w:rPr>
                <w:rFonts w:hint="eastAsia" w:ascii="宋体" w:hAnsi="宋体"/>
                <w:color w:val="000000" w:themeColor="text1"/>
                <w:szCs w:val="21"/>
              </w:rPr>
              <w:t>个热插拔冗余电源，冗余风扇</w:t>
            </w:r>
          </w:p>
          <w:p>
            <w:pPr>
              <w:spacing w:line="300" w:lineRule="exact"/>
              <w:rPr>
                <w:rFonts w:ascii="宋体" w:hAnsi="宋体"/>
                <w:color w:val="000000" w:themeColor="text1"/>
                <w:szCs w:val="21"/>
              </w:rPr>
            </w:pPr>
            <w:r>
              <w:rPr>
                <w:rFonts w:hint="eastAsia" w:ascii="宋体" w:hAnsi="宋体"/>
                <w:color w:val="000000" w:themeColor="text1"/>
                <w:szCs w:val="21"/>
              </w:rPr>
              <w:t>工作温度</w:t>
            </w:r>
            <w:r>
              <w:rPr>
                <w:rFonts w:ascii="宋体" w:hAnsi="宋体"/>
                <w:color w:val="000000" w:themeColor="text1"/>
                <w:szCs w:val="21"/>
              </w:rPr>
              <w:t>:</w:t>
            </w:r>
            <w:r>
              <w:rPr>
                <w:rFonts w:hint="eastAsia" w:ascii="宋体" w:hAnsi="宋体"/>
                <w:color w:val="000000" w:themeColor="text1"/>
                <w:szCs w:val="21"/>
              </w:rPr>
              <w:t>支持最高</w:t>
            </w:r>
            <w:r>
              <w:rPr>
                <w:rFonts w:ascii="宋体" w:hAnsi="宋体"/>
                <w:color w:val="000000" w:themeColor="text1"/>
                <w:szCs w:val="21"/>
              </w:rPr>
              <w:t>5-40</w:t>
            </w:r>
            <w:r>
              <w:rPr>
                <w:rFonts w:hint="eastAsia" w:ascii="宋体" w:hAnsi="宋体"/>
                <w:color w:val="000000" w:themeColor="text1"/>
                <w:szCs w:val="21"/>
              </w:rPr>
              <w:t>°</w:t>
            </w:r>
            <w:r>
              <w:rPr>
                <w:rFonts w:ascii="宋体" w:hAnsi="宋体"/>
                <w:color w:val="000000" w:themeColor="text1"/>
                <w:szCs w:val="21"/>
              </w:rPr>
              <w:t>C</w:t>
            </w:r>
            <w:r>
              <w:rPr>
                <w:rFonts w:hint="eastAsia" w:ascii="宋体" w:hAnsi="宋体"/>
                <w:color w:val="000000" w:themeColor="text1"/>
                <w:szCs w:val="21"/>
              </w:rPr>
              <w:t>标准工作温度</w:t>
            </w:r>
          </w:p>
          <w:p>
            <w:pPr>
              <w:spacing w:line="300" w:lineRule="exact"/>
              <w:rPr>
                <w:rFonts w:ascii="宋体" w:hAnsi="宋体"/>
                <w:color w:val="000000" w:themeColor="text1"/>
                <w:szCs w:val="21"/>
              </w:rPr>
            </w:pPr>
            <w:r>
              <w:rPr>
                <w:rFonts w:hint="eastAsia" w:ascii="宋体" w:hAnsi="宋体"/>
                <w:color w:val="000000" w:themeColor="text1"/>
                <w:szCs w:val="21"/>
              </w:rPr>
              <w:t>网络带宽</w:t>
            </w:r>
            <w:r>
              <w:rPr>
                <w:rFonts w:ascii="宋体" w:hAnsi="宋体"/>
                <w:color w:val="000000" w:themeColor="text1"/>
                <w:szCs w:val="21"/>
              </w:rPr>
              <w:t>:</w:t>
            </w:r>
            <w:r>
              <w:rPr>
                <w:rFonts w:hint="eastAsia" w:ascii="宋体" w:hAnsi="宋体"/>
                <w:color w:val="000000" w:themeColor="text1"/>
                <w:szCs w:val="21"/>
              </w:rPr>
              <w:t>支持多种网络带宽；</w:t>
            </w:r>
          </w:p>
          <w:p>
            <w:pPr>
              <w:spacing w:line="300" w:lineRule="exact"/>
              <w:rPr>
                <w:rFonts w:ascii="宋体" w:hAnsi="宋体"/>
                <w:color w:val="000000" w:themeColor="text1"/>
                <w:szCs w:val="21"/>
              </w:rPr>
            </w:pPr>
            <w:r>
              <w:rPr>
                <w:rFonts w:hint="eastAsia" w:ascii="宋体" w:hAnsi="宋体"/>
                <w:color w:val="000000" w:themeColor="text1"/>
                <w:szCs w:val="21"/>
              </w:rPr>
              <w:t>配置≥</w:t>
            </w:r>
            <w:r>
              <w:rPr>
                <w:rFonts w:ascii="宋体" w:hAnsi="宋体"/>
                <w:color w:val="000000" w:themeColor="text1"/>
                <w:szCs w:val="21"/>
              </w:rPr>
              <w:t>1Gb</w:t>
            </w:r>
            <w:r>
              <w:rPr>
                <w:rFonts w:hint="eastAsia" w:ascii="宋体" w:hAnsi="宋体"/>
                <w:color w:val="000000" w:themeColor="text1"/>
                <w:szCs w:val="21"/>
              </w:rPr>
              <w:t>独立的远程管理控制端口；</w:t>
            </w:r>
          </w:p>
          <w:p>
            <w:pPr>
              <w:spacing w:line="300" w:lineRule="exact"/>
              <w:rPr>
                <w:rFonts w:ascii="仿宋_GB2312"/>
                <w:bCs/>
                <w:color w:val="000000" w:themeColor="text1"/>
              </w:rPr>
            </w:pPr>
            <w:r>
              <w:rPr>
                <w:rFonts w:hint="eastAsia" w:ascii="宋体" w:hAnsi="宋体"/>
                <w:color w:val="000000" w:themeColor="text1"/>
                <w:szCs w:val="21"/>
              </w:rPr>
              <w:t>阵列控制器</w:t>
            </w:r>
            <w:r>
              <w:rPr>
                <w:rFonts w:ascii="宋体" w:hAnsi="宋体"/>
                <w:color w:val="000000" w:themeColor="text1"/>
                <w:szCs w:val="21"/>
              </w:rPr>
              <w:t>:</w:t>
            </w:r>
            <w:r>
              <w:rPr>
                <w:rFonts w:hint="eastAsia" w:ascii="宋体" w:hAnsi="宋体"/>
                <w:color w:val="000000" w:themeColor="text1"/>
                <w:szCs w:val="21"/>
              </w:rPr>
              <w:t>≥</w:t>
            </w:r>
            <w:r>
              <w:rPr>
                <w:rFonts w:ascii="宋体" w:hAnsi="宋体"/>
                <w:color w:val="000000" w:themeColor="text1"/>
                <w:szCs w:val="21"/>
              </w:rPr>
              <w:t>1</w:t>
            </w:r>
            <w:r>
              <w:rPr>
                <w:rFonts w:hint="eastAsia" w:ascii="宋体" w:hAnsi="宋体"/>
                <w:color w:val="000000" w:themeColor="text1"/>
                <w:szCs w:val="21"/>
              </w:rPr>
              <w:t>个标配</w:t>
            </w:r>
            <w:r>
              <w:rPr>
                <w:rFonts w:ascii="宋体" w:hAnsi="宋体"/>
                <w:color w:val="000000" w:themeColor="text1"/>
                <w:szCs w:val="21"/>
              </w:rPr>
              <w:t>RAID</w:t>
            </w:r>
            <w:r>
              <w:rPr>
                <w:rFonts w:hint="eastAsia" w:ascii="宋体" w:hAnsi="宋体"/>
                <w:color w:val="000000" w:themeColor="text1"/>
                <w:szCs w:val="21"/>
              </w:rPr>
              <w:t>阵列卡。</w:t>
            </w:r>
          </w:p>
        </w:tc>
        <w:tc>
          <w:tcPr>
            <w:tcW w:w="636" w:type="dxa"/>
            <w:noWrap/>
            <w:vAlign w:val="center"/>
          </w:tcPr>
          <w:p>
            <w:pPr>
              <w:spacing w:line="300" w:lineRule="exact"/>
              <w:rPr>
                <w:rFonts w:ascii="仿宋_GB2312"/>
                <w:bCs/>
                <w:color w:val="000000" w:themeColor="text1"/>
              </w:rPr>
            </w:pPr>
            <w:r>
              <w:rPr>
                <w:rFonts w:hint="eastAsia" w:ascii="仿宋_GB2312"/>
                <w:bCs/>
                <w:color w:val="000000" w:themeColor="text1"/>
              </w:rPr>
              <w:t>32</w:t>
            </w:r>
          </w:p>
        </w:tc>
        <w:tc>
          <w:tcPr>
            <w:tcW w:w="467" w:type="dxa"/>
            <w:vAlign w:val="center"/>
          </w:tcPr>
          <w:p>
            <w:pPr>
              <w:spacing w:line="300" w:lineRule="exact"/>
              <w:jc w:val="center"/>
              <w:rPr>
                <w:rFonts w:ascii="仿宋_GB2312"/>
                <w:bCs/>
                <w:color w:val="000000" w:themeColor="text1"/>
              </w:rPr>
            </w:pPr>
          </w:p>
        </w:tc>
        <w:tc>
          <w:tcPr>
            <w:tcW w:w="447" w:type="dxa"/>
            <w:noWrap/>
            <w:vAlign w:val="center"/>
          </w:tcPr>
          <w:p>
            <w:pPr>
              <w:spacing w:line="300" w:lineRule="exact"/>
              <w:jc w:val="center"/>
              <w:rPr>
                <w:rFonts w:ascii="仿宋_GB2312"/>
                <w:bCs/>
                <w:color w:val="000000" w:themeColor="text1"/>
              </w:rPr>
            </w:pPr>
            <w:r>
              <w:rPr>
                <w:rFonts w:hint="eastAsia" w:ascii="仿宋_GB2312"/>
                <w:bCs/>
                <w:color w:val="000000" w:themeColor="text1"/>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0" w:type="dxa"/>
            <w:vMerge w:val="continue"/>
            <w:vAlign w:val="center"/>
          </w:tcPr>
          <w:p>
            <w:pPr>
              <w:spacing w:line="300" w:lineRule="exact"/>
              <w:jc w:val="center"/>
              <w:rPr>
                <w:rFonts w:ascii="仿宋_GB2312"/>
                <w:bCs/>
                <w:color w:val="000000" w:themeColor="text1"/>
              </w:rPr>
            </w:pPr>
          </w:p>
        </w:tc>
        <w:tc>
          <w:tcPr>
            <w:tcW w:w="1882" w:type="dxa"/>
            <w:vAlign w:val="center"/>
          </w:tcPr>
          <w:p>
            <w:pPr>
              <w:spacing w:line="300" w:lineRule="exact"/>
              <w:jc w:val="center"/>
              <w:rPr>
                <w:rFonts w:ascii="仿宋_GB2312"/>
                <w:bCs/>
                <w:color w:val="000000" w:themeColor="text1"/>
              </w:rPr>
            </w:pPr>
            <w:r>
              <w:rPr>
                <w:rFonts w:hint="eastAsia"/>
                <w:color w:val="000000" w:themeColor="text1"/>
              </w:rPr>
              <w:t>▲</w:t>
            </w:r>
            <w:r>
              <w:rPr>
                <w:rFonts w:hint="eastAsia" w:ascii="仿宋_GB2312"/>
                <w:bCs/>
                <w:color w:val="000000" w:themeColor="text1"/>
              </w:rPr>
              <w:t>数据仓库管理基础模块；数据仓库应用、管理、扩展模块；数据仓库接口模块</w:t>
            </w:r>
          </w:p>
        </w:tc>
        <w:tc>
          <w:tcPr>
            <w:tcW w:w="4526" w:type="dxa"/>
            <w:vAlign w:val="center"/>
          </w:tcPr>
          <w:p>
            <w:pPr>
              <w:spacing w:line="300" w:lineRule="exact"/>
              <w:rPr>
                <w:rFonts w:ascii="仿宋_GB2312"/>
                <w:bCs/>
                <w:color w:val="000000" w:themeColor="text1"/>
              </w:rPr>
            </w:pPr>
            <w:r>
              <w:rPr>
                <w:rFonts w:hint="eastAsia" w:ascii="仿宋_GB2312"/>
                <w:bCs/>
                <w:color w:val="000000" w:themeColor="text1"/>
              </w:rPr>
              <w:t>以公安部视图库标准GA/T1400-2017 标准为依据，数据仓库基础模块，包含数据仓库各项子功能。提供系统管理、设备管理、查询检索、布控告警、订阅通知功能，数据统计分析等服务；</w:t>
            </w:r>
            <w:r>
              <w:rPr>
                <w:rFonts w:hint="eastAsia" w:ascii="仿宋_GB2312"/>
                <w:bCs/>
                <w:color w:val="000000" w:themeColor="text1"/>
              </w:rPr>
              <w:br w:type="textWrapping"/>
            </w:r>
            <w:r>
              <w:rPr>
                <w:rFonts w:hint="eastAsia" w:ascii="仿宋_GB2312"/>
                <w:bCs/>
                <w:color w:val="000000" w:themeColor="text1"/>
              </w:rPr>
              <w:t>系统管理：主要包括用户管理、组织管理、角色管理、字典管理、日志管理等；可对用户、角色基本信息进行管理，控制用户角色的访问操作权限，保障数据的访问使用安全。为了规范入库资源的准确性，能够使用选择输入的字段都需要支持用户选择输入。字典管理功能可管理所有用户选择输入的内容，并对内容进行自定义修改。</w:t>
            </w:r>
            <w:r>
              <w:rPr>
                <w:rFonts w:hint="eastAsia" w:ascii="仿宋_GB2312"/>
                <w:bCs/>
                <w:color w:val="000000" w:themeColor="text1"/>
              </w:rPr>
              <w:br w:type="textWrapping"/>
            </w:r>
            <w:r>
              <w:rPr>
                <w:rFonts w:hint="eastAsia" w:ascii="仿宋_GB2312"/>
                <w:bCs/>
                <w:color w:val="000000" w:themeColor="text1"/>
              </w:rPr>
              <w:t>信息中心：通过统计报表功能可以按组织、个人、时间段、资源类型等条件统计上传至视频图像信息数据库资源数量。</w:t>
            </w:r>
            <w:r>
              <w:rPr>
                <w:rFonts w:hint="eastAsia" w:ascii="仿宋_GB2312"/>
                <w:bCs/>
                <w:color w:val="000000" w:themeColor="text1"/>
              </w:rPr>
              <w:br w:type="textWrapping"/>
            </w:r>
            <w:r>
              <w:rPr>
                <w:rFonts w:hint="eastAsia" w:ascii="仿宋_GB2312"/>
                <w:bCs/>
                <w:color w:val="000000" w:themeColor="text1"/>
              </w:rPr>
              <w:t>基础应用功能：主要实现订阅、检索、布控、告警、联网等功能。系统支持上下级的级联管理，配置下级订阅服务，订阅下级平台的视频图像信息,单节点结构化信息的级联数据量大于2000万条/天，结构化数据级联带图片大于500万条/天。具备对指定视频图像信息对象进行在线实时布控/告警的功能，支持的布控类别有人、机动车、非机动车和关键字；级联满足配置结构化数据量统计需求.</w:t>
            </w:r>
          </w:p>
        </w:tc>
        <w:tc>
          <w:tcPr>
            <w:tcW w:w="636" w:type="dxa"/>
            <w:noWrap/>
            <w:vAlign w:val="center"/>
          </w:tcPr>
          <w:p>
            <w:pPr>
              <w:spacing w:line="300" w:lineRule="exact"/>
              <w:rPr>
                <w:rFonts w:ascii="仿宋_GB2312"/>
                <w:bCs/>
                <w:color w:val="000000" w:themeColor="text1"/>
              </w:rPr>
            </w:pPr>
            <w:r>
              <w:rPr>
                <w:rFonts w:hint="eastAsia" w:ascii="仿宋_GB2312"/>
                <w:bCs/>
                <w:color w:val="000000" w:themeColor="text1"/>
              </w:rPr>
              <w:t>1</w:t>
            </w:r>
          </w:p>
        </w:tc>
        <w:tc>
          <w:tcPr>
            <w:tcW w:w="467" w:type="dxa"/>
            <w:vAlign w:val="center"/>
          </w:tcPr>
          <w:p>
            <w:pPr>
              <w:spacing w:line="300" w:lineRule="exact"/>
              <w:jc w:val="center"/>
              <w:rPr>
                <w:rFonts w:ascii="仿宋_GB2312"/>
                <w:bCs/>
                <w:color w:val="000000" w:themeColor="text1"/>
              </w:rPr>
            </w:pPr>
          </w:p>
        </w:tc>
        <w:tc>
          <w:tcPr>
            <w:tcW w:w="447" w:type="dxa"/>
            <w:noWrap/>
            <w:vAlign w:val="center"/>
          </w:tcPr>
          <w:p>
            <w:pPr>
              <w:spacing w:line="300" w:lineRule="exact"/>
              <w:jc w:val="center"/>
              <w:rPr>
                <w:rFonts w:ascii="仿宋_GB2312"/>
                <w:bCs/>
                <w:color w:val="000000" w:themeColor="text1"/>
              </w:rPr>
            </w:pPr>
            <w:r>
              <w:rPr>
                <w:rFonts w:hint="eastAsia" w:ascii="仿宋_GB2312"/>
                <w:bCs/>
                <w:color w:val="000000" w:themeColor="text1"/>
              </w:rPr>
              <w:t>套</w:t>
            </w:r>
          </w:p>
        </w:tc>
      </w:tr>
    </w:tbl>
    <w:p>
      <w:pPr>
        <w:spacing w:line="534" w:lineRule="exact"/>
        <w:ind w:right="10" w:firstLine="482"/>
        <w:rPr>
          <w:b/>
          <w:color w:val="000000" w:themeColor="text1"/>
        </w:rPr>
      </w:pPr>
    </w:p>
    <w:p>
      <w:pPr>
        <w:pStyle w:val="3"/>
        <w:spacing w:before="120" w:after="120"/>
        <w:ind w:firstLine="562"/>
        <w:rPr>
          <w:color w:val="000000" w:themeColor="text1"/>
        </w:rPr>
      </w:pPr>
      <w:r>
        <w:rPr>
          <w:rFonts w:hint="eastAsia" w:ascii="黑体" w:hAnsi="宋体"/>
          <w:bCs w:val="0"/>
          <w:color w:val="000000" w:themeColor="text1"/>
          <w:szCs w:val="30"/>
        </w:rPr>
        <w:t>七、</w:t>
      </w:r>
      <w:r>
        <w:rPr>
          <w:color w:val="000000" w:themeColor="text1"/>
        </w:rPr>
        <w:t>机房及配套工程要求</w:t>
      </w:r>
      <w:bookmarkEnd w:id="390"/>
      <w:bookmarkEnd w:id="391"/>
    </w:p>
    <w:p>
      <w:pPr>
        <w:ind w:firstLine="480"/>
        <w:rPr>
          <w:rFonts w:ascii="宋体" w:hAnsi="宋体"/>
          <w:color w:val="000000" w:themeColor="text1"/>
        </w:rPr>
      </w:pPr>
      <w:r>
        <w:rPr>
          <w:rFonts w:ascii="宋体" w:hAnsi="宋体"/>
          <w:color w:val="000000" w:themeColor="text1"/>
        </w:rPr>
        <w:t>本项目设计到的硬件设备采取租赁方式，具体机房环境以及配套工程要求如下：</w:t>
      </w:r>
    </w:p>
    <w:p>
      <w:pPr>
        <w:pStyle w:val="4"/>
        <w:ind w:firstLine="562"/>
        <w:rPr>
          <w:color w:val="000000" w:themeColor="text1"/>
        </w:rPr>
      </w:pPr>
      <w:bookmarkStart w:id="449" w:name="_Toc8760724"/>
      <w:bookmarkStart w:id="450" w:name="_Toc323999051"/>
      <w:bookmarkStart w:id="451" w:name="_Toc345242308"/>
      <w:bookmarkStart w:id="452" w:name="_Toc319068006"/>
      <w:bookmarkStart w:id="453" w:name="_Toc477293451"/>
      <w:bookmarkStart w:id="454" w:name="_Toc532520600"/>
      <w:r>
        <w:rPr>
          <w:rFonts w:hint="eastAsia"/>
          <w:color w:val="000000" w:themeColor="text1"/>
        </w:rPr>
        <w:t>（一）</w:t>
      </w:r>
      <w:r>
        <w:rPr>
          <w:color w:val="000000" w:themeColor="text1"/>
        </w:rPr>
        <w:t>机房环境要求</w:t>
      </w:r>
      <w:bookmarkEnd w:id="449"/>
      <w:bookmarkEnd w:id="450"/>
      <w:bookmarkEnd w:id="451"/>
      <w:bookmarkEnd w:id="452"/>
      <w:bookmarkEnd w:id="453"/>
      <w:bookmarkEnd w:id="454"/>
    </w:p>
    <w:p>
      <w:pPr>
        <w:ind w:firstLine="480"/>
        <w:rPr>
          <w:color w:val="000000" w:themeColor="text1"/>
        </w:rPr>
      </w:pPr>
      <w:r>
        <w:rPr>
          <w:color w:val="000000" w:themeColor="text1"/>
        </w:rPr>
        <w:t>1、机房室内温湿度要求：</w:t>
      </w:r>
    </w:p>
    <w:p>
      <w:pPr>
        <w:ind w:firstLine="480"/>
        <w:rPr>
          <w:color w:val="000000" w:themeColor="text1"/>
        </w:rPr>
      </w:pPr>
      <w:r>
        <w:rPr>
          <w:color w:val="000000" w:themeColor="text1"/>
        </w:rPr>
        <w:t>1）AA级、A级：21～25</w:t>
      </w:r>
      <w:r>
        <w:rPr>
          <w:rFonts w:hint="eastAsia" w:cs="宋体"/>
          <w:color w:val="000000" w:themeColor="text1"/>
        </w:rPr>
        <w:t>℃</w:t>
      </w:r>
    </w:p>
    <w:p>
      <w:pPr>
        <w:ind w:firstLine="480"/>
        <w:rPr>
          <w:color w:val="000000" w:themeColor="text1"/>
        </w:rPr>
      </w:pPr>
      <w:r>
        <w:rPr>
          <w:color w:val="000000" w:themeColor="text1"/>
        </w:rPr>
        <w:t>2）B级、C级：18～28</w:t>
      </w:r>
      <w:r>
        <w:rPr>
          <w:rFonts w:hint="eastAsia" w:cs="宋体"/>
          <w:color w:val="000000" w:themeColor="text1"/>
        </w:rPr>
        <w:t>℃</w:t>
      </w:r>
    </w:p>
    <w:p>
      <w:pPr>
        <w:ind w:firstLine="480"/>
        <w:rPr>
          <w:color w:val="000000" w:themeColor="text1"/>
        </w:rPr>
      </w:pPr>
      <w:r>
        <w:rPr>
          <w:color w:val="000000" w:themeColor="text1"/>
        </w:rPr>
        <w:t>3）相对湿度40～70％</w:t>
      </w:r>
    </w:p>
    <w:p>
      <w:pPr>
        <w:ind w:firstLine="480"/>
        <w:rPr>
          <w:color w:val="000000" w:themeColor="text1"/>
        </w:rPr>
      </w:pPr>
      <w:r>
        <w:rPr>
          <w:color w:val="000000" w:themeColor="text1"/>
        </w:rPr>
        <w:t>温度变化率小于5</w:t>
      </w:r>
      <w:r>
        <w:rPr>
          <w:rFonts w:hint="eastAsia" w:cs="宋体"/>
          <w:color w:val="000000" w:themeColor="text1"/>
        </w:rPr>
        <w:t>℃</w:t>
      </w:r>
      <w:r>
        <w:rPr>
          <w:color w:val="000000" w:themeColor="text1"/>
        </w:rPr>
        <w:t>/h，且不结露。</w:t>
      </w:r>
    </w:p>
    <w:p>
      <w:pPr>
        <w:ind w:firstLine="480"/>
        <w:rPr>
          <w:color w:val="000000" w:themeColor="text1"/>
        </w:rPr>
      </w:pPr>
      <w:r>
        <w:rPr>
          <w:color w:val="000000" w:themeColor="text1"/>
        </w:rPr>
        <w:t>2、机房防尘及洁净度要求：</w:t>
      </w:r>
    </w:p>
    <w:p>
      <w:pPr>
        <w:ind w:firstLine="480"/>
        <w:rPr>
          <w:color w:val="000000" w:themeColor="text1"/>
        </w:rPr>
      </w:pPr>
      <w:r>
        <w:rPr>
          <w:color w:val="000000" w:themeColor="text1"/>
        </w:rPr>
        <w:t>灰尘粒子应为非导电、非导磁及无腐蚀的粒子；</w:t>
      </w:r>
    </w:p>
    <w:p>
      <w:pPr>
        <w:ind w:firstLine="480"/>
        <w:rPr>
          <w:color w:val="000000" w:themeColor="text1"/>
        </w:rPr>
      </w:pPr>
      <w:r>
        <w:rPr>
          <w:color w:val="000000" w:themeColor="text1"/>
        </w:rPr>
        <w:t>灰尘粒子浓度应满足</w:t>
      </w:r>
    </w:p>
    <w:p>
      <w:pPr>
        <w:ind w:firstLine="480"/>
        <w:rPr>
          <w:color w:val="000000" w:themeColor="text1"/>
        </w:rPr>
      </w:pPr>
      <w:r>
        <w:rPr>
          <w:color w:val="000000" w:themeColor="text1"/>
        </w:rPr>
        <w:t>1)灰尘直径大于0.5μm的灰尘粒子浓度不大于18000粒/升；</w:t>
      </w:r>
    </w:p>
    <w:p>
      <w:pPr>
        <w:ind w:firstLine="480"/>
        <w:rPr>
          <w:color w:val="000000" w:themeColor="text1"/>
        </w:rPr>
      </w:pPr>
      <w:r>
        <w:rPr>
          <w:color w:val="000000" w:themeColor="text1"/>
        </w:rPr>
        <w:t>2）灰尘直径大于5μm的灰尘粒子浓度不大于300粒/升：</w:t>
      </w:r>
    </w:p>
    <w:p>
      <w:pPr>
        <w:ind w:firstLine="480"/>
        <w:rPr>
          <w:color w:val="000000" w:themeColor="text1"/>
        </w:rPr>
      </w:pPr>
      <w:r>
        <w:rPr>
          <w:color w:val="000000" w:themeColor="text1"/>
        </w:rPr>
        <w:t>3、地面荷载要求：</w:t>
      </w:r>
    </w:p>
    <w:p>
      <w:pPr>
        <w:ind w:firstLine="480"/>
        <w:rPr>
          <w:color w:val="000000" w:themeColor="text1"/>
        </w:rPr>
      </w:pPr>
      <w:r>
        <w:rPr>
          <w:color w:val="000000" w:themeColor="text1"/>
        </w:rPr>
        <w:t>数据中心一般机房的楼面均布活荷载为6～10kN/m2，电源电池室机房的楼面均布活荷载应符合相关标准要求。</w:t>
      </w:r>
    </w:p>
    <w:p>
      <w:pPr>
        <w:pStyle w:val="4"/>
        <w:widowControl/>
        <w:numPr>
          <w:ilvl w:val="0"/>
          <w:numId w:val="5"/>
        </w:numPr>
        <w:spacing w:before="120" w:after="0" w:line="360" w:lineRule="auto"/>
        <w:jc w:val="left"/>
        <w:rPr>
          <w:color w:val="000000" w:themeColor="text1"/>
        </w:rPr>
      </w:pPr>
      <w:bookmarkStart w:id="455" w:name="_Toc532520601"/>
      <w:bookmarkStart w:id="456" w:name="_Toc8760725"/>
      <w:bookmarkStart w:id="457" w:name="_Toc323999052"/>
      <w:bookmarkStart w:id="458" w:name="_Toc319068007"/>
      <w:bookmarkStart w:id="459" w:name="_Toc345242309"/>
      <w:bookmarkStart w:id="460" w:name="_Toc477293452"/>
      <w:r>
        <w:rPr>
          <w:color w:val="000000" w:themeColor="text1"/>
        </w:rPr>
        <w:t>防雷与接地</w:t>
      </w:r>
      <w:bookmarkEnd w:id="455"/>
      <w:bookmarkEnd w:id="456"/>
      <w:bookmarkEnd w:id="457"/>
      <w:bookmarkEnd w:id="458"/>
      <w:bookmarkEnd w:id="459"/>
      <w:bookmarkEnd w:id="460"/>
    </w:p>
    <w:p>
      <w:pPr>
        <w:ind w:firstLine="480"/>
        <w:rPr>
          <w:color w:val="000000" w:themeColor="text1"/>
        </w:rPr>
      </w:pPr>
      <w:bookmarkStart w:id="461" w:name="_Toc345894844"/>
      <w:bookmarkStart w:id="462" w:name="_Toc302992952"/>
      <w:r>
        <w:rPr>
          <w:rFonts w:hint="eastAsia"/>
          <w:color w:val="000000" w:themeColor="text1"/>
        </w:rPr>
        <w:t>1</w:t>
      </w:r>
      <w:r>
        <w:rPr>
          <w:color w:val="000000" w:themeColor="text1"/>
        </w:rPr>
        <w:t>.总体要求</w:t>
      </w:r>
      <w:bookmarkEnd w:id="461"/>
      <w:bookmarkEnd w:id="462"/>
    </w:p>
    <w:p>
      <w:pPr>
        <w:ind w:firstLine="480"/>
        <w:rPr>
          <w:color w:val="000000" w:themeColor="text1"/>
        </w:rPr>
      </w:pPr>
      <w:r>
        <w:rPr>
          <w:color w:val="000000" w:themeColor="text1"/>
        </w:rPr>
        <w:t>本项目机房的接地系统必须采用联合接地方式，应采用系统的综合防雷措施，包括直击雷防护、联合接地、等电位连接、电磁屏蔽、雷电分流和雷电过电压保护等。相应机房防雷接地系统设计应按GB50689-2011《通信局（站）防雷与接地工程设计规范》有关规定执行，涉及建筑、构筑物的防雷接地部分，还应符合GB50057-2010《建筑物防雷设计规范》。</w:t>
      </w:r>
    </w:p>
    <w:p>
      <w:pPr>
        <w:ind w:firstLine="480"/>
        <w:rPr>
          <w:color w:val="000000" w:themeColor="text1"/>
        </w:rPr>
      </w:pPr>
      <w:bookmarkStart w:id="463" w:name="_Toc345894845"/>
      <w:bookmarkStart w:id="464" w:name="_Toc302992953"/>
      <w:r>
        <w:rPr>
          <w:rFonts w:hint="eastAsia"/>
          <w:color w:val="000000" w:themeColor="text1"/>
        </w:rPr>
        <w:t>2.</w:t>
      </w:r>
      <w:r>
        <w:rPr>
          <w:color w:val="000000" w:themeColor="text1"/>
        </w:rPr>
        <w:t>地网</w:t>
      </w:r>
      <w:bookmarkEnd w:id="463"/>
      <w:bookmarkEnd w:id="464"/>
      <w:r>
        <w:rPr>
          <w:color w:val="000000" w:themeColor="text1"/>
        </w:rPr>
        <w:t>的要求</w:t>
      </w:r>
    </w:p>
    <w:p>
      <w:pPr>
        <w:ind w:firstLine="480"/>
        <w:rPr>
          <w:rFonts w:ascii="宋体" w:hAnsi="宋体"/>
          <w:color w:val="000000" w:themeColor="text1"/>
        </w:rPr>
      </w:pPr>
      <w:r>
        <w:rPr>
          <w:rFonts w:ascii="宋体" w:hAnsi="宋体"/>
          <w:color w:val="000000" w:themeColor="text1"/>
        </w:rPr>
        <w:t>(1)</w:t>
      </w:r>
      <w:r>
        <w:rPr>
          <w:rFonts w:ascii="宋体" w:hAnsi="宋体"/>
          <w:color w:val="000000" w:themeColor="text1"/>
        </w:rPr>
        <w:tab/>
      </w:r>
      <w:r>
        <w:rPr>
          <w:rFonts w:ascii="宋体" w:hAnsi="宋体"/>
          <w:color w:val="000000" w:themeColor="text1"/>
        </w:rPr>
        <w:t>机房的接地系统必须采用联合接地的方式。</w:t>
      </w:r>
    </w:p>
    <w:p>
      <w:pPr>
        <w:ind w:firstLine="480"/>
        <w:rPr>
          <w:rFonts w:ascii="宋体" w:hAnsi="宋体"/>
          <w:color w:val="000000" w:themeColor="text1"/>
        </w:rPr>
      </w:pPr>
      <w:r>
        <w:rPr>
          <w:rFonts w:ascii="宋体" w:hAnsi="宋体"/>
          <w:color w:val="000000" w:themeColor="text1"/>
        </w:rPr>
        <w:t>(2)</w:t>
      </w:r>
      <w:r>
        <w:rPr>
          <w:rFonts w:ascii="宋体" w:hAnsi="宋体"/>
          <w:color w:val="000000" w:themeColor="text1"/>
        </w:rPr>
        <w:tab/>
      </w:r>
      <w:r>
        <w:rPr>
          <w:rFonts w:ascii="宋体" w:hAnsi="宋体"/>
          <w:color w:val="000000" w:themeColor="text1"/>
        </w:rPr>
        <w:t>基站地网的接地电阻值不宜大于10Ω。土壤电阻率大于1000Ω•m的地区，可不对基站的工频接地电阻予以限制，应以地网面积的大小为依据。地网等效半径应大于10m，地网四角还应敷设10m～20m的热镀锌扁钢作辐射型接地体，且应增加各个端口的保护和提高SPD通流容量、加强等电位连接等措施予以补偿。</w:t>
      </w:r>
    </w:p>
    <w:p>
      <w:pPr>
        <w:ind w:firstLine="480"/>
        <w:rPr>
          <w:rFonts w:ascii="宋体" w:hAnsi="宋体"/>
          <w:color w:val="000000" w:themeColor="text1"/>
        </w:rPr>
      </w:pPr>
      <w:r>
        <w:rPr>
          <w:rFonts w:ascii="宋体" w:hAnsi="宋体"/>
          <w:color w:val="000000" w:themeColor="text1"/>
        </w:rPr>
        <w:t>(3)</w:t>
      </w:r>
      <w:r>
        <w:rPr>
          <w:rFonts w:ascii="宋体" w:hAnsi="宋体"/>
          <w:color w:val="000000" w:themeColor="text1"/>
        </w:rPr>
        <w:tab/>
      </w:r>
      <w:r>
        <w:rPr>
          <w:rFonts w:ascii="宋体" w:hAnsi="宋体"/>
          <w:color w:val="000000" w:themeColor="text1"/>
        </w:rPr>
        <w:t>地网的设置应满足GB50689-2011《通信局（站）防雷与接地工程设计规范》有关规定。</w:t>
      </w:r>
    </w:p>
    <w:p>
      <w:pPr>
        <w:ind w:firstLine="480"/>
        <w:rPr>
          <w:color w:val="000000" w:themeColor="text1"/>
        </w:rPr>
      </w:pPr>
      <w:bookmarkStart w:id="465" w:name="_Toc345894846"/>
      <w:bookmarkStart w:id="466" w:name="_Toc302992954"/>
      <w:r>
        <w:rPr>
          <w:rFonts w:hint="eastAsia"/>
          <w:color w:val="000000" w:themeColor="text1"/>
        </w:rPr>
        <w:t>3</w:t>
      </w:r>
      <w:r>
        <w:rPr>
          <w:color w:val="000000" w:themeColor="text1"/>
        </w:rPr>
        <w:t>.室内接地</w:t>
      </w:r>
      <w:bookmarkEnd w:id="465"/>
      <w:bookmarkEnd w:id="466"/>
      <w:r>
        <w:rPr>
          <w:color w:val="000000" w:themeColor="text1"/>
        </w:rPr>
        <w:t>要求</w:t>
      </w:r>
    </w:p>
    <w:p>
      <w:pPr>
        <w:ind w:firstLine="480"/>
        <w:rPr>
          <w:rFonts w:ascii="宋体" w:hAnsi="宋体"/>
          <w:color w:val="000000" w:themeColor="text1"/>
        </w:rPr>
      </w:pPr>
      <w:r>
        <w:rPr>
          <w:rFonts w:ascii="宋体" w:hAnsi="宋体"/>
          <w:color w:val="000000" w:themeColor="text1"/>
        </w:rPr>
        <w:t>室内等电位接地可采用网状、星形、网状－星形混合型接地结构。禁止设备机架、ODF、DDF采用架间（串）复接的方式。数据机房内配电设备的正常不带电部分均应接地，严禁</w:t>
      </w:r>
      <w:r>
        <w:rPr>
          <w:rFonts w:hint="eastAsia" w:ascii="宋体" w:hAnsi="宋体"/>
          <w:color w:val="000000" w:themeColor="text1"/>
        </w:rPr>
        <w:t>做</w:t>
      </w:r>
      <w:r>
        <w:rPr>
          <w:rFonts w:ascii="宋体" w:hAnsi="宋体"/>
          <w:color w:val="000000" w:themeColor="text1"/>
        </w:rPr>
        <w:t>接零保护；严禁在接地线中加装开关或熔断器。室内的走线架及各类金属构件必须接地，各段走线架之间必须电气连通。数据中心内的各类接地线的截面积及施工要求应符合GB50689要求。接地线布放时应尽量短直，多余的线缆应截断，严禁盘绕。接地线与设备及接地排连接时必须加装铜接线端子，并必须压接牢固。</w:t>
      </w:r>
    </w:p>
    <w:p>
      <w:pPr>
        <w:ind w:firstLine="480"/>
        <w:rPr>
          <w:color w:val="000000" w:themeColor="text1"/>
        </w:rPr>
      </w:pPr>
      <w:bookmarkStart w:id="467" w:name="_Toc345894847"/>
      <w:bookmarkStart w:id="468" w:name="_Toc302992955"/>
      <w:r>
        <w:rPr>
          <w:rFonts w:hint="eastAsia"/>
          <w:color w:val="000000" w:themeColor="text1"/>
        </w:rPr>
        <w:t>4.</w:t>
      </w:r>
      <w:r>
        <w:rPr>
          <w:color w:val="000000" w:themeColor="text1"/>
        </w:rPr>
        <w:t>线缆保护</w:t>
      </w:r>
      <w:bookmarkEnd w:id="467"/>
      <w:bookmarkEnd w:id="468"/>
    </w:p>
    <w:p>
      <w:pPr>
        <w:ind w:firstLine="480"/>
        <w:rPr>
          <w:rFonts w:ascii="宋体" w:hAnsi="宋体"/>
          <w:color w:val="000000" w:themeColor="text1"/>
        </w:rPr>
      </w:pPr>
      <w:r>
        <w:rPr>
          <w:rFonts w:ascii="宋体" w:hAnsi="宋体"/>
          <w:color w:val="000000" w:themeColor="text1"/>
        </w:rPr>
        <w:t>各类线缆宜埋地引入，避免架空方式入局。具有金属护套的电缆入局时，应将金属护套接地。无金属外护套的电缆宜穿钢管埋地引入，钢管两端做好接地处理。当通信局（站）采用供电线路架空路由引入时，应将交流供电系统第一级SPD的最大通流容量向上提高一个等级。电缆的空线对应做接地处理。光缆金属加强芯和金属护层应在分线盒或ODF架内可靠连通，并与机架绝缘后使用截面积不小于16mm2的多股铜线引到本机房内第一级接地汇流排上。楼顶的各种金属设施必须分别与楼顶避雷带或接地预留端子就近连通。馈线严禁系挂在避雷带或避雷网上敷设。</w:t>
      </w:r>
    </w:p>
    <w:p>
      <w:pPr>
        <w:ind w:firstLine="480"/>
        <w:rPr>
          <w:color w:val="000000" w:themeColor="text1"/>
        </w:rPr>
      </w:pPr>
      <w:bookmarkStart w:id="469" w:name="_Toc268192587"/>
      <w:bookmarkStart w:id="470" w:name="_Toc230703804"/>
      <w:bookmarkStart w:id="471" w:name="_Toc213232967"/>
      <w:bookmarkStart w:id="472" w:name="_Toc238013055"/>
      <w:bookmarkStart w:id="473" w:name="_Toc294281059"/>
      <w:bookmarkStart w:id="474" w:name="_Toc225411978"/>
      <w:bookmarkStart w:id="475" w:name="_Toc302992956"/>
      <w:bookmarkStart w:id="476" w:name="_Toc345894848"/>
      <w:r>
        <w:rPr>
          <w:rFonts w:hint="eastAsia"/>
          <w:color w:val="000000" w:themeColor="text1"/>
        </w:rPr>
        <w:t>5.</w:t>
      </w:r>
      <w:r>
        <w:rPr>
          <w:color w:val="000000" w:themeColor="text1"/>
        </w:rPr>
        <w:t>浪涌保护器</w:t>
      </w:r>
      <w:bookmarkEnd w:id="469"/>
      <w:bookmarkEnd w:id="470"/>
      <w:bookmarkEnd w:id="471"/>
      <w:bookmarkEnd w:id="472"/>
      <w:bookmarkEnd w:id="473"/>
      <w:bookmarkEnd w:id="474"/>
      <w:bookmarkEnd w:id="475"/>
      <w:bookmarkEnd w:id="476"/>
    </w:p>
    <w:p>
      <w:pPr>
        <w:ind w:firstLine="480"/>
        <w:rPr>
          <w:rFonts w:ascii="宋体" w:hAnsi="宋体"/>
          <w:color w:val="000000" w:themeColor="text1"/>
        </w:rPr>
      </w:pPr>
      <w:r>
        <w:rPr>
          <w:rFonts w:ascii="宋体" w:hAnsi="宋体"/>
          <w:color w:val="000000" w:themeColor="text1"/>
        </w:rPr>
        <w:t>交流电源系统的雷电过电压应采用分级保护，各级电源SPD的规格应满足GB50689要求；大中型数据中心必须采用TN-S或TN-C-S供电方式，应采用限压型SPD，必须选用经过国家认可的第三方检测部门测试合格的防雷器；可插拔防雷模块严禁简单并联作为80kA、120kA等量级的SPD使用。须考虑当地供电电源的电压波动范围和供电质量，对SPD的标称导通电压、限制电压进行合理选择；各级浪涌保护器间应保持必要的退耦距离（大于5米或加装退耦器件）。电源SPD的引接线上应串接空开或保险丝。</w:t>
      </w:r>
    </w:p>
    <w:p>
      <w:pPr>
        <w:ind w:firstLine="480"/>
        <w:rPr>
          <w:rFonts w:ascii="宋体" w:hAnsi="宋体"/>
          <w:color w:val="000000" w:themeColor="text1"/>
        </w:rPr>
      </w:pPr>
      <w:r>
        <w:rPr>
          <w:rFonts w:ascii="宋体" w:hAnsi="宋体"/>
          <w:color w:val="000000" w:themeColor="text1"/>
        </w:rPr>
        <w:t>使用模块式SPD时，引接线和接地线长度应小于1m；箱式SPD的引接线和接地线的长度均应小于1.5m。SPD的引接线和接地线，必须通过接线端子或铜鼻子连接牢固，防止雷电流通过时产生的线芯收缩造成连接松动。</w:t>
      </w:r>
    </w:p>
    <w:p>
      <w:pPr>
        <w:ind w:firstLine="480"/>
        <w:rPr>
          <w:color w:val="000000" w:themeColor="text1"/>
        </w:rPr>
      </w:pPr>
      <w:bookmarkStart w:id="477" w:name="_Toc466980810"/>
      <w:bookmarkStart w:id="478" w:name="_Toc462923402"/>
      <w:r>
        <w:rPr>
          <w:rFonts w:hint="eastAsia"/>
          <w:color w:val="000000" w:themeColor="text1"/>
        </w:rPr>
        <w:t>6.</w:t>
      </w:r>
      <w:r>
        <w:rPr>
          <w:color w:val="000000" w:themeColor="text1"/>
        </w:rPr>
        <w:t>机房内的等电位连接要求</w:t>
      </w:r>
      <w:bookmarkEnd w:id="477"/>
      <w:bookmarkEnd w:id="478"/>
    </w:p>
    <w:p>
      <w:pPr>
        <w:ind w:firstLine="480"/>
        <w:rPr>
          <w:rFonts w:ascii="宋体" w:hAnsi="宋体"/>
          <w:color w:val="000000" w:themeColor="text1"/>
        </w:rPr>
      </w:pPr>
      <w:r>
        <w:rPr>
          <w:rFonts w:ascii="宋体" w:hAnsi="宋体"/>
          <w:color w:val="000000" w:themeColor="text1"/>
        </w:rPr>
        <w:t>基站等电位连接，应采用网状连接或星形连接。</w:t>
      </w:r>
    </w:p>
    <w:p>
      <w:pPr>
        <w:ind w:firstLine="480"/>
        <w:rPr>
          <w:rFonts w:ascii="宋体" w:hAnsi="宋体"/>
          <w:color w:val="000000" w:themeColor="text1"/>
        </w:rPr>
      </w:pPr>
      <w:r>
        <w:rPr>
          <w:rFonts w:ascii="宋体" w:hAnsi="宋体"/>
          <w:color w:val="000000" w:themeColor="text1"/>
        </w:rPr>
        <w:t>接地汇集线、总接地排（接地参考点）应设在配电箱和第一级电源保护器附近，并应以此为基点再用截面积大于70mm</w:t>
      </w:r>
      <w:r>
        <w:rPr>
          <w:rFonts w:ascii="宋体" w:hAnsi="宋体"/>
          <w:color w:val="000000" w:themeColor="text1"/>
          <w:vertAlign w:val="superscript"/>
        </w:rPr>
        <w:t>2</w:t>
      </w:r>
      <w:r>
        <w:rPr>
          <w:rFonts w:ascii="宋体" w:hAnsi="宋体"/>
          <w:color w:val="000000" w:themeColor="text1"/>
        </w:rPr>
        <w:t>的多股铜线与设备接地排相连，所有设备的接地均应以此电位为基准参考点进行等电位连接。</w:t>
      </w:r>
    </w:p>
    <w:p>
      <w:pPr>
        <w:ind w:firstLine="480"/>
        <w:rPr>
          <w:rFonts w:ascii="宋体" w:hAnsi="宋体"/>
          <w:color w:val="000000" w:themeColor="text1"/>
        </w:rPr>
      </w:pPr>
      <w:r>
        <w:rPr>
          <w:rFonts w:ascii="宋体" w:hAnsi="宋体"/>
          <w:color w:val="000000" w:themeColor="text1"/>
        </w:rPr>
        <w:t>机房采用一个接地排时，应采用星形接地方式，并应预留相应的螺孔；第一级防雷器、配电箱、光缆金属加强芯和金属外护层、直流电源地、设备地、机壳、走线架等，均应就近接地，且接地线应短直。</w:t>
      </w:r>
    </w:p>
    <w:p>
      <w:pPr>
        <w:ind w:firstLine="480"/>
        <w:rPr>
          <w:rFonts w:ascii="宋体" w:hAnsi="宋体"/>
          <w:color w:val="000000" w:themeColor="text1"/>
        </w:rPr>
      </w:pPr>
      <w:r>
        <w:rPr>
          <w:rFonts w:ascii="宋体" w:hAnsi="宋体"/>
          <w:color w:val="000000" w:themeColor="text1"/>
        </w:rPr>
        <w:t>机房采用两个接地排时，第一个接地排宜与第一级防雷器、配电箱、光缆金属加强芯和金属外护层连接；第二个接地排宜与设备地、直流电源地、机壳、走线架等连接。第一个接地排应直接与地网连通，所有接地线应短直。</w:t>
      </w:r>
    </w:p>
    <w:p>
      <w:pPr>
        <w:ind w:firstLine="480"/>
        <w:rPr>
          <w:color w:val="000000" w:themeColor="text1"/>
        </w:rPr>
      </w:pPr>
      <w:r>
        <w:rPr>
          <w:rFonts w:hint="eastAsia"/>
          <w:color w:val="000000" w:themeColor="text1"/>
        </w:rPr>
        <w:t>7.</w:t>
      </w:r>
      <w:r>
        <w:rPr>
          <w:color w:val="000000" w:themeColor="text1"/>
        </w:rPr>
        <w:t>接地线要求</w:t>
      </w:r>
    </w:p>
    <w:p>
      <w:pPr>
        <w:ind w:firstLine="480"/>
        <w:rPr>
          <w:rFonts w:ascii="宋体" w:hAnsi="宋体"/>
          <w:color w:val="000000" w:themeColor="text1"/>
        </w:rPr>
      </w:pPr>
      <w:r>
        <w:rPr>
          <w:rFonts w:ascii="宋体" w:hAnsi="宋体"/>
          <w:color w:val="000000" w:themeColor="text1"/>
        </w:rPr>
        <w:t>数据中心内各类接地线应根据最大故障电流值和材料机械强度确定，宜选用截面积为16mm</w:t>
      </w:r>
      <w:r>
        <w:rPr>
          <w:rFonts w:ascii="宋体" w:hAnsi="宋体"/>
          <w:color w:val="000000" w:themeColor="text1"/>
          <w:vertAlign w:val="superscript"/>
        </w:rPr>
        <w:t>2</w:t>
      </w:r>
      <w:r>
        <w:rPr>
          <w:rFonts w:ascii="宋体" w:hAnsi="宋体"/>
          <w:color w:val="000000" w:themeColor="text1"/>
        </w:rPr>
        <w:t>～95mm</w:t>
      </w:r>
      <w:r>
        <w:rPr>
          <w:rFonts w:ascii="宋体" w:hAnsi="宋体"/>
          <w:color w:val="000000" w:themeColor="text1"/>
          <w:vertAlign w:val="superscript"/>
        </w:rPr>
        <w:t>2</w:t>
      </w:r>
      <w:r>
        <w:rPr>
          <w:rFonts w:ascii="宋体" w:hAnsi="宋体"/>
          <w:color w:val="000000" w:themeColor="text1"/>
        </w:rPr>
        <w:t>的多股铜线。</w:t>
      </w:r>
    </w:p>
    <w:p>
      <w:pPr>
        <w:ind w:firstLine="480"/>
        <w:rPr>
          <w:rFonts w:ascii="宋体" w:hAnsi="宋体"/>
          <w:color w:val="000000" w:themeColor="text1"/>
        </w:rPr>
      </w:pPr>
      <w:r>
        <w:rPr>
          <w:rFonts w:ascii="宋体" w:hAnsi="宋体"/>
          <w:color w:val="000000" w:themeColor="text1"/>
        </w:rPr>
        <w:t>接线端子尺寸应与接地线径相吻合。接线端子与设备及接地排的接触部分应平整、紧固，并应无锈蚀、无氧化。</w:t>
      </w:r>
    </w:p>
    <w:p>
      <w:pPr>
        <w:ind w:firstLine="480"/>
        <w:rPr>
          <w:rFonts w:ascii="宋体" w:hAnsi="宋体"/>
          <w:color w:val="000000" w:themeColor="text1"/>
        </w:rPr>
      </w:pPr>
      <w:r>
        <w:rPr>
          <w:rFonts w:ascii="宋体" w:hAnsi="宋体"/>
          <w:color w:val="000000" w:themeColor="text1"/>
        </w:rPr>
        <w:t>接地线应采用外护层为黄绿相间颜色标识的阻燃电缆，也可采用接地线与设备及接地排相连的端头处缠（套）上带有黄绿相间标识的塑料绝缘带。</w:t>
      </w:r>
    </w:p>
    <w:p>
      <w:pPr>
        <w:ind w:firstLine="480"/>
        <w:rPr>
          <w:rFonts w:ascii="宋体" w:hAnsi="宋体"/>
          <w:color w:val="000000" w:themeColor="text1"/>
        </w:rPr>
      </w:pPr>
      <w:r>
        <w:rPr>
          <w:rFonts w:ascii="宋体" w:hAnsi="宋体"/>
          <w:color w:val="000000" w:themeColor="text1"/>
        </w:rPr>
        <w:t>接地线与设备及接地排连接时必须加装铜接线端子，并必须压（焊）接牢固。</w:t>
      </w:r>
    </w:p>
    <w:p>
      <w:pPr>
        <w:ind w:firstLine="480"/>
        <w:rPr>
          <w:rFonts w:ascii="宋体" w:hAnsi="宋体"/>
          <w:color w:val="000000" w:themeColor="text1"/>
        </w:rPr>
      </w:pPr>
      <w:r>
        <w:rPr>
          <w:rFonts w:ascii="宋体" w:hAnsi="宋体"/>
          <w:color w:val="000000" w:themeColor="text1"/>
        </w:rPr>
        <w:t>接地线中严禁加装开关或熔断器。</w:t>
      </w:r>
    </w:p>
    <w:p>
      <w:pPr>
        <w:ind w:firstLine="480"/>
        <w:rPr>
          <w:rFonts w:ascii="宋体" w:hAnsi="宋体"/>
          <w:color w:val="000000" w:themeColor="text1"/>
        </w:rPr>
      </w:pPr>
      <w:r>
        <w:rPr>
          <w:rFonts w:ascii="宋体" w:hAnsi="宋体"/>
          <w:color w:val="000000" w:themeColor="text1"/>
        </w:rPr>
        <w:t>室内的走线架及各类金属构件必须接地，各段走线架之间必须采用电气连接。</w:t>
      </w:r>
    </w:p>
    <w:p>
      <w:pPr>
        <w:ind w:firstLine="480"/>
        <w:rPr>
          <w:rFonts w:ascii="宋体" w:hAnsi="宋体"/>
          <w:color w:val="000000" w:themeColor="text1"/>
        </w:rPr>
      </w:pPr>
      <w:r>
        <w:rPr>
          <w:rFonts w:ascii="宋体" w:hAnsi="宋体"/>
          <w:color w:val="000000" w:themeColor="text1"/>
        </w:rPr>
        <w:t>由接地汇集线引出的接地线应设明显标志。</w:t>
      </w:r>
    </w:p>
    <w:p>
      <w:pPr>
        <w:pStyle w:val="4"/>
        <w:snapToGrid w:val="0"/>
        <w:spacing w:after="120"/>
        <w:ind w:left="482"/>
        <w:rPr>
          <w:rFonts w:ascii="宋体" w:hAnsi="宋体"/>
          <w:color w:val="000000" w:themeColor="text1"/>
          <w:sz w:val="24"/>
          <w:szCs w:val="24"/>
        </w:rPr>
      </w:pPr>
      <w:bookmarkStart w:id="479" w:name="_Toc477293453"/>
      <w:bookmarkStart w:id="480" w:name="_Toc17885253"/>
      <w:bookmarkStart w:id="481" w:name="_Toc302992957"/>
      <w:bookmarkStart w:id="482" w:name="_Toc8760726"/>
      <w:bookmarkStart w:id="483" w:name="_Toc162750575"/>
      <w:bookmarkStart w:id="484" w:name="_Toc138491145"/>
      <w:bookmarkStart w:id="485" w:name="_Toc532520602"/>
      <w:bookmarkStart w:id="486" w:name="_Toc18115205"/>
      <w:bookmarkStart w:id="487" w:name="_Toc26776109"/>
      <w:bookmarkStart w:id="488" w:name="_Toc345894849"/>
      <w:r>
        <w:rPr>
          <w:rFonts w:hint="eastAsia" w:ascii="宋体" w:hAnsi="宋体"/>
          <w:color w:val="000000" w:themeColor="text1"/>
          <w:sz w:val="24"/>
          <w:szCs w:val="24"/>
        </w:rPr>
        <w:t>（三）</w:t>
      </w:r>
      <w:r>
        <w:rPr>
          <w:rFonts w:ascii="宋体" w:hAnsi="宋体"/>
          <w:color w:val="000000" w:themeColor="text1"/>
          <w:sz w:val="24"/>
          <w:szCs w:val="24"/>
        </w:rPr>
        <w:t>抗震加固</w:t>
      </w:r>
      <w:bookmarkEnd w:id="479"/>
      <w:bookmarkEnd w:id="480"/>
      <w:bookmarkEnd w:id="481"/>
      <w:bookmarkEnd w:id="482"/>
      <w:bookmarkEnd w:id="483"/>
      <w:bookmarkEnd w:id="484"/>
      <w:bookmarkEnd w:id="485"/>
      <w:bookmarkEnd w:id="486"/>
      <w:bookmarkEnd w:id="487"/>
      <w:bookmarkEnd w:id="488"/>
    </w:p>
    <w:p>
      <w:pPr>
        <w:ind w:firstLine="480"/>
        <w:rPr>
          <w:color w:val="000000" w:themeColor="text1"/>
        </w:rPr>
      </w:pPr>
      <w:r>
        <w:rPr>
          <w:color w:val="000000" w:themeColor="text1"/>
        </w:rPr>
        <w:t>本项目设备抗震设防类别按照规范YD5054-2010《电信建筑抗震设防分类标准》，本地枢纽楼采用乙级设防要求，其他通信楼采用丙级设防要求。</w:t>
      </w:r>
    </w:p>
    <w:tbl>
      <w:tblPr>
        <w:tblStyle w:val="53"/>
        <w:tblW w:w="871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55"/>
        <w:gridCol w:w="1655"/>
        <w:gridCol w:w="2790"/>
        <w:gridCol w:w="26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655" w:type="dxa"/>
            <w:shd w:val="clear" w:color="auto" w:fill="auto"/>
            <w:vAlign w:val="center"/>
          </w:tcPr>
          <w:p>
            <w:pPr>
              <w:spacing w:line="300" w:lineRule="exact"/>
              <w:rPr>
                <w:rFonts w:ascii="仿宋_GB2312" w:hAnsi="宋体"/>
                <w:color w:val="000000" w:themeColor="text1"/>
              </w:rPr>
            </w:pPr>
            <w:r>
              <w:rPr>
                <w:rFonts w:hint="eastAsia" w:ascii="仿宋_GB2312" w:hAnsi="宋体"/>
                <w:color w:val="000000" w:themeColor="text1"/>
              </w:rPr>
              <w:t>序号</w:t>
            </w:r>
          </w:p>
        </w:tc>
        <w:tc>
          <w:tcPr>
            <w:tcW w:w="1655" w:type="dxa"/>
            <w:shd w:val="clear" w:color="auto" w:fill="auto"/>
            <w:vAlign w:val="center"/>
          </w:tcPr>
          <w:p>
            <w:pPr>
              <w:spacing w:line="300" w:lineRule="exact"/>
              <w:jc w:val="center"/>
              <w:rPr>
                <w:rFonts w:ascii="仿宋_GB2312" w:hAnsi="宋体"/>
                <w:color w:val="000000" w:themeColor="text1"/>
              </w:rPr>
            </w:pPr>
            <w:r>
              <w:rPr>
                <w:rFonts w:hint="eastAsia" w:ascii="仿宋_GB2312" w:hAnsi="宋体"/>
                <w:color w:val="000000" w:themeColor="text1"/>
              </w:rPr>
              <w:t>安装地点</w:t>
            </w:r>
          </w:p>
        </w:tc>
        <w:tc>
          <w:tcPr>
            <w:tcW w:w="2790" w:type="dxa"/>
            <w:shd w:val="clear" w:color="auto" w:fill="auto"/>
            <w:vAlign w:val="center"/>
          </w:tcPr>
          <w:p>
            <w:pPr>
              <w:spacing w:line="300" w:lineRule="exact"/>
              <w:jc w:val="center"/>
              <w:rPr>
                <w:rFonts w:ascii="仿宋_GB2312" w:hAnsi="宋体"/>
                <w:color w:val="000000" w:themeColor="text1"/>
              </w:rPr>
            </w:pPr>
            <w:r>
              <w:rPr>
                <w:rFonts w:hint="eastAsia" w:ascii="仿宋_GB2312" w:hAnsi="宋体"/>
                <w:color w:val="000000" w:themeColor="text1"/>
              </w:rPr>
              <w:t>该地点抗震设防烈度</w:t>
            </w:r>
          </w:p>
        </w:tc>
        <w:tc>
          <w:tcPr>
            <w:tcW w:w="2610" w:type="dxa"/>
            <w:shd w:val="clear" w:color="auto" w:fill="auto"/>
            <w:vAlign w:val="center"/>
          </w:tcPr>
          <w:p>
            <w:pPr>
              <w:spacing w:line="300" w:lineRule="exact"/>
              <w:jc w:val="center"/>
              <w:rPr>
                <w:rFonts w:ascii="仿宋_GB2312" w:hAnsi="宋体"/>
                <w:color w:val="000000" w:themeColor="text1"/>
              </w:rPr>
            </w:pPr>
            <w:r>
              <w:rPr>
                <w:rFonts w:hint="eastAsia" w:ascii="仿宋_GB2312" w:hAnsi="宋体"/>
                <w:color w:val="000000" w:themeColor="text1"/>
              </w:rPr>
              <w:t>抗震设防烈度要求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655" w:type="dxa"/>
            <w:shd w:val="clear" w:color="auto" w:fill="auto"/>
            <w:vAlign w:val="center"/>
          </w:tcPr>
          <w:p>
            <w:pPr>
              <w:spacing w:line="300" w:lineRule="exact"/>
              <w:jc w:val="center"/>
              <w:rPr>
                <w:rFonts w:ascii="仿宋_GB2312" w:hAnsi="宋体"/>
                <w:color w:val="000000" w:themeColor="text1"/>
              </w:rPr>
            </w:pPr>
            <w:r>
              <w:rPr>
                <w:rFonts w:hint="eastAsia" w:ascii="仿宋_GB2312" w:hAnsi="宋体"/>
                <w:color w:val="000000" w:themeColor="text1"/>
              </w:rPr>
              <w:t>1</w:t>
            </w:r>
          </w:p>
        </w:tc>
        <w:tc>
          <w:tcPr>
            <w:tcW w:w="1655" w:type="dxa"/>
            <w:shd w:val="clear" w:color="auto" w:fill="auto"/>
            <w:vAlign w:val="center"/>
          </w:tcPr>
          <w:p>
            <w:pPr>
              <w:spacing w:line="300" w:lineRule="exact"/>
              <w:jc w:val="center"/>
              <w:rPr>
                <w:rFonts w:ascii="仿宋_GB2312" w:hAnsi="宋体"/>
                <w:color w:val="000000" w:themeColor="text1"/>
              </w:rPr>
            </w:pPr>
            <w:r>
              <w:rPr>
                <w:rFonts w:hint="eastAsia" w:ascii="仿宋_GB2312" w:hAnsi="宋体"/>
                <w:color w:val="000000" w:themeColor="text1"/>
              </w:rPr>
              <w:t>金华</w:t>
            </w:r>
          </w:p>
        </w:tc>
        <w:tc>
          <w:tcPr>
            <w:tcW w:w="2790" w:type="dxa"/>
            <w:shd w:val="clear" w:color="auto" w:fill="auto"/>
            <w:vAlign w:val="center"/>
          </w:tcPr>
          <w:p>
            <w:pPr>
              <w:spacing w:line="300" w:lineRule="exact"/>
              <w:jc w:val="center"/>
              <w:rPr>
                <w:rFonts w:ascii="仿宋_GB2312" w:hAnsi="宋体"/>
                <w:color w:val="000000" w:themeColor="text1"/>
              </w:rPr>
            </w:pPr>
            <w:r>
              <w:rPr>
                <w:rFonts w:hint="eastAsia" w:ascii="仿宋_GB2312" w:hAnsi="宋体"/>
                <w:color w:val="000000" w:themeColor="text1"/>
              </w:rPr>
              <w:t>6度</w:t>
            </w:r>
          </w:p>
        </w:tc>
        <w:tc>
          <w:tcPr>
            <w:tcW w:w="2610" w:type="dxa"/>
            <w:shd w:val="clear" w:color="auto" w:fill="auto"/>
            <w:vAlign w:val="center"/>
          </w:tcPr>
          <w:p>
            <w:pPr>
              <w:spacing w:line="300" w:lineRule="exact"/>
              <w:jc w:val="center"/>
              <w:rPr>
                <w:rFonts w:ascii="仿宋_GB2312" w:hAnsi="宋体"/>
                <w:color w:val="000000" w:themeColor="text1"/>
              </w:rPr>
            </w:pPr>
            <w:r>
              <w:rPr>
                <w:rFonts w:hint="eastAsia" w:ascii="仿宋_GB2312" w:hAnsi="宋体"/>
                <w:color w:val="000000" w:themeColor="text1"/>
              </w:rPr>
              <w:t>7度</w:t>
            </w:r>
          </w:p>
        </w:tc>
      </w:tr>
    </w:tbl>
    <w:p>
      <w:pPr>
        <w:rPr>
          <w:rFonts w:ascii="宋体" w:hAnsi="宋体"/>
          <w:color w:val="000000" w:themeColor="text1"/>
        </w:rPr>
      </w:pPr>
    </w:p>
    <w:p>
      <w:pPr>
        <w:ind w:firstLine="480"/>
        <w:rPr>
          <w:color w:val="000000" w:themeColor="text1"/>
        </w:rPr>
      </w:pPr>
      <w:r>
        <w:rPr>
          <w:color w:val="000000" w:themeColor="text1"/>
        </w:rPr>
        <w:t>在我国抗震设防烈度7烈度以上（含7烈度）地区公用电信网中使用的交换、传输、接入、服务器网关、移动基站、通信电源等主要设备，应当经过电信设备抗震性能质量监督检验机构进行抗震性能检测，未获得工信部颁发的通信设备抗震性能合格证的不得在项目中使用。</w:t>
      </w:r>
    </w:p>
    <w:p>
      <w:pPr>
        <w:ind w:firstLine="480"/>
        <w:rPr>
          <w:color w:val="000000" w:themeColor="text1"/>
        </w:rPr>
      </w:pPr>
      <w:r>
        <w:rPr>
          <w:color w:val="000000" w:themeColor="text1"/>
        </w:rPr>
        <w:t>本项目涉及的新增设备参照台式设备进行抗震加固设计及安装，具体由设备提供商提供其设备满足YD5059-2005《电信设备安装抗震设计规范》的抗震加固设计，施工单位负责参照厂家设备提供的抗震安装图纸进行施工。</w:t>
      </w:r>
    </w:p>
    <w:p>
      <w:pPr>
        <w:pStyle w:val="5"/>
        <w:spacing w:before="120" w:after="120"/>
        <w:ind w:firstLine="480"/>
        <w:rPr>
          <w:color w:val="000000" w:themeColor="text1"/>
        </w:rPr>
      </w:pPr>
      <w:bookmarkStart w:id="489" w:name="_Toc345894850"/>
      <w:bookmarkStart w:id="490" w:name="_Toc267383330"/>
      <w:bookmarkStart w:id="491" w:name="_Toc302992958"/>
      <w:r>
        <w:rPr>
          <w:rFonts w:hint="eastAsia"/>
          <w:color w:val="000000" w:themeColor="text1"/>
        </w:rPr>
        <w:t>1.</w:t>
      </w:r>
      <w:r>
        <w:rPr>
          <w:color w:val="000000" w:themeColor="text1"/>
        </w:rPr>
        <w:t>架式设备</w:t>
      </w:r>
      <w:bookmarkEnd w:id="489"/>
      <w:bookmarkEnd w:id="490"/>
      <w:bookmarkEnd w:id="491"/>
    </w:p>
    <w:p>
      <w:pPr>
        <w:ind w:firstLine="480"/>
        <w:rPr>
          <w:color w:val="000000" w:themeColor="text1"/>
        </w:rPr>
      </w:pPr>
      <w:r>
        <w:rPr>
          <w:color w:val="000000" w:themeColor="text1"/>
        </w:rPr>
        <w:t>架式设备顶部安装应采取由上梁、立柱、连固铁、列间撑铁、旁侧撑铁和斜撑组成的加固联结架。构件之间应按有关规定联结牢固，使之成为一个整体。</w:t>
      </w:r>
    </w:p>
    <w:p>
      <w:pPr>
        <w:ind w:firstLine="480"/>
        <w:rPr>
          <w:color w:val="000000" w:themeColor="text1"/>
        </w:rPr>
      </w:pPr>
      <w:r>
        <w:rPr>
          <w:color w:val="000000" w:themeColor="text1"/>
        </w:rPr>
        <w:t>设备顶部应与列架上梁加固</w:t>
      </w:r>
      <w:r>
        <w:rPr>
          <w:rFonts w:hint="eastAsia"/>
          <w:color w:val="000000" w:themeColor="text1"/>
        </w:rPr>
        <w:t>；</w:t>
      </w:r>
    </w:p>
    <w:p>
      <w:pPr>
        <w:ind w:firstLine="480"/>
        <w:rPr>
          <w:color w:val="000000" w:themeColor="text1"/>
        </w:rPr>
      </w:pPr>
      <w:r>
        <w:rPr>
          <w:color w:val="000000" w:themeColor="text1"/>
        </w:rPr>
        <w:t>设备底部应与地面加固。螺栓规格按规范YD5059-2005中4.3.1条计算方法确定</w:t>
      </w:r>
      <w:r>
        <w:rPr>
          <w:rFonts w:hint="eastAsia"/>
          <w:color w:val="000000" w:themeColor="text1"/>
        </w:rPr>
        <w:t>；</w:t>
      </w:r>
    </w:p>
    <w:p>
      <w:pPr>
        <w:ind w:firstLine="480"/>
        <w:rPr>
          <w:color w:val="000000" w:themeColor="text1"/>
        </w:rPr>
      </w:pPr>
      <w:r>
        <w:rPr>
          <w:color w:val="000000" w:themeColor="text1"/>
        </w:rPr>
        <w:t>列架应通过连固铁及旁侧撑铁与柱进行加固，其加固件应加固在柱上。加固所用螺栓规格按规范YD5059-2005中4.3.1条计算方法确定</w:t>
      </w:r>
      <w:r>
        <w:rPr>
          <w:rFonts w:hint="eastAsia"/>
          <w:color w:val="000000" w:themeColor="text1"/>
        </w:rPr>
        <w:t>；</w:t>
      </w:r>
    </w:p>
    <w:p>
      <w:pPr>
        <w:ind w:firstLine="480"/>
        <w:rPr>
          <w:color w:val="000000" w:themeColor="text1"/>
        </w:rPr>
      </w:pPr>
      <w:r>
        <w:rPr>
          <w:color w:val="000000" w:themeColor="text1"/>
        </w:rPr>
        <w:t>列间撑铁的数量应根据抗震设防烈度及列长而定。列长在5000mm以下时设一根列间撑铁，列长在5000～7000mm时设二根列间撑铁，列长大于7000mm时每隔2500mm左右设一根列间撑铁。当设防烈度在7度或7度以下时，可取消斜撑</w:t>
      </w:r>
      <w:r>
        <w:rPr>
          <w:rFonts w:hint="eastAsia"/>
          <w:color w:val="000000" w:themeColor="text1"/>
        </w:rPr>
        <w:t>；</w:t>
      </w:r>
    </w:p>
    <w:p>
      <w:pPr>
        <w:ind w:firstLine="480"/>
        <w:rPr>
          <w:color w:val="000000" w:themeColor="text1"/>
        </w:rPr>
      </w:pPr>
      <w:r>
        <w:rPr>
          <w:color w:val="000000" w:themeColor="text1"/>
        </w:rPr>
        <w:t>单面柜式机列的过桥槽道应设在机列背与背间的槽道上。槽道间的距离不大于1.6m。槽道安装应执行YD/T5026《电信机房铁架安装设计标准》的相关规定</w:t>
      </w:r>
      <w:r>
        <w:rPr>
          <w:rFonts w:hint="eastAsia"/>
          <w:color w:val="000000" w:themeColor="text1"/>
        </w:rPr>
        <w:t>；</w:t>
      </w:r>
    </w:p>
    <w:p>
      <w:pPr>
        <w:ind w:firstLine="480"/>
        <w:rPr>
          <w:color w:val="000000" w:themeColor="text1"/>
        </w:rPr>
      </w:pPr>
      <w:r>
        <w:rPr>
          <w:color w:val="000000" w:themeColor="text1"/>
        </w:rPr>
        <w:t>列架应终端在柱或承重墙上。走线架应终端在承重墙或终端在与柱拉接的支架上</w:t>
      </w:r>
      <w:r>
        <w:rPr>
          <w:rFonts w:hint="eastAsia"/>
          <w:color w:val="000000" w:themeColor="text1"/>
        </w:rPr>
        <w:t>；</w:t>
      </w:r>
    </w:p>
    <w:p>
      <w:pPr>
        <w:ind w:firstLine="480"/>
        <w:rPr>
          <w:color w:val="000000" w:themeColor="text1"/>
        </w:rPr>
      </w:pPr>
      <w:r>
        <w:rPr>
          <w:color w:val="000000" w:themeColor="text1"/>
        </w:rPr>
        <w:t>无法用螺栓与地面加固的通信设备，应在设备前后各用L型抗震防滑角铁进行加固。</w:t>
      </w:r>
    </w:p>
    <w:p>
      <w:pPr>
        <w:pStyle w:val="5"/>
        <w:spacing w:before="120" w:after="120"/>
        <w:ind w:firstLine="480"/>
        <w:rPr>
          <w:color w:val="000000" w:themeColor="text1"/>
        </w:rPr>
      </w:pPr>
      <w:bookmarkStart w:id="492" w:name="_Toc345894851"/>
      <w:bookmarkStart w:id="493" w:name="_Toc267383331"/>
      <w:bookmarkStart w:id="494" w:name="_Toc302992959"/>
      <w:r>
        <w:rPr>
          <w:rFonts w:hint="eastAsia"/>
          <w:color w:val="000000" w:themeColor="text1"/>
        </w:rPr>
        <w:t>2.</w:t>
      </w:r>
      <w:r>
        <w:rPr>
          <w:color w:val="000000" w:themeColor="text1"/>
        </w:rPr>
        <w:t>台式设备</w:t>
      </w:r>
      <w:bookmarkEnd w:id="492"/>
      <w:bookmarkEnd w:id="493"/>
      <w:bookmarkEnd w:id="494"/>
    </w:p>
    <w:p>
      <w:pPr>
        <w:ind w:firstLine="480"/>
        <w:rPr>
          <w:color w:val="000000" w:themeColor="text1"/>
        </w:rPr>
      </w:pPr>
      <w:r>
        <w:rPr>
          <w:color w:val="000000" w:themeColor="text1"/>
        </w:rPr>
        <w:t>6度和7度抗震设防时，小型台式设备宜用组合机架方式安装。组合架顶部应与铁架上梁或房屋构件加固，底部应与地面加固。所用螺栓规格按规范YD5059-2005中4.3.1条计算方法确定。</w:t>
      </w:r>
    </w:p>
    <w:p>
      <w:pPr>
        <w:ind w:firstLine="480"/>
        <w:rPr>
          <w:color w:val="000000" w:themeColor="text1"/>
        </w:rPr>
      </w:pPr>
      <w:r>
        <w:rPr>
          <w:color w:val="000000" w:themeColor="text1"/>
        </w:rPr>
        <w:t>对在桌面上进行操作的台式设备，可用压条直接固定在桌面上，也可在桌面上设置下凹形底座，将设备直接蹲坐在凹形底座内。</w:t>
      </w:r>
    </w:p>
    <w:p>
      <w:pPr>
        <w:pStyle w:val="5"/>
        <w:spacing w:before="120" w:after="120"/>
        <w:ind w:firstLine="480"/>
        <w:rPr>
          <w:color w:val="000000" w:themeColor="text1"/>
        </w:rPr>
      </w:pPr>
      <w:bookmarkStart w:id="495" w:name="_Toc345894852"/>
      <w:bookmarkStart w:id="496" w:name="_Toc302992960"/>
      <w:bookmarkStart w:id="497" w:name="_Toc267383332"/>
      <w:r>
        <w:rPr>
          <w:rFonts w:hint="eastAsia"/>
          <w:color w:val="000000" w:themeColor="text1"/>
        </w:rPr>
        <w:t>3.</w:t>
      </w:r>
      <w:r>
        <w:rPr>
          <w:color w:val="000000" w:themeColor="text1"/>
        </w:rPr>
        <w:t>自立式电信设备</w:t>
      </w:r>
      <w:bookmarkEnd w:id="495"/>
      <w:bookmarkEnd w:id="496"/>
      <w:bookmarkEnd w:id="497"/>
    </w:p>
    <w:p>
      <w:pPr>
        <w:ind w:firstLine="480"/>
        <w:rPr>
          <w:color w:val="000000" w:themeColor="text1"/>
        </w:rPr>
      </w:pPr>
      <w:r>
        <w:rPr>
          <w:color w:val="000000" w:themeColor="text1"/>
        </w:rPr>
        <w:t>同列相邻的自立式电源设备侧壁间至少有二点用M8螺栓紧固，设备底脚应采用螺栓与地面加固。加固用的螺栓应符合抗震设计规范要求。</w:t>
      </w:r>
    </w:p>
    <w:p>
      <w:pPr>
        <w:pStyle w:val="5"/>
        <w:spacing w:before="120" w:after="120"/>
        <w:ind w:firstLine="480"/>
        <w:rPr>
          <w:color w:val="000000" w:themeColor="text1"/>
        </w:rPr>
      </w:pPr>
      <w:bookmarkStart w:id="498" w:name="_Toc345894853"/>
      <w:bookmarkStart w:id="499" w:name="_Toc267383333"/>
      <w:bookmarkStart w:id="500" w:name="_Toc302992961"/>
      <w:r>
        <w:rPr>
          <w:rFonts w:hint="eastAsia"/>
          <w:color w:val="000000" w:themeColor="text1"/>
        </w:rPr>
        <w:t>4.</w:t>
      </w:r>
      <w:r>
        <w:rPr>
          <w:color w:val="000000" w:themeColor="text1"/>
        </w:rPr>
        <w:t>电源设备</w:t>
      </w:r>
      <w:bookmarkEnd w:id="498"/>
      <w:bookmarkEnd w:id="499"/>
      <w:bookmarkEnd w:id="500"/>
    </w:p>
    <w:p>
      <w:pPr>
        <w:ind w:firstLine="480"/>
        <w:rPr>
          <w:color w:val="000000" w:themeColor="text1"/>
        </w:rPr>
      </w:pPr>
      <w:r>
        <w:rPr>
          <w:color w:val="000000" w:themeColor="text1"/>
        </w:rPr>
        <w:t>交流配电屏、直流配电屏、整流器（含开关型整流器）和油机电源转换屏等设备，同列相邻设备侧壁间至少有二点用M8螺栓紧固，设备底角应采用螺栓与地面加固。加固用的螺栓应符合YD5059-2005《电信设备安装抗震设计规范》表6.2.1的要求。</w:t>
      </w:r>
    </w:p>
    <w:p>
      <w:pPr>
        <w:ind w:firstLine="480"/>
        <w:rPr>
          <w:color w:val="000000" w:themeColor="text1"/>
        </w:rPr>
      </w:pPr>
      <w:r>
        <w:rPr>
          <w:color w:val="000000" w:themeColor="text1"/>
        </w:rPr>
        <w:t>墙上安装的配电箱等设备应直接或间接采用不小于M10的螺栓与墙体固定。</w:t>
      </w:r>
    </w:p>
    <w:p>
      <w:pPr>
        <w:ind w:firstLine="480"/>
        <w:rPr>
          <w:color w:val="000000" w:themeColor="text1"/>
        </w:rPr>
      </w:pPr>
      <w:bookmarkStart w:id="501" w:name="_Toc162750578"/>
      <w:r>
        <w:rPr>
          <w:color w:val="000000" w:themeColor="text1"/>
        </w:rPr>
        <w:t>（1）母线</w:t>
      </w:r>
      <w:bookmarkEnd w:id="501"/>
    </w:p>
    <w:p>
      <w:pPr>
        <w:ind w:firstLine="480"/>
        <w:rPr>
          <w:color w:val="000000" w:themeColor="text1"/>
        </w:rPr>
      </w:pPr>
      <w:r>
        <w:rPr>
          <w:color w:val="000000" w:themeColor="text1"/>
        </w:rPr>
        <w:t>当母线水平布放时，要通过绝缘物使母线与母线支架或母线吊挂固定。</w:t>
      </w:r>
    </w:p>
    <w:p>
      <w:pPr>
        <w:ind w:firstLine="480"/>
        <w:rPr>
          <w:color w:val="000000" w:themeColor="text1"/>
        </w:rPr>
      </w:pPr>
      <w:r>
        <w:rPr>
          <w:color w:val="000000" w:themeColor="text1"/>
        </w:rPr>
        <w:t>当母线垂直布放时，要通过绝缘物使母线与母线支架固定。</w:t>
      </w:r>
    </w:p>
    <w:p>
      <w:pPr>
        <w:ind w:firstLine="480"/>
        <w:rPr>
          <w:color w:val="000000" w:themeColor="text1"/>
        </w:rPr>
      </w:pPr>
      <w:r>
        <w:rPr>
          <w:color w:val="000000" w:themeColor="text1"/>
        </w:rPr>
        <w:t>当抗震设防时，密集型母线与设备连接应采取抗震措施。</w:t>
      </w:r>
    </w:p>
    <w:p>
      <w:pPr>
        <w:ind w:firstLine="480"/>
        <w:rPr>
          <w:color w:val="000000" w:themeColor="text1"/>
        </w:rPr>
      </w:pPr>
      <w:bookmarkStart w:id="502" w:name="_Toc162750579"/>
      <w:r>
        <w:rPr>
          <w:color w:val="000000" w:themeColor="text1"/>
        </w:rPr>
        <w:t>（2）电源电缆</w:t>
      </w:r>
      <w:bookmarkEnd w:id="502"/>
    </w:p>
    <w:p>
      <w:pPr>
        <w:ind w:firstLine="480"/>
        <w:rPr>
          <w:color w:val="000000" w:themeColor="text1"/>
        </w:rPr>
      </w:pPr>
      <w:r>
        <w:rPr>
          <w:color w:val="000000" w:themeColor="text1"/>
        </w:rPr>
        <w:t>敷设在走线架上的电缆应使其绑扎在走线架横铁上。</w:t>
      </w:r>
    </w:p>
    <w:p>
      <w:pPr>
        <w:ind w:firstLine="480"/>
        <w:rPr>
          <w:color w:val="000000" w:themeColor="text1"/>
        </w:rPr>
      </w:pPr>
      <w:r>
        <w:rPr>
          <w:color w:val="000000" w:themeColor="text1"/>
        </w:rPr>
        <w:t>直埋电源电缆敷设应按电缆敷设施工要求施工</w:t>
      </w:r>
    </w:p>
    <w:p>
      <w:pPr>
        <w:pStyle w:val="5"/>
        <w:spacing w:before="120" w:after="120"/>
        <w:ind w:firstLine="480"/>
        <w:rPr>
          <w:color w:val="000000" w:themeColor="text1"/>
        </w:rPr>
      </w:pPr>
      <w:bookmarkStart w:id="503" w:name="_Toc477293454"/>
      <w:bookmarkStart w:id="504" w:name="_Toc345894860"/>
      <w:bookmarkStart w:id="505" w:name="_Toc302992968"/>
      <w:r>
        <w:rPr>
          <w:rFonts w:hint="eastAsia"/>
          <w:color w:val="000000" w:themeColor="text1"/>
        </w:rPr>
        <w:t>5.</w:t>
      </w:r>
      <w:r>
        <w:rPr>
          <w:color w:val="000000" w:themeColor="text1"/>
        </w:rPr>
        <w:t>消防要求</w:t>
      </w:r>
      <w:bookmarkEnd w:id="503"/>
      <w:bookmarkEnd w:id="504"/>
      <w:bookmarkEnd w:id="505"/>
    </w:p>
    <w:p>
      <w:pPr>
        <w:ind w:firstLine="480"/>
        <w:rPr>
          <w:color w:val="000000" w:themeColor="text1"/>
        </w:rPr>
      </w:pPr>
      <w:r>
        <w:rPr>
          <w:color w:val="000000" w:themeColor="text1"/>
        </w:rPr>
        <w:t>数据中心的消防要求应满足现行国家标准GB50016《建筑设计防火规范》的规定。</w:t>
      </w:r>
    </w:p>
    <w:p>
      <w:pPr>
        <w:ind w:firstLine="480"/>
        <w:rPr>
          <w:color w:val="000000" w:themeColor="text1"/>
        </w:rPr>
      </w:pPr>
      <w:r>
        <w:rPr>
          <w:color w:val="000000" w:themeColor="text1"/>
        </w:rPr>
        <w:t>建筑内的管道井、电缆井应在每层楼板处采用不低于楼板耐火极限的不燃烧体或防火封堵材料封堵，楼板或墙上的预留孔洞应用不燃烧材料临时封堵。</w:t>
      </w:r>
    </w:p>
    <w:p>
      <w:pPr>
        <w:ind w:firstLine="480"/>
        <w:rPr>
          <w:color w:val="000000" w:themeColor="text1"/>
        </w:rPr>
      </w:pPr>
      <w:r>
        <w:rPr>
          <w:color w:val="000000" w:themeColor="text1"/>
        </w:rPr>
        <w:t>对机房进行改造时，只可进行为满足机房电气要求的修缮（如对窗户进行处理，以防雨天渗水或泄漏冷气、机房门改为向外开等），不得作装饰性的装修。数据中心的内部装修材料应采用不燃烧材料，机房不应吊顶。</w:t>
      </w:r>
    </w:p>
    <w:p>
      <w:pPr>
        <w:ind w:firstLine="480"/>
        <w:rPr>
          <w:color w:val="000000" w:themeColor="text1"/>
        </w:rPr>
      </w:pPr>
      <w:r>
        <w:rPr>
          <w:color w:val="000000" w:themeColor="text1"/>
        </w:rPr>
        <w:t>数据中心内的配电线路除敷设在金属桥架、金属线槽、电缆沟及电缆井等处外，其余线路均应穿金属保护管敷设。数据中心内的动力、照明、控制等线路应采用阻燃型铜芯电线（缆）。数据中心内的消防配电线路，应采用耐火型或矿物绝缘类等具有耐火、抗过载和抗机械破坏性能的不燃型铜芯电线（缆）。消防报警等线路穿钢管时，可采用阻燃型铜芯电线（缆）。</w:t>
      </w:r>
    </w:p>
    <w:p>
      <w:pPr>
        <w:ind w:firstLine="480"/>
        <w:rPr>
          <w:color w:val="000000" w:themeColor="text1"/>
        </w:rPr>
      </w:pPr>
      <w:r>
        <w:rPr>
          <w:color w:val="000000" w:themeColor="text1"/>
        </w:rPr>
        <w:t>电源线与信号线的孔洞、管道应分开设置，机房内的走线除设备的特殊要求外，一律采用不封闭走线架。</w:t>
      </w:r>
    </w:p>
    <w:p>
      <w:pPr>
        <w:ind w:firstLine="480"/>
        <w:rPr>
          <w:color w:val="000000" w:themeColor="text1"/>
        </w:rPr>
      </w:pPr>
      <w:r>
        <w:rPr>
          <w:color w:val="000000" w:themeColor="text1"/>
        </w:rPr>
        <w:t>交、直流电源的电力电缆应分开布放；电力电缆与信号线缆应分开布放；光纤尾纤加套管或走光纤专用线槽。必须同槽同孔敷设的或交叉的应采取可靠的隔离措施。电源线、信号线不得穿越或穿入空调通风管道。</w:t>
      </w:r>
    </w:p>
    <w:p>
      <w:pPr>
        <w:ind w:firstLine="480"/>
        <w:rPr>
          <w:color w:val="000000" w:themeColor="text1"/>
        </w:rPr>
      </w:pPr>
      <w:r>
        <w:rPr>
          <w:color w:val="000000" w:themeColor="text1"/>
        </w:rPr>
        <w:t>机房设备的排水管不能与电源线同槽敷设或交叉穿越；确实必须同槽或交叉的要采取可靠的防渗漏防潮措施。</w:t>
      </w:r>
    </w:p>
    <w:p>
      <w:pPr>
        <w:ind w:firstLine="480"/>
        <w:rPr>
          <w:color w:val="000000" w:themeColor="text1"/>
        </w:rPr>
      </w:pPr>
      <w:r>
        <w:rPr>
          <w:color w:val="000000" w:themeColor="text1"/>
        </w:rPr>
        <w:t>机房应配备手提式灭火器或移动式灭火器。</w:t>
      </w:r>
    </w:p>
    <w:p>
      <w:pPr>
        <w:pStyle w:val="4"/>
        <w:ind w:firstLine="562"/>
        <w:rPr>
          <w:color w:val="000000" w:themeColor="text1"/>
        </w:rPr>
      </w:pPr>
      <w:bookmarkStart w:id="506" w:name="_Toc477293456"/>
      <w:bookmarkStart w:id="507" w:name="_Toc532520603"/>
      <w:bookmarkStart w:id="508" w:name="_Toc8760727"/>
      <w:bookmarkStart w:id="509" w:name="_Toc522752488"/>
      <w:r>
        <w:rPr>
          <w:rFonts w:hint="eastAsia"/>
          <w:color w:val="000000" w:themeColor="text1"/>
        </w:rPr>
        <w:t>（四）</w:t>
      </w:r>
      <w:r>
        <w:rPr>
          <w:color w:val="000000" w:themeColor="text1"/>
        </w:rPr>
        <w:t>节能减排</w:t>
      </w:r>
      <w:bookmarkEnd w:id="506"/>
      <w:bookmarkEnd w:id="507"/>
      <w:bookmarkEnd w:id="508"/>
      <w:bookmarkEnd w:id="509"/>
    </w:p>
    <w:p>
      <w:pPr>
        <w:ind w:firstLine="480"/>
        <w:rPr>
          <w:color w:val="000000" w:themeColor="text1"/>
        </w:rPr>
      </w:pPr>
      <w:r>
        <w:rPr>
          <w:color w:val="000000" w:themeColor="text1"/>
        </w:rPr>
        <w:t>本项目所采用的设备是当今世界较先进的通信设备，工艺流程采取节能新技术、新工艺，功耗低，效率高，符合《中华人民共和国节约能源法》和《中国节能技术政策大纲》的要求。</w:t>
      </w:r>
    </w:p>
    <w:p>
      <w:pPr>
        <w:ind w:firstLine="480"/>
        <w:rPr>
          <w:color w:val="000000" w:themeColor="text1"/>
        </w:rPr>
      </w:pPr>
      <w:r>
        <w:rPr>
          <w:color w:val="000000" w:themeColor="text1"/>
        </w:rPr>
        <w:t>本项目在降低能耗、绿色环保方面的主要措施包括：</w:t>
      </w:r>
    </w:p>
    <w:p>
      <w:pPr>
        <w:ind w:firstLine="480"/>
        <w:rPr>
          <w:color w:val="000000" w:themeColor="text1"/>
        </w:rPr>
      </w:pPr>
      <w:r>
        <w:rPr>
          <w:color w:val="000000" w:themeColor="text1"/>
        </w:rPr>
        <w:t>（1）新增设备引入低能耗比的设备；</w:t>
      </w:r>
    </w:p>
    <w:p>
      <w:pPr>
        <w:ind w:firstLine="480"/>
        <w:rPr>
          <w:color w:val="000000" w:themeColor="text1"/>
        </w:rPr>
      </w:pPr>
      <w:r>
        <w:rPr>
          <w:color w:val="000000" w:themeColor="text1"/>
        </w:rPr>
        <w:t>（2）扩容设备通过升级等方式提高处理能力；</w:t>
      </w:r>
    </w:p>
    <w:p>
      <w:pPr>
        <w:ind w:firstLine="480"/>
        <w:rPr>
          <w:color w:val="000000" w:themeColor="text1"/>
        </w:rPr>
      </w:pPr>
      <w:r>
        <w:rPr>
          <w:color w:val="000000" w:themeColor="text1"/>
        </w:rPr>
        <w:t>（3）结合各节点机房电源实际情况，按需精确化提供相应的电源功耗，在满足本项目设备板卡配置正常供电的基础上尽量减少和降低电源扩容的压力和相应的投资。</w:t>
      </w:r>
    </w:p>
    <w:p>
      <w:pPr>
        <w:pStyle w:val="4"/>
        <w:ind w:firstLine="562"/>
        <w:rPr>
          <w:color w:val="000000" w:themeColor="text1"/>
          <w:kern w:val="44"/>
        </w:rPr>
      </w:pPr>
      <w:bookmarkStart w:id="510" w:name="_Toc532520604"/>
      <w:bookmarkStart w:id="511" w:name="_Toc8760728"/>
      <w:r>
        <w:rPr>
          <w:rFonts w:hint="eastAsia"/>
          <w:color w:val="000000" w:themeColor="text1"/>
        </w:rPr>
        <w:t>（五）租赁</w:t>
      </w:r>
      <w:r>
        <w:rPr>
          <w:color w:val="000000" w:themeColor="text1"/>
        </w:rPr>
        <w:t>机柜需求</w:t>
      </w:r>
      <w:bookmarkEnd w:id="510"/>
      <w:bookmarkEnd w:id="511"/>
    </w:p>
    <w:p>
      <w:pPr>
        <w:ind w:firstLine="480"/>
        <w:rPr>
          <w:color w:val="000000" w:themeColor="text1"/>
        </w:rPr>
      </w:pPr>
      <w:r>
        <w:rPr>
          <w:color w:val="000000" w:themeColor="text1"/>
        </w:rPr>
        <w:t>每机柜包含电费、</w:t>
      </w:r>
      <w:r>
        <w:rPr>
          <w:rFonts w:hint="eastAsia"/>
          <w:color w:val="000000" w:themeColor="text1"/>
        </w:rPr>
        <w:t>链路费、</w:t>
      </w:r>
      <w:r>
        <w:rPr>
          <w:color w:val="000000" w:themeColor="text1"/>
        </w:rPr>
        <w:t>空调费等。单机架功耗不低于4</w:t>
      </w:r>
      <w:r>
        <w:rPr>
          <w:rFonts w:hint="eastAsia"/>
          <w:color w:val="000000" w:themeColor="text1"/>
        </w:rPr>
        <w:t>0</w:t>
      </w:r>
      <w:r>
        <w:rPr>
          <w:color w:val="000000" w:themeColor="text1"/>
        </w:rPr>
        <w:t>00W，主备交流PDU。</w:t>
      </w:r>
    </w:p>
    <w:p>
      <w:pPr>
        <w:ind w:firstLine="480"/>
        <w:rPr>
          <w:color w:val="000000" w:themeColor="text1"/>
        </w:rPr>
      </w:pPr>
    </w:p>
    <w:p>
      <w:pPr>
        <w:pStyle w:val="3"/>
        <w:spacing w:before="120" w:after="120"/>
        <w:ind w:firstLine="562"/>
        <w:rPr>
          <w:rFonts w:ascii="宋体"/>
          <w:b w:val="0"/>
          <w:color w:val="000000" w:themeColor="text1"/>
          <w:sz w:val="24"/>
        </w:rPr>
      </w:pPr>
      <w:bookmarkStart w:id="512" w:name="_Toc8760729"/>
      <w:r>
        <w:rPr>
          <w:rFonts w:hint="eastAsia"/>
          <w:color w:val="000000" w:themeColor="text1"/>
        </w:rPr>
        <w:t>八、技术、服务、供货与集成要求说明</w:t>
      </w:r>
      <w:bookmarkEnd w:id="392"/>
      <w:bookmarkEnd w:id="512"/>
    </w:p>
    <w:p>
      <w:pPr>
        <w:pStyle w:val="4"/>
        <w:ind w:firstLine="562"/>
        <w:rPr>
          <w:color w:val="000000" w:themeColor="text1"/>
        </w:rPr>
      </w:pPr>
      <w:bookmarkStart w:id="513" w:name="_Toc8760730"/>
      <w:r>
        <w:rPr>
          <w:rFonts w:hint="eastAsia"/>
          <w:color w:val="000000" w:themeColor="text1"/>
        </w:rPr>
        <w:t>（一）设备说明：</w:t>
      </w:r>
      <w:bookmarkEnd w:id="513"/>
    </w:p>
    <w:p>
      <w:pPr>
        <w:ind w:firstLine="480"/>
        <w:rPr>
          <w:color w:val="000000" w:themeColor="text1"/>
        </w:rPr>
      </w:pPr>
      <w:r>
        <w:rPr>
          <w:rFonts w:hint="eastAsia"/>
          <w:color w:val="000000" w:themeColor="text1"/>
        </w:rPr>
        <w:t>（</w:t>
      </w:r>
      <w:r>
        <w:rPr>
          <w:color w:val="000000" w:themeColor="text1"/>
        </w:rPr>
        <w:t>1</w:t>
      </w:r>
      <w:r>
        <w:rPr>
          <w:rFonts w:hint="eastAsia"/>
          <w:color w:val="000000" w:themeColor="text1"/>
        </w:rPr>
        <w:t>）投标人可以根据各自的方案提供合理的设备品牌与型号，并可以对具体配置进行合理调整（但必须达到采购人建设的标准规范），数量不得少于招标文件要求，并详细提供品牌型号、技术参数、集成说明等技术资料，涉及更改的应提供详细的更改说明，否则在评审时将作出对其不利的评定，并有可能导致被判定为重大偏离。</w:t>
      </w:r>
    </w:p>
    <w:p>
      <w:pPr>
        <w:ind w:firstLine="480"/>
        <w:rPr>
          <w:color w:val="000000" w:themeColor="text1"/>
        </w:rPr>
      </w:pPr>
      <w:r>
        <w:rPr>
          <w:rFonts w:hint="eastAsia"/>
          <w:color w:val="000000" w:themeColor="text1"/>
        </w:rPr>
        <w:t>★（</w:t>
      </w:r>
      <w:r>
        <w:rPr>
          <w:color w:val="000000" w:themeColor="text1"/>
        </w:rPr>
        <w:t>2</w:t>
      </w:r>
      <w:r>
        <w:rPr>
          <w:rFonts w:hint="eastAsia"/>
          <w:color w:val="000000" w:themeColor="text1"/>
        </w:rPr>
        <w:t>）招标文件技术要求中除所列示的产品、软件或设备数量外，技术要求所列示的管材、线材、配件、辅材及项目预埋管路的规模与数量可能会根据本项目实际实施或施工情况进行必要调整，但投标人验收付款时不得以此为理由例外要求追加成交价格。管材、线材、配件、辅材及管材的埋设等均为预估值，投标人应仔细勘察现场，充分估计各种可能的情况与结果，并在投标文件中予以明确。中标人在项目实施和合同履行过程中，不得以方案变更或施工条件变化为由，要求追加项目结算价。</w:t>
      </w:r>
    </w:p>
    <w:p>
      <w:pPr>
        <w:ind w:firstLine="480"/>
        <w:rPr>
          <w:color w:val="000000" w:themeColor="text1"/>
        </w:rPr>
      </w:pPr>
      <w:r>
        <w:rPr>
          <w:rFonts w:hint="eastAsia"/>
          <w:color w:val="000000" w:themeColor="text1"/>
        </w:rPr>
        <w:t>（</w:t>
      </w:r>
      <w:r>
        <w:rPr>
          <w:color w:val="000000" w:themeColor="text1"/>
        </w:rPr>
        <w:t>3</w:t>
      </w:r>
      <w:r>
        <w:rPr>
          <w:rFonts w:hint="eastAsia"/>
          <w:color w:val="000000" w:themeColor="text1"/>
        </w:rPr>
        <w:t>）本次采购的专用设备及安装项目，采购人要求不低于以上主要技术指标的产品，除加“★”的基本技术指标不允许偏差外，其他如有调整或变更，投标人必须对其差异（包括项目集成与技术差异）提供说明（具体技术指标详见招标文件），并在投标文件的技术商务标中提供该产品的技术参数和检测报告或相关证书。</w:t>
      </w:r>
    </w:p>
    <w:p>
      <w:pPr>
        <w:ind w:firstLine="480"/>
        <w:rPr>
          <w:color w:val="000000" w:themeColor="text1"/>
        </w:rPr>
      </w:pPr>
      <w:r>
        <w:rPr>
          <w:rFonts w:hint="eastAsia"/>
          <w:color w:val="000000" w:themeColor="text1"/>
        </w:rPr>
        <w:t>（</w:t>
      </w:r>
      <w:r>
        <w:rPr>
          <w:color w:val="000000" w:themeColor="text1"/>
        </w:rPr>
        <w:t>4</w:t>
      </w:r>
      <w:r>
        <w:rPr>
          <w:rFonts w:hint="eastAsia"/>
          <w:color w:val="000000" w:themeColor="text1"/>
        </w:rPr>
        <w:t>）设备清单中所列举的要求为一个基本的功能配置要求，为达到该要求，投标人需在设备清单中详细列明所提供的品牌、型号、配置数量等具体信息，未提供或提供不全相关产品资料以及评标委员会根据投标人提供的资料认为所选品牌型号、配置等信息不能达到招标文件的技术指标、功能要求及品牌档次的，则在评审时将作出对其不利的评定，并有可能导致被判定为重大偏离。</w:t>
      </w:r>
    </w:p>
    <w:p>
      <w:pPr>
        <w:ind w:firstLine="480"/>
        <w:rPr>
          <w:color w:val="000000" w:themeColor="text1"/>
        </w:rPr>
      </w:pPr>
      <w:r>
        <w:rPr>
          <w:rFonts w:hint="eastAsia"/>
          <w:color w:val="000000" w:themeColor="text1"/>
        </w:rPr>
        <w:t>（</w:t>
      </w:r>
      <w:r>
        <w:rPr>
          <w:color w:val="000000" w:themeColor="text1"/>
        </w:rPr>
        <w:t>5</w:t>
      </w:r>
      <w:r>
        <w:rPr>
          <w:rFonts w:hint="eastAsia"/>
          <w:color w:val="000000" w:themeColor="text1"/>
        </w:rPr>
        <w:t>）投标人不仅应确保投标所选用的设备、材料、软件与技术之间的兼容性，而且具有方便的可扩充性，即能实现纵向延伸，又能确保横向渗透。如评标时发现投标人投标选用的设备、材料存在不兼容、可扩充性，将对其作出不利的评定，并有可能导致被判定为重大偏离。</w:t>
      </w:r>
    </w:p>
    <w:p>
      <w:pPr>
        <w:ind w:firstLine="480"/>
        <w:rPr>
          <w:color w:val="000000" w:themeColor="text1"/>
        </w:rPr>
      </w:pPr>
      <w:r>
        <w:rPr>
          <w:rFonts w:hint="eastAsia"/>
          <w:color w:val="000000" w:themeColor="text1"/>
        </w:rPr>
        <w:t>（</w:t>
      </w:r>
      <w:r>
        <w:rPr>
          <w:color w:val="000000" w:themeColor="text1"/>
        </w:rPr>
        <w:t>6</w:t>
      </w:r>
      <w:r>
        <w:rPr>
          <w:rFonts w:hint="eastAsia"/>
          <w:color w:val="000000" w:themeColor="text1"/>
        </w:rPr>
        <w:t>）如投标人认为采购人上述所列产品、设备、软件等配置及技术指标存在不合理与不完善的，且能在投标文件提出良好的解决方案与合理化建议并取得评标专家认可的，将在评定时予以有利的评判。</w:t>
      </w:r>
    </w:p>
    <w:p>
      <w:pPr>
        <w:ind w:firstLine="480"/>
        <w:rPr>
          <w:color w:val="000000" w:themeColor="text1"/>
        </w:rPr>
      </w:pPr>
      <w:r>
        <w:rPr>
          <w:rFonts w:hint="eastAsia"/>
          <w:color w:val="000000" w:themeColor="text1"/>
        </w:rPr>
        <w:t>★（7）本项目技术规格只是对该项目原则性的要求，并非详尽的要求，投标单位有责任对设计的实施符合技术规范负责，并有责任提出在本技术规格中未阐述的但为保证系统建成后能一次性通过终验及保证正常运行所必须的建议和要求，并落实在方案和投标报价之中。</w:t>
      </w:r>
    </w:p>
    <w:p>
      <w:pPr>
        <w:ind w:firstLine="480"/>
        <w:rPr>
          <w:color w:val="000000" w:themeColor="text1"/>
        </w:rPr>
      </w:pPr>
      <w:r>
        <w:rPr>
          <w:rFonts w:hint="eastAsia"/>
          <w:color w:val="000000" w:themeColor="text1"/>
        </w:rPr>
        <w:t>（8）服务器安装匹配的操作系统。</w:t>
      </w:r>
    </w:p>
    <w:p>
      <w:pPr>
        <w:ind w:firstLine="480"/>
        <w:rPr>
          <w:color w:val="000000" w:themeColor="text1"/>
        </w:rPr>
      </w:pPr>
      <w:r>
        <w:rPr>
          <w:rFonts w:hint="eastAsia"/>
          <w:color w:val="000000" w:themeColor="text1"/>
        </w:rPr>
        <w:t>★（9）本项目硬盘不返还。</w:t>
      </w:r>
    </w:p>
    <w:p>
      <w:pPr>
        <w:pStyle w:val="4"/>
        <w:ind w:firstLine="562"/>
        <w:rPr>
          <w:color w:val="000000" w:themeColor="text1"/>
        </w:rPr>
      </w:pPr>
      <w:bookmarkStart w:id="514" w:name="_Toc8760731"/>
      <w:r>
        <w:rPr>
          <w:rFonts w:hint="eastAsia"/>
          <w:color w:val="000000" w:themeColor="text1"/>
        </w:rPr>
        <w:t>（二）信用承诺：</w:t>
      </w:r>
      <w:bookmarkEnd w:id="514"/>
    </w:p>
    <w:p>
      <w:pPr>
        <w:ind w:firstLine="480"/>
        <w:rPr>
          <w:color w:val="000000" w:themeColor="text1"/>
        </w:rPr>
      </w:pPr>
      <w:r>
        <w:rPr>
          <w:rFonts w:hint="eastAsia"/>
          <w:color w:val="000000" w:themeColor="text1"/>
        </w:rPr>
        <w:t>★投标人必须保证投标的全部产品、设备材料、软件技术性能完全符合以上基本配置要求，保证在投标文件中说明的其他技术指标、产品资料、按照招标文件要求提供的案例、服务承诺、实施方案等是真实的，无条件同意一旦由专家或者使用单位或者设备到货后或者实施使用中发现技术指标、产品资料、案例、服务承诺、实施方案等与标书中说明不符或安装调试中达不到采购人集成要求，影响采购人按期正常应用的，采购人可以立即取消投标方的资格或解除合同，投标人应无条件同意，并赔偿采购人由此而产生的损失。</w:t>
      </w:r>
    </w:p>
    <w:p>
      <w:pPr>
        <w:pStyle w:val="4"/>
        <w:ind w:firstLine="562"/>
        <w:rPr>
          <w:color w:val="000000" w:themeColor="text1"/>
        </w:rPr>
      </w:pPr>
      <w:bookmarkStart w:id="515" w:name="_Toc8760732"/>
      <w:r>
        <w:rPr>
          <w:rFonts w:hint="eastAsia"/>
          <w:color w:val="000000" w:themeColor="text1"/>
        </w:rPr>
        <w:t>（三）原装说明：</w:t>
      </w:r>
      <w:bookmarkEnd w:id="515"/>
    </w:p>
    <w:p>
      <w:pPr>
        <w:ind w:firstLine="480"/>
        <w:rPr>
          <w:color w:val="000000" w:themeColor="text1"/>
        </w:rPr>
      </w:pPr>
      <w:r>
        <w:rPr>
          <w:rFonts w:hint="eastAsia"/>
          <w:color w:val="000000" w:themeColor="text1"/>
        </w:rPr>
        <w:t>所有产品、设备、软件须原包装到位，需要的配件必须是原包装到达采购人，未经采购人允许不得私自预先安装（原厂安装的除外）。</w:t>
      </w:r>
    </w:p>
    <w:p>
      <w:pPr>
        <w:pStyle w:val="4"/>
        <w:ind w:firstLine="562"/>
        <w:rPr>
          <w:color w:val="000000" w:themeColor="text1"/>
        </w:rPr>
      </w:pPr>
      <w:bookmarkStart w:id="516" w:name="_Toc8760733"/>
      <w:r>
        <w:rPr>
          <w:rFonts w:hint="eastAsia"/>
          <w:color w:val="000000" w:themeColor="text1"/>
        </w:rPr>
        <w:t>（四）服务保证：</w:t>
      </w:r>
      <w:bookmarkEnd w:id="516"/>
    </w:p>
    <w:p>
      <w:pPr>
        <w:ind w:firstLine="480"/>
        <w:rPr>
          <w:color w:val="000000" w:themeColor="text1"/>
        </w:rPr>
      </w:pPr>
      <w:r>
        <w:rPr>
          <w:rFonts w:hint="eastAsia"/>
          <w:color w:val="000000" w:themeColor="text1"/>
        </w:rPr>
        <w:t>投标人提供的上述设备如果出厂服务达不到要求的，必须提供原厂商针对本次招标设备服务达到以上要求期限的原厂上门免费保修服务承诺书，并在供货时同时提供可供核查的已购买达到上述要求的可核实的服务的证明或其他说明（第三方服务无效）；采信投标人承诺的现场服务响应时间是根据投标单位的真实地址到使用单位的距离来计算的，其他如办事处、服务部除非有投标单位在本地工商部门登记的证明或专家组一半以上成员认可的已经真实存在的或使用单位确认的可以采信，其他说明不予采信。</w:t>
      </w:r>
    </w:p>
    <w:p>
      <w:pPr>
        <w:pStyle w:val="4"/>
        <w:ind w:firstLine="562"/>
        <w:rPr>
          <w:color w:val="000000" w:themeColor="text1"/>
        </w:rPr>
      </w:pPr>
      <w:bookmarkStart w:id="517" w:name="_Toc8760734"/>
      <w:r>
        <w:rPr>
          <w:rFonts w:hint="eastAsia"/>
          <w:color w:val="000000" w:themeColor="text1"/>
        </w:rPr>
        <w:t>（五）集成要求：</w:t>
      </w:r>
      <w:bookmarkEnd w:id="517"/>
    </w:p>
    <w:p>
      <w:pPr>
        <w:ind w:firstLine="480"/>
        <w:rPr>
          <w:color w:val="000000" w:themeColor="text1"/>
        </w:rPr>
      </w:pPr>
      <w:r>
        <w:rPr>
          <w:rFonts w:hint="eastAsia"/>
          <w:color w:val="000000" w:themeColor="text1"/>
        </w:rPr>
        <w:t>投标人需保证按期保质完成采购需求中所列的各项具体内容及相关的集成工作，所需设备配置、软件、软件许可及原应用的数据移植与可能需要的配件、可能的第三方指导、数据安全与集成工作由投标人自行协调完成，并承担全部费用（含清单中未说明但必需的各种费用）及工作责任。集成完成后，必须保证采购人能够如期保质地正常使用，包括与其他已有设备、应用软件的衔接与使用。</w:t>
      </w:r>
    </w:p>
    <w:p>
      <w:pPr>
        <w:snapToGrid w:val="0"/>
        <w:rPr>
          <w:rFonts w:ascii="宋体" w:hAnsi="宋体"/>
          <w:color w:val="000000" w:themeColor="text1"/>
        </w:rPr>
      </w:pPr>
    </w:p>
    <w:p>
      <w:pPr>
        <w:pStyle w:val="3"/>
        <w:spacing w:before="120" w:after="120"/>
        <w:ind w:firstLine="562"/>
        <w:rPr>
          <w:rFonts w:ascii="宋体"/>
          <w:b w:val="0"/>
          <w:color w:val="000000" w:themeColor="text1"/>
          <w:sz w:val="24"/>
        </w:rPr>
      </w:pPr>
      <w:bookmarkStart w:id="518" w:name="_Toc201548402"/>
      <w:bookmarkStart w:id="519" w:name="_Toc7521698"/>
      <w:bookmarkStart w:id="520" w:name="_Toc8760735"/>
      <w:bookmarkStart w:id="521" w:name="_Toc253388750"/>
      <w:r>
        <w:rPr>
          <w:rFonts w:hint="eastAsia"/>
          <w:color w:val="000000" w:themeColor="text1"/>
        </w:rPr>
        <w:t>九、商务要求</w:t>
      </w:r>
      <w:bookmarkEnd w:id="518"/>
      <w:bookmarkEnd w:id="519"/>
      <w:bookmarkEnd w:id="520"/>
      <w:bookmarkEnd w:id="521"/>
    </w:p>
    <w:p>
      <w:pPr>
        <w:pStyle w:val="4"/>
        <w:ind w:firstLine="562"/>
        <w:rPr>
          <w:color w:val="000000" w:themeColor="text1"/>
        </w:rPr>
      </w:pPr>
      <w:bookmarkStart w:id="522" w:name="_Toc8760736"/>
      <w:r>
        <w:rPr>
          <w:rFonts w:hint="eastAsia"/>
          <w:color w:val="000000" w:themeColor="text1"/>
        </w:rPr>
        <w:t>（一）项目投标报价要求</w:t>
      </w:r>
      <w:bookmarkEnd w:id="522"/>
    </w:p>
    <w:p>
      <w:pPr>
        <w:ind w:firstLine="480"/>
        <w:rPr>
          <w:color w:val="000000" w:themeColor="text1"/>
        </w:rPr>
      </w:pPr>
      <w:r>
        <w:rPr>
          <w:rFonts w:hint="eastAsia"/>
          <w:color w:val="000000" w:themeColor="text1"/>
        </w:rPr>
        <w:t>投标报价包括</w:t>
      </w:r>
      <w:r>
        <w:rPr>
          <w:color w:val="000000" w:themeColor="text1"/>
        </w:rPr>
        <w:t>质保、</w:t>
      </w:r>
      <w:r>
        <w:rPr>
          <w:rFonts w:hint="eastAsia"/>
          <w:color w:val="000000" w:themeColor="text1"/>
        </w:rPr>
        <w:t>产品供货、软件开发、系统设计、系统集成、运行维护</w:t>
      </w:r>
      <w:r>
        <w:rPr>
          <w:rFonts w:hint="eastAsia"/>
          <w:color w:val="000000" w:themeColor="text1"/>
          <w:szCs w:val="21"/>
        </w:rPr>
        <w:t>、</w:t>
      </w:r>
      <w:r>
        <w:rPr>
          <w:rFonts w:hint="eastAsia"/>
          <w:color w:val="000000" w:themeColor="text1"/>
        </w:rPr>
        <w:t>标准附件、备品备件、专用工具、包装、运输、装卸、保险、税金、货到就位以及安装、调试、培训、保修、一切税金等完成</w:t>
      </w:r>
      <w:r>
        <w:rPr>
          <w:color w:val="000000" w:themeColor="text1"/>
        </w:rPr>
        <w:t>本项目的所有</w:t>
      </w:r>
      <w:r>
        <w:rPr>
          <w:rFonts w:hint="eastAsia"/>
          <w:color w:val="000000" w:themeColor="text1"/>
        </w:rPr>
        <w:t>费用，即投标人所投报的投标报价为投标人所能承受的整个项目的一次性最终最低报价，合同总价和单价不做调整。</w:t>
      </w:r>
    </w:p>
    <w:p>
      <w:pPr>
        <w:ind w:firstLine="480"/>
        <w:rPr>
          <w:color w:val="000000" w:themeColor="text1"/>
        </w:rPr>
      </w:pPr>
      <w:r>
        <w:rPr>
          <w:color w:val="000000" w:themeColor="text1"/>
        </w:rPr>
        <w:t>投标报价明细表中须根据</w:t>
      </w:r>
      <w:r>
        <w:rPr>
          <w:rFonts w:hint="eastAsia"/>
          <w:color w:val="000000" w:themeColor="text1"/>
        </w:rPr>
        <w:t>设备</w:t>
      </w:r>
      <w:r>
        <w:rPr>
          <w:color w:val="000000" w:themeColor="text1"/>
        </w:rPr>
        <w:t>清单进行详细</w:t>
      </w:r>
      <w:r>
        <w:rPr>
          <w:rFonts w:hint="eastAsia"/>
          <w:color w:val="000000" w:themeColor="text1"/>
        </w:rPr>
        <w:t>分项</w:t>
      </w:r>
      <w:r>
        <w:rPr>
          <w:color w:val="000000" w:themeColor="text1"/>
        </w:rPr>
        <w:t>报价。</w:t>
      </w:r>
    </w:p>
    <w:p>
      <w:pPr>
        <w:pStyle w:val="4"/>
        <w:ind w:firstLine="562"/>
        <w:rPr>
          <w:color w:val="000000" w:themeColor="text1"/>
        </w:rPr>
      </w:pPr>
      <w:bookmarkStart w:id="523" w:name="_Toc8760737"/>
      <w:r>
        <w:rPr>
          <w:rFonts w:hint="eastAsia"/>
          <w:color w:val="000000" w:themeColor="text1"/>
        </w:rPr>
        <w:t>（二）工期要求</w:t>
      </w:r>
      <w:bookmarkEnd w:id="523"/>
    </w:p>
    <w:p>
      <w:pPr>
        <w:ind w:firstLine="480"/>
        <w:rPr>
          <w:color w:val="000000" w:themeColor="text1"/>
        </w:rPr>
      </w:pPr>
      <w:r>
        <w:rPr>
          <w:rFonts w:hint="eastAsia"/>
          <w:color w:val="000000" w:themeColor="text1"/>
        </w:rPr>
        <w:t>应于</w:t>
      </w:r>
      <w:r>
        <w:rPr>
          <w:color w:val="000000" w:themeColor="text1"/>
        </w:rPr>
        <w:t>2019年12月31日前完成项目建设及初步验收。</w:t>
      </w:r>
    </w:p>
    <w:p>
      <w:pPr>
        <w:pStyle w:val="4"/>
        <w:ind w:firstLine="562"/>
        <w:rPr>
          <w:color w:val="000000" w:themeColor="text1"/>
        </w:rPr>
      </w:pPr>
      <w:r>
        <w:rPr>
          <w:rFonts w:hint="eastAsia"/>
          <w:color w:val="000000" w:themeColor="text1"/>
        </w:rPr>
        <w:t>（三）建设期</w:t>
      </w:r>
      <w:r>
        <w:rPr>
          <w:color w:val="000000" w:themeColor="text1"/>
        </w:rPr>
        <w:t>驻场人员要求</w:t>
      </w:r>
    </w:p>
    <w:p>
      <w:pPr>
        <w:ind w:firstLine="480"/>
        <w:rPr>
          <w:color w:val="000000" w:themeColor="text1"/>
        </w:rPr>
      </w:pPr>
      <w:r>
        <w:rPr>
          <w:rFonts w:hint="eastAsia"/>
          <w:color w:val="000000" w:themeColor="text1"/>
        </w:rPr>
        <w:sym w:font="Wingdings" w:char="F0AB"/>
      </w:r>
      <w:r>
        <w:rPr>
          <w:rFonts w:hint="eastAsia"/>
          <w:color w:val="000000" w:themeColor="text1"/>
        </w:rPr>
        <w:t>投标单位委派2名项目总负责人驻场（一主</w:t>
      </w:r>
      <w:r>
        <w:rPr>
          <w:color w:val="000000" w:themeColor="text1"/>
        </w:rPr>
        <w:t>一副</w:t>
      </w:r>
      <w:r>
        <w:rPr>
          <w:rFonts w:hint="eastAsia"/>
          <w:color w:val="000000" w:themeColor="text1"/>
        </w:rPr>
        <w:t>），配置</w:t>
      </w:r>
      <w:r>
        <w:rPr>
          <w:color w:val="000000" w:themeColor="text1"/>
        </w:rPr>
        <w:t>不少于</w:t>
      </w:r>
      <w:r>
        <w:rPr>
          <w:rFonts w:hint="eastAsia"/>
          <w:color w:val="000000" w:themeColor="text1"/>
        </w:rPr>
        <w:t>22名相关技术</w:t>
      </w:r>
      <w:r>
        <w:rPr>
          <w:color w:val="000000" w:themeColor="text1"/>
        </w:rPr>
        <w:t>人员</w:t>
      </w:r>
      <w:r>
        <w:rPr>
          <w:rFonts w:hint="eastAsia"/>
          <w:color w:val="000000" w:themeColor="text1"/>
        </w:rPr>
        <w:t>（</w:t>
      </w:r>
      <w:r>
        <w:rPr>
          <w:color w:val="000000" w:themeColor="text1"/>
        </w:rPr>
        <w:t>须涵盖网络</w:t>
      </w:r>
      <w:r>
        <w:rPr>
          <w:rFonts w:hint="eastAsia"/>
          <w:color w:val="000000" w:themeColor="text1"/>
        </w:rPr>
        <w:t>、</w:t>
      </w:r>
      <w:r>
        <w:rPr>
          <w:color w:val="000000" w:themeColor="text1"/>
        </w:rPr>
        <w:t>安全、大数据、人像</w:t>
      </w:r>
      <w:r>
        <w:rPr>
          <w:rFonts w:hint="eastAsia"/>
          <w:color w:val="000000" w:themeColor="text1"/>
        </w:rPr>
        <w:t>比对</w:t>
      </w:r>
      <w:r>
        <w:rPr>
          <w:color w:val="000000" w:themeColor="text1"/>
        </w:rPr>
        <w:t>、视</w:t>
      </w:r>
      <w:r>
        <w:rPr>
          <w:rFonts w:hint="eastAsia"/>
          <w:color w:val="000000" w:themeColor="text1"/>
        </w:rPr>
        <w:t>频解析</w:t>
      </w:r>
      <w:r>
        <w:rPr>
          <w:color w:val="000000" w:themeColor="text1"/>
        </w:rPr>
        <w:t>等技术领域</w:t>
      </w:r>
      <w:r>
        <w:rPr>
          <w:rFonts w:hint="eastAsia"/>
          <w:color w:val="000000" w:themeColor="text1"/>
        </w:rPr>
        <w:t>），项目</w:t>
      </w:r>
      <w:r>
        <w:rPr>
          <w:color w:val="000000" w:themeColor="text1"/>
        </w:rPr>
        <w:t>总负责人提供近</w:t>
      </w:r>
      <w:r>
        <w:rPr>
          <w:rFonts w:hint="eastAsia"/>
          <w:color w:val="000000" w:themeColor="text1"/>
        </w:rPr>
        <w:t>3</w:t>
      </w:r>
      <w:r>
        <w:rPr>
          <w:color w:val="000000" w:themeColor="text1"/>
        </w:rPr>
        <w:t>年社保证明</w:t>
      </w:r>
      <w:r>
        <w:rPr>
          <w:rFonts w:hint="eastAsia"/>
          <w:color w:val="000000" w:themeColor="text1"/>
        </w:rPr>
        <w:t>。拟派总负责人不得更换。</w:t>
      </w:r>
    </w:p>
    <w:p>
      <w:pPr>
        <w:pStyle w:val="4"/>
        <w:ind w:firstLine="562"/>
        <w:rPr>
          <w:color w:val="000000" w:themeColor="text1"/>
        </w:rPr>
      </w:pPr>
      <w:r>
        <w:rPr>
          <w:rFonts w:hint="eastAsia"/>
          <w:color w:val="000000" w:themeColor="text1"/>
        </w:rPr>
        <w:t>（四）运维驻场人员要求</w:t>
      </w:r>
    </w:p>
    <w:p>
      <w:pPr>
        <w:ind w:firstLine="480"/>
        <w:rPr>
          <w:color w:val="000000" w:themeColor="text1"/>
        </w:rPr>
      </w:pPr>
      <w:r>
        <w:rPr>
          <w:rFonts w:hint="eastAsia"/>
          <w:color w:val="000000" w:themeColor="text1"/>
        </w:rPr>
        <w:t>1.后端维护项目经理：配置1名，常驻，实行7×24小时办公；5年以上系统集成维护经验；有良好的组织和沟通协调能力；计算机、网络、信息化相关专业毕业</w:t>
      </w:r>
      <w:r>
        <w:rPr>
          <w:color w:val="000000" w:themeColor="text1"/>
        </w:rPr>
        <w:t>5</w:t>
      </w:r>
      <w:r>
        <w:rPr>
          <w:rFonts w:hint="eastAsia"/>
          <w:color w:val="000000" w:themeColor="text1"/>
        </w:rPr>
        <w:t>年以上；</w:t>
      </w:r>
    </w:p>
    <w:p>
      <w:pPr>
        <w:ind w:firstLine="480"/>
        <w:rPr>
          <w:color w:val="000000" w:themeColor="text1"/>
        </w:rPr>
      </w:pPr>
      <w:r>
        <w:rPr>
          <w:rFonts w:hint="eastAsia"/>
          <w:color w:val="000000" w:themeColor="text1"/>
        </w:rPr>
        <w:t>2.后端</w:t>
      </w:r>
      <w:r>
        <w:rPr>
          <w:color w:val="000000" w:themeColor="text1"/>
        </w:rPr>
        <w:t>维护团队人员要求：9</w:t>
      </w:r>
      <w:r>
        <w:rPr>
          <w:rFonts w:hint="eastAsia"/>
          <w:color w:val="000000" w:themeColor="text1"/>
        </w:rPr>
        <w:t>人（</w:t>
      </w:r>
      <w:r>
        <w:rPr>
          <w:color w:val="000000" w:themeColor="text1"/>
        </w:rPr>
        <w:t>涵盖网络</w:t>
      </w:r>
      <w:r>
        <w:rPr>
          <w:rFonts w:hint="eastAsia"/>
          <w:color w:val="000000" w:themeColor="text1"/>
        </w:rPr>
        <w:t>、</w:t>
      </w:r>
      <w:r>
        <w:rPr>
          <w:color w:val="000000" w:themeColor="text1"/>
        </w:rPr>
        <w:t>安全、大数据、人像</w:t>
      </w:r>
      <w:r>
        <w:rPr>
          <w:rFonts w:hint="eastAsia"/>
          <w:color w:val="000000" w:themeColor="text1"/>
        </w:rPr>
        <w:t>比对</w:t>
      </w:r>
      <w:r>
        <w:rPr>
          <w:color w:val="000000" w:themeColor="text1"/>
        </w:rPr>
        <w:t>、视</w:t>
      </w:r>
      <w:r>
        <w:rPr>
          <w:rFonts w:hint="eastAsia"/>
          <w:color w:val="000000" w:themeColor="text1"/>
        </w:rPr>
        <w:t>频解析</w:t>
      </w:r>
      <w:r>
        <w:rPr>
          <w:color w:val="000000" w:themeColor="text1"/>
        </w:rPr>
        <w:t>等技术领域</w:t>
      </w:r>
      <w:r>
        <w:rPr>
          <w:rFonts w:hint="eastAsia"/>
          <w:color w:val="000000" w:themeColor="text1"/>
        </w:rPr>
        <w:t>），所有维护人员必须专用，不能兼项其它项目。</w:t>
      </w:r>
    </w:p>
    <w:p>
      <w:pPr>
        <w:ind w:firstLine="480"/>
        <w:rPr>
          <w:color w:val="000000" w:themeColor="text1"/>
        </w:rPr>
      </w:pPr>
      <w:r>
        <w:rPr>
          <w:rFonts w:hint="eastAsia"/>
          <w:color w:val="000000" w:themeColor="text1"/>
        </w:rPr>
        <w:t>3.后端维护人员在指定</w:t>
      </w:r>
      <w:r>
        <w:rPr>
          <w:color w:val="000000" w:themeColor="text1"/>
        </w:rPr>
        <w:t>地点常驻，</w:t>
      </w:r>
      <w:r>
        <w:rPr>
          <w:rFonts w:hint="eastAsia"/>
          <w:color w:val="000000" w:themeColor="text1"/>
        </w:rPr>
        <w:t>提供</w:t>
      </w:r>
      <w:r>
        <w:rPr>
          <w:color w:val="000000" w:themeColor="text1"/>
        </w:rPr>
        <w:t>7</w:t>
      </w:r>
      <w:r>
        <w:rPr>
          <w:rFonts w:hint="eastAsia"/>
          <w:color w:val="000000" w:themeColor="text1"/>
        </w:rPr>
        <w:t>天×</w:t>
      </w:r>
      <w:r>
        <w:rPr>
          <w:color w:val="000000" w:themeColor="text1"/>
        </w:rPr>
        <w:t>24</w:t>
      </w:r>
      <w:r>
        <w:rPr>
          <w:rFonts w:hint="eastAsia"/>
          <w:color w:val="000000" w:themeColor="text1"/>
        </w:rPr>
        <w:t>小时响应服务，；</w:t>
      </w:r>
      <w:r>
        <w:rPr>
          <w:color w:val="000000" w:themeColor="text1"/>
        </w:rPr>
        <w:t>3</w:t>
      </w:r>
      <w:r>
        <w:rPr>
          <w:rFonts w:hint="eastAsia"/>
          <w:color w:val="000000" w:themeColor="text1"/>
        </w:rPr>
        <w:t>年以上工作经验。</w:t>
      </w:r>
    </w:p>
    <w:p>
      <w:pPr>
        <w:pStyle w:val="4"/>
        <w:ind w:firstLine="562"/>
        <w:rPr>
          <w:color w:val="000000" w:themeColor="text1"/>
        </w:rPr>
      </w:pPr>
      <w:r>
        <w:rPr>
          <w:rFonts w:hint="eastAsia"/>
          <w:color w:val="000000" w:themeColor="text1"/>
        </w:rPr>
        <w:t>（五）质保及运维服务</w:t>
      </w:r>
    </w:p>
    <w:p>
      <w:pPr>
        <w:ind w:firstLine="480"/>
        <w:rPr>
          <w:color w:val="000000" w:themeColor="text1"/>
        </w:rPr>
      </w:pPr>
      <w:r>
        <w:rPr>
          <w:rFonts w:hint="eastAsia"/>
          <w:color w:val="000000" w:themeColor="text1"/>
        </w:rPr>
        <w:t>1.质保期从最终验收合格之日开始计算,除非采购人另有要求，在</w:t>
      </w:r>
      <w:r>
        <w:rPr>
          <w:color w:val="000000" w:themeColor="text1"/>
        </w:rPr>
        <w:t>质保</w:t>
      </w:r>
      <w:r>
        <w:rPr>
          <w:rFonts w:hint="eastAsia"/>
          <w:color w:val="000000" w:themeColor="text1"/>
        </w:rPr>
        <w:t>期内的服务均为免费上门服务。</w:t>
      </w:r>
    </w:p>
    <w:p>
      <w:pPr>
        <w:ind w:firstLine="480"/>
        <w:rPr>
          <w:color w:val="000000" w:themeColor="text1"/>
        </w:rPr>
      </w:pPr>
      <w:r>
        <w:rPr>
          <w:rFonts w:hint="eastAsia"/>
          <w:color w:val="000000" w:themeColor="text1"/>
        </w:rPr>
        <w:t>2.服务保证：整体系统质保期（免费维修期）为五年，即其中产品、设备、软件（更新升级，须向采购人提供书面形式告知。）的原厂质保期不得少于五年。</w:t>
      </w:r>
    </w:p>
    <w:p>
      <w:pPr>
        <w:ind w:firstLine="480"/>
        <w:rPr>
          <w:color w:val="000000" w:themeColor="text1"/>
        </w:rPr>
      </w:pPr>
      <w:r>
        <w:rPr>
          <w:rFonts w:hint="eastAsia"/>
          <w:color w:val="000000" w:themeColor="text1"/>
        </w:rPr>
        <w:t>3.在质保期内，采购人有故障申报，供货方（或原厂商，须在投标文件中注明由谁提供该服务）须在半小时内电话响应并提供解决方案；若不能以电话方式解决故障，须在2小时内赶到现场12小时解决。若不能现场解决，须提供同等性能、同等配置的设备替换，以确保采购人的系统不中断运行或与采购人协商解决，逾期未解决问题的，每超过12个小时扣5000元，未能及时修复系统对公安工作造成重大影响的，每次扣20000元。</w:t>
      </w:r>
    </w:p>
    <w:p>
      <w:pPr>
        <w:ind w:firstLine="480"/>
        <w:rPr>
          <w:color w:val="000000" w:themeColor="text1"/>
        </w:rPr>
      </w:pPr>
      <w:r>
        <w:rPr>
          <w:rFonts w:hint="eastAsia"/>
          <w:color w:val="000000" w:themeColor="text1"/>
        </w:rPr>
        <w:t>4.质保期内，与维修相关的所有费用由投标人负责。</w:t>
      </w:r>
    </w:p>
    <w:p>
      <w:pPr>
        <w:ind w:firstLine="480"/>
        <w:rPr>
          <w:color w:val="000000" w:themeColor="text1"/>
        </w:rPr>
      </w:pPr>
      <w:r>
        <w:rPr>
          <w:rFonts w:hint="eastAsia"/>
          <w:color w:val="000000" w:themeColor="text1"/>
        </w:rPr>
        <w:t>5.运维服务目标</w:t>
      </w:r>
    </w:p>
    <w:p>
      <w:pPr>
        <w:ind w:firstLine="480"/>
        <w:rPr>
          <w:color w:val="000000" w:themeColor="text1"/>
        </w:rPr>
      </w:pPr>
      <w:r>
        <w:rPr>
          <w:rFonts w:hint="eastAsia"/>
          <w:color w:val="000000" w:themeColor="text1"/>
        </w:rPr>
        <w:t>确保系统正常运行，系统软件、硬件问题能够及时处理和解决。保证系统的正常稳定运行，不影响公安工作的正常开展。</w:t>
      </w:r>
    </w:p>
    <w:p>
      <w:pPr>
        <w:ind w:firstLine="480"/>
        <w:rPr>
          <w:color w:val="000000" w:themeColor="text1"/>
        </w:rPr>
      </w:pPr>
      <w:r>
        <w:rPr>
          <w:rFonts w:hint="eastAsia"/>
          <w:color w:val="000000" w:themeColor="text1"/>
        </w:rPr>
        <w:t>6.维保要求</w:t>
      </w:r>
    </w:p>
    <w:p>
      <w:pPr>
        <w:ind w:firstLine="480"/>
        <w:rPr>
          <w:color w:val="000000" w:themeColor="text1"/>
        </w:rPr>
      </w:pPr>
      <w:r>
        <w:rPr>
          <w:rFonts w:hint="eastAsia"/>
          <w:color w:val="000000" w:themeColor="text1"/>
        </w:rPr>
        <w:t>6.1 技术支持</w:t>
      </w:r>
    </w:p>
    <w:p>
      <w:pPr>
        <w:ind w:firstLine="480"/>
        <w:rPr>
          <w:color w:val="000000" w:themeColor="text1"/>
        </w:rPr>
      </w:pPr>
      <w:r>
        <w:rPr>
          <w:rFonts w:hint="eastAsia"/>
          <w:color w:val="000000" w:themeColor="text1"/>
        </w:rPr>
        <w:t>技术支持的方式包括：电话技术服务、现场技术服务、定期巡查服务、技术升级服务等；</w:t>
      </w:r>
    </w:p>
    <w:p>
      <w:pPr>
        <w:ind w:firstLine="480"/>
        <w:rPr>
          <w:color w:val="000000" w:themeColor="text1"/>
        </w:rPr>
      </w:pPr>
      <w:r>
        <w:rPr>
          <w:rFonts w:hint="eastAsia"/>
          <w:color w:val="000000" w:themeColor="text1"/>
        </w:rPr>
        <w:t>客户通过客服中心热线获得技术支持，协助解决问题；</w:t>
      </w:r>
    </w:p>
    <w:p>
      <w:pPr>
        <w:ind w:firstLine="480"/>
        <w:rPr>
          <w:color w:val="000000" w:themeColor="text1"/>
        </w:rPr>
      </w:pPr>
      <w:r>
        <w:rPr>
          <w:rFonts w:hint="eastAsia"/>
          <w:color w:val="000000" w:themeColor="text1"/>
        </w:rPr>
        <w:t>提供工程师现场技术支持服务，现场解决问题；</w:t>
      </w:r>
    </w:p>
    <w:p>
      <w:pPr>
        <w:ind w:firstLine="480"/>
        <w:rPr>
          <w:color w:val="000000" w:themeColor="text1"/>
        </w:rPr>
      </w:pPr>
      <w:r>
        <w:rPr>
          <w:rFonts w:hint="eastAsia"/>
          <w:color w:val="000000" w:themeColor="text1"/>
        </w:rPr>
        <w:t>因第三方网络、硬件和软件系统故障而造成系统运行故障的，承诺将全程协助客户解决故障直至系统恢复正常运行。</w:t>
      </w:r>
    </w:p>
    <w:p>
      <w:pPr>
        <w:ind w:firstLine="480"/>
        <w:rPr>
          <w:color w:val="000000" w:themeColor="text1"/>
        </w:rPr>
      </w:pPr>
      <w:r>
        <w:rPr>
          <w:rFonts w:hint="eastAsia"/>
          <w:color w:val="000000" w:themeColor="text1"/>
        </w:rPr>
        <w:t>6.2其他服务</w:t>
      </w:r>
    </w:p>
    <w:p>
      <w:pPr>
        <w:ind w:firstLine="480"/>
        <w:rPr>
          <w:color w:val="000000" w:themeColor="text1"/>
        </w:rPr>
      </w:pPr>
      <w:r>
        <w:rPr>
          <w:rFonts w:hint="eastAsia"/>
          <w:color w:val="000000" w:themeColor="text1"/>
        </w:rPr>
        <w:t>根据用户需求每月提供详细</w:t>
      </w:r>
      <w:r>
        <w:rPr>
          <w:color w:val="000000" w:themeColor="text1"/>
        </w:rPr>
        <w:t>完整的</w:t>
      </w:r>
      <w:r>
        <w:rPr>
          <w:rFonts w:hint="eastAsia"/>
          <w:color w:val="000000" w:themeColor="text1"/>
        </w:rPr>
        <w:t>系统维护的报告及</w:t>
      </w:r>
      <w:r>
        <w:rPr>
          <w:color w:val="000000" w:themeColor="text1"/>
        </w:rPr>
        <w:t>日常故障处理报告</w:t>
      </w:r>
      <w:r>
        <w:rPr>
          <w:rFonts w:hint="eastAsia"/>
          <w:color w:val="000000" w:themeColor="text1"/>
        </w:rPr>
        <w:t>报告；</w:t>
      </w:r>
    </w:p>
    <w:p>
      <w:pPr>
        <w:ind w:firstLine="480"/>
        <w:rPr>
          <w:color w:val="000000" w:themeColor="text1"/>
        </w:rPr>
      </w:pPr>
      <w:r>
        <w:rPr>
          <w:rFonts w:hint="eastAsia"/>
          <w:color w:val="000000" w:themeColor="text1"/>
        </w:rPr>
        <w:t>根据用户需求提供每年不少于两次的系统运行维护、相关专业技术培训。</w:t>
      </w:r>
    </w:p>
    <w:p>
      <w:pPr>
        <w:ind w:firstLine="480"/>
        <w:rPr>
          <w:color w:val="000000" w:themeColor="text1"/>
        </w:rPr>
      </w:pPr>
      <w:r>
        <w:rPr>
          <w:rFonts w:hint="eastAsia"/>
          <w:color w:val="000000" w:themeColor="text1"/>
        </w:rPr>
        <w:t>根据用户指定</w:t>
      </w:r>
      <w:r>
        <w:rPr>
          <w:color w:val="000000" w:themeColor="text1"/>
        </w:rPr>
        <w:t>时间巡检</w:t>
      </w:r>
      <w:r>
        <w:rPr>
          <w:rFonts w:hint="eastAsia"/>
          <w:color w:val="000000" w:themeColor="text1"/>
        </w:rPr>
        <w:t>。</w:t>
      </w:r>
    </w:p>
    <w:p>
      <w:pPr>
        <w:pStyle w:val="4"/>
        <w:ind w:firstLine="562"/>
        <w:rPr>
          <w:color w:val="000000" w:themeColor="text1"/>
        </w:rPr>
      </w:pPr>
      <w:bookmarkStart w:id="524" w:name="_Toc8760739"/>
      <w:r>
        <w:rPr>
          <w:rFonts w:hint="eastAsia" w:ascii="黑体"/>
          <w:bCs w:val="0"/>
          <w:color w:val="000000" w:themeColor="text1"/>
          <w:szCs w:val="24"/>
        </w:rPr>
        <w:t>（六）</w:t>
      </w:r>
      <w:r>
        <w:rPr>
          <w:rFonts w:hint="eastAsia" w:cs="宋体"/>
          <w:color w:val="000000" w:themeColor="text1"/>
        </w:rPr>
        <w:t>项目实施</w:t>
      </w:r>
      <w:r>
        <w:rPr>
          <w:rFonts w:cs="宋体"/>
          <w:color w:val="000000" w:themeColor="text1"/>
        </w:rPr>
        <w:t>的</w:t>
      </w:r>
      <w:r>
        <w:rPr>
          <w:rFonts w:hint="eastAsia" w:cs="宋体"/>
          <w:color w:val="000000" w:themeColor="text1"/>
        </w:rPr>
        <w:t>总</w:t>
      </w:r>
      <w:r>
        <w:rPr>
          <w:rFonts w:cs="宋体"/>
          <w:color w:val="000000" w:themeColor="text1"/>
        </w:rPr>
        <w:t>负责人</w:t>
      </w:r>
      <w:r>
        <w:rPr>
          <w:rFonts w:hint="eastAsia" w:cs="宋体"/>
          <w:color w:val="000000" w:themeColor="text1"/>
        </w:rPr>
        <w:t>、</w:t>
      </w:r>
      <w:r>
        <w:rPr>
          <w:rFonts w:hint="eastAsia"/>
          <w:color w:val="000000" w:themeColor="text1"/>
        </w:rPr>
        <w:t>后端维护项目经理</w:t>
      </w:r>
      <w:bookmarkEnd w:id="524"/>
    </w:p>
    <w:p>
      <w:pPr>
        <w:ind w:firstLine="480"/>
        <w:rPr>
          <w:color w:val="000000" w:themeColor="text1"/>
        </w:rPr>
      </w:pPr>
      <w:r>
        <w:rPr>
          <w:rFonts w:hint="eastAsia"/>
          <w:color w:val="000000" w:themeColor="text1"/>
        </w:rPr>
        <w:t>拟派</w:t>
      </w:r>
      <w:r>
        <w:rPr>
          <w:color w:val="000000" w:themeColor="text1"/>
        </w:rPr>
        <w:t>项目实施总负责人</w:t>
      </w:r>
      <w:r>
        <w:rPr>
          <w:rFonts w:hint="eastAsia"/>
          <w:color w:val="000000" w:themeColor="text1"/>
        </w:rPr>
        <w:t>及</w:t>
      </w:r>
      <w:r>
        <w:rPr>
          <w:color w:val="000000" w:themeColor="text1"/>
        </w:rPr>
        <w:t>后端维护项目经理不得更换</w:t>
      </w:r>
      <w:r>
        <w:rPr>
          <w:rFonts w:hint="eastAsia"/>
          <w:color w:val="000000" w:themeColor="text1"/>
        </w:rPr>
        <w:t>。</w:t>
      </w:r>
    </w:p>
    <w:p>
      <w:pPr>
        <w:pStyle w:val="4"/>
        <w:ind w:firstLine="562"/>
        <w:rPr>
          <w:color w:val="000000" w:themeColor="text1"/>
        </w:rPr>
      </w:pPr>
      <w:bookmarkStart w:id="525" w:name="_Toc8760740"/>
      <w:r>
        <w:rPr>
          <w:rFonts w:hint="eastAsia"/>
          <w:color w:val="000000" w:themeColor="text1"/>
        </w:rPr>
        <w:t>（七）安装要求</w:t>
      </w:r>
      <w:bookmarkEnd w:id="525"/>
    </w:p>
    <w:p>
      <w:pPr>
        <w:ind w:firstLine="480"/>
        <w:rPr>
          <w:color w:val="000000" w:themeColor="text1"/>
        </w:rPr>
      </w:pPr>
      <w:r>
        <w:rPr>
          <w:rFonts w:hint="eastAsia"/>
          <w:color w:val="000000" w:themeColor="text1"/>
        </w:rPr>
        <w:t>★中标</w:t>
      </w:r>
      <w:r>
        <w:rPr>
          <w:color w:val="000000" w:themeColor="text1"/>
        </w:rPr>
        <w:t>方</w:t>
      </w:r>
      <w:r>
        <w:rPr>
          <w:rFonts w:hint="eastAsia"/>
          <w:color w:val="000000" w:themeColor="text1"/>
        </w:rPr>
        <w:t>须保证采购人本次采购所有软硬件设备及</w:t>
      </w:r>
      <w:r>
        <w:rPr>
          <w:color w:val="000000" w:themeColor="text1"/>
        </w:rPr>
        <w:t>系统稳定运行</w:t>
      </w:r>
      <w:r>
        <w:rPr>
          <w:rFonts w:hint="eastAsia"/>
          <w:color w:val="000000" w:themeColor="text1"/>
        </w:rPr>
        <w:t>、稳定连接，达到项目</w:t>
      </w:r>
      <w:r>
        <w:rPr>
          <w:color w:val="000000" w:themeColor="text1"/>
        </w:rPr>
        <w:t>功能及性能要求</w:t>
      </w:r>
      <w:r>
        <w:rPr>
          <w:rFonts w:hint="eastAsia"/>
          <w:color w:val="000000" w:themeColor="text1"/>
        </w:rPr>
        <w:t>，并完成必需的集成工作，承担全部工作责任。</w:t>
      </w:r>
    </w:p>
    <w:p>
      <w:pPr>
        <w:ind w:firstLine="480"/>
        <w:rPr>
          <w:rFonts w:ascii="宋体" w:hAnsi="宋体"/>
          <w:color w:val="000000" w:themeColor="text1"/>
        </w:rPr>
      </w:pPr>
    </w:p>
    <w:p>
      <w:pPr>
        <w:pStyle w:val="4"/>
        <w:ind w:firstLine="562"/>
        <w:rPr>
          <w:color w:val="000000" w:themeColor="text1"/>
        </w:rPr>
      </w:pPr>
      <w:bookmarkStart w:id="526" w:name="_Toc8760741"/>
      <w:r>
        <w:rPr>
          <w:rFonts w:hint="eastAsia"/>
          <w:color w:val="000000" w:themeColor="text1"/>
        </w:rPr>
        <w:t>（八）验收标准及要求</w:t>
      </w:r>
      <w:bookmarkEnd w:id="526"/>
    </w:p>
    <w:p>
      <w:pPr>
        <w:ind w:firstLine="480"/>
        <w:rPr>
          <w:color w:val="000000" w:themeColor="text1"/>
        </w:rPr>
      </w:pPr>
      <w:r>
        <w:rPr>
          <w:rFonts w:hint="eastAsia"/>
          <w:color w:val="000000" w:themeColor="text1"/>
        </w:rPr>
        <w:t>根据中华人民共和国现行技术标准，按招标文件以及合同规定的验收评定标准等规范，由采购人组织验收。</w:t>
      </w:r>
    </w:p>
    <w:p>
      <w:pPr>
        <w:ind w:firstLine="480"/>
        <w:rPr>
          <w:color w:val="000000" w:themeColor="text1"/>
        </w:rPr>
      </w:pPr>
      <w:r>
        <w:rPr>
          <w:color w:val="000000" w:themeColor="text1"/>
        </w:rPr>
        <w:t>1.</w:t>
      </w:r>
      <w:r>
        <w:rPr>
          <w:rFonts w:hint="eastAsia"/>
          <w:color w:val="000000" w:themeColor="text1"/>
        </w:rPr>
        <w:t>设备安装调试完毕，并与所有设备稳定连接、集成完毕后，投标人需按照</w:t>
      </w:r>
      <w:r>
        <w:rPr>
          <w:color w:val="000000" w:themeColor="text1"/>
        </w:rPr>
        <w:t>招标要求及投标承诺整</w:t>
      </w:r>
      <w:r>
        <w:rPr>
          <w:rFonts w:hint="eastAsia"/>
          <w:color w:val="000000" w:themeColor="text1"/>
        </w:rPr>
        <w:t>理</w:t>
      </w:r>
      <w:r>
        <w:rPr>
          <w:color w:val="000000" w:themeColor="text1"/>
        </w:rPr>
        <w:t>形成验收材料</w:t>
      </w:r>
      <w:r>
        <w:rPr>
          <w:rFonts w:hint="eastAsia"/>
          <w:color w:val="000000" w:themeColor="text1"/>
        </w:rPr>
        <w:t>，由采购人组织</w:t>
      </w:r>
      <w:r>
        <w:rPr>
          <w:color w:val="000000" w:themeColor="text1"/>
        </w:rPr>
        <w:t>初步验收</w:t>
      </w:r>
      <w:r>
        <w:rPr>
          <w:rFonts w:hint="eastAsia"/>
          <w:color w:val="000000" w:themeColor="text1"/>
        </w:rPr>
        <w:t>，通过</w:t>
      </w:r>
      <w:r>
        <w:rPr>
          <w:color w:val="000000" w:themeColor="text1"/>
        </w:rPr>
        <w:t>后投入试运行。</w:t>
      </w:r>
      <w:r>
        <w:rPr>
          <w:rFonts w:hint="eastAsia"/>
          <w:color w:val="000000" w:themeColor="text1"/>
        </w:rPr>
        <w:t>中标人必须按照</w:t>
      </w:r>
      <w:r>
        <w:rPr>
          <w:color w:val="000000" w:themeColor="text1"/>
        </w:rPr>
        <w:t>初验</w:t>
      </w:r>
      <w:r>
        <w:rPr>
          <w:rFonts w:hint="eastAsia"/>
          <w:color w:val="000000" w:themeColor="text1"/>
        </w:rPr>
        <w:t>中</w:t>
      </w:r>
      <w:r>
        <w:rPr>
          <w:color w:val="000000" w:themeColor="text1"/>
        </w:rPr>
        <w:t>所发现的问题进行整改</w:t>
      </w:r>
      <w:r>
        <w:rPr>
          <w:rFonts w:hint="eastAsia"/>
          <w:color w:val="000000" w:themeColor="text1"/>
        </w:rPr>
        <w:t>并</w:t>
      </w:r>
      <w:r>
        <w:rPr>
          <w:color w:val="000000" w:themeColor="text1"/>
        </w:rPr>
        <w:t>完善</w:t>
      </w:r>
      <w:r>
        <w:rPr>
          <w:rFonts w:hint="eastAsia"/>
          <w:color w:val="000000" w:themeColor="text1"/>
        </w:rPr>
        <w:t>验收</w:t>
      </w:r>
      <w:r>
        <w:rPr>
          <w:color w:val="000000" w:themeColor="text1"/>
        </w:rPr>
        <w:t>材料</w:t>
      </w:r>
      <w:r>
        <w:rPr>
          <w:rFonts w:hint="eastAsia"/>
          <w:color w:val="000000" w:themeColor="text1"/>
        </w:rPr>
        <w:t>。初验时，投标人必须取得关键设备（列明设备型号、序列号、数量、配置）原厂质保确认函，提供不出不予验收。</w:t>
      </w:r>
    </w:p>
    <w:p>
      <w:pPr>
        <w:ind w:firstLine="480"/>
        <w:rPr>
          <w:color w:val="000000" w:themeColor="text1"/>
        </w:rPr>
      </w:pPr>
      <w:r>
        <w:rPr>
          <w:color w:val="000000" w:themeColor="text1"/>
        </w:rPr>
        <w:t>2.</w:t>
      </w:r>
      <w:r>
        <w:rPr>
          <w:rFonts w:hint="eastAsia"/>
          <w:color w:val="000000" w:themeColor="text1"/>
        </w:rPr>
        <w:t>经试运行</w:t>
      </w:r>
      <w:r>
        <w:rPr>
          <w:color w:val="000000" w:themeColor="text1"/>
        </w:rPr>
        <w:t>，</w:t>
      </w:r>
      <w:r>
        <w:rPr>
          <w:rFonts w:hint="eastAsia"/>
          <w:color w:val="000000" w:themeColor="text1"/>
        </w:rPr>
        <w:t>并整改</w:t>
      </w:r>
      <w:r>
        <w:rPr>
          <w:color w:val="000000" w:themeColor="text1"/>
        </w:rPr>
        <w:t>完善</w:t>
      </w:r>
      <w:r>
        <w:rPr>
          <w:rFonts w:hint="eastAsia"/>
          <w:color w:val="000000" w:themeColor="text1"/>
        </w:rPr>
        <w:t>初</w:t>
      </w:r>
      <w:r>
        <w:rPr>
          <w:color w:val="000000" w:themeColor="text1"/>
        </w:rPr>
        <w:t>验</w:t>
      </w:r>
      <w:r>
        <w:rPr>
          <w:rFonts w:hint="eastAsia"/>
          <w:color w:val="000000" w:themeColor="text1"/>
        </w:rPr>
        <w:t>中</w:t>
      </w:r>
      <w:r>
        <w:rPr>
          <w:color w:val="000000" w:themeColor="text1"/>
        </w:rPr>
        <w:t>的相关问题</w:t>
      </w:r>
      <w:r>
        <w:rPr>
          <w:rFonts w:hint="eastAsia"/>
          <w:color w:val="000000" w:themeColor="text1"/>
        </w:rPr>
        <w:t>后</w:t>
      </w:r>
      <w:r>
        <w:rPr>
          <w:color w:val="000000" w:themeColor="text1"/>
        </w:rPr>
        <w:t>，</w:t>
      </w:r>
      <w:r>
        <w:rPr>
          <w:rFonts w:hint="eastAsia"/>
          <w:color w:val="000000" w:themeColor="text1"/>
        </w:rPr>
        <w:t>由采购人组织专家进行最终验收。</w:t>
      </w:r>
    </w:p>
    <w:p>
      <w:pPr>
        <w:ind w:firstLine="480"/>
        <w:rPr>
          <w:color w:val="000000" w:themeColor="text1"/>
        </w:rPr>
      </w:pPr>
      <w:r>
        <w:rPr>
          <w:rFonts w:hint="eastAsia"/>
          <w:color w:val="000000" w:themeColor="text1"/>
        </w:rPr>
        <w:t>3</w:t>
      </w:r>
      <w:r>
        <w:rPr>
          <w:color w:val="000000" w:themeColor="text1"/>
        </w:rPr>
        <w:t>.</w:t>
      </w:r>
      <w:r>
        <w:rPr>
          <w:rFonts w:hint="eastAsia"/>
          <w:color w:val="000000" w:themeColor="text1"/>
        </w:rPr>
        <w:t>投标人向采购人提供施工过程中形成的图纸、记录、档案资料、产品说明书、原厂家安装手册、技术文件资料、安装、验收报告等原件文档汇集成册（含电子版一套），并按采购人的档案管理要求完成资料归档工作，报送招标单位留存。</w:t>
      </w:r>
    </w:p>
    <w:p>
      <w:pPr>
        <w:pStyle w:val="4"/>
        <w:ind w:firstLine="562"/>
        <w:rPr>
          <w:color w:val="000000" w:themeColor="text1"/>
        </w:rPr>
      </w:pPr>
      <w:bookmarkStart w:id="527" w:name="_Toc8760742"/>
      <w:r>
        <w:rPr>
          <w:rFonts w:hint="eastAsia"/>
          <w:color w:val="000000" w:themeColor="text1"/>
        </w:rPr>
        <w:t>（九）违约责任</w:t>
      </w:r>
      <w:bookmarkEnd w:id="527"/>
    </w:p>
    <w:p>
      <w:pPr>
        <w:ind w:firstLine="480"/>
        <w:rPr>
          <w:color w:val="000000" w:themeColor="text1"/>
        </w:rPr>
      </w:pPr>
      <w:r>
        <w:rPr>
          <w:rFonts w:hint="eastAsia"/>
          <w:color w:val="000000" w:themeColor="text1"/>
        </w:rPr>
        <w:t>投标人必须保证投标的全部设备材料技术性能完全符合招标文件中的基本配置及基本技术要求，保证在投标文件中说明的投标产品技术指标、产品资料、按照招标文件要求提供的案例、服务承诺、实施方案等是真实的。一旦在设备到货后或者实施使用中发现产品品牌型号、技术指标、产品资料、服务承诺、实施方案等与标书中说明不符或安装调试中达不到采购人集成要求，影响采购人按期正常应用，无条件同意</w:t>
      </w:r>
      <w:r>
        <w:rPr>
          <w:rFonts w:hint="eastAsia" w:cs="Arial"/>
          <w:color w:val="000000" w:themeColor="text1"/>
        </w:rPr>
        <w:t>由采购单位建议的品牌或采购单位组织的专家组推荐品牌中进行替换，且工期要求和合同价不变。如投标人涉嫌故意提供与</w:t>
      </w:r>
      <w:r>
        <w:rPr>
          <w:rFonts w:hint="eastAsia"/>
          <w:color w:val="000000" w:themeColor="text1"/>
        </w:rPr>
        <w:t>投标文件产品品牌型号、技术指标不符行为的，除处以相关产品投标报价二倍的罚款直至没收履约保证金的处罚外，采购人</w:t>
      </w:r>
      <w:r>
        <w:rPr>
          <w:rFonts w:hint="eastAsia" w:cs="Arial"/>
          <w:color w:val="000000" w:themeColor="text1"/>
        </w:rPr>
        <w:t>保留进一步追究经济赔偿、终止合同和追究相应的法律责任的权利。</w:t>
      </w:r>
    </w:p>
    <w:p>
      <w:pPr>
        <w:ind w:firstLine="480"/>
        <w:rPr>
          <w:rFonts w:cs="Arial"/>
          <w:color w:val="000000" w:themeColor="text1"/>
        </w:rPr>
      </w:pPr>
      <w:r>
        <w:rPr>
          <w:rFonts w:hint="eastAsia" w:cs="Arial"/>
          <w:color w:val="000000" w:themeColor="text1"/>
        </w:rPr>
        <w:t>除不可抗力事件和采购人的原因外，中标人逾期完成安装调试和初步验收，中标人应按逾期合同总额每日万分之一向采购人支付违约金，由采购人从待付合同款中扣除。逾期超过约定日期</w:t>
      </w:r>
      <w:r>
        <w:rPr>
          <w:rFonts w:cs="Arial"/>
          <w:color w:val="000000" w:themeColor="text1"/>
        </w:rPr>
        <w:t>3</w:t>
      </w:r>
      <w:r>
        <w:rPr>
          <w:rFonts w:hint="eastAsia" w:cs="Arial"/>
          <w:color w:val="000000" w:themeColor="text1"/>
        </w:rPr>
        <w:t>0个工作日不能完成安装调试和初步验收的，采购人可解除本合同。中标人因逾期或其他违约行为导致采购人解除合同的，应向采购人支付合同总额5%的违约金，如造成采购人损失超过违约金的，超出部分由中标人继续承担赔偿责任。</w:t>
      </w:r>
    </w:p>
    <w:p>
      <w:pPr>
        <w:pStyle w:val="4"/>
        <w:ind w:firstLine="562"/>
        <w:rPr>
          <w:color w:val="000000" w:themeColor="text1"/>
        </w:rPr>
      </w:pPr>
      <w:bookmarkStart w:id="528" w:name="_Toc8760743"/>
      <w:r>
        <w:rPr>
          <w:rFonts w:hint="eastAsia"/>
          <w:color w:val="000000" w:themeColor="text1"/>
        </w:rPr>
        <w:t>（十）付款方式</w:t>
      </w:r>
      <w:bookmarkEnd w:id="528"/>
    </w:p>
    <w:p>
      <w:pPr>
        <w:ind w:firstLine="480"/>
        <w:rPr>
          <w:color w:val="000000" w:themeColor="text1"/>
        </w:rPr>
      </w:pPr>
      <w:r>
        <w:rPr>
          <w:rFonts w:hint="eastAsia"/>
          <w:color w:val="000000" w:themeColor="text1"/>
        </w:rPr>
        <w:t>合同</w:t>
      </w:r>
      <w:r>
        <w:rPr>
          <w:color w:val="000000" w:themeColor="text1"/>
        </w:rPr>
        <w:t>签订</w:t>
      </w:r>
      <w:r>
        <w:rPr>
          <w:rFonts w:hint="eastAsia"/>
          <w:color w:val="000000" w:themeColor="text1"/>
        </w:rPr>
        <w:t>前</w:t>
      </w:r>
      <w:r>
        <w:rPr>
          <w:color w:val="000000" w:themeColor="text1"/>
        </w:rPr>
        <w:t>，</w:t>
      </w:r>
      <w:r>
        <w:rPr>
          <w:rFonts w:hint="eastAsia"/>
          <w:color w:val="000000" w:themeColor="text1"/>
        </w:rPr>
        <w:t>中标</w:t>
      </w:r>
      <w:r>
        <w:rPr>
          <w:color w:val="000000" w:themeColor="text1"/>
        </w:rPr>
        <w:t>人向采购人</w:t>
      </w:r>
      <w:r>
        <w:rPr>
          <w:rFonts w:hint="eastAsia"/>
          <w:color w:val="000000" w:themeColor="text1"/>
        </w:rPr>
        <w:t>缴纳合同</w:t>
      </w:r>
      <w:r>
        <w:rPr>
          <w:color w:val="000000" w:themeColor="text1"/>
        </w:rPr>
        <w:t>金额</w:t>
      </w:r>
      <w:r>
        <w:rPr>
          <w:rFonts w:hint="eastAsia"/>
          <w:color w:val="000000" w:themeColor="text1"/>
        </w:rPr>
        <w:t>10</w:t>
      </w:r>
      <w:r>
        <w:rPr>
          <w:color w:val="000000" w:themeColor="text1"/>
        </w:rPr>
        <w:t>%</w:t>
      </w:r>
      <w:r>
        <w:rPr>
          <w:rFonts w:hint="eastAsia"/>
          <w:color w:val="000000" w:themeColor="text1"/>
        </w:rPr>
        <w:t>的履约</w:t>
      </w:r>
      <w:r>
        <w:rPr>
          <w:color w:val="000000" w:themeColor="text1"/>
        </w:rPr>
        <w:t>保证金。</w:t>
      </w:r>
      <w:r>
        <w:rPr>
          <w:rFonts w:hint="eastAsia"/>
          <w:color w:val="000000" w:themeColor="text1"/>
        </w:rPr>
        <w:t>合同签订后，支付合同总额的</w:t>
      </w:r>
      <w:r>
        <w:rPr>
          <w:color w:val="000000" w:themeColor="text1"/>
        </w:rPr>
        <w:t>20%；主要设备运到指定地点，经采购人签收确认后，支付合同总额的20%；完成本项目所要求的全部安装调试并与所有设备稳定连接、集成完毕，经采购人初验通过后支付合同总额的20%；经采购人终验且审计后支付至审定额的80%</w:t>
      </w:r>
      <w:r>
        <w:rPr>
          <w:rFonts w:hint="eastAsia"/>
          <w:color w:val="000000" w:themeColor="text1"/>
        </w:rPr>
        <w:t>，</w:t>
      </w:r>
      <w:r>
        <w:rPr>
          <w:color w:val="000000" w:themeColor="text1"/>
        </w:rPr>
        <w:t>剩余款项按</w:t>
      </w:r>
      <w:r>
        <w:rPr>
          <w:rFonts w:hint="eastAsia"/>
          <w:color w:val="000000" w:themeColor="text1"/>
        </w:rPr>
        <w:t>每年4</w:t>
      </w:r>
      <w:r>
        <w:rPr>
          <w:color w:val="000000" w:themeColor="text1"/>
        </w:rPr>
        <w:t>%进行</w:t>
      </w:r>
      <w:r>
        <w:rPr>
          <w:rFonts w:hint="eastAsia"/>
          <w:color w:val="000000" w:themeColor="text1"/>
        </w:rPr>
        <w:t>支付</w:t>
      </w:r>
      <w:r>
        <w:rPr>
          <w:color w:val="000000" w:themeColor="text1"/>
        </w:rPr>
        <w:t>。</w:t>
      </w:r>
      <w:r>
        <w:rPr>
          <w:rFonts w:hint="eastAsia"/>
          <w:color w:val="000000" w:themeColor="text1"/>
        </w:rPr>
        <w:t>终验合格后</w:t>
      </w:r>
      <w:r>
        <w:rPr>
          <w:color w:val="000000" w:themeColor="text1"/>
        </w:rPr>
        <w:t>履约保证金转为质保金</w:t>
      </w:r>
      <w:r>
        <w:rPr>
          <w:rFonts w:hint="eastAsia"/>
          <w:color w:val="000000" w:themeColor="text1"/>
        </w:rPr>
        <w:t>，</w:t>
      </w:r>
      <w:r>
        <w:rPr>
          <w:color w:val="000000" w:themeColor="text1"/>
        </w:rPr>
        <w:t>质保金于质保期满双方无异议后无息退还。</w:t>
      </w:r>
      <w:r>
        <w:rPr>
          <w:rFonts w:hint="eastAsia"/>
          <w:color w:val="000000" w:themeColor="text1"/>
        </w:rPr>
        <w:t>（各县（市、区）公安（分）局有特殊付款条件的，按各地的付款方式执行，金华市公安局不对县（市、区）公安（分）局的合同履行承担保证责任或共同责任。）</w:t>
      </w:r>
    </w:p>
    <w:p>
      <w:pPr>
        <w:rPr>
          <w:color w:val="000000" w:themeColor="text1"/>
        </w:rPr>
      </w:pPr>
    </w:p>
    <w:p>
      <w:pPr>
        <w:snapToGrid w:val="0"/>
        <w:rPr>
          <w:rFonts w:ascii="宋体" w:hAnsi="宋体"/>
          <w:b/>
          <w:color w:val="000000" w:themeColor="text1"/>
        </w:rPr>
      </w:pPr>
    </w:p>
    <w:p>
      <w:pPr>
        <w:spacing w:line="274" w:lineRule="exact"/>
        <w:ind w:right="-109" w:firstLine="480"/>
        <w:jc w:val="center"/>
        <w:rPr>
          <w:rFonts w:ascii="宋体" w:hAnsi="宋体"/>
          <w:color w:val="000000" w:themeColor="text1"/>
        </w:rPr>
      </w:pPr>
    </w:p>
    <w:p>
      <w:pPr>
        <w:spacing w:line="274" w:lineRule="exact"/>
        <w:ind w:right="-109" w:firstLine="480"/>
        <w:jc w:val="center"/>
        <w:rPr>
          <w:rFonts w:ascii="宋体" w:hAnsi="宋体"/>
          <w:color w:val="000000" w:themeColor="text1"/>
        </w:rPr>
      </w:pPr>
    </w:p>
    <w:p>
      <w:pPr>
        <w:spacing w:line="274" w:lineRule="exact"/>
        <w:ind w:right="-109" w:firstLine="480"/>
        <w:jc w:val="center"/>
        <w:rPr>
          <w:rFonts w:ascii="宋体" w:hAnsi="宋体"/>
          <w:color w:val="000000" w:themeColor="text1"/>
        </w:rPr>
      </w:pPr>
    </w:p>
    <w:p>
      <w:pPr>
        <w:rPr>
          <w:color w:val="000000" w:themeColor="text1"/>
        </w:rPr>
      </w:pPr>
    </w:p>
    <w:p>
      <w:pPr>
        <w:pStyle w:val="2"/>
        <w:jc w:val="center"/>
        <w:rPr>
          <w:rFonts w:ascii="黑体" w:hAnsi="宋体" w:eastAsia="黑体"/>
          <w:color w:val="000000" w:themeColor="text1"/>
          <w:sz w:val="30"/>
          <w:szCs w:val="30"/>
        </w:rPr>
      </w:pPr>
      <w:r>
        <w:rPr>
          <w:rFonts w:hint="eastAsia" w:ascii="黑体" w:hAnsi="宋体" w:eastAsia="黑体"/>
          <w:color w:val="000000" w:themeColor="text1"/>
          <w:sz w:val="30"/>
          <w:szCs w:val="30"/>
        </w:rPr>
        <w:t>第三章  投标人须知</w:t>
      </w:r>
    </w:p>
    <w:p>
      <w:pPr>
        <w:snapToGrid w:val="0"/>
        <w:spacing w:beforeLines="50" w:afterLines="50"/>
        <w:ind w:left="238"/>
        <w:jc w:val="center"/>
        <w:outlineLvl w:val="1"/>
        <w:rPr>
          <w:rFonts w:ascii="宋体" w:hAnsi="宋体"/>
          <w:b/>
          <w:color w:val="000000" w:themeColor="text1"/>
          <w:sz w:val="24"/>
        </w:rPr>
      </w:pPr>
      <w:r>
        <w:rPr>
          <w:rFonts w:hint="eastAsia" w:ascii="宋体" w:hAnsi="宋体"/>
          <w:b/>
          <w:color w:val="000000" w:themeColor="text1"/>
          <w:sz w:val="24"/>
        </w:rPr>
        <w:t>前附表</w:t>
      </w:r>
    </w:p>
    <w:tbl>
      <w:tblPr>
        <w:tblStyle w:val="53"/>
        <w:tblW w:w="856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7"/>
        <w:gridCol w:w="775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09" w:hRule="atLeast"/>
        </w:trPr>
        <w:tc>
          <w:tcPr>
            <w:tcW w:w="81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olor w:val="000000" w:themeColor="text1"/>
                <w:sz w:val="24"/>
                <w:szCs w:val="20"/>
              </w:rPr>
            </w:pPr>
            <w:r>
              <w:rPr>
                <w:rFonts w:hint="eastAsia" w:ascii="宋体" w:hAnsi="宋体"/>
                <w:color w:val="000000" w:themeColor="text1"/>
                <w:sz w:val="24"/>
              </w:rPr>
              <w:t>序号</w:t>
            </w:r>
          </w:p>
        </w:tc>
        <w:tc>
          <w:tcPr>
            <w:tcW w:w="775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olor w:val="000000" w:themeColor="text1"/>
                <w:sz w:val="24"/>
                <w:szCs w:val="20"/>
              </w:rPr>
            </w:pPr>
            <w:r>
              <w:rPr>
                <w:rFonts w:hint="eastAsia" w:ascii="宋体" w:hAnsi="宋体"/>
                <w:color w:val="000000" w:themeColor="text1"/>
                <w:sz w:val="24"/>
              </w:rPr>
              <w:t>内容、要求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90" w:hRule="atLeast"/>
        </w:trPr>
        <w:tc>
          <w:tcPr>
            <w:tcW w:w="81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olor w:val="000000" w:themeColor="text1"/>
                <w:sz w:val="24"/>
                <w:szCs w:val="20"/>
              </w:rPr>
            </w:pPr>
            <w:r>
              <w:rPr>
                <w:rFonts w:ascii="宋体" w:hAnsi="宋体"/>
                <w:color w:val="000000" w:themeColor="text1"/>
                <w:sz w:val="24"/>
              </w:rPr>
              <w:t>1</w:t>
            </w:r>
          </w:p>
        </w:tc>
        <w:tc>
          <w:tcPr>
            <w:tcW w:w="7751" w:type="dxa"/>
            <w:tcBorders>
              <w:top w:val="single" w:color="auto" w:sz="4" w:space="0"/>
              <w:left w:val="single" w:color="auto" w:sz="4" w:space="0"/>
              <w:bottom w:val="single" w:color="auto" w:sz="4" w:space="0"/>
              <w:right w:val="single" w:color="auto" w:sz="4" w:space="0"/>
            </w:tcBorders>
            <w:vAlign w:val="center"/>
          </w:tcPr>
          <w:p>
            <w:pPr>
              <w:snapToGrid w:val="0"/>
              <w:rPr>
                <w:rFonts w:ascii="宋体" w:hAnsi="宋体"/>
                <w:color w:val="000000" w:themeColor="text1"/>
                <w:sz w:val="24"/>
                <w:szCs w:val="20"/>
              </w:rPr>
            </w:pPr>
            <w:r>
              <w:rPr>
                <w:rFonts w:hint="eastAsia" w:ascii="宋体" w:hAnsi="宋体"/>
                <w:color w:val="000000" w:themeColor="text1"/>
                <w:sz w:val="24"/>
              </w:rPr>
              <w:t>项目名称：</w:t>
            </w:r>
            <w:r>
              <w:rPr>
                <w:rFonts w:hint="eastAsia" w:ascii="宋体" w:hAnsi="宋体"/>
                <w:b/>
                <w:color w:val="000000" w:themeColor="text1"/>
                <w:sz w:val="24"/>
              </w:rPr>
              <w:t>金华市公共安全视频监控建设联网应用项目（雪亮工程）后端建设部分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3" w:hRule="atLeast"/>
        </w:trPr>
        <w:tc>
          <w:tcPr>
            <w:tcW w:w="81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olor w:val="000000" w:themeColor="text1"/>
                <w:sz w:val="24"/>
                <w:szCs w:val="20"/>
              </w:rPr>
            </w:pPr>
            <w:r>
              <w:rPr>
                <w:rFonts w:ascii="宋体" w:hAnsi="宋体"/>
                <w:color w:val="000000" w:themeColor="text1"/>
                <w:sz w:val="24"/>
              </w:rPr>
              <w:t>2</w:t>
            </w:r>
          </w:p>
        </w:tc>
        <w:tc>
          <w:tcPr>
            <w:tcW w:w="7751" w:type="dxa"/>
            <w:tcBorders>
              <w:top w:val="single" w:color="auto" w:sz="4" w:space="0"/>
              <w:left w:val="single" w:color="auto" w:sz="4" w:space="0"/>
              <w:bottom w:val="single" w:color="auto" w:sz="4" w:space="0"/>
              <w:right w:val="single" w:color="auto" w:sz="4" w:space="0"/>
            </w:tcBorders>
            <w:vAlign w:val="center"/>
          </w:tcPr>
          <w:p>
            <w:pPr>
              <w:snapToGrid w:val="0"/>
              <w:rPr>
                <w:rFonts w:ascii="宋体" w:hAnsi="宋体"/>
                <w:color w:val="000000" w:themeColor="text1"/>
                <w:sz w:val="24"/>
                <w:szCs w:val="20"/>
              </w:rPr>
            </w:pPr>
            <w:r>
              <w:rPr>
                <w:rFonts w:hint="eastAsia" w:ascii="宋体" w:hAnsi="宋体"/>
                <w:color w:val="000000" w:themeColor="text1"/>
                <w:sz w:val="24"/>
              </w:rPr>
              <w:t>采购数量及单位：具体见</w:t>
            </w:r>
            <w:r>
              <w:rPr>
                <w:rFonts w:hint="eastAsia" w:ascii="宋体" w:hAnsi="宋体"/>
                <w:b/>
                <w:color w:val="000000" w:themeColor="text1"/>
                <w:sz w:val="24"/>
              </w:rPr>
              <w:t>第二章 采购需求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40" w:hRule="atLeast"/>
        </w:trPr>
        <w:tc>
          <w:tcPr>
            <w:tcW w:w="81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olor w:val="000000" w:themeColor="text1"/>
                <w:sz w:val="24"/>
                <w:szCs w:val="20"/>
              </w:rPr>
            </w:pPr>
            <w:r>
              <w:rPr>
                <w:rFonts w:ascii="宋体" w:hAnsi="宋体"/>
                <w:color w:val="000000" w:themeColor="text1"/>
                <w:sz w:val="24"/>
              </w:rPr>
              <w:t>3</w:t>
            </w:r>
          </w:p>
        </w:tc>
        <w:tc>
          <w:tcPr>
            <w:tcW w:w="7751" w:type="dxa"/>
            <w:tcBorders>
              <w:top w:val="single" w:color="auto" w:sz="4" w:space="0"/>
              <w:left w:val="single" w:color="auto" w:sz="4" w:space="0"/>
              <w:bottom w:val="single" w:color="auto" w:sz="4" w:space="0"/>
              <w:right w:val="single" w:color="auto" w:sz="4" w:space="0"/>
            </w:tcBorders>
            <w:vAlign w:val="center"/>
          </w:tcPr>
          <w:p>
            <w:pPr>
              <w:snapToGrid w:val="0"/>
              <w:rPr>
                <w:rFonts w:ascii="宋体" w:hAnsi="宋体"/>
                <w:color w:val="000000" w:themeColor="text1"/>
                <w:sz w:val="24"/>
                <w:szCs w:val="20"/>
              </w:rPr>
            </w:pPr>
            <w:r>
              <w:rPr>
                <w:rFonts w:hint="eastAsia" w:ascii="宋体" w:hAnsi="宋体"/>
                <w:color w:val="000000" w:themeColor="text1"/>
                <w:sz w:val="24"/>
              </w:rPr>
              <w:t>投标报价及费用：</w:t>
            </w:r>
            <w:r>
              <w:rPr>
                <w:rFonts w:ascii="宋体" w:hAnsi="宋体"/>
                <w:color w:val="000000" w:themeColor="text1"/>
                <w:sz w:val="24"/>
              </w:rPr>
              <w:t>1</w:t>
            </w:r>
            <w:r>
              <w:rPr>
                <w:rFonts w:hint="eastAsia" w:ascii="宋体" w:hAnsi="宋体"/>
                <w:color w:val="000000" w:themeColor="text1"/>
                <w:sz w:val="24"/>
              </w:rPr>
              <w:t>、本项目投标应以人民币报价；</w:t>
            </w:r>
            <w:r>
              <w:rPr>
                <w:rFonts w:ascii="宋体" w:hAnsi="宋体"/>
                <w:color w:val="000000" w:themeColor="text1"/>
                <w:sz w:val="24"/>
              </w:rPr>
              <w:t>2</w:t>
            </w:r>
            <w:r>
              <w:rPr>
                <w:rFonts w:hint="eastAsia" w:ascii="宋体" w:hAnsi="宋体"/>
                <w:color w:val="000000" w:themeColor="text1"/>
                <w:sz w:val="24"/>
              </w:rPr>
              <w:t>、不论投标结果如何，投标人均应自行承担所有与投标有关的全部费用；</w:t>
            </w:r>
            <w:r>
              <w:rPr>
                <w:rFonts w:ascii="宋体" w:hAnsi="宋体"/>
                <w:color w:val="000000" w:themeColor="text1"/>
                <w:sz w:val="24"/>
              </w:rPr>
              <w:t>3</w:t>
            </w:r>
            <w:r>
              <w:rPr>
                <w:rFonts w:hint="eastAsia" w:ascii="宋体" w:hAnsi="宋体"/>
                <w:color w:val="000000" w:themeColor="text1"/>
                <w:sz w:val="24"/>
              </w:rPr>
              <w:t>、本项目不收取代理服务费。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40" w:hRule="atLeast"/>
        </w:trPr>
        <w:tc>
          <w:tcPr>
            <w:tcW w:w="81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olor w:val="000000" w:themeColor="text1"/>
                <w:sz w:val="24"/>
                <w:szCs w:val="20"/>
              </w:rPr>
            </w:pPr>
            <w:r>
              <w:rPr>
                <w:rFonts w:ascii="宋体" w:hAnsi="宋体"/>
                <w:color w:val="000000" w:themeColor="text1"/>
                <w:sz w:val="24"/>
              </w:rPr>
              <w:t>4</w:t>
            </w:r>
          </w:p>
        </w:tc>
        <w:tc>
          <w:tcPr>
            <w:tcW w:w="7751"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4"/>
                <w:szCs w:val="20"/>
              </w:rPr>
            </w:pPr>
            <w:r>
              <w:rPr>
                <w:rFonts w:hint="eastAsia" w:ascii="宋体" w:hAnsi="宋体"/>
                <w:color w:val="000000" w:themeColor="text1"/>
                <w:sz w:val="24"/>
                <w:szCs w:val="20"/>
              </w:rPr>
              <w:t>政府采购节能环保产品：</w:t>
            </w:r>
          </w:p>
          <w:p>
            <w:pPr>
              <w:rPr>
                <w:rFonts w:ascii="宋体" w:hAnsi="宋体" w:cs="宋体"/>
                <w:kern w:val="0"/>
                <w:sz w:val="24"/>
              </w:rPr>
            </w:pPr>
            <w:r>
              <w:rPr>
                <w:rFonts w:hint="eastAsia" w:ascii="宋体" w:hAnsi="宋体"/>
                <w:color w:val="000000" w:themeColor="text1"/>
                <w:sz w:val="24"/>
                <w:szCs w:val="20"/>
              </w:rPr>
              <w:t>1.根据</w:t>
            </w:r>
            <w:r>
              <w:rPr>
                <w:rFonts w:ascii="宋体" w:hAnsi="宋体" w:cs="宋体"/>
                <w:kern w:val="0"/>
                <w:sz w:val="24"/>
              </w:rPr>
              <w:t>《关于调整优化节能产品、环境标志产品政府采购执行机制的通知》（财库［2019］9号）</w:t>
            </w:r>
            <w:r>
              <w:rPr>
                <w:rFonts w:hint="eastAsia" w:ascii="宋体" w:hAnsi="宋体" w:cs="宋体"/>
                <w:kern w:val="0"/>
                <w:sz w:val="24"/>
              </w:rPr>
              <w:t>文件要求，投标人所投产品如属于节能产品政府采购品目清单或环境标志产品政府采购品目清单内的，投标人所投的相应产品须在中国政府采购网节能清单查询目录（http://www.ccgp.gov.cn/search/jnqdchaxun.htm）或环保清单查询目录（http://www.ccgp.gov.cn/search/hbqdchaxun.htm）中可查询到，并且提供该产品所在的节能清单查询目录或环保清单查询目录中查询页内容打印件并加盖投标单位公章。</w:t>
            </w:r>
          </w:p>
          <w:p>
            <w:pPr>
              <w:rPr>
                <w:rFonts w:ascii="宋体" w:hAnsi="宋体" w:cs="宋体"/>
                <w:kern w:val="0"/>
                <w:sz w:val="24"/>
              </w:rPr>
            </w:pPr>
            <w:r>
              <w:rPr>
                <w:rFonts w:hint="eastAsia" w:ascii="宋体" w:hAnsi="宋体" w:cs="宋体"/>
                <w:kern w:val="0"/>
                <w:sz w:val="24"/>
              </w:rPr>
              <w:t>2、招标需求中要求提供的产品属于节能产品政府采购品目清单中强制采购的，投标人须提供该清单内产品，否则其投标将作为无效标处理。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86" w:hRule="atLeast"/>
        </w:trPr>
        <w:tc>
          <w:tcPr>
            <w:tcW w:w="81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olor w:val="000000" w:themeColor="text1"/>
                <w:sz w:val="24"/>
                <w:szCs w:val="20"/>
              </w:rPr>
            </w:pPr>
            <w:r>
              <w:rPr>
                <w:rFonts w:ascii="宋体" w:hAnsi="宋体"/>
                <w:color w:val="000000" w:themeColor="text1"/>
                <w:sz w:val="24"/>
              </w:rPr>
              <w:t>5</w:t>
            </w:r>
          </w:p>
        </w:tc>
        <w:tc>
          <w:tcPr>
            <w:tcW w:w="7751" w:type="dxa"/>
            <w:tcBorders>
              <w:top w:val="single" w:color="auto" w:sz="4" w:space="0"/>
              <w:left w:val="single" w:color="auto" w:sz="4" w:space="0"/>
              <w:bottom w:val="single" w:color="auto" w:sz="4" w:space="0"/>
              <w:right w:val="single" w:color="auto" w:sz="4" w:space="0"/>
            </w:tcBorders>
            <w:vAlign w:val="center"/>
          </w:tcPr>
          <w:p>
            <w:pPr>
              <w:snapToGrid w:val="0"/>
              <w:rPr>
                <w:rFonts w:ascii="宋体" w:hAnsi="宋体"/>
                <w:color w:val="000000" w:themeColor="text1"/>
                <w:sz w:val="24"/>
                <w:szCs w:val="20"/>
                <w:u w:val="single"/>
              </w:rPr>
            </w:pPr>
            <w:r>
              <w:rPr>
                <w:rFonts w:hint="eastAsia" w:ascii="宋体" w:hAnsi="宋体"/>
                <w:color w:val="000000" w:themeColor="text1"/>
                <w:sz w:val="24"/>
              </w:rPr>
              <w:t>现场踏勘：</w:t>
            </w:r>
            <w:r>
              <w:rPr>
                <w:rFonts w:ascii="宋体" w:hAnsi="宋体"/>
                <w:color w:val="000000" w:themeColor="text1"/>
                <w:sz w:val="24"/>
                <w:u w:val="singl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20" w:hRule="atLeast"/>
        </w:trPr>
        <w:tc>
          <w:tcPr>
            <w:tcW w:w="81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olor w:val="000000" w:themeColor="text1"/>
                <w:sz w:val="24"/>
                <w:szCs w:val="20"/>
              </w:rPr>
            </w:pPr>
            <w:r>
              <w:rPr>
                <w:rFonts w:hint="eastAsia" w:ascii="宋体" w:hAnsi="宋体"/>
                <w:color w:val="000000" w:themeColor="text1"/>
                <w:sz w:val="24"/>
              </w:rPr>
              <w:t>6</w:t>
            </w:r>
          </w:p>
        </w:tc>
        <w:tc>
          <w:tcPr>
            <w:tcW w:w="7751"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textAlignment w:val="bottom"/>
              <w:rPr>
                <w:rFonts w:ascii="宋体" w:hAnsi="宋体"/>
                <w:color w:val="000000" w:themeColor="text1"/>
                <w:sz w:val="24"/>
                <w:szCs w:val="20"/>
              </w:rPr>
            </w:pPr>
            <w:r>
              <w:rPr>
                <w:rFonts w:hint="eastAsia" w:ascii="宋体" w:hAnsi="宋体"/>
                <w:color w:val="000000" w:themeColor="text1"/>
                <w:sz w:val="24"/>
              </w:rPr>
              <w:t>投标文件组成：开标一览表</w:t>
            </w:r>
            <w:r>
              <w:rPr>
                <w:rFonts w:hint="eastAsia" w:ascii="宋体" w:hAnsi="宋体" w:cs="Arial"/>
                <w:color w:val="000000" w:themeColor="text1"/>
                <w:sz w:val="24"/>
                <w:u w:val="single"/>
              </w:rPr>
              <w:t xml:space="preserve">1 </w:t>
            </w:r>
            <w:r>
              <w:rPr>
                <w:rFonts w:hint="eastAsia" w:ascii="宋体" w:hAnsi="宋体" w:cs="Arial"/>
                <w:color w:val="000000" w:themeColor="text1"/>
                <w:sz w:val="24"/>
              </w:rPr>
              <w:t>份；技术、商务、报价文件</w:t>
            </w:r>
            <w:r>
              <w:rPr>
                <w:rFonts w:hint="eastAsia" w:ascii="宋体" w:hAnsi="宋体"/>
                <w:color w:val="000000" w:themeColor="text1"/>
                <w:sz w:val="24"/>
              </w:rPr>
              <w:t>正本各</w:t>
            </w:r>
            <w:r>
              <w:rPr>
                <w:rFonts w:hint="eastAsia" w:ascii="宋体" w:hAnsi="宋体" w:cs="Arial"/>
                <w:color w:val="000000" w:themeColor="text1"/>
                <w:sz w:val="24"/>
                <w:u w:val="single"/>
              </w:rPr>
              <w:t>1</w:t>
            </w:r>
            <w:r>
              <w:rPr>
                <w:rFonts w:hint="eastAsia" w:ascii="宋体" w:hAnsi="宋体"/>
                <w:color w:val="000000" w:themeColor="text1"/>
                <w:sz w:val="24"/>
              </w:rPr>
              <w:t>份；副本各</w:t>
            </w:r>
            <w:r>
              <w:rPr>
                <w:rFonts w:hint="eastAsia" w:ascii="宋体" w:hAnsi="宋体" w:cs="Arial"/>
                <w:color w:val="000000" w:themeColor="text1"/>
                <w:sz w:val="24"/>
                <w:u w:val="single"/>
              </w:rPr>
              <w:t>9</w:t>
            </w:r>
            <w:r>
              <w:rPr>
                <w:rFonts w:hint="eastAsia" w:ascii="宋体" w:hAnsi="宋体"/>
                <w:color w:val="000000" w:themeColor="text1"/>
                <w:sz w:val="24"/>
              </w:rPr>
              <w:t>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20" w:hRule="atLeast"/>
        </w:trPr>
        <w:tc>
          <w:tcPr>
            <w:tcW w:w="81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olor w:val="000000" w:themeColor="text1"/>
                <w:sz w:val="24"/>
                <w:szCs w:val="20"/>
              </w:rPr>
            </w:pPr>
            <w:r>
              <w:rPr>
                <w:rFonts w:hint="eastAsia" w:ascii="宋体" w:hAnsi="宋体"/>
                <w:color w:val="000000" w:themeColor="text1"/>
                <w:sz w:val="24"/>
              </w:rPr>
              <w:t>7</w:t>
            </w:r>
          </w:p>
        </w:tc>
        <w:tc>
          <w:tcPr>
            <w:tcW w:w="77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宋体" w:hAnsi="宋体"/>
                <w:color w:val="000000" w:themeColor="text1"/>
                <w:sz w:val="24"/>
              </w:rPr>
            </w:pPr>
            <w:r>
              <w:rPr>
                <w:rFonts w:hint="eastAsia" w:ascii="宋体" w:hAnsi="宋体"/>
                <w:color w:val="000000" w:themeColor="text1"/>
                <w:sz w:val="24"/>
              </w:rPr>
              <w:t>投标截止时间及地点：投标人应于</w:t>
            </w:r>
            <w:r>
              <w:rPr>
                <w:rFonts w:ascii="宋体" w:hAnsi="宋体" w:cs="Arial"/>
                <w:color w:val="000000" w:themeColor="text1"/>
                <w:sz w:val="24"/>
                <w:u w:val="single"/>
              </w:rPr>
              <w:t>201</w:t>
            </w:r>
            <w:r>
              <w:rPr>
                <w:rFonts w:hint="eastAsia" w:ascii="宋体" w:hAnsi="宋体" w:cs="Arial"/>
                <w:color w:val="000000" w:themeColor="text1"/>
                <w:sz w:val="24"/>
                <w:u w:val="single"/>
              </w:rPr>
              <w:t>9年6月20日上午9</w:t>
            </w:r>
            <w:r>
              <w:rPr>
                <w:rFonts w:ascii="宋体" w:hAnsi="宋体" w:cs="Arial"/>
                <w:color w:val="000000" w:themeColor="text1"/>
                <w:sz w:val="24"/>
                <w:u w:val="single"/>
                <w:lang w:val="en-GB"/>
              </w:rPr>
              <w:t>:</w:t>
            </w:r>
            <w:r>
              <w:rPr>
                <w:rFonts w:hint="eastAsia" w:ascii="宋体" w:hAnsi="宋体" w:cs="Arial"/>
                <w:color w:val="000000" w:themeColor="text1"/>
                <w:sz w:val="24"/>
                <w:u w:val="single"/>
              </w:rPr>
              <w:t>30</w:t>
            </w:r>
            <w:r>
              <w:rPr>
                <w:rFonts w:hint="eastAsia" w:ascii="宋体" w:hAnsi="宋体"/>
                <w:color w:val="000000" w:themeColor="text1"/>
                <w:sz w:val="24"/>
              </w:rPr>
              <w:t>（时间）前将投标文件密封送交到金华市双龙南街</w:t>
            </w:r>
            <w:r>
              <w:rPr>
                <w:rFonts w:ascii="宋体" w:hAnsi="宋体"/>
                <w:color w:val="000000" w:themeColor="text1"/>
                <w:sz w:val="24"/>
              </w:rPr>
              <w:t>858号财富大厦4楼开标</w:t>
            </w:r>
            <w:r>
              <w:rPr>
                <w:rFonts w:hint="eastAsia" w:ascii="宋体" w:hAnsi="宋体" w:cs="Arial"/>
                <w:color w:val="000000" w:themeColor="text1"/>
                <w:sz w:val="24"/>
                <w:u w:val="single"/>
              </w:rPr>
              <w:t>2</w:t>
            </w:r>
            <w:r>
              <w:rPr>
                <w:rFonts w:ascii="宋体" w:hAnsi="宋体"/>
                <w:color w:val="000000" w:themeColor="text1"/>
                <w:sz w:val="24"/>
              </w:rPr>
              <w:t>室</w:t>
            </w:r>
            <w:r>
              <w:rPr>
                <w:rFonts w:hint="eastAsia" w:ascii="宋体" w:hAnsi="宋体" w:cs="Arial"/>
                <w:color w:val="000000" w:themeColor="text1"/>
                <w:sz w:val="24"/>
              </w:rPr>
              <w:t>（地点）</w:t>
            </w:r>
            <w:r>
              <w:rPr>
                <w:rFonts w:hint="eastAsia" w:ascii="宋体" w:hAnsi="宋体"/>
                <w:color w:val="000000" w:themeColor="text1"/>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20" w:hRule="atLeast"/>
        </w:trPr>
        <w:tc>
          <w:tcPr>
            <w:tcW w:w="81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olor w:val="000000" w:themeColor="text1"/>
                <w:sz w:val="24"/>
                <w:szCs w:val="20"/>
              </w:rPr>
            </w:pPr>
            <w:r>
              <w:rPr>
                <w:rFonts w:hint="eastAsia" w:ascii="宋体" w:hAnsi="宋体"/>
                <w:color w:val="000000" w:themeColor="text1"/>
                <w:sz w:val="24"/>
              </w:rPr>
              <w:t>8</w:t>
            </w:r>
          </w:p>
        </w:tc>
        <w:tc>
          <w:tcPr>
            <w:tcW w:w="7751"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ascii="宋体" w:hAnsi="宋体"/>
                <w:color w:val="000000" w:themeColor="text1"/>
                <w:sz w:val="24"/>
                <w:szCs w:val="20"/>
              </w:rPr>
            </w:pPr>
            <w:r>
              <w:rPr>
                <w:rFonts w:hint="eastAsia" w:ascii="宋体" w:hAnsi="宋体"/>
                <w:color w:val="000000" w:themeColor="text1"/>
                <w:sz w:val="24"/>
              </w:rPr>
              <w:t>开标时间及地点：</w:t>
            </w:r>
            <w:r>
              <w:rPr>
                <w:rFonts w:hint="eastAsia" w:ascii="宋体" w:hAnsi="宋体" w:cs="Arial"/>
                <w:color w:val="000000" w:themeColor="text1"/>
                <w:sz w:val="24"/>
              </w:rPr>
              <w:t>本次招标将于</w:t>
            </w:r>
            <w:r>
              <w:rPr>
                <w:rFonts w:ascii="宋体" w:hAnsi="宋体" w:cs="Arial"/>
                <w:color w:val="000000" w:themeColor="text1"/>
                <w:sz w:val="24"/>
                <w:u w:val="single"/>
              </w:rPr>
              <w:t>201</w:t>
            </w:r>
            <w:r>
              <w:rPr>
                <w:rFonts w:hint="eastAsia" w:ascii="宋体" w:hAnsi="宋体" w:cs="Arial"/>
                <w:color w:val="000000" w:themeColor="text1"/>
                <w:sz w:val="24"/>
                <w:u w:val="single"/>
              </w:rPr>
              <w:t>9年6月20日上午9</w:t>
            </w:r>
            <w:r>
              <w:rPr>
                <w:rFonts w:ascii="宋体" w:hAnsi="宋体" w:cs="Arial"/>
                <w:color w:val="000000" w:themeColor="text1"/>
                <w:sz w:val="24"/>
                <w:u w:val="single"/>
                <w:lang w:val="en-GB"/>
              </w:rPr>
              <w:t>:</w:t>
            </w:r>
            <w:r>
              <w:rPr>
                <w:rFonts w:hint="eastAsia" w:ascii="宋体" w:hAnsi="宋体" w:cs="Arial"/>
                <w:color w:val="000000" w:themeColor="text1"/>
                <w:sz w:val="24"/>
                <w:u w:val="single"/>
              </w:rPr>
              <w:t>30</w:t>
            </w:r>
            <w:r>
              <w:rPr>
                <w:rFonts w:hint="eastAsia" w:ascii="宋体" w:hAnsi="宋体"/>
                <w:color w:val="000000" w:themeColor="text1"/>
                <w:sz w:val="24"/>
              </w:rPr>
              <w:t>（时间）在金华市双龙南街</w:t>
            </w:r>
            <w:r>
              <w:rPr>
                <w:rFonts w:ascii="宋体" w:hAnsi="宋体"/>
                <w:color w:val="000000" w:themeColor="text1"/>
                <w:sz w:val="24"/>
              </w:rPr>
              <w:t>858号财富大厦4楼开标</w:t>
            </w:r>
            <w:r>
              <w:rPr>
                <w:rFonts w:hint="eastAsia" w:ascii="宋体" w:hAnsi="宋体" w:cs="Arial"/>
                <w:color w:val="000000" w:themeColor="text1"/>
                <w:sz w:val="24"/>
                <w:u w:val="single"/>
              </w:rPr>
              <w:t>2</w:t>
            </w:r>
            <w:r>
              <w:rPr>
                <w:rFonts w:ascii="宋体" w:hAnsi="宋体"/>
                <w:color w:val="000000" w:themeColor="text1"/>
                <w:sz w:val="24"/>
              </w:rPr>
              <w:t>室</w:t>
            </w:r>
            <w:r>
              <w:rPr>
                <w:rFonts w:hint="eastAsia" w:ascii="宋体" w:hAnsi="宋体"/>
                <w:color w:val="000000" w:themeColor="text1"/>
                <w:sz w:val="24"/>
              </w:rPr>
              <w:t>（地点）开</w:t>
            </w:r>
            <w:r>
              <w:rPr>
                <w:rFonts w:hint="eastAsia" w:ascii="宋体" w:hAnsi="宋体" w:cs="Arial"/>
                <w:color w:val="000000" w:themeColor="text1"/>
                <w:sz w:val="24"/>
              </w:rPr>
              <w:t>标，投标人可以派授权代表出席开标会议（授权代表应当是投标人的在职正式职工，并携带身份证、社保缴费证等有效证明出席）。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5" w:hRule="atLeast"/>
        </w:trPr>
        <w:tc>
          <w:tcPr>
            <w:tcW w:w="81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olor w:val="000000" w:themeColor="text1"/>
                <w:sz w:val="24"/>
                <w:szCs w:val="20"/>
              </w:rPr>
            </w:pPr>
            <w:r>
              <w:rPr>
                <w:rFonts w:hint="eastAsia" w:ascii="宋体" w:hAnsi="宋体"/>
                <w:color w:val="000000" w:themeColor="text1"/>
                <w:sz w:val="24"/>
              </w:rPr>
              <w:t>9</w:t>
            </w:r>
          </w:p>
        </w:tc>
        <w:tc>
          <w:tcPr>
            <w:tcW w:w="7751"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textAlignment w:val="bottom"/>
              <w:rPr>
                <w:rFonts w:ascii="宋体" w:hAnsi="宋体"/>
                <w:color w:val="000000" w:themeColor="text1"/>
                <w:sz w:val="24"/>
                <w:szCs w:val="20"/>
              </w:rPr>
            </w:pPr>
            <w:r>
              <w:rPr>
                <w:rFonts w:hint="eastAsia" w:ascii="宋体" w:hAnsi="宋体"/>
                <w:color w:val="000000" w:themeColor="text1"/>
                <w:sz w:val="24"/>
              </w:rPr>
              <w:t>评标办法及评分标准：综合</w:t>
            </w:r>
            <w:r>
              <w:rPr>
                <w:rFonts w:ascii="宋体" w:hAnsi="宋体"/>
                <w:color w:val="000000" w:themeColor="text1"/>
                <w:sz w:val="24"/>
              </w:rPr>
              <w:t>评分法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85" w:hRule="atLeast"/>
        </w:trPr>
        <w:tc>
          <w:tcPr>
            <w:tcW w:w="81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olor w:val="000000" w:themeColor="text1"/>
                <w:sz w:val="24"/>
                <w:szCs w:val="20"/>
              </w:rPr>
            </w:pPr>
            <w:r>
              <w:rPr>
                <w:rFonts w:hint="eastAsia" w:ascii="宋体" w:hAnsi="宋体"/>
                <w:color w:val="000000" w:themeColor="text1"/>
                <w:sz w:val="24"/>
              </w:rPr>
              <w:t>10</w:t>
            </w:r>
          </w:p>
        </w:tc>
        <w:tc>
          <w:tcPr>
            <w:tcW w:w="7751"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textAlignment w:val="bottom"/>
              <w:rPr>
                <w:rFonts w:ascii="宋体" w:hAnsi="宋体"/>
                <w:color w:val="000000" w:themeColor="text1"/>
                <w:sz w:val="24"/>
                <w:szCs w:val="20"/>
              </w:rPr>
            </w:pPr>
            <w:r>
              <w:rPr>
                <w:rFonts w:hint="eastAsia" w:ascii="宋体" w:hAnsi="宋体"/>
                <w:color w:val="000000" w:themeColor="text1"/>
                <w:sz w:val="24"/>
              </w:rPr>
              <w:t>评标结果（预中标结果）公示：评标结束后</w:t>
            </w:r>
            <w:r>
              <w:rPr>
                <w:rFonts w:ascii="宋体" w:hAnsi="宋体"/>
                <w:color w:val="000000" w:themeColor="text1"/>
                <w:sz w:val="24"/>
              </w:rPr>
              <w:t>2</w:t>
            </w:r>
            <w:r>
              <w:rPr>
                <w:rFonts w:hint="eastAsia" w:ascii="宋体" w:hAnsi="宋体"/>
                <w:color w:val="000000" w:themeColor="text1"/>
                <w:sz w:val="24"/>
              </w:rPr>
              <w:t>天内，评标结果公示于</w:t>
            </w:r>
            <w:r>
              <w:rPr>
                <w:rFonts w:hint="eastAsia" w:ascii="宋体" w:hAnsi="宋体" w:cs="Arial"/>
                <w:color w:val="000000" w:themeColor="text1"/>
                <w:sz w:val="24"/>
              </w:rPr>
              <w:t>浙江省政府采购网</w:t>
            </w:r>
            <w:r>
              <w:rPr>
                <w:rFonts w:ascii="宋体" w:hAnsi="宋体" w:cs="Arial"/>
                <w:color w:val="000000" w:themeColor="text1"/>
                <w:sz w:val="24"/>
              </w:rPr>
              <w:t>(</w:t>
            </w:r>
            <w:r>
              <w:fldChar w:fldCharType="begin"/>
            </w:r>
            <w:r>
              <w:instrText xml:space="preserve"> HYPERLINK "http://www.zjzfcg.gov.cn/" </w:instrText>
            </w:r>
            <w:r>
              <w:fldChar w:fldCharType="separate"/>
            </w:r>
            <w:r>
              <w:rPr>
                <w:rStyle w:val="51"/>
                <w:rFonts w:ascii="宋体" w:hAnsi="宋体" w:cs="Arial"/>
                <w:color w:val="000000" w:themeColor="text1"/>
                <w:sz w:val="24"/>
              </w:rPr>
              <w:t>http://www.zjzfcg.gov.cn</w:t>
            </w:r>
            <w:r>
              <w:rPr>
                <w:rStyle w:val="51"/>
                <w:rFonts w:ascii="宋体" w:hAnsi="宋体" w:cs="Arial"/>
                <w:color w:val="000000" w:themeColor="text1"/>
                <w:sz w:val="24"/>
              </w:rPr>
              <w:fldChar w:fldCharType="end"/>
            </w:r>
            <w:r>
              <w:rPr>
                <w:rFonts w:ascii="宋体" w:hAnsi="宋体" w:cs="Arial"/>
                <w:color w:val="000000" w:themeColor="text1"/>
                <w:sz w:val="24"/>
              </w:rPr>
              <w:t>)</w:t>
            </w:r>
            <w:r>
              <w:rPr>
                <w:rFonts w:hint="eastAsia" w:ascii="宋体" w:hAnsi="宋体" w:cs="Arial"/>
                <w:color w:val="000000" w:themeColor="text1"/>
                <w:sz w:val="24"/>
              </w:rPr>
              <w:t>、金华市公共资源交易中心网</w:t>
            </w:r>
            <w:r>
              <w:rPr>
                <w:rFonts w:ascii="宋体" w:hAnsi="宋体" w:cs="Arial"/>
                <w:color w:val="000000" w:themeColor="text1"/>
                <w:sz w:val="24"/>
              </w:rPr>
              <w:t>(</w:t>
            </w:r>
            <w:r>
              <w:fldChar w:fldCharType="begin"/>
            </w:r>
            <w:r>
              <w:instrText xml:space="preserve"> HYPERLINK "http://www.sxztb.gov.cn/" </w:instrText>
            </w:r>
            <w:r>
              <w:fldChar w:fldCharType="separate"/>
            </w:r>
            <w:r>
              <w:fldChar w:fldCharType="end"/>
            </w:r>
            <w:r>
              <w:fldChar w:fldCharType="begin"/>
            </w:r>
            <w:r>
              <w:instrText xml:space="preserve"> HYPERLINK "http://www.zjzfcg.gov.cn/" </w:instrText>
            </w:r>
            <w:r>
              <w:fldChar w:fldCharType="separate"/>
            </w:r>
            <w:r>
              <w:rPr>
                <w:rStyle w:val="51"/>
                <w:rFonts w:ascii="宋体" w:hAnsi="宋体" w:cs="Arial"/>
                <w:color w:val="000000" w:themeColor="text1"/>
                <w:sz w:val="24"/>
              </w:rPr>
              <w:t>http://www.</w:t>
            </w:r>
            <w:r>
              <w:rPr>
                <w:rStyle w:val="51"/>
                <w:rFonts w:hint="eastAsia" w:ascii="宋体" w:hAnsi="宋体" w:cs="Arial"/>
                <w:color w:val="000000" w:themeColor="text1"/>
                <w:sz w:val="24"/>
              </w:rPr>
              <w:t>jhztb</w:t>
            </w:r>
            <w:r>
              <w:rPr>
                <w:rStyle w:val="51"/>
                <w:rFonts w:ascii="宋体" w:hAnsi="宋体" w:cs="Arial"/>
                <w:color w:val="000000" w:themeColor="text1"/>
                <w:sz w:val="24"/>
              </w:rPr>
              <w:t>.gov.cn</w:t>
            </w:r>
            <w:r>
              <w:rPr>
                <w:rStyle w:val="51"/>
                <w:rFonts w:ascii="宋体" w:hAnsi="宋体" w:cs="Arial"/>
                <w:color w:val="000000" w:themeColor="text1"/>
                <w:sz w:val="24"/>
              </w:rPr>
              <w:fldChar w:fldCharType="end"/>
            </w:r>
            <w:r>
              <w:rPr>
                <w:rFonts w:ascii="宋体" w:hAnsi="宋体" w:cs="Arial"/>
                <w:color w:val="000000" w:themeColor="text1"/>
                <w:sz w:val="24"/>
              </w:rPr>
              <w:t>)</w:t>
            </w:r>
            <w:r>
              <w:rPr>
                <w:rFonts w:hint="eastAsia" w:ascii="宋体" w:hAnsi="宋体" w:cs="Arial"/>
                <w:color w:val="000000" w:themeColor="text1"/>
                <w:sz w:val="24"/>
              </w:rPr>
              <w:t>等网站或媒体。</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30" w:hRule="atLeast"/>
        </w:trPr>
        <w:tc>
          <w:tcPr>
            <w:tcW w:w="81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olor w:val="000000" w:themeColor="text1"/>
                <w:sz w:val="24"/>
                <w:szCs w:val="20"/>
              </w:rPr>
            </w:pPr>
            <w:r>
              <w:rPr>
                <w:rFonts w:hint="eastAsia" w:ascii="宋体" w:hAnsi="宋体"/>
                <w:color w:val="000000" w:themeColor="text1"/>
                <w:sz w:val="24"/>
              </w:rPr>
              <w:t>11</w:t>
            </w:r>
          </w:p>
        </w:tc>
        <w:tc>
          <w:tcPr>
            <w:tcW w:w="7751"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textAlignment w:val="bottom"/>
              <w:rPr>
                <w:rFonts w:ascii="宋体" w:hAnsi="宋体"/>
                <w:color w:val="000000" w:themeColor="text1"/>
                <w:sz w:val="24"/>
                <w:szCs w:val="20"/>
              </w:rPr>
            </w:pPr>
            <w:r>
              <w:rPr>
                <w:rFonts w:hint="eastAsia" w:ascii="宋体" w:hAnsi="宋体"/>
                <w:color w:val="000000" w:themeColor="text1"/>
                <w:sz w:val="24"/>
              </w:rPr>
              <w:t>中标公告及中标通知书：评标结果（预中标结果）结束后1个工作日内，中标公告发布于上述媒体；</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15" w:hRule="atLeast"/>
        </w:trPr>
        <w:tc>
          <w:tcPr>
            <w:tcW w:w="81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olor w:val="000000" w:themeColor="text1"/>
                <w:sz w:val="24"/>
                <w:szCs w:val="20"/>
              </w:rPr>
            </w:pPr>
            <w:r>
              <w:rPr>
                <w:rFonts w:hint="eastAsia" w:ascii="宋体" w:hAnsi="宋体"/>
                <w:color w:val="000000" w:themeColor="text1"/>
                <w:sz w:val="24"/>
              </w:rPr>
              <w:t>12</w:t>
            </w:r>
          </w:p>
        </w:tc>
        <w:tc>
          <w:tcPr>
            <w:tcW w:w="7751"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textAlignment w:val="bottom"/>
              <w:rPr>
                <w:rFonts w:ascii="宋体" w:hAnsi="宋体"/>
                <w:color w:val="000000" w:themeColor="text1"/>
                <w:sz w:val="24"/>
                <w:szCs w:val="20"/>
              </w:rPr>
            </w:pPr>
            <w:r>
              <w:rPr>
                <w:rFonts w:hint="eastAsia" w:ascii="宋体" w:hAnsi="宋体"/>
                <w:color w:val="000000" w:themeColor="text1"/>
                <w:sz w:val="24"/>
              </w:rPr>
              <w:t>签订合同时间：中标通知书发出后</w:t>
            </w:r>
            <w:r>
              <w:rPr>
                <w:rFonts w:hint="eastAsia" w:ascii="宋体" w:hAnsi="宋体"/>
                <w:color w:val="000000" w:themeColor="text1"/>
                <w:sz w:val="24"/>
                <w:u w:val="single"/>
              </w:rPr>
              <w:t>30</w:t>
            </w:r>
            <w:r>
              <w:rPr>
                <w:rFonts w:hint="eastAsia" w:ascii="宋体" w:hAnsi="宋体"/>
                <w:color w:val="000000" w:themeColor="text1"/>
                <w:sz w:val="24"/>
              </w:rPr>
              <w:t>日内。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60" w:hRule="atLeast"/>
        </w:trPr>
        <w:tc>
          <w:tcPr>
            <w:tcW w:w="81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olor w:val="000000" w:themeColor="text1"/>
                <w:sz w:val="24"/>
                <w:szCs w:val="20"/>
              </w:rPr>
            </w:pPr>
            <w:r>
              <w:rPr>
                <w:rFonts w:hint="eastAsia" w:ascii="宋体" w:hAnsi="宋体"/>
                <w:color w:val="000000" w:themeColor="text1"/>
                <w:sz w:val="24"/>
              </w:rPr>
              <w:t>13</w:t>
            </w:r>
          </w:p>
        </w:tc>
        <w:tc>
          <w:tcPr>
            <w:tcW w:w="7751"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textAlignment w:val="bottom"/>
              <w:rPr>
                <w:rFonts w:ascii="宋体" w:hAnsi="宋体"/>
                <w:color w:val="000000" w:themeColor="text1"/>
                <w:sz w:val="24"/>
                <w:szCs w:val="20"/>
              </w:rPr>
            </w:pPr>
            <w:r>
              <w:rPr>
                <w:rFonts w:hint="eastAsia" w:ascii="宋体" w:hAnsi="宋体"/>
                <w:color w:val="000000" w:themeColor="text1"/>
                <w:sz w:val="24"/>
              </w:rPr>
              <w:t>履约保证金的收取及退还</w:t>
            </w:r>
            <w:r>
              <w:rPr>
                <w:rFonts w:ascii="宋体" w:hAnsi="宋体"/>
                <w:color w:val="000000" w:themeColor="text1"/>
                <w:sz w:val="24"/>
              </w:rPr>
              <w:t>:</w:t>
            </w:r>
            <w:r>
              <w:rPr>
                <w:rFonts w:hint="eastAsia" w:ascii="宋体" w:hAnsi="宋体"/>
                <w:color w:val="000000" w:themeColor="text1"/>
                <w:sz w:val="24"/>
              </w:rPr>
              <w:t xml:space="preserve"> 合同</w:t>
            </w:r>
            <w:r>
              <w:rPr>
                <w:rFonts w:ascii="宋体" w:hAnsi="宋体"/>
                <w:color w:val="000000" w:themeColor="text1"/>
                <w:sz w:val="24"/>
              </w:rPr>
              <w:t>总额的</w:t>
            </w:r>
            <w:r>
              <w:rPr>
                <w:rFonts w:hint="eastAsia" w:ascii="宋体" w:hAnsi="宋体"/>
                <w:color w:val="000000" w:themeColor="text1"/>
                <w:sz w:val="24"/>
                <w:u w:val="single"/>
              </w:rPr>
              <w:t>10%</w:t>
            </w:r>
            <w:r>
              <w:rPr>
                <w:rFonts w:hint="eastAsia" w:ascii="宋体" w:hAnsi="宋体"/>
                <w:color w:val="000000" w:themeColor="text1"/>
                <w:sz w:val="24"/>
              </w:rPr>
              <w:t>向</w:t>
            </w:r>
            <w:r>
              <w:rPr>
                <w:rFonts w:ascii="宋体" w:hAnsi="宋体"/>
                <w:color w:val="000000" w:themeColor="text1"/>
                <w:sz w:val="24"/>
              </w:rPr>
              <w:t>采购人缴纳</w:t>
            </w:r>
            <w:r>
              <w:rPr>
                <w:rFonts w:hint="eastAsia" w:ascii="宋体" w:hAnsi="宋体"/>
                <w:color w:val="000000" w:themeColor="text1"/>
                <w:sz w:val="24"/>
              </w:rPr>
              <w:t>，合同履行完毕（质保期满且无质量问题）后转为质保金，于质保期满后无息退还。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04" w:hRule="atLeast"/>
        </w:trPr>
        <w:tc>
          <w:tcPr>
            <w:tcW w:w="81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olor w:val="000000" w:themeColor="text1"/>
                <w:sz w:val="24"/>
                <w:szCs w:val="20"/>
              </w:rPr>
            </w:pPr>
            <w:r>
              <w:rPr>
                <w:rFonts w:hint="eastAsia" w:ascii="宋体" w:hAnsi="宋体"/>
                <w:color w:val="000000" w:themeColor="text1"/>
                <w:sz w:val="24"/>
              </w:rPr>
              <w:t>14</w:t>
            </w:r>
          </w:p>
        </w:tc>
        <w:tc>
          <w:tcPr>
            <w:tcW w:w="7751"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textAlignment w:val="bottom"/>
              <w:rPr>
                <w:rFonts w:ascii="宋体" w:hAnsi="宋体"/>
                <w:color w:val="000000" w:themeColor="text1"/>
                <w:sz w:val="24"/>
                <w:szCs w:val="20"/>
              </w:rPr>
            </w:pPr>
            <w:r>
              <w:rPr>
                <w:rFonts w:hint="eastAsia" w:ascii="宋体" w:hAnsi="宋体"/>
                <w:color w:val="000000" w:themeColor="text1"/>
                <w:sz w:val="24"/>
              </w:rPr>
              <w:t>采购资金来源：预算资金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36" w:hRule="atLeast"/>
        </w:trPr>
        <w:tc>
          <w:tcPr>
            <w:tcW w:w="81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olor w:val="000000" w:themeColor="text1"/>
                <w:sz w:val="24"/>
                <w:szCs w:val="20"/>
              </w:rPr>
            </w:pPr>
            <w:r>
              <w:rPr>
                <w:rFonts w:hint="eastAsia" w:ascii="宋体" w:hAnsi="宋体"/>
                <w:color w:val="000000" w:themeColor="text1"/>
                <w:sz w:val="24"/>
              </w:rPr>
              <w:t>15</w:t>
            </w:r>
          </w:p>
        </w:tc>
        <w:tc>
          <w:tcPr>
            <w:tcW w:w="7751" w:type="dxa"/>
            <w:tcBorders>
              <w:top w:val="single" w:color="auto" w:sz="4" w:space="0"/>
              <w:left w:val="single" w:color="auto" w:sz="4" w:space="0"/>
              <w:bottom w:val="single" w:color="auto" w:sz="4" w:space="0"/>
              <w:right w:val="single" w:color="auto" w:sz="4" w:space="0"/>
            </w:tcBorders>
            <w:vAlign w:val="center"/>
          </w:tcPr>
          <w:p>
            <w:pPr>
              <w:snapToGrid w:val="0"/>
              <w:rPr>
                <w:rFonts w:ascii="宋体" w:hAnsi="宋体"/>
                <w:color w:val="000000" w:themeColor="text1"/>
                <w:sz w:val="24"/>
                <w:szCs w:val="20"/>
              </w:rPr>
            </w:pPr>
            <w:r>
              <w:rPr>
                <w:rFonts w:hint="eastAsia" w:ascii="宋体" w:hAnsi="宋体"/>
                <w:color w:val="000000" w:themeColor="text1"/>
                <w:sz w:val="24"/>
              </w:rPr>
              <w:t>付款方式：</w:t>
            </w:r>
            <w:r>
              <w:rPr>
                <w:rFonts w:hint="eastAsia" w:ascii="宋体" w:hAnsi="宋体"/>
                <w:color w:val="000000" w:themeColor="text1"/>
                <w:sz w:val="24"/>
                <w:u w:val="single"/>
              </w:rPr>
              <w:t>国库集中支付（或采购专户支付、采购人自行支付）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20" w:hRule="atLeast"/>
        </w:trPr>
        <w:tc>
          <w:tcPr>
            <w:tcW w:w="81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olor w:val="000000" w:themeColor="text1"/>
                <w:sz w:val="24"/>
                <w:szCs w:val="20"/>
              </w:rPr>
            </w:pPr>
            <w:r>
              <w:rPr>
                <w:rFonts w:hint="eastAsia" w:ascii="宋体" w:hAnsi="宋体"/>
                <w:color w:val="000000" w:themeColor="text1"/>
                <w:sz w:val="24"/>
              </w:rPr>
              <w:t>16</w:t>
            </w:r>
          </w:p>
        </w:tc>
        <w:tc>
          <w:tcPr>
            <w:tcW w:w="7751" w:type="dxa"/>
            <w:tcBorders>
              <w:top w:val="single" w:color="auto" w:sz="4" w:space="0"/>
              <w:left w:val="single" w:color="auto" w:sz="4" w:space="0"/>
              <w:bottom w:val="single" w:color="auto" w:sz="4" w:space="0"/>
              <w:right w:val="single" w:color="auto" w:sz="4" w:space="0"/>
            </w:tcBorders>
            <w:vAlign w:val="center"/>
          </w:tcPr>
          <w:p>
            <w:pPr>
              <w:snapToGrid w:val="0"/>
              <w:rPr>
                <w:rFonts w:ascii="宋体" w:hAnsi="宋体"/>
                <w:color w:val="000000" w:themeColor="text1"/>
                <w:sz w:val="24"/>
                <w:szCs w:val="20"/>
              </w:rPr>
            </w:pPr>
            <w:r>
              <w:rPr>
                <w:rFonts w:hint="eastAsia" w:ascii="宋体" w:hAnsi="宋体"/>
                <w:color w:val="000000" w:themeColor="text1"/>
                <w:sz w:val="24"/>
              </w:rPr>
              <w:t>投标文件有效期：</w:t>
            </w:r>
            <w:r>
              <w:rPr>
                <w:rFonts w:hint="eastAsia" w:ascii="宋体" w:hAnsi="宋体" w:cs="Arial"/>
                <w:color w:val="000000" w:themeColor="text1"/>
                <w:sz w:val="24"/>
                <w:u w:val="single"/>
              </w:rPr>
              <w:t>90</w:t>
            </w:r>
            <w:r>
              <w:rPr>
                <w:rFonts w:hint="eastAsia" w:ascii="宋体" w:hAnsi="宋体" w:cs="Arial"/>
                <w:color w:val="000000" w:themeColor="text1"/>
                <w:sz w:val="24"/>
              </w:rPr>
              <w:t>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40" w:hRule="atLeast"/>
        </w:trPr>
        <w:tc>
          <w:tcPr>
            <w:tcW w:w="81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olor w:val="000000" w:themeColor="text1"/>
                <w:sz w:val="24"/>
                <w:szCs w:val="20"/>
              </w:rPr>
            </w:pPr>
            <w:r>
              <w:rPr>
                <w:rFonts w:hint="eastAsia" w:ascii="宋体" w:hAnsi="宋体"/>
                <w:color w:val="000000" w:themeColor="text1"/>
                <w:sz w:val="24"/>
              </w:rPr>
              <w:t>17</w:t>
            </w:r>
          </w:p>
        </w:tc>
        <w:tc>
          <w:tcPr>
            <w:tcW w:w="7751" w:type="dxa"/>
            <w:tcBorders>
              <w:top w:val="single" w:color="auto" w:sz="4" w:space="0"/>
              <w:left w:val="single" w:color="auto" w:sz="4" w:space="0"/>
              <w:bottom w:val="single" w:color="auto" w:sz="4" w:space="0"/>
              <w:right w:val="single" w:color="auto" w:sz="4" w:space="0"/>
            </w:tcBorders>
            <w:vAlign w:val="center"/>
          </w:tcPr>
          <w:p>
            <w:pPr>
              <w:snapToGrid w:val="0"/>
              <w:rPr>
                <w:rFonts w:ascii="宋体" w:hAnsi="宋体"/>
                <w:color w:val="000000" w:themeColor="text1"/>
                <w:sz w:val="24"/>
                <w:szCs w:val="20"/>
              </w:rPr>
            </w:pPr>
            <w:r>
              <w:rPr>
                <w:rFonts w:hint="eastAsia" w:ascii="宋体" w:hAnsi="宋体"/>
                <w:color w:val="000000" w:themeColor="text1"/>
                <w:sz w:val="24"/>
              </w:rPr>
              <w:t>解释：本招标文件的解释权属于招标采购单位。</w:t>
            </w:r>
          </w:p>
        </w:tc>
      </w:tr>
    </w:tbl>
    <w:p>
      <w:pPr>
        <w:pStyle w:val="25"/>
        <w:snapToGrid w:val="0"/>
        <w:spacing w:beforeLines="0" w:afterLines="0" w:line="240" w:lineRule="auto"/>
        <w:rPr>
          <w:rFonts w:hAnsi="宋体"/>
          <w:color w:val="000000" w:themeColor="text1"/>
        </w:rPr>
      </w:pPr>
    </w:p>
    <w:p>
      <w:pPr>
        <w:snapToGrid w:val="0"/>
        <w:rPr>
          <w:rFonts w:ascii="宋体" w:hAnsi="宋体"/>
          <w:color w:val="000000" w:themeColor="text1"/>
          <w:sz w:val="24"/>
          <w:szCs w:val="20"/>
        </w:rPr>
      </w:pPr>
    </w:p>
    <w:p>
      <w:pPr>
        <w:pStyle w:val="25"/>
        <w:snapToGrid w:val="0"/>
        <w:spacing w:beforeLines="0" w:afterLines="0"/>
        <w:ind w:firstLine="480" w:firstLineChars="200"/>
        <w:rPr>
          <w:rFonts w:hAnsi="宋体"/>
          <w:color w:val="000000" w:themeColor="text1"/>
        </w:rPr>
      </w:pPr>
      <w:r>
        <w:rPr>
          <w:rFonts w:hAnsi="宋体"/>
          <w:color w:val="000000" w:themeColor="text1"/>
        </w:rPr>
        <w:br w:type="page"/>
      </w:r>
      <w:r>
        <w:rPr>
          <w:rFonts w:hint="eastAsia" w:hAnsi="宋体"/>
          <w:b/>
          <w:color w:val="000000" w:themeColor="text1"/>
        </w:rPr>
        <w:t>一、总则</w:t>
      </w:r>
    </w:p>
    <w:p>
      <w:pPr>
        <w:snapToGrid w:val="0"/>
        <w:spacing w:line="400" w:lineRule="exact"/>
        <w:ind w:firstLine="482" w:firstLineChars="200"/>
        <w:jc w:val="left"/>
        <w:outlineLvl w:val="1"/>
        <w:rPr>
          <w:rFonts w:ascii="仿宋_GB2312" w:hAnsi="宋体"/>
          <w:b/>
          <w:color w:val="000000" w:themeColor="text1"/>
          <w:sz w:val="24"/>
        </w:rPr>
      </w:pPr>
      <w:r>
        <w:rPr>
          <w:rFonts w:hint="eastAsia" w:ascii="仿宋_GB2312" w:hAnsi="宋体"/>
          <w:b/>
          <w:color w:val="000000" w:themeColor="text1"/>
          <w:sz w:val="24"/>
        </w:rPr>
        <w:t>（一） 适用范围</w:t>
      </w:r>
    </w:p>
    <w:p>
      <w:pPr>
        <w:snapToGrid w:val="0"/>
        <w:spacing w:line="400" w:lineRule="exact"/>
        <w:ind w:firstLine="480" w:firstLineChars="200"/>
        <w:rPr>
          <w:rFonts w:ascii="仿宋_GB2312" w:hAnsi="宋体" w:cs="Arial"/>
          <w:color w:val="000000" w:themeColor="text1"/>
          <w:sz w:val="24"/>
        </w:rPr>
      </w:pPr>
      <w:r>
        <w:rPr>
          <w:rFonts w:hint="eastAsia" w:ascii="仿宋_GB2312" w:hAnsi="宋体" w:cs="Arial"/>
          <w:color w:val="000000" w:themeColor="text1"/>
          <w:sz w:val="24"/>
        </w:rPr>
        <w:t>仅适用于本次招标文件中采购项目的招标、投标、评标、定标、合同履约、付款等行为（法律、法规另有规定的，从其规定）。</w:t>
      </w:r>
    </w:p>
    <w:p>
      <w:pPr>
        <w:snapToGrid w:val="0"/>
        <w:spacing w:beforeLines="50" w:line="360" w:lineRule="auto"/>
        <w:ind w:firstLine="472" w:firstLineChars="196"/>
        <w:rPr>
          <w:rFonts w:ascii="宋体" w:hAnsi="宋体"/>
          <w:b/>
          <w:color w:val="000000" w:themeColor="text1"/>
          <w:sz w:val="24"/>
        </w:rPr>
      </w:pPr>
      <w:r>
        <w:rPr>
          <w:rFonts w:hint="eastAsia" w:ascii="宋体" w:hAnsi="宋体"/>
          <w:b/>
          <w:color w:val="000000" w:themeColor="text1"/>
          <w:sz w:val="24"/>
        </w:rPr>
        <w:t>（二）定义</w:t>
      </w:r>
    </w:p>
    <w:p>
      <w:pPr>
        <w:snapToGrid w:val="0"/>
        <w:spacing w:line="360" w:lineRule="auto"/>
        <w:ind w:firstLine="480" w:firstLineChars="200"/>
        <w:jc w:val="left"/>
        <w:rPr>
          <w:rFonts w:ascii="宋体" w:hAnsi="宋体"/>
          <w:color w:val="000000" w:themeColor="text1"/>
          <w:sz w:val="24"/>
          <w:szCs w:val="20"/>
        </w:rPr>
      </w:pPr>
      <w:r>
        <w:rPr>
          <w:rFonts w:ascii="宋体" w:hAnsi="宋体"/>
          <w:color w:val="000000" w:themeColor="text1"/>
          <w:sz w:val="24"/>
        </w:rPr>
        <w:t>1</w:t>
      </w:r>
      <w:r>
        <w:rPr>
          <w:rFonts w:hint="eastAsia" w:ascii="宋体" w:hAnsi="宋体"/>
          <w:color w:val="000000" w:themeColor="text1"/>
          <w:sz w:val="24"/>
        </w:rPr>
        <w:t>.</w:t>
      </w:r>
      <w:r>
        <w:rPr>
          <w:rFonts w:ascii="宋体" w:hAnsi="宋体"/>
          <w:color w:val="000000" w:themeColor="text1"/>
          <w:sz w:val="24"/>
        </w:rPr>
        <w:t>招标采购单位系指组织本次招标的代理机构和采购单位。</w:t>
      </w:r>
    </w:p>
    <w:p>
      <w:pPr>
        <w:snapToGrid w:val="0"/>
        <w:spacing w:line="360" w:lineRule="auto"/>
        <w:ind w:firstLine="480" w:firstLineChars="200"/>
        <w:jc w:val="left"/>
        <w:rPr>
          <w:rFonts w:ascii="宋体" w:hAnsi="宋体"/>
          <w:color w:val="000000" w:themeColor="text1"/>
          <w:sz w:val="24"/>
          <w:szCs w:val="20"/>
        </w:rPr>
      </w:pPr>
      <w:r>
        <w:rPr>
          <w:rFonts w:ascii="宋体" w:hAnsi="宋体"/>
          <w:color w:val="000000" w:themeColor="text1"/>
          <w:sz w:val="24"/>
        </w:rPr>
        <w:t>2</w:t>
      </w:r>
      <w:r>
        <w:rPr>
          <w:rFonts w:hint="eastAsia" w:ascii="宋体" w:hAnsi="宋体"/>
          <w:color w:val="000000" w:themeColor="text1"/>
          <w:sz w:val="24"/>
        </w:rPr>
        <w:t>.“</w:t>
      </w:r>
      <w:r>
        <w:rPr>
          <w:rFonts w:ascii="宋体" w:hAnsi="宋体"/>
          <w:color w:val="000000" w:themeColor="text1"/>
          <w:sz w:val="24"/>
        </w:rPr>
        <w:t>投标人”系指向招标方提交投标文件的单位或个人。</w:t>
      </w:r>
    </w:p>
    <w:p>
      <w:pPr>
        <w:snapToGrid w:val="0"/>
        <w:spacing w:line="360" w:lineRule="auto"/>
        <w:ind w:firstLine="480" w:firstLineChars="200"/>
        <w:jc w:val="left"/>
        <w:rPr>
          <w:rFonts w:ascii="宋体" w:hAnsi="宋体"/>
          <w:color w:val="000000" w:themeColor="text1"/>
          <w:sz w:val="24"/>
          <w:szCs w:val="20"/>
        </w:rPr>
      </w:pPr>
      <w:r>
        <w:rPr>
          <w:rFonts w:ascii="宋体" w:hAnsi="宋体"/>
          <w:color w:val="000000" w:themeColor="text1"/>
          <w:sz w:val="24"/>
        </w:rPr>
        <w:t>3</w:t>
      </w:r>
      <w:r>
        <w:rPr>
          <w:rFonts w:hint="eastAsia" w:ascii="宋体" w:hAnsi="宋体"/>
          <w:color w:val="000000" w:themeColor="text1"/>
          <w:sz w:val="24"/>
        </w:rPr>
        <w:t>.</w:t>
      </w:r>
      <w:r>
        <w:rPr>
          <w:rFonts w:ascii="宋体" w:hAnsi="宋体"/>
          <w:color w:val="000000" w:themeColor="text1"/>
          <w:sz w:val="24"/>
        </w:rPr>
        <w:t>“产品”系指供方按招标文件规定，须向采购人提供的一切设备、保险、税金、备品备件、工具、手册及其它有关技术资料和材料。</w:t>
      </w:r>
    </w:p>
    <w:p>
      <w:pPr>
        <w:snapToGrid w:val="0"/>
        <w:spacing w:line="360" w:lineRule="auto"/>
        <w:ind w:firstLine="480" w:firstLineChars="200"/>
        <w:jc w:val="left"/>
        <w:rPr>
          <w:rFonts w:ascii="宋体" w:hAnsi="宋体"/>
          <w:color w:val="000000" w:themeColor="text1"/>
          <w:sz w:val="24"/>
          <w:szCs w:val="20"/>
        </w:rPr>
      </w:pPr>
      <w:r>
        <w:rPr>
          <w:rFonts w:ascii="宋体" w:hAnsi="宋体"/>
          <w:color w:val="000000" w:themeColor="text1"/>
          <w:sz w:val="24"/>
        </w:rPr>
        <w:t>4</w:t>
      </w:r>
      <w:r>
        <w:rPr>
          <w:rFonts w:hint="eastAsia" w:ascii="宋体" w:hAnsi="宋体"/>
          <w:color w:val="000000" w:themeColor="text1"/>
          <w:sz w:val="24"/>
        </w:rPr>
        <w:t>.</w:t>
      </w:r>
      <w:r>
        <w:rPr>
          <w:rFonts w:ascii="宋体" w:hAnsi="宋体"/>
          <w:color w:val="000000" w:themeColor="text1"/>
          <w:sz w:val="24"/>
        </w:rPr>
        <w:t>“服务”系指招标文件规定投标人须承担的安装、调试、技术协助、校准、培训、技术指导以及其他类似的义务。</w:t>
      </w:r>
    </w:p>
    <w:p>
      <w:pPr>
        <w:snapToGrid w:val="0"/>
        <w:spacing w:line="360" w:lineRule="auto"/>
        <w:ind w:firstLine="480" w:firstLineChars="200"/>
        <w:jc w:val="left"/>
        <w:rPr>
          <w:rFonts w:ascii="宋体" w:hAnsi="宋体"/>
          <w:color w:val="000000" w:themeColor="text1"/>
          <w:sz w:val="24"/>
          <w:szCs w:val="20"/>
        </w:rPr>
      </w:pPr>
      <w:r>
        <w:rPr>
          <w:rFonts w:ascii="宋体" w:hAnsi="宋体"/>
          <w:color w:val="000000" w:themeColor="text1"/>
          <w:sz w:val="24"/>
        </w:rPr>
        <w:t>5</w:t>
      </w:r>
      <w:r>
        <w:rPr>
          <w:rFonts w:hint="eastAsia" w:ascii="宋体" w:hAnsi="宋体"/>
          <w:color w:val="000000" w:themeColor="text1"/>
          <w:sz w:val="24"/>
        </w:rPr>
        <w:t>.</w:t>
      </w:r>
      <w:r>
        <w:rPr>
          <w:rFonts w:ascii="宋体" w:hAnsi="宋体"/>
          <w:color w:val="000000" w:themeColor="text1"/>
          <w:sz w:val="24"/>
        </w:rPr>
        <w:t>“项目”系指投标人按招标文件规定向采购人提供的产品和服务。</w:t>
      </w:r>
    </w:p>
    <w:p>
      <w:pPr>
        <w:snapToGrid w:val="0"/>
        <w:spacing w:line="360" w:lineRule="auto"/>
        <w:ind w:firstLine="480" w:firstLineChars="200"/>
        <w:jc w:val="left"/>
        <w:rPr>
          <w:rFonts w:ascii="宋体" w:hAnsi="宋体"/>
          <w:color w:val="000000" w:themeColor="text1"/>
          <w:sz w:val="24"/>
          <w:szCs w:val="20"/>
        </w:rPr>
      </w:pPr>
      <w:r>
        <w:rPr>
          <w:rFonts w:ascii="宋体" w:hAnsi="宋体"/>
          <w:color w:val="000000" w:themeColor="text1"/>
          <w:sz w:val="24"/>
        </w:rPr>
        <w:t>6</w:t>
      </w:r>
      <w:r>
        <w:rPr>
          <w:rFonts w:hint="eastAsia" w:ascii="宋体" w:hAnsi="宋体"/>
          <w:color w:val="000000" w:themeColor="text1"/>
          <w:sz w:val="24"/>
        </w:rPr>
        <w:t>.</w:t>
      </w:r>
      <w:r>
        <w:rPr>
          <w:rFonts w:ascii="宋体" w:hAnsi="宋体"/>
          <w:color w:val="000000" w:themeColor="text1"/>
          <w:sz w:val="24"/>
        </w:rPr>
        <w:t>“书面形式”包括信函、传真、电报等。</w:t>
      </w:r>
    </w:p>
    <w:p>
      <w:pPr>
        <w:snapToGrid w:val="0"/>
        <w:spacing w:line="360" w:lineRule="auto"/>
        <w:ind w:firstLine="480" w:firstLineChars="200"/>
        <w:jc w:val="left"/>
        <w:rPr>
          <w:rFonts w:ascii="宋体" w:hAnsi="宋体"/>
          <w:color w:val="000000" w:themeColor="text1"/>
          <w:sz w:val="24"/>
          <w:szCs w:val="20"/>
        </w:rPr>
      </w:pPr>
      <w:r>
        <w:rPr>
          <w:rFonts w:ascii="宋体" w:hAnsi="宋体"/>
          <w:color w:val="000000" w:themeColor="text1"/>
          <w:sz w:val="24"/>
        </w:rPr>
        <w:t>7</w:t>
      </w:r>
      <w:r>
        <w:rPr>
          <w:rFonts w:hint="eastAsia" w:ascii="宋体" w:hAnsi="宋体"/>
          <w:color w:val="000000" w:themeColor="text1"/>
          <w:sz w:val="24"/>
        </w:rPr>
        <w:t>.</w:t>
      </w:r>
      <w:r>
        <w:rPr>
          <w:rFonts w:ascii="宋体" w:hAnsi="宋体"/>
          <w:color w:val="000000" w:themeColor="text1"/>
          <w:sz w:val="24"/>
        </w:rPr>
        <w:t>“</w:t>
      </w:r>
      <w:r>
        <w:rPr>
          <w:rFonts w:hint="eastAsia" w:ascii="宋体" w:hAnsi="宋体" w:cs="宋体"/>
          <w:color w:val="000000" w:themeColor="text1"/>
          <w:sz w:val="24"/>
        </w:rPr>
        <w:t>★</w:t>
      </w:r>
      <w:r>
        <w:rPr>
          <w:rFonts w:ascii="宋体" w:hAnsi="宋体"/>
          <w:color w:val="000000" w:themeColor="text1"/>
          <w:sz w:val="24"/>
        </w:rPr>
        <w:t>”系指实质性要求条款。</w:t>
      </w:r>
    </w:p>
    <w:p>
      <w:pPr>
        <w:snapToGrid w:val="0"/>
        <w:spacing w:beforeLines="50" w:line="360" w:lineRule="auto"/>
        <w:ind w:firstLine="472" w:firstLineChars="196"/>
        <w:rPr>
          <w:rFonts w:ascii="宋体" w:hAnsi="宋体"/>
          <w:b/>
          <w:color w:val="000000" w:themeColor="text1"/>
          <w:sz w:val="24"/>
        </w:rPr>
      </w:pPr>
      <w:r>
        <w:rPr>
          <w:rFonts w:hint="eastAsia" w:ascii="宋体" w:hAnsi="宋体"/>
          <w:b/>
          <w:color w:val="000000" w:themeColor="text1"/>
          <w:sz w:val="24"/>
        </w:rPr>
        <w:t>（三）招标方式</w:t>
      </w:r>
    </w:p>
    <w:p>
      <w:pPr>
        <w:snapToGrid w:val="0"/>
        <w:spacing w:line="360" w:lineRule="auto"/>
        <w:ind w:firstLine="480" w:firstLineChars="200"/>
        <w:jc w:val="left"/>
        <w:rPr>
          <w:rFonts w:ascii="宋体" w:hAnsi="宋体"/>
          <w:color w:val="000000" w:themeColor="text1"/>
          <w:sz w:val="24"/>
          <w:szCs w:val="20"/>
        </w:rPr>
      </w:pPr>
      <w:r>
        <w:rPr>
          <w:rFonts w:ascii="宋体" w:hAnsi="宋体"/>
          <w:color w:val="000000" w:themeColor="text1"/>
          <w:sz w:val="24"/>
        </w:rPr>
        <w:t>本次招标采用公开招标方式进行。</w:t>
      </w:r>
    </w:p>
    <w:p>
      <w:pPr>
        <w:snapToGrid w:val="0"/>
        <w:spacing w:beforeLines="50" w:line="360" w:lineRule="auto"/>
        <w:ind w:firstLine="472" w:firstLineChars="196"/>
        <w:rPr>
          <w:rFonts w:ascii="宋体" w:hAnsi="宋体"/>
          <w:b/>
          <w:color w:val="000000" w:themeColor="text1"/>
          <w:sz w:val="24"/>
        </w:rPr>
      </w:pPr>
      <w:r>
        <w:rPr>
          <w:rFonts w:hint="eastAsia" w:ascii="宋体" w:hAnsi="宋体"/>
          <w:b/>
          <w:color w:val="000000" w:themeColor="text1"/>
          <w:sz w:val="24"/>
        </w:rPr>
        <w:t>（四）投标委托</w:t>
      </w:r>
    </w:p>
    <w:p>
      <w:pPr>
        <w:pStyle w:val="20"/>
        <w:snapToGrid w:val="0"/>
        <w:spacing w:line="360" w:lineRule="auto"/>
        <w:ind w:firstLine="464" w:firstLineChars="200"/>
        <w:jc w:val="left"/>
        <w:rPr>
          <w:rFonts w:hAnsi="宋体"/>
          <w:color w:val="000000" w:themeColor="text1"/>
          <w:sz w:val="24"/>
          <w:szCs w:val="24"/>
        </w:rPr>
      </w:pPr>
      <w:r>
        <w:rPr>
          <w:rFonts w:hAnsi="宋体"/>
          <w:color w:val="000000" w:themeColor="text1"/>
          <w:sz w:val="24"/>
          <w:szCs w:val="24"/>
        </w:rPr>
        <w:t>投标人代表须携带</w:t>
      </w:r>
      <w:r>
        <w:rPr>
          <w:rFonts w:hint="eastAsia" w:hAnsi="宋体"/>
          <w:color w:val="000000" w:themeColor="text1"/>
          <w:sz w:val="24"/>
          <w:szCs w:val="24"/>
        </w:rPr>
        <w:t>有效</w:t>
      </w:r>
      <w:r>
        <w:rPr>
          <w:rFonts w:hAnsi="宋体"/>
          <w:color w:val="000000" w:themeColor="text1"/>
          <w:sz w:val="24"/>
          <w:szCs w:val="24"/>
        </w:rPr>
        <w:t>身份证</w:t>
      </w:r>
      <w:r>
        <w:rPr>
          <w:rFonts w:hint="eastAsia" w:hAnsi="宋体"/>
          <w:color w:val="000000" w:themeColor="text1"/>
          <w:sz w:val="24"/>
          <w:szCs w:val="24"/>
        </w:rPr>
        <w:t>件</w:t>
      </w:r>
      <w:r>
        <w:rPr>
          <w:rFonts w:hAnsi="宋体"/>
          <w:color w:val="000000" w:themeColor="text1"/>
          <w:sz w:val="24"/>
          <w:szCs w:val="24"/>
        </w:rPr>
        <w:t>。如投标人代表不是法定代表人，须有法定代表人出具的授权委托书（正本用原件，副本用复印件，格式见第四部分）。</w:t>
      </w:r>
    </w:p>
    <w:p>
      <w:pPr>
        <w:snapToGrid w:val="0"/>
        <w:spacing w:beforeLines="50" w:line="360" w:lineRule="auto"/>
        <w:ind w:firstLine="472" w:firstLineChars="196"/>
        <w:rPr>
          <w:rFonts w:ascii="宋体" w:hAnsi="宋体"/>
          <w:b/>
          <w:color w:val="000000" w:themeColor="text1"/>
          <w:sz w:val="24"/>
        </w:rPr>
      </w:pPr>
      <w:r>
        <w:rPr>
          <w:rFonts w:hint="eastAsia" w:ascii="宋体" w:hAnsi="宋体"/>
          <w:b/>
          <w:color w:val="000000" w:themeColor="text1"/>
          <w:sz w:val="24"/>
        </w:rPr>
        <w:t>（五）投标费用</w:t>
      </w:r>
    </w:p>
    <w:p>
      <w:pPr>
        <w:snapToGrid w:val="0"/>
        <w:spacing w:line="360" w:lineRule="auto"/>
        <w:ind w:firstLine="480" w:firstLineChars="200"/>
        <w:jc w:val="left"/>
        <w:rPr>
          <w:rFonts w:ascii="宋体" w:hAnsi="宋体"/>
          <w:color w:val="000000" w:themeColor="text1"/>
          <w:sz w:val="24"/>
          <w:szCs w:val="20"/>
        </w:rPr>
      </w:pPr>
      <w:r>
        <w:rPr>
          <w:rFonts w:hint="eastAsia" w:ascii="宋体" w:hAnsi="宋体"/>
          <w:color w:val="000000" w:themeColor="text1"/>
          <w:sz w:val="24"/>
        </w:rPr>
        <w:t>不论投标结果如何，投标人均应自行承担所有与投标有关的全部费用（招标文件有相反规定除外）。</w:t>
      </w:r>
    </w:p>
    <w:p>
      <w:pPr>
        <w:snapToGrid w:val="0"/>
        <w:spacing w:beforeLines="50" w:line="360" w:lineRule="auto"/>
        <w:ind w:firstLine="472" w:firstLineChars="196"/>
        <w:jc w:val="left"/>
        <w:outlineLvl w:val="1"/>
        <w:rPr>
          <w:rFonts w:ascii="宋体" w:hAnsi="宋体"/>
          <w:b/>
          <w:color w:val="000000" w:themeColor="text1"/>
          <w:sz w:val="24"/>
        </w:rPr>
      </w:pPr>
      <w:r>
        <w:rPr>
          <w:rFonts w:hint="eastAsia" w:ascii="宋体" w:hAnsi="宋体"/>
          <w:b/>
          <w:color w:val="000000" w:themeColor="text1"/>
          <w:sz w:val="24"/>
        </w:rPr>
        <w:t>（六）联合体投标</w:t>
      </w:r>
    </w:p>
    <w:p>
      <w:pPr>
        <w:snapToGrid w:val="0"/>
        <w:spacing w:line="360" w:lineRule="auto"/>
        <w:ind w:firstLine="720" w:firstLineChars="300"/>
        <w:jc w:val="left"/>
        <w:rPr>
          <w:rFonts w:ascii="宋体" w:hAnsi="宋体" w:cs="Arial"/>
          <w:color w:val="000000" w:themeColor="text1"/>
          <w:sz w:val="24"/>
        </w:rPr>
      </w:pPr>
      <w:r>
        <w:rPr>
          <w:rFonts w:hint="eastAsia" w:ascii="宋体" w:hAnsi="宋体" w:cs="Arial"/>
          <w:color w:val="000000" w:themeColor="text1"/>
          <w:sz w:val="24"/>
        </w:rPr>
        <w:t>本项目</w:t>
      </w:r>
      <w:r>
        <w:rPr>
          <w:rFonts w:hint="eastAsia" w:ascii="宋体" w:hAnsi="宋体" w:cs="Arial"/>
          <w:color w:val="000000" w:themeColor="text1"/>
          <w:sz w:val="24"/>
          <w:u w:val="single"/>
        </w:rPr>
        <w:t>不接受</w:t>
      </w:r>
      <w:r>
        <w:rPr>
          <w:rFonts w:hint="eastAsia" w:ascii="宋体" w:hAnsi="宋体" w:cs="Arial"/>
          <w:color w:val="000000" w:themeColor="text1"/>
          <w:sz w:val="24"/>
        </w:rPr>
        <w:t>联合体投标。</w:t>
      </w:r>
    </w:p>
    <w:p>
      <w:pPr>
        <w:snapToGrid w:val="0"/>
        <w:spacing w:line="360" w:lineRule="auto"/>
        <w:ind w:firstLine="480" w:firstLineChars="200"/>
        <w:jc w:val="left"/>
        <w:rPr>
          <w:rFonts w:ascii="宋体" w:hAnsi="宋体"/>
          <w:color w:val="000000" w:themeColor="text1"/>
          <w:sz w:val="24"/>
          <w:szCs w:val="20"/>
        </w:rPr>
      </w:pPr>
      <w:r>
        <w:rPr>
          <w:rFonts w:hint="eastAsia" w:ascii="宋体" w:hAnsi="宋体" w:cs="Arial"/>
          <w:color w:val="000000" w:themeColor="text1"/>
          <w:sz w:val="24"/>
        </w:rPr>
        <w:t>（</w:t>
      </w:r>
      <w:r>
        <w:rPr>
          <w:rFonts w:hint="eastAsia" w:ascii="宋体" w:hAnsi="宋体"/>
          <w:color w:val="000000" w:themeColor="text1"/>
          <w:sz w:val="24"/>
        </w:rPr>
        <w:t>联合体投标要求</w:t>
      </w:r>
      <w:r>
        <w:rPr>
          <w:rFonts w:ascii="宋体" w:hAnsi="宋体"/>
          <w:color w:val="000000" w:themeColor="text1"/>
          <w:sz w:val="24"/>
        </w:rPr>
        <w:t>:联合体各方中至少有一方符合本文件规定的特定资质条件。但同一专业的投标人组成的联合体应以资质最低的一方为依据。联合体投标的,须提供</w:t>
      </w:r>
      <w:r>
        <w:rPr>
          <w:rFonts w:hint="eastAsia" w:ascii="宋体" w:hAnsi="宋体"/>
          <w:color w:val="000000" w:themeColor="text1"/>
          <w:sz w:val="24"/>
        </w:rPr>
        <w:t>《</w:t>
      </w:r>
      <w:r>
        <w:rPr>
          <w:rFonts w:ascii="宋体" w:hAnsi="宋体"/>
          <w:color w:val="000000" w:themeColor="text1"/>
          <w:sz w:val="24"/>
        </w:rPr>
        <w:t>联合</w:t>
      </w:r>
      <w:r>
        <w:rPr>
          <w:rFonts w:hint="eastAsia" w:ascii="宋体" w:hAnsi="宋体"/>
          <w:color w:val="000000" w:themeColor="text1"/>
          <w:sz w:val="24"/>
        </w:rPr>
        <w:t>投标</w:t>
      </w:r>
      <w:r>
        <w:rPr>
          <w:rFonts w:ascii="宋体" w:hAnsi="宋体"/>
          <w:color w:val="000000" w:themeColor="text1"/>
          <w:sz w:val="24"/>
        </w:rPr>
        <w:t>协议</w:t>
      </w:r>
      <w:r>
        <w:rPr>
          <w:rFonts w:hint="eastAsia" w:ascii="宋体" w:hAnsi="宋体"/>
          <w:color w:val="000000" w:themeColor="text1"/>
          <w:sz w:val="24"/>
        </w:rPr>
        <w:t>书》，格式见附件</w:t>
      </w:r>
      <w:r>
        <w:rPr>
          <w:rFonts w:ascii="宋体" w:hAnsi="宋体"/>
          <w:color w:val="000000" w:themeColor="text1"/>
          <w:sz w:val="24"/>
        </w:rPr>
        <w:t>。）</w:t>
      </w:r>
    </w:p>
    <w:p>
      <w:pPr>
        <w:snapToGrid w:val="0"/>
        <w:spacing w:beforeLines="50" w:line="360" w:lineRule="auto"/>
        <w:ind w:firstLine="472" w:firstLineChars="196"/>
        <w:jc w:val="left"/>
        <w:outlineLvl w:val="1"/>
        <w:rPr>
          <w:rFonts w:ascii="宋体" w:hAnsi="宋体"/>
          <w:b/>
          <w:color w:val="000000" w:themeColor="text1"/>
          <w:sz w:val="24"/>
        </w:rPr>
      </w:pPr>
      <w:r>
        <w:rPr>
          <w:rFonts w:hint="eastAsia" w:ascii="宋体" w:hAnsi="宋体"/>
          <w:b/>
          <w:color w:val="000000" w:themeColor="text1"/>
          <w:sz w:val="24"/>
        </w:rPr>
        <w:t>（七）转包与分包</w:t>
      </w:r>
    </w:p>
    <w:p>
      <w:pPr>
        <w:snapToGrid w:val="0"/>
        <w:spacing w:line="360" w:lineRule="auto"/>
        <w:ind w:firstLine="480" w:firstLineChars="200"/>
        <w:rPr>
          <w:rFonts w:ascii="宋体" w:hAnsi="宋体" w:cs="宋体"/>
          <w:color w:val="000000" w:themeColor="text1"/>
          <w:kern w:val="0"/>
          <w:sz w:val="24"/>
          <w:szCs w:val="20"/>
        </w:rPr>
      </w:pPr>
      <w:r>
        <w:rPr>
          <w:rFonts w:ascii="宋体" w:hAnsi="宋体" w:cs="宋体"/>
          <w:color w:val="000000" w:themeColor="text1"/>
          <w:kern w:val="0"/>
          <w:sz w:val="24"/>
        </w:rPr>
        <w:t>1</w:t>
      </w:r>
      <w:r>
        <w:rPr>
          <w:rFonts w:hint="eastAsia" w:ascii="宋体" w:hAnsi="宋体" w:cs="宋体"/>
          <w:color w:val="000000" w:themeColor="text1"/>
          <w:kern w:val="0"/>
          <w:sz w:val="24"/>
        </w:rPr>
        <w:t>.</w:t>
      </w:r>
      <w:r>
        <w:rPr>
          <w:rFonts w:ascii="宋体" w:hAnsi="宋体" w:cs="宋体"/>
          <w:color w:val="000000" w:themeColor="text1"/>
          <w:kern w:val="0"/>
          <w:sz w:val="24"/>
        </w:rPr>
        <w:t>本项目</w:t>
      </w:r>
      <w:r>
        <w:rPr>
          <w:rFonts w:ascii="宋体" w:hAnsi="宋体" w:cs="宋体"/>
          <w:color w:val="000000" w:themeColor="text1"/>
          <w:kern w:val="0"/>
          <w:sz w:val="24"/>
          <w:u w:val="single"/>
        </w:rPr>
        <w:t>不允许</w:t>
      </w:r>
      <w:r>
        <w:rPr>
          <w:rFonts w:ascii="宋体" w:hAnsi="宋体" w:cs="宋体"/>
          <w:color w:val="000000" w:themeColor="text1"/>
          <w:kern w:val="0"/>
          <w:sz w:val="24"/>
        </w:rPr>
        <w:t>转包。</w:t>
      </w:r>
    </w:p>
    <w:p>
      <w:pPr>
        <w:snapToGrid w:val="0"/>
        <w:spacing w:line="360" w:lineRule="auto"/>
        <w:ind w:firstLine="480" w:firstLineChars="200"/>
        <w:rPr>
          <w:rFonts w:ascii="宋体" w:hAnsi="宋体"/>
          <w:color w:val="000000" w:themeColor="text1"/>
          <w:sz w:val="24"/>
          <w:szCs w:val="20"/>
        </w:rPr>
      </w:pPr>
      <w:r>
        <w:rPr>
          <w:rFonts w:ascii="宋体" w:hAnsi="宋体" w:cs="宋体"/>
          <w:color w:val="000000" w:themeColor="text1"/>
          <w:kern w:val="0"/>
          <w:sz w:val="24"/>
        </w:rPr>
        <w:t>2</w:t>
      </w:r>
      <w:r>
        <w:rPr>
          <w:rFonts w:hint="eastAsia" w:ascii="宋体" w:hAnsi="宋体" w:cs="宋体"/>
          <w:color w:val="000000" w:themeColor="text1"/>
          <w:kern w:val="0"/>
          <w:sz w:val="24"/>
        </w:rPr>
        <w:t>.</w:t>
      </w:r>
      <w:r>
        <w:rPr>
          <w:rFonts w:ascii="宋体" w:hAnsi="宋体" w:cs="宋体"/>
          <w:color w:val="000000" w:themeColor="text1"/>
          <w:kern w:val="0"/>
          <w:sz w:val="24"/>
        </w:rPr>
        <w:t>本项目</w:t>
      </w:r>
      <w:r>
        <w:rPr>
          <w:rFonts w:ascii="宋体" w:hAnsi="宋体" w:cs="宋体"/>
          <w:color w:val="000000" w:themeColor="text1"/>
          <w:kern w:val="0"/>
          <w:sz w:val="24"/>
          <w:u w:val="single"/>
        </w:rPr>
        <w:t>不可以</w:t>
      </w:r>
      <w:r>
        <w:rPr>
          <w:rFonts w:ascii="宋体" w:hAnsi="宋体" w:cs="宋体"/>
          <w:color w:val="000000" w:themeColor="text1"/>
          <w:kern w:val="0"/>
          <w:sz w:val="24"/>
        </w:rPr>
        <w:t>分包[或本项目可以分包，但主体部分不得分包。本项目“主体部分”是指：</w:t>
      </w:r>
      <w:r>
        <w:rPr>
          <w:rFonts w:hint="eastAsia" w:ascii="宋体" w:hAnsi="宋体" w:cs="宋体"/>
          <w:color w:val="000000" w:themeColor="text1"/>
          <w:kern w:val="0"/>
          <w:sz w:val="24"/>
          <w:u w:val="single"/>
        </w:rPr>
        <w:t>/</w:t>
      </w:r>
      <w:r>
        <w:rPr>
          <w:rFonts w:hint="eastAsia" w:ascii="宋体" w:hAnsi="宋体" w:cs="宋体"/>
          <w:color w:val="000000" w:themeColor="text1"/>
          <w:kern w:val="0"/>
          <w:sz w:val="24"/>
        </w:rPr>
        <w:t>（根据项目具体情况确定）</w:t>
      </w:r>
      <w:r>
        <w:rPr>
          <w:rFonts w:ascii="宋体" w:hAnsi="宋体" w:cs="宋体"/>
          <w:color w:val="000000" w:themeColor="text1"/>
          <w:kern w:val="0"/>
          <w:sz w:val="24"/>
        </w:rPr>
        <w:t>]</w:t>
      </w:r>
    </w:p>
    <w:p>
      <w:pPr>
        <w:snapToGrid w:val="0"/>
        <w:spacing w:beforeLines="50" w:line="360" w:lineRule="auto"/>
        <w:ind w:firstLine="472" w:firstLineChars="196"/>
        <w:rPr>
          <w:rFonts w:ascii="宋体" w:hAnsi="宋体"/>
          <w:b/>
          <w:color w:val="000000" w:themeColor="text1"/>
          <w:sz w:val="24"/>
        </w:rPr>
      </w:pPr>
      <w:r>
        <w:rPr>
          <w:rFonts w:hint="eastAsia" w:ascii="宋体" w:hAnsi="宋体"/>
          <w:b/>
          <w:color w:val="000000" w:themeColor="text1"/>
          <w:sz w:val="24"/>
        </w:rPr>
        <w:t>（八）特别说明：</w:t>
      </w:r>
    </w:p>
    <w:p>
      <w:pPr>
        <w:pStyle w:val="25"/>
        <w:snapToGrid w:val="0"/>
        <w:spacing w:beforeLines="0" w:afterLines="0" w:line="360" w:lineRule="auto"/>
        <w:ind w:left="2" w:leftChars="1" w:firstLine="480" w:firstLineChars="200"/>
        <w:rPr>
          <w:rFonts w:hAnsi="宋体"/>
          <w:color w:val="000000" w:themeColor="text1"/>
        </w:rPr>
      </w:pPr>
      <w:r>
        <w:rPr>
          <w:rFonts w:hint="eastAsia" w:hAnsi="宋体"/>
          <w:color w:val="000000" w:themeColor="text1"/>
        </w:rPr>
        <w:t>★1.</w:t>
      </w:r>
      <w:r>
        <w:rPr>
          <w:rFonts w:hAnsi="宋体"/>
          <w:color w:val="000000" w:themeColor="text1"/>
        </w:rPr>
        <w:t xml:space="preserve"> 《政府采购货物和服务招标投标管理办法》（财政部令第</w:t>
      </w:r>
      <w:r>
        <w:rPr>
          <w:rFonts w:hint="eastAsia" w:hAnsi="宋体"/>
          <w:color w:val="000000" w:themeColor="text1"/>
        </w:rPr>
        <w:t>87</w:t>
      </w:r>
      <w:r>
        <w:rPr>
          <w:rFonts w:hAnsi="宋体"/>
          <w:color w:val="000000" w:themeColor="text1"/>
        </w:rPr>
        <w:t>号）</w:t>
      </w:r>
      <w:r>
        <w:rPr>
          <w:rFonts w:hint="eastAsia" w:hAnsi="宋体"/>
          <w:color w:val="000000" w:themeColor="text1"/>
        </w:rPr>
        <w:t>：</w:t>
      </w:r>
      <w:r>
        <w:rPr>
          <w:rFonts w:hAnsi="宋体"/>
          <w:color w:val="000000" w:themeColor="text1"/>
        </w:rPr>
        <w:t>第三十一条 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pPr>
        <w:pStyle w:val="25"/>
        <w:snapToGrid w:val="0"/>
        <w:spacing w:beforeLines="0" w:afterLines="0" w:line="360" w:lineRule="auto"/>
        <w:ind w:left="2" w:leftChars="1" w:firstLine="480" w:firstLineChars="200"/>
        <w:rPr>
          <w:rFonts w:hAnsi="宋体"/>
          <w:color w:val="000000" w:themeColor="text1"/>
        </w:rPr>
      </w:pPr>
      <w:r>
        <w:rPr>
          <w:rFonts w:hAnsi="宋体"/>
          <w:color w:val="000000" w:themeColor="text1"/>
        </w:rPr>
        <w:t xml:space="preserve">  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pStyle w:val="25"/>
        <w:snapToGrid w:val="0"/>
        <w:spacing w:beforeLines="0" w:afterLines="0" w:line="360" w:lineRule="auto"/>
        <w:ind w:left="2" w:leftChars="1" w:firstLine="480" w:firstLineChars="200"/>
        <w:rPr>
          <w:rFonts w:hAnsi="宋体"/>
          <w:color w:val="000000" w:themeColor="text1"/>
        </w:rPr>
      </w:pPr>
      <w:r>
        <w:rPr>
          <w:rFonts w:hAnsi="宋体"/>
          <w:color w:val="000000" w:themeColor="text1"/>
        </w:rPr>
        <w:t>非单一产品采购项目，采购人应当根据采购项目技术构成、产品价格比重等合理确定核心产品，并在招标文件中载明。多家投标人提供的核心产品品牌相同的，按前两款规定处理。</w:t>
      </w:r>
      <w:r>
        <w:rPr>
          <w:rFonts w:hint="eastAsia" w:hAnsi="宋体"/>
          <w:color w:val="000000" w:themeColor="text1"/>
        </w:rPr>
        <w:t>（货物名称中打▲为</w:t>
      </w:r>
      <w:r>
        <w:rPr>
          <w:rFonts w:hAnsi="宋体"/>
          <w:color w:val="000000" w:themeColor="text1"/>
        </w:rPr>
        <w:t>核心产品</w:t>
      </w:r>
      <w:r>
        <w:rPr>
          <w:rFonts w:hint="eastAsia" w:hAnsi="宋体"/>
          <w:color w:val="000000" w:themeColor="text1"/>
        </w:rPr>
        <w:t>）</w:t>
      </w:r>
    </w:p>
    <w:p>
      <w:pPr>
        <w:pStyle w:val="25"/>
        <w:snapToGrid w:val="0"/>
        <w:spacing w:beforeLines="0" w:afterLines="0" w:line="360" w:lineRule="auto"/>
        <w:ind w:left="2" w:leftChars="1" w:firstLine="480" w:firstLineChars="200"/>
        <w:rPr>
          <w:rFonts w:hAnsi="宋体"/>
          <w:color w:val="000000" w:themeColor="text1"/>
        </w:rPr>
      </w:pPr>
      <w:r>
        <w:rPr>
          <w:rFonts w:hint="eastAsia" w:hAnsi="宋体" w:cs="宋体"/>
          <w:color w:val="000000" w:themeColor="text1"/>
        </w:rPr>
        <w:t>★</w:t>
      </w:r>
      <w:r>
        <w:rPr>
          <w:rFonts w:hint="eastAsia" w:hAnsi="宋体"/>
          <w:color w:val="000000" w:themeColor="text1"/>
        </w:rPr>
        <w:t>2.</w:t>
      </w:r>
      <w:r>
        <w:rPr>
          <w:rFonts w:hAnsi="宋体"/>
          <w:color w:val="000000" w:themeColor="text1"/>
        </w:rPr>
        <w:t>投标人投标所使用的资格、信誉、荣誉、业绩与企业认证必须为本法人所拥有。投标人投标所使用的采购项目实施人员必须为本法人员工（或必须为本法人或控股公司正式员工）。</w:t>
      </w:r>
    </w:p>
    <w:p>
      <w:pPr>
        <w:pStyle w:val="25"/>
        <w:snapToGrid w:val="0"/>
        <w:spacing w:beforeLines="0" w:afterLines="0" w:line="360" w:lineRule="auto"/>
        <w:ind w:left="2" w:leftChars="1" w:firstLine="480" w:firstLineChars="200"/>
        <w:rPr>
          <w:rFonts w:hAnsi="宋体"/>
          <w:color w:val="000000" w:themeColor="text1"/>
        </w:rPr>
      </w:pPr>
      <w:r>
        <w:rPr>
          <w:rFonts w:hint="eastAsia" w:hAnsi="宋体" w:cs="宋体"/>
          <w:color w:val="000000" w:themeColor="text1"/>
        </w:rPr>
        <w:t>★</w:t>
      </w:r>
      <w:r>
        <w:rPr>
          <w:rFonts w:hint="eastAsia" w:hAnsi="宋体"/>
          <w:color w:val="000000" w:themeColor="text1"/>
        </w:rPr>
        <w:t>3.</w:t>
      </w:r>
      <w:r>
        <w:rPr>
          <w:rFonts w:hAnsi="宋体"/>
          <w:color w:val="000000" w:themeColor="text1"/>
        </w:rPr>
        <w:t>投标人应仔细阅读招标文件的所有内容，按照招标文件的要求提交投标文件，并对所提供的全部资料的真实性承担法律责任。</w:t>
      </w:r>
    </w:p>
    <w:p>
      <w:pPr>
        <w:pStyle w:val="25"/>
        <w:snapToGrid w:val="0"/>
        <w:spacing w:beforeLines="0" w:afterLines="0" w:line="360" w:lineRule="auto"/>
        <w:ind w:left="2" w:leftChars="1" w:firstLine="480" w:firstLineChars="200"/>
        <w:rPr>
          <w:rFonts w:hAnsi="宋体"/>
          <w:b/>
          <w:color w:val="000000" w:themeColor="text1"/>
        </w:rPr>
      </w:pPr>
      <w:r>
        <w:rPr>
          <w:rFonts w:hint="eastAsia" w:hAnsi="宋体" w:cs="宋体"/>
          <w:color w:val="000000" w:themeColor="text1"/>
        </w:rPr>
        <w:t>★</w:t>
      </w:r>
      <w:r>
        <w:rPr>
          <w:rFonts w:hint="eastAsia" w:hAnsi="宋体"/>
          <w:color w:val="000000" w:themeColor="text1"/>
        </w:rPr>
        <w:t>4.</w:t>
      </w:r>
      <w:r>
        <w:rPr>
          <w:rFonts w:hAnsi="宋体"/>
          <w:color w:val="000000" w:themeColor="text1"/>
        </w:rPr>
        <w:t>投标人在投标活动中提供任何虚假材料,其投标无效，并报监管部门查处；中标后发现的,中标人须依照《中华人民共和国消费者权益保护法》第49条之规定双倍赔偿采购人</w:t>
      </w:r>
      <w:r>
        <w:rPr>
          <w:rFonts w:hint="eastAsia" w:hAnsi="宋体"/>
          <w:color w:val="000000" w:themeColor="text1"/>
        </w:rPr>
        <w:t>，</w:t>
      </w:r>
      <w:r>
        <w:rPr>
          <w:rFonts w:hAnsi="宋体"/>
          <w:color w:val="000000" w:themeColor="text1"/>
        </w:rPr>
        <w:t>且民事赔偿并不免除违法投标人的行政与刑事责任。</w:t>
      </w:r>
    </w:p>
    <w:p>
      <w:pPr>
        <w:snapToGrid w:val="0"/>
        <w:spacing w:beforeLines="50" w:line="360" w:lineRule="auto"/>
        <w:ind w:firstLine="472" w:firstLineChars="196"/>
        <w:rPr>
          <w:rFonts w:ascii="宋体" w:hAnsi="宋体"/>
          <w:b/>
          <w:color w:val="000000" w:themeColor="text1"/>
          <w:sz w:val="24"/>
        </w:rPr>
      </w:pPr>
      <w:r>
        <w:rPr>
          <w:rFonts w:ascii="宋体" w:hAnsi="宋体"/>
          <w:b/>
          <w:color w:val="000000" w:themeColor="text1"/>
          <w:sz w:val="24"/>
        </w:rPr>
        <w:t>（九）质疑和投诉</w:t>
      </w:r>
    </w:p>
    <w:p>
      <w:pPr>
        <w:pStyle w:val="25"/>
        <w:snapToGrid w:val="0"/>
        <w:spacing w:beforeLines="0" w:afterLines="0" w:line="360" w:lineRule="auto"/>
        <w:ind w:firstLine="480" w:firstLineChars="200"/>
        <w:rPr>
          <w:rFonts w:hAnsi="宋体"/>
          <w:color w:val="000000"/>
        </w:rPr>
      </w:pPr>
      <w:r>
        <w:rPr>
          <w:rFonts w:hAnsi="宋体"/>
          <w:color w:val="000000"/>
        </w:rPr>
        <w:t>1.投标人认为招标文件、招标过程或中标结果使自己的合法权益受到损害的，应当在知道或者应知其权益受到损害之日起七个工作日内，以书面形式向采购人、采购代理机构提出质疑。投标人对招标采购单位的质疑答复不满意或者招标采购单位未在规定时间内作出答复的，可以在答复期满后十五个工作日内向同级采购监管部门投诉。</w:t>
      </w:r>
    </w:p>
    <w:p>
      <w:pPr>
        <w:pStyle w:val="25"/>
        <w:snapToGrid w:val="0"/>
        <w:spacing w:beforeLines="0" w:afterLines="0" w:line="360" w:lineRule="auto"/>
        <w:ind w:firstLine="480" w:firstLineChars="200"/>
        <w:rPr>
          <w:rFonts w:hAnsi="宋体"/>
          <w:bCs/>
          <w:color w:val="000000" w:themeColor="text1"/>
        </w:rPr>
      </w:pPr>
      <w:r>
        <w:rPr>
          <w:rFonts w:hAnsi="宋体"/>
          <w:bCs/>
          <w:color w:val="000000" w:themeColor="text1"/>
        </w:rPr>
        <w:t>2</w:t>
      </w:r>
      <w:r>
        <w:rPr>
          <w:rFonts w:hint="eastAsia" w:hAnsi="宋体"/>
          <w:bCs/>
          <w:color w:val="000000" w:themeColor="text1"/>
        </w:rPr>
        <w:t>.</w:t>
      </w:r>
      <w:r>
        <w:rPr>
          <w:rFonts w:hAnsi="宋体"/>
          <w:bCs/>
          <w:color w:val="000000" w:themeColor="text1"/>
        </w:rPr>
        <w:t>投诉应当采用书面形式，质疑书、投诉书均应明确阐述招标文件、招标过程</w:t>
      </w:r>
      <w:r>
        <w:rPr>
          <w:rFonts w:hint="eastAsia" w:hAnsi="宋体"/>
          <w:bCs/>
          <w:color w:val="000000" w:themeColor="text1"/>
        </w:rPr>
        <w:t>或</w:t>
      </w:r>
      <w:r>
        <w:rPr>
          <w:rFonts w:hAnsi="宋体"/>
          <w:bCs/>
          <w:color w:val="000000" w:themeColor="text1"/>
        </w:rPr>
        <w:t>中标结果中使自己合法权益受到损害的实质性内容，提供相关事实、依据和证据及其来源或线索，便于有关单位调查、答复和处理</w:t>
      </w:r>
      <w:r>
        <w:rPr>
          <w:rFonts w:hint="eastAsia" w:hAnsi="宋体"/>
          <w:bCs/>
          <w:color w:val="000000" w:themeColor="text1"/>
        </w:rPr>
        <w:t>。</w:t>
      </w:r>
    </w:p>
    <w:p>
      <w:pPr>
        <w:spacing w:line="360" w:lineRule="auto"/>
        <w:ind w:firstLine="482" w:firstLineChars="200"/>
        <w:rPr>
          <w:rFonts w:ascii="宋体" w:hAnsi="宋体"/>
          <w:b/>
          <w:color w:val="000000" w:themeColor="text1"/>
          <w:sz w:val="24"/>
        </w:rPr>
      </w:pPr>
      <w:r>
        <w:rPr>
          <w:rFonts w:ascii="宋体" w:hAnsi="宋体"/>
          <w:b/>
          <w:color w:val="000000" w:themeColor="text1"/>
          <w:sz w:val="24"/>
        </w:rPr>
        <w:t>二  招标文件</w:t>
      </w:r>
    </w:p>
    <w:p>
      <w:pPr>
        <w:snapToGrid w:val="0"/>
        <w:spacing w:line="360" w:lineRule="auto"/>
        <w:ind w:firstLine="472" w:firstLineChars="196"/>
        <w:jc w:val="left"/>
        <w:rPr>
          <w:rFonts w:ascii="宋体" w:hAnsi="宋体"/>
          <w:b/>
          <w:color w:val="000000" w:themeColor="text1"/>
          <w:sz w:val="24"/>
          <w:szCs w:val="20"/>
        </w:rPr>
      </w:pPr>
      <w:r>
        <w:rPr>
          <w:rFonts w:hint="eastAsia" w:ascii="宋体" w:hAnsi="宋体"/>
          <w:b/>
          <w:color w:val="000000" w:themeColor="text1"/>
          <w:sz w:val="24"/>
        </w:rPr>
        <w:t>（一）招标文件的构成。本招标文件由以下部份组成：</w:t>
      </w:r>
    </w:p>
    <w:p>
      <w:pPr>
        <w:snapToGrid w:val="0"/>
        <w:spacing w:line="360" w:lineRule="auto"/>
        <w:ind w:firstLine="480" w:firstLineChars="200"/>
        <w:jc w:val="left"/>
        <w:rPr>
          <w:rFonts w:ascii="宋体" w:hAnsi="宋体"/>
          <w:color w:val="000000" w:themeColor="text1"/>
          <w:sz w:val="24"/>
          <w:szCs w:val="20"/>
        </w:rPr>
      </w:pPr>
      <w:r>
        <w:rPr>
          <w:rFonts w:ascii="宋体" w:hAnsi="宋体"/>
          <w:color w:val="000000" w:themeColor="text1"/>
          <w:sz w:val="24"/>
        </w:rPr>
        <w:t>1</w:t>
      </w:r>
      <w:r>
        <w:rPr>
          <w:rFonts w:hint="eastAsia" w:ascii="宋体" w:hAnsi="宋体"/>
          <w:color w:val="000000" w:themeColor="text1"/>
          <w:sz w:val="24"/>
        </w:rPr>
        <w:t>.</w:t>
      </w:r>
      <w:r>
        <w:rPr>
          <w:rFonts w:ascii="宋体" w:hAnsi="宋体"/>
          <w:color w:val="000000" w:themeColor="text1"/>
          <w:sz w:val="24"/>
        </w:rPr>
        <w:t>招标公告</w:t>
      </w:r>
    </w:p>
    <w:p>
      <w:pPr>
        <w:snapToGrid w:val="0"/>
        <w:spacing w:line="360" w:lineRule="auto"/>
        <w:ind w:firstLine="480" w:firstLineChars="200"/>
        <w:jc w:val="left"/>
        <w:rPr>
          <w:rFonts w:ascii="宋体" w:hAnsi="宋体"/>
          <w:color w:val="000000" w:themeColor="text1"/>
          <w:sz w:val="24"/>
          <w:szCs w:val="20"/>
        </w:rPr>
      </w:pPr>
      <w:r>
        <w:rPr>
          <w:rFonts w:ascii="宋体" w:hAnsi="宋体"/>
          <w:color w:val="000000" w:themeColor="text1"/>
          <w:sz w:val="24"/>
        </w:rPr>
        <w:t>2</w:t>
      </w:r>
      <w:r>
        <w:rPr>
          <w:rFonts w:hint="eastAsia" w:ascii="宋体" w:hAnsi="宋体"/>
          <w:color w:val="000000" w:themeColor="text1"/>
          <w:sz w:val="24"/>
        </w:rPr>
        <w:t>.</w:t>
      </w:r>
      <w:r>
        <w:rPr>
          <w:rFonts w:ascii="宋体" w:hAnsi="宋体"/>
          <w:color w:val="000000" w:themeColor="text1"/>
          <w:sz w:val="24"/>
        </w:rPr>
        <w:t>招标需求</w:t>
      </w:r>
    </w:p>
    <w:p>
      <w:pPr>
        <w:snapToGrid w:val="0"/>
        <w:spacing w:line="360" w:lineRule="auto"/>
        <w:ind w:firstLine="480" w:firstLineChars="200"/>
        <w:jc w:val="left"/>
        <w:rPr>
          <w:rFonts w:ascii="宋体" w:hAnsi="宋体"/>
          <w:color w:val="000000" w:themeColor="text1"/>
          <w:sz w:val="24"/>
          <w:szCs w:val="20"/>
        </w:rPr>
      </w:pPr>
      <w:r>
        <w:rPr>
          <w:rFonts w:ascii="宋体" w:hAnsi="宋体"/>
          <w:color w:val="000000" w:themeColor="text1"/>
          <w:sz w:val="24"/>
        </w:rPr>
        <w:t>3</w:t>
      </w:r>
      <w:r>
        <w:rPr>
          <w:rFonts w:hint="eastAsia" w:ascii="宋体" w:hAnsi="宋体"/>
          <w:color w:val="000000" w:themeColor="text1"/>
          <w:sz w:val="24"/>
        </w:rPr>
        <w:t>.</w:t>
      </w:r>
      <w:r>
        <w:rPr>
          <w:rFonts w:ascii="宋体" w:hAnsi="宋体"/>
          <w:color w:val="000000" w:themeColor="text1"/>
          <w:sz w:val="24"/>
        </w:rPr>
        <w:t>投标人须知</w:t>
      </w:r>
    </w:p>
    <w:p>
      <w:pPr>
        <w:snapToGrid w:val="0"/>
        <w:spacing w:line="360" w:lineRule="auto"/>
        <w:ind w:firstLine="480" w:firstLineChars="200"/>
        <w:jc w:val="left"/>
        <w:rPr>
          <w:rFonts w:ascii="宋体" w:hAnsi="宋体"/>
          <w:color w:val="000000" w:themeColor="text1"/>
          <w:sz w:val="24"/>
          <w:szCs w:val="20"/>
        </w:rPr>
      </w:pPr>
      <w:r>
        <w:rPr>
          <w:rFonts w:ascii="宋体" w:hAnsi="宋体"/>
          <w:color w:val="000000" w:themeColor="text1"/>
          <w:sz w:val="24"/>
        </w:rPr>
        <w:t>4</w:t>
      </w:r>
      <w:r>
        <w:rPr>
          <w:rFonts w:hint="eastAsia" w:ascii="宋体" w:hAnsi="宋体"/>
          <w:color w:val="000000" w:themeColor="text1"/>
          <w:sz w:val="24"/>
        </w:rPr>
        <w:t>.</w:t>
      </w:r>
      <w:r>
        <w:rPr>
          <w:rFonts w:ascii="宋体" w:hAnsi="宋体"/>
          <w:color w:val="000000" w:themeColor="text1"/>
          <w:sz w:val="24"/>
        </w:rPr>
        <w:t>评标办法及标准</w:t>
      </w:r>
    </w:p>
    <w:p>
      <w:pPr>
        <w:snapToGrid w:val="0"/>
        <w:spacing w:line="360" w:lineRule="auto"/>
        <w:ind w:firstLine="480" w:firstLineChars="200"/>
        <w:jc w:val="left"/>
        <w:rPr>
          <w:rFonts w:ascii="宋体" w:hAnsi="宋体"/>
          <w:color w:val="000000" w:themeColor="text1"/>
          <w:sz w:val="24"/>
          <w:szCs w:val="20"/>
        </w:rPr>
      </w:pPr>
      <w:r>
        <w:rPr>
          <w:rFonts w:ascii="宋体" w:hAnsi="宋体"/>
          <w:color w:val="000000" w:themeColor="text1"/>
          <w:sz w:val="24"/>
        </w:rPr>
        <w:t>5</w:t>
      </w:r>
      <w:r>
        <w:rPr>
          <w:rFonts w:hint="eastAsia" w:ascii="宋体" w:hAnsi="宋体"/>
          <w:color w:val="000000" w:themeColor="text1"/>
          <w:sz w:val="24"/>
        </w:rPr>
        <w:t>.</w:t>
      </w:r>
      <w:r>
        <w:rPr>
          <w:rFonts w:ascii="宋体" w:hAnsi="宋体"/>
          <w:color w:val="000000" w:themeColor="text1"/>
          <w:sz w:val="24"/>
        </w:rPr>
        <w:t>合同主要条款</w:t>
      </w:r>
    </w:p>
    <w:p>
      <w:pPr>
        <w:snapToGrid w:val="0"/>
        <w:spacing w:line="360" w:lineRule="auto"/>
        <w:ind w:firstLine="480" w:firstLineChars="200"/>
        <w:jc w:val="left"/>
        <w:rPr>
          <w:rFonts w:ascii="宋体" w:hAnsi="宋体"/>
          <w:color w:val="000000" w:themeColor="text1"/>
          <w:sz w:val="24"/>
        </w:rPr>
      </w:pPr>
      <w:r>
        <w:rPr>
          <w:rFonts w:ascii="宋体" w:hAnsi="宋体"/>
          <w:color w:val="000000" w:themeColor="text1"/>
          <w:sz w:val="24"/>
        </w:rPr>
        <w:t>6</w:t>
      </w:r>
      <w:r>
        <w:rPr>
          <w:rFonts w:hint="eastAsia" w:ascii="宋体" w:hAnsi="宋体"/>
          <w:color w:val="000000" w:themeColor="text1"/>
          <w:sz w:val="24"/>
        </w:rPr>
        <w:t>.</w:t>
      </w:r>
      <w:r>
        <w:rPr>
          <w:rFonts w:ascii="宋体" w:hAnsi="宋体"/>
          <w:color w:val="000000" w:themeColor="text1"/>
          <w:sz w:val="24"/>
        </w:rPr>
        <w:t>投标文件格式</w:t>
      </w:r>
    </w:p>
    <w:p>
      <w:pPr>
        <w:snapToGrid w:val="0"/>
        <w:spacing w:line="360" w:lineRule="auto"/>
        <w:ind w:firstLine="480" w:firstLineChars="200"/>
        <w:jc w:val="left"/>
        <w:rPr>
          <w:rFonts w:ascii="宋体" w:hAnsi="宋体"/>
          <w:color w:val="000000" w:themeColor="text1"/>
          <w:sz w:val="24"/>
          <w:szCs w:val="20"/>
        </w:rPr>
      </w:pPr>
      <w:r>
        <w:rPr>
          <w:rFonts w:hint="eastAsia" w:ascii="宋体" w:hAnsi="宋体"/>
          <w:color w:val="000000" w:themeColor="text1"/>
          <w:sz w:val="24"/>
        </w:rPr>
        <w:t>7.本项目</w:t>
      </w:r>
      <w:r>
        <w:rPr>
          <w:rFonts w:ascii="宋体" w:hAnsi="宋体"/>
          <w:color w:val="000000" w:themeColor="text1"/>
          <w:sz w:val="24"/>
        </w:rPr>
        <w:t>招标文件</w:t>
      </w:r>
      <w:r>
        <w:rPr>
          <w:rFonts w:hint="eastAsia" w:ascii="宋体" w:hAnsi="宋体"/>
          <w:color w:val="000000" w:themeColor="text1"/>
          <w:sz w:val="24"/>
        </w:rPr>
        <w:t>的</w:t>
      </w:r>
      <w:r>
        <w:rPr>
          <w:rFonts w:ascii="宋体" w:hAnsi="宋体"/>
          <w:color w:val="000000" w:themeColor="text1"/>
          <w:sz w:val="24"/>
        </w:rPr>
        <w:t>澄清、答复、修改、补充的内容</w:t>
      </w:r>
    </w:p>
    <w:p>
      <w:pPr>
        <w:snapToGrid w:val="0"/>
        <w:spacing w:beforeLines="50" w:line="360" w:lineRule="auto"/>
        <w:ind w:firstLine="472" w:firstLineChars="196"/>
        <w:jc w:val="left"/>
        <w:rPr>
          <w:rFonts w:ascii="宋体" w:hAnsi="宋体"/>
          <w:b/>
          <w:color w:val="000000" w:themeColor="text1"/>
          <w:sz w:val="24"/>
          <w:szCs w:val="20"/>
        </w:rPr>
      </w:pPr>
      <w:r>
        <w:rPr>
          <w:rFonts w:hint="eastAsia" w:ascii="宋体" w:hAnsi="宋体"/>
          <w:b/>
          <w:color w:val="000000" w:themeColor="text1"/>
          <w:sz w:val="24"/>
        </w:rPr>
        <w:t>（二）投标人的风险</w:t>
      </w:r>
    </w:p>
    <w:p>
      <w:pPr>
        <w:pStyle w:val="38"/>
        <w:spacing w:line="360" w:lineRule="auto"/>
        <w:rPr>
          <w:rFonts w:ascii="宋体" w:eastAsia="宋体"/>
          <w:color w:val="000000" w:themeColor="text1"/>
          <w:szCs w:val="20"/>
        </w:rPr>
      </w:pPr>
      <w:r>
        <w:rPr>
          <w:rFonts w:hint="eastAsia" w:ascii="宋体" w:eastAsia="宋体"/>
          <w:color w:val="000000" w:themeColor="text1"/>
        </w:rPr>
        <w:t>投标人没有按照招标文件要求提供全部资料，或者投标人没有对招标文件在各方面作出实质性响应是投标人的风险，并可能导致其投标被拒绝。</w:t>
      </w:r>
    </w:p>
    <w:p>
      <w:pPr>
        <w:pStyle w:val="14"/>
        <w:widowControl w:val="0"/>
        <w:numPr>
          <w:ilvl w:val="0"/>
          <w:numId w:val="0"/>
        </w:numPr>
        <w:snapToGrid w:val="0"/>
        <w:spacing w:beforeLines="50" w:afterLines="0" w:line="360" w:lineRule="auto"/>
        <w:ind w:firstLine="472" w:firstLineChars="196"/>
        <w:rPr>
          <w:rFonts w:ascii="宋体" w:hAnsi="宋体"/>
          <w:b/>
          <w:color w:val="000000" w:themeColor="text1"/>
          <w:szCs w:val="24"/>
        </w:rPr>
      </w:pPr>
      <w:r>
        <w:rPr>
          <w:rFonts w:hint="eastAsia" w:ascii="宋体" w:hAnsi="宋体"/>
          <w:b/>
          <w:color w:val="000000" w:themeColor="text1"/>
          <w:szCs w:val="24"/>
        </w:rPr>
        <w:t>（三）招标文件的澄清与修改</w:t>
      </w:r>
    </w:p>
    <w:p>
      <w:pPr>
        <w:pStyle w:val="25"/>
        <w:snapToGrid w:val="0"/>
        <w:spacing w:beforeLines="0" w:afterLines="0" w:line="360" w:lineRule="auto"/>
        <w:ind w:firstLine="480" w:firstLineChars="200"/>
        <w:rPr>
          <w:rFonts w:hAnsi="宋体"/>
          <w:strike/>
          <w:color w:val="000000" w:themeColor="text1"/>
        </w:rPr>
      </w:pPr>
      <w:r>
        <w:rPr>
          <w:rFonts w:hAnsi="宋体"/>
          <w:color w:val="000000" w:themeColor="text1"/>
        </w:rPr>
        <w:t>1</w:t>
      </w:r>
      <w:r>
        <w:rPr>
          <w:rFonts w:hint="eastAsia" w:hAnsi="宋体"/>
          <w:color w:val="000000" w:themeColor="text1"/>
        </w:rPr>
        <w:t>.</w:t>
      </w:r>
      <w:r>
        <w:rPr>
          <w:rFonts w:hAnsi="宋体"/>
          <w:bCs/>
          <w:color w:val="000000" w:themeColor="text1"/>
        </w:rPr>
        <w:t>投标人应认真阅读本招标文件，发现其中有误或有不合理要求的，</w:t>
      </w:r>
      <w:r>
        <w:rPr>
          <w:rFonts w:hint="eastAsia" w:hAnsi="宋体"/>
          <w:bCs/>
          <w:color w:val="000000" w:themeColor="text1"/>
        </w:rPr>
        <w:t>按</w:t>
      </w:r>
      <w:r>
        <w:rPr>
          <w:rFonts w:hAnsi="宋体"/>
          <w:bCs/>
          <w:color w:val="000000" w:themeColor="text1"/>
        </w:rPr>
        <w:t>前附表</w:t>
      </w:r>
      <w:r>
        <w:rPr>
          <w:rFonts w:hint="eastAsia" w:hAnsi="宋体"/>
          <w:bCs/>
          <w:color w:val="000000" w:themeColor="text1"/>
        </w:rPr>
        <w:t>规定</w:t>
      </w:r>
      <w:r>
        <w:rPr>
          <w:rFonts w:hAnsi="宋体"/>
          <w:bCs/>
          <w:color w:val="000000" w:themeColor="text1"/>
        </w:rPr>
        <w:t>提出</w:t>
      </w:r>
    </w:p>
    <w:p>
      <w:pPr>
        <w:pStyle w:val="25"/>
        <w:snapToGrid w:val="0"/>
        <w:spacing w:beforeLines="0" w:afterLines="0" w:line="360" w:lineRule="auto"/>
        <w:ind w:firstLine="480" w:firstLineChars="200"/>
        <w:rPr>
          <w:rFonts w:hAnsi="宋体"/>
          <w:color w:val="000000" w:themeColor="text1"/>
        </w:rPr>
      </w:pPr>
      <w:r>
        <w:rPr>
          <w:rFonts w:hint="eastAsia" w:hAnsi="宋体"/>
          <w:color w:val="000000" w:themeColor="text1"/>
        </w:rPr>
        <w:t>2.</w:t>
      </w:r>
      <w:r>
        <w:rPr>
          <w:rFonts w:hAnsi="宋体"/>
          <w:color w:val="000000" w:themeColor="text1"/>
        </w:rPr>
        <w:t>招标文件澄清、答复、修改、补充的内容为招标文件的组成部分。当招标文件与招标文件的答复、澄清、修改、补充通知就同一内容的表述不一致时，以最后发出的文件为准。</w:t>
      </w:r>
    </w:p>
    <w:p>
      <w:pPr>
        <w:pStyle w:val="25"/>
        <w:snapToGrid w:val="0"/>
        <w:spacing w:beforeLines="0" w:afterLines="0" w:line="360" w:lineRule="auto"/>
        <w:ind w:firstLine="480" w:firstLineChars="200"/>
        <w:rPr>
          <w:rFonts w:hAnsi="宋体"/>
          <w:color w:val="000000" w:themeColor="text1"/>
        </w:rPr>
      </w:pPr>
      <w:r>
        <w:rPr>
          <w:rFonts w:hint="eastAsia" w:hAnsi="宋体"/>
          <w:color w:val="000000" w:themeColor="text1"/>
        </w:rPr>
        <w:t>3.</w:t>
      </w:r>
      <w:r>
        <w:rPr>
          <w:rFonts w:hAnsi="宋体"/>
          <w:color w:val="000000" w:themeColor="text1"/>
        </w:rPr>
        <w:t>招标文件的澄清、答复、修改或补充都应该通过本代理机构以法定形式发布，采购人非通过本机构，不得擅自澄清、答复、修改或补充招标文件。</w:t>
      </w:r>
    </w:p>
    <w:p>
      <w:pPr>
        <w:pStyle w:val="25"/>
        <w:snapToGrid w:val="0"/>
        <w:spacing w:beforeLines="0" w:afterLines="0" w:line="360" w:lineRule="auto"/>
        <w:ind w:firstLine="551" w:firstLineChars="196"/>
        <w:rPr>
          <w:rFonts w:hAnsi="宋体"/>
          <w:b/>
          <w:color w:val="000000" w:themeColor="text1"/>
          <w:sz w:val="28"/>
          <w:szCs w:val="28"/>
        </w:rPr>
      </w:pPr>
      <w:r>
        <w:rPr>
          <w:rFonts w:hAnsi="宋体"/>
          <w:b/>
          <w:color w:val="000000" w:themeColor="text1"/>
          <w:sz w:val="28"/>
          <w:szCs w:val="28"/>
        </w:rPr>
        <w:t>三、投标文件的编制</w:t>
      </w:r>
    </w:p>
    <w:p>
      <w:pPr>
        <w:spacing w:line="360" w:lineRule="auto"/>
        <w:ind w:firstLine="482" w:firstLineChars="200"/>
        <w:rPr>
          <w:rFonts w:ascii="宋体" w:hAnsi="宋体"/>
          <w:b/>
          <w:color w:val="000000" w:themeColor="text1"/>
          <w:sz w:val="24"/>
          <w:szCs w:val="20"/>
        </w:rPr>
      </w:pPr>
      <w:r>
        <w:rPr>
          <w:rFonts w:hint="eastAsia" w:ascii="宋体" w:hAnsi="宋体"/>
          <w:b/>
          <w:color w:val="000000" w:themeColor="text1"/>
          <w:sz w:val="24"/>
        </w:rPr>
        <w:t>（一）投标文件的组成</w:t>
      </w:r>
    </w:p>
    <w:p>
      <w:pPr>
        <w:snapToGrid w:val="0"/>
        <w:spacing w:line="360" w:lineRule="auto"/>
        <w:ind w:firstLine="480" w:firstLineChars="200"/>
        <w:jc w:val="left"/>
        <w:rPr>
          <w:rFonts w:ascii="宋体" w:hAnsi="宋体"/>
          <w:color w:val="000000" w:themeColor="text1"/>
          <w:sz w:val="24"/>
          <w:szCs w:val="20"/>
        </w:rPr>
      </w:pPr>
      <w:r>
        <w:rPr>
          <w:rFonts w:hint="eastAsia" w:ascii="宋体" w:hAnsi="宋体"/>
          <w:color w:val="000000" w:themeColor="text1"/>
          <w:sz w:val="24"/>
        </w:rPr>
        <w:t>投标文件由资信及商务文件、技术文件、投标报价文件三部份组成。</w:t>
      </w:r>
    </w:p>
    <w:p>
      <w:pPr>
        <w:snapToGrid w:val="0"/>
        <w:spacing w:beforeLines="50" w:line="360" w:lineRule="auto"/>
        <w:ind w:firstLine="472" w:firstLineChars="196"/>
        <w:jc w:val="left"/>
        <w:rPr>
          <w:rFonts w:ascii="宋体" w:hAnsi="宋体"/>
          <w:b/>
          <w:color w:val="000000" w:themeColor="text1"/>
          <w:sz w:val="24"/>
          <w:szCs w:val="20"/>
        </w:rPr>
      </w:pPr>
      <w:r>
        <w:rPr>
          <w:rFonts w:ascii="宋体" w:hAnsi="宋体"/>
          <w:b/>
          <w:color w:val="000000" w:themeColor="text1"/>
          <w:sz w:val="24"/>
        </w:rPr>
        <w:t>1</w:t>
      </w:r>
      <w:r>
        <w:rPr>
          <w:rFonts w:hint="eastAsia" w:ascii="宋体" w:hAnsi="宋体"/>
          <w:b/>
          <w:color w:val="000000" w:themeColor="text1"/>
          <w:sz w:val="24"/>
        </w:rPr>
        <w:t>.</w:t>
      </w:r>
      <w:r>
        <w:rPr>
          <w:rFonts w:ascii="宋体" w:hAnsi="宋体"/>
          <w:b/>
          <w:color w:val="000000" w:themeColor="text1"/>
          <w:sz w:val="24"/>
        </w:rPr>
        <w:t>资信及商务文件：</w:t>
      </w:r>
    </w:p>
    <w:p>
      <w:pPr>
        <w:snapToGrid w:val="0"/>
        <w:spacing w:line="360" w:lineRule="auto"/>
        <w:ind w:firstLine="470" w:firstLineChars="196"/>
        <w:jc w:val="left"/>
        <w:rPr>
          <w:rFonts w:ascii="宋体" w:hAnsi="宋体"/>
          <w:color w:val="000000" w:themeColor="text1"/>
          <w:sz w:val="24"/>
          <w:szCs w:val="20"/>
        </w:rPr>
      </w:pPr>
      <w:r>
        <w:rPr>
          <w:rFonts w:hint="eastAsia" w:ascii="宋体" w:hAnsi="宋体"/>
          <w:color w:val="000000" w:themeColor="text1"/>
          <w:sz w:val="24"/>
        </w:rPr>
        <w:t>（1</w:t>
      </w:r>
      <w:r>
        <w:rPr>
          <w:rFonts w:ascii="宋体" w:hAnsi="宋体"/>
          <w:color w:val="000000" w:themeColor="text1"/>
          <w:sz w:val="24"/>
        </w:rPr>
        <w:t>）</w:t>
      </w:r>
      <w:r>
        <w:rPr>
          <w:rFonts w:hint="eastAsia" w:ascii="宋体" w:hAnsi="宋体"/>
          <w:color w:val="000000" w:themeColor="text1"/>
          <w:sz w:val="24"/>
        </w:rPr>
        <w:t>投标声明书</w:t>
      </w:r>
      <w:r>
        <w:rPr>
          <w:rFonts w:ascii="宋体" w:hAnsi="宋体"/>
          <w:color w:val="000000" w:themeColor="text1"/>
          <w:sz w:val="24"/>
        </w:rPr>
        <w:t xml:space="preserve"> (格式见附件) ；</w:t>
      </w:r>
    </w:p>
    <w:p>
      <w:pPr>
        <w:snapToGrid w:val="0"/>
        <w:spacing w:line="360" w:lineRule="auto"/>
        <w:ind w:firstLine="470" w:firstLineChars="196"/>
        <w:jc w:val="left"/>
        <w:rPr>
          <w:rFonts w:ascii="宋体" w:hAnsi="宋体"/>
          <w:color w:val="000000" w:themeColor="text1"/>
          <w:sz w:val="24"/>
          <w:szCs w:val="20"/>
        </w:rPr>
      </w:pPr>
      <w:r>
        <w:rPr>
          <w:rFonts w:hint="eastAsia" w:ascii="宋体" w:hAnsi="宋体"/>
          <w:color w:val="000000" w:themeColor="text1"/>
          <w:sz w:val="24"/>
        </w:rPr>
        <w:t>（2</w:t>
      </w:r>
      <w:r>
        <w:rPr>
          <w:rFonts w:ascii="宋体" w:hAnsi="宋体"/>
          <w:color w:val="000000" w:themeColor="text1"/>
          <w:sz w:val="24"/>
        </w:rPr>
        <w:t>）法定代表人授权委托书(格式见附件)；</w:t>
      </w:r>
    </w:p>
    <w:p>
      <w:pPr>
        <w:snapToGrid w:val="0"/>
        <w:spacing w:line="360" w:lineRule="auto"/>
        <w:ind w:firstLine="470" w:firstLineChars="196"/>
        <w:jc w:val="left"/>
        <w:rPr>
          <w:rFonts w:ascii="宋体" w:hAnsi="宋体"/>
          <w:color w:val="000000" w:themeColor="text1"/>
          <w:sz w:val="24"/>
          <w:szCs w:val="20"/>
        </w:rPr>
      </w:pPr>
      <w:r>
        <w:rPr>
          <w:rFonts w:hint="eastAsia" w:ascii="宋体" w:hAnsi="宋体"/>
          <w:color w:val="000000" w:themeColor="text1"/>
          <w:sz w:val="24"/>
        </w:rPr>
        <w:t>（3</w:t>
      </w:r>
      <w:r>
        <w:rPr>
          <w:rFonts w:ascii="宋体" w:hAnsi="宋体"/>
          <w:color w:val="000000" w:themeColor="text1"/>
          <w:sz w:val="24"/>
        </w:rPr>
        <w:t>）</w:t>
      </w:r>
      <w:r>
        <w:rPr>
          <w:rFonts w:hint="eastAsia" w:ascii="宋体" w:hAnsi="宋体"/>
          <w:color w:val="000000" w:themeColor="text1"/>
          <w:sz w:val="24"/>
        </w:rPr>
        <w:t>最近一个季度依法缴纳税收和社保费的证明[税费凭证复印件，或者依法缴纳税费或依法免缴税费的证明（复印件，原件备查并一年内有效，格式自拟）]</w:t>
      </w:r>
    </w:p>
    <w:p>
      <w:pPr>
        <w:snapToGrid w:val="0"/>
        <w:spacing w:line="360" w:lineRule="auto"/>
        <w:ind w:firstLine="470" w:firstLineChars="196"/>
        <w:jc w:val="left"/>
        <w:rPr>
          <w:rFonts w:ascii="宋体" w:hAnsi="宋体"/>
          <w:color w:val="000000" w:themeColor="text1"/>
          <w:sz w:val="24"/>
          <w:szCs w:val="20"/>
        </w:rPr>
      </w:pPr>
      <w:r>
        <w:rPr>
          <w:rFonts w:hint="eastAsia" w:ascii="宋体" w:hAnsi="宋体"/>
          <w:color w:val="000000" w:themeColor="text1"/>
          <w:sz w:val="24"/>
        </w:rPr>
        <w:t>（4</w:t>
      </w:r>
      <w:r>
        <w:rPr>
          <w:rFonts w:ascii="宋体" w:hAnsi="宋体"/>
          <w:color w:val="000000" w:themeColor="text1"/>
          <w:sz w:val="24"/>
        </w:rPr>
        <w:t>）营业执照</w:t>
      </w:r>
      <w:r>
        <w:rPr>
          <w:rFonts w:hint="eastAsia" w:ascii="宋体" w:hAnsi="宋体"/>
          <w:color w:val="000000" w:themeColor="text1"/>
          <w:sz w:val="24"/>
        </w:rPr>
        <w:t>副本复印件</w:t>
      </w:r>
      <w:r>
        <w:rPr>
          <w:rFonts w:ascii="宋体" w:hAnsi="宋体"/>
          <w:color w:val="000000" w:themeColor="text1"/>
          <w:sz w:val="24"/>
        </w:rPr>
        <w:t>;</w:t>
      </w:r>
    </w:p>
    <w:p>
      <w:pPr>
        <w:snapToGrid w:val="0"/>
        <w:spacing w:line="360" w:lineRule="auto"/>
        <w:ind w:firstLine="470" w:firstLineChars="196"/>
        <w:jc w:val="left"/>
        <w:rPr>
          <w:rFonts w:ascii="宋体" w:hAnsi="宋体"/>
          <w:color w:val="000000" w:themeColor="text1"/>
          <w:sz w:val="24"/>
          <w:szCs w:val="20"/>
        </w:rPr>
      </w:pPr>
      <w:r>
        <w:rPr>
          <w:rFonts w:hint="eastAsia" w:ascii="宋体" w:hAnsi="宋体"/>
          <w:color w:val="000000" w:themeColor="text1"/>
          <w:sz w:val="24"/>
        </w:rPr>
        <w:t>（5</w:t>
      </w:r>
      <w:r>
        <w:rPr>
          <w:rFonts w:ascii="宋体" w:hAnsi="宋体"/>
          <w:color w:val="000000" w:themeColor="text1"/>
          <w:sz w:val="24"/>
        </w:rPr>
        <w:t>）产品销售许可证</w:t>
      </w:r>
      <w:r>
        <w:rPr>
          <w:rFonts w:hint="eastAsia" w:ascii="宋体" w:hAnsi="宋体"/>
          <w:color w:val="000000" w:themeColor="text1"/>
          <w:sz w:val="24"/>
        </w:rPr>
        <w:t>或</w:t>
      </w:r>
      <w:r>
        <w:rPr>
          <w:rFonts w:ascii="宋体" w:hAnsi="宋体"/>
          <w:color w:val="000000" w:themeColor="text1"/>
          <w:sz w:val="24"/>
        </w:rPr>
        <w:t>产品检测报告</w:t>
      </w:r>
      <w:r>
        <w:rPr>
          <w:rFonts w:hint="eastAsia" w:ascii="宋体" w:hAnsi="宋体"/>
          <w:color w:val="000000" w:themeColor="text1"/>
          <w:sz w:val="24"/>
        </w:rPr>
        <w:t>（如有</w:t>
      </w:r>
      <w:r>
        <w:rPr>
          <w:rFonts w:ascii="宋体" w:hAnsi="宋体"/>
          <w:color w:val="000000" w:themeColor="text1"/>
          <w:sz w:val="24"/>
        </w:rPr>
        <w:t>）;</w:t>
      </w:r>
    </w:p>
    <w:p>
      <w:pPr>
        <w:snapToGrid w:val="0"/>
        <w:spacing w:line="360" w:lineRule="auto"/>
        <w:ind w:firstLine="470" w:firstLineChars="196"/>
        <w:jc w:val="left"/>
        <w:rPr>
          <w:rFonts w:ascii="宋体" w:hAnsi="宋体"/>
          <w:color w:val="000000" w:themeColor="text1"/>
          <w:sz w:val="24"/>
          <w:szCs w:val="20"/>
        </w:rPr>
      </w:pPr>
      <w:r>
        <w:rPr>
          <w:rFonts w:hint="eastAsia" w:ascii="宋体" w:hAnsi="宋体"/>
          <w:color w:val="000000" w:themeColor="text1"/>
          <w:sz w:val="24"/>
        </w:rPr>
        <w:t>（6</w:t>
      </w:r>
      <w:r>
        <w:rPr>
          <w:rFonts w:ascii="宋体" w:hAnsi="宋体"/>
          <w:color w:val="000000" w:themeColor="text1"/>
          <w:sz w:val="24"/>
        </w:rPr>
        <w:t>）安全生产许可证或者产品代理资格证明文件；</w:t>
      </w:r>
    </w:p>
    <w:p>
      <w:pPr>
        <w:snapToGrid w:val="0"/>
        <w:spacing w:line="360" w:lineRule="auto"/>
        <w:ind w:firstLine="470" w:firstLineChars="196"/>
        <w:jc w:val="left"/>
        <w:rPr>
          <w:rFonts w:ascii="宋体" w:hAnsi="宋体"/>
          <w:color w:val="000000" w:themeColor="text1"/>
          <w:sz w:val="24"/>
        </w:rPr>
      </w:pPr>
      <w:r>
        <w:rPr>
          <w:rFonts w:hint="eastAsia" w:ascii="宋体" w:hAnsi="宋体"/>
          <w:color w:val="000000" w:themeColor="text1"/>
          <w:sz w:val="24"/>
        </w:rPr>
        <w:t>（7</w:t>
      </w:r>
      <w:r>
        <w:rPr>
          <w:rFonts w:ascii="宋体" w:hAnsi="宋体"/>
          <w:color w:val="000000" w:themeColor="text1"/>
          <w:sz w:val="24"/>
        </w:rPr>
        <w:t>）</w:t>
      </w:r>
      <w:r>
        <w:rPr>
          <w:rFonts w:hint="eastAsia" w:ascii="宋体" w:hAnsi="宋体"/>
          <w:color w:val="000000" w:themeColor="text1"/>
          <w:sz w:val="24"/>
        </w:rPr>
        <w:t>类似案例成功的业绩（投标人同类项目实施情况一览表、合同复印件、用户验收报告、用户评价）；</w:t>
      </w:r>
    </w:p>
    <w:p>
      <w:pPr>
        <w:snapToGrid w:val="0"/>
        <w:spacing w:line="360" w:lineRule="auto"/>
        <w:ind w:firstLine="480" w:firstLineChars="200"/>
        <w:jc w:val="left"/>
        <w:rPr>
          <w:rFonts w:ascii="宋体" w:hAnsi="宋体"/>
          <w:color w:val="000000" w:themeColor="text1"/>
          <w:sz w:val="24"/>
          <w:szCs w:val="20"/>
        </w:rPr>
      </w:pPr>
      <w:r>
        <w:rPr>
          <w:rFonts w:hint="eastAsia" w:ascii="宋体" w:hAnsi="宋体"/>
          <w:color w:val="000000" w:themeColor="text1"/>
          <w:sz w:val="24"/>
        </w:rPr>
        <w:t>（8）其他特殊资质证书</w:t>
      </w:r>
      <w:r>
        <w:rPr>
          <w:rFonts w:ascii="宋体" w:hAnsi="宋体"/>
          <w:color w:val="000000" w:themeColor="text1"/>
          <w:sz w:val="24"/>
        </w:rPr>
        <w:t>（如</w:t>
      </w:r>
      <w:r>
        <w:rPr>
          <w:rFonts w:hint="eastAsia" w:ascii="宋体" w:hAnsi="宋体"/>
          <w:color w:val="000000" w:themeColor="text1"/>
          <w:sz w:val="24"/>
        </w:rPr>
        <w:t>本地化服务能力等）</w:t>
      </w:r>
    </w:p>
    <w:p>
      <w:pPr>
        <w:snapToGrid w:val="0"/>
        <w:spacing w:line="360" w:lineRule="auto"/>
        <w:ind w:firstLine="713" w:firstLineChars="296"/>
        <w:jc w:val="left"/>
        <w:rPr>
          <w:rFonts w:ascii="宋体" w:hAnsi="宋体"/>
          <w:color w:val="000000" w:themeColor="text1"/>
          <w:sz w:val="24"/>
          <w:szCs w:val="20"/>
        </w:rPr>
      </w:pPr>
      <w:r>
        <w:rPr>
          <w:rFonts w:hint="eastAsia" w:ascii="宋体" w:hAnsi="宋体"/>
          <w:b/>
          <w:color w:val="000000" w:themeColor="text1"/>
          <w:sz w:val="24"/>
        </w:rPr>
        <w:t>可作为</w:t>
      </w:r>
      <w:r>
        <w:rPr>
          <w:rFonts w:hint="eastAsia" w:ascii="宋体" w:hAnsi="宋体"/>
          <w:b/>
          <w:bCs/>
          <w:color w:val="000000" w:themeColor="text1"/>
          <w:sz w:val="24"/>
        </w:rPr>
        <w:t>投标人资信评分的资质证明材料</w:t>
      </w:r>
      <w:r>
        <w:rPr>
          <w:rFonts w:hint="eastAsia" w:ascii="宋体" w:hAnsi="宋体"/>
          <w:color w:val="000000" w:themeColor="text1"/>
          <w:sz w:val="24"/>
        </w:rPr>
        <w:t>（可选）：</w:t>
      </w:r>
    </w:p>
    <w:p>
      <w:pPr>
        <w:snapToGrid w:val="0"/>
        <w:spacing w:line="360" w:lineRule="auto"/>
        <w:ind w:firstLine="470" w:firstLineChars="196"/>
        <w:jc w:val="left"/>
        <w:rPr>
          <w:rFonts w:ascii="宋体" w:hAnsi="宋体"/>
          <w:color w:val="000000" w:themeColor="text1"/>
          <w:sz w:val="24"/>
          <w:szCs w:val="20"/>
        </w:rPr>
      </w:pPr>
      <w:r>
        <w:rPr>
          <w:rFonts w:hint="eastAsia" w:ascii="宋体" w:hAnsi="宋体"/>
          <w:color w:val="000000" w:themeColor="text1"/>
          <w:sz w:val="24"/>
        </w:rPr>
        <w:t>（9</w:t>
      </w:r>
      <w:r>
        <w:rPr>
          <w:rFonts w:ascii="宋体" w:hAnsi="宋体"/>
          <w:color w:val="000000" w:themeColor="text1"/>
          <w:sz w:val="24"/>
        </w:rPr>
        <w:t>）</w:t>
      </w:r>
      <w:r>
        <w:rPr>
          <w:rFonts w:hint="eastAsia" w:ascii="宋体" w:hAnsi="宋体"/>
          <w:color w:val="000000" w:themeColor="text1"/>
          <w:sz w:val="24"/>
        </w:rPr>
        <w:t>自主创新、节能环保等方面的资质证书；</w:t>
      </w:r>
    </w:p>
    <w:p>
      <w:pPr>
        <w:snapToGrid w:val="0"/>
        <w:spacing w:line="360" w:lineRule="auto"/>
        <w:ind w:firstLine="470" w:firstLineChars="196"/>
        <w:jc w:val="left"/>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1</w:t>
      </w:r>
      <w:r>
        <w:rPr>
          <w:rFonts w:hint="eastAsia" w:ascii="宋体" w:hAnsi="宋体"/>
          <w:color w:val="000000" w:themeColor="text1"/>
          <w:sz w:val="24"/>
        </w:rPr>
        <w:t>0</w:t>
      </w:r>
      <w:r>
        <w:rPr>
          <w:rFonts w:ascii="宋体" w:hAnsi="宋体"/>
          <w:color w:val="000000" w:themeColor="text1"/>
          <w:sz w:val="24"/>
        </w:rPr>
        <w:t>）</w:t>
      </w:r>
      <w:r>
        <w:rPr>
          <w:rFonts w:hint="eastAsia" w:ascii="宋体" w:hAnsi="宋体"/>
          <w:color w:val="000000" w:themeColor="text1"/>
          <w:sz w:val="24"/>
        </w:rPr>
        <w:t>自主品牌投标人的信誉、荣誉证书；</w:t>
      </w:r>
    </w:p>
    <w:p>
      <w:pPr>
        <w:snapToGrid w:val="0"/>
        <w:spacing w:line="360" w:lineRule="auto"/>
        <w:ind w:firstLine="470" w:firstLineChars="196"/>
        <w:jc w:val="left"/>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1</w:t>
      </w:r>
      <w:r>
        <w:rPr>
          <w:rFonts w:hint="eastAsia" w:ascii="宋体" w:hAnsi="宋体"/>
          <w:color w:val="000000" w:themeColor="text1"/>
          <w:sz w:val="24"/>
        </w:rPr>
        <w:t>1</w:t>
      </w:r>
      <w:r>
        <w:rPr>
          <w:rFonts w:ascii="宋体" w:hAnsi="宋体"/>
          <w:color w:val="000000" w:themeColor="text1"/>
          <w:sz w:val="24"/>
        </w:rPr>
        <w:t>）</w:t>
      </w:r>
      <w:r>
        <w:rPr>
          <w:rFonts w:hint="eastAsia" w:ascii="宋体" w:hAnsi="宋体"/>
          <w:color w:val="000000" w:themeColor="text1"/>
          <w:sz w:val="24"/>
        </w:rPr>
        <w:t>投标人质量管理和质量保证体系等方面的认证证书；</w:t>
      </w:r>
    </w:p>
    <w:p>
      <w:pPr>
        <w:snapToGrid w:val="0"/>
        <w:spacing w:line="360" w:lineRule="auto"/>
        <w:ind w:firstLine="470" w:firstLineChars="196"/>
        <w:jc w:val="left"/>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1</w:t>
      </w:r>
      <w:r>
        <w:rPr>
          <w:rFonts w:hint="eastAsia" w:ascii="宋体" w:hAnsi="宋体"/>
          <w:color w:val="000000" w:themeColor="text1"/>
          <w:sz w:val="24"/>
        </w:rPr>
        <w:t>2</w:t>
      </w:r>
      <w:r>
        <w:rPr>
          <w:rFonts w:ascii="宋体" w:hAnsi="宋体"/>
          <w:color w:val="000000" w:themeColor="text1"/>
          <w:sz w:val="24"/>
        </w:rPr>
        <w:t>）</w:t>
      </w:r>
      <w:r>
        <w:rPr>
          <w:rFonts w:hint="eastAsia" w:ascii="宋体" w:hAnsi="宋体"/>
          <w:color w:val="000000" w:themeColor="text1"/>
          <w:sz w:val="24"/>
        </w:rPr>
        <w:t>投标人认为可以证明其能力或业绩的其他材料；</w:t>
      </w:r>
    </w:p>
    <w:p>
      <w:pPr>
        <w:snapToGrid w:val="0"/>
        <w:spacing w:line="360" w:lineRule="auto"/>
        <w:ind w:firstLine="470" w:firstLineChars="196"/>
        <w:jc w:val="left"/>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1</w:t>
      </w:r>
      <w:r>
        <w:rPr>
          <w:rFonts w:hint="eastAsia" w:ascii="宋体" w:hAnsi="宋体"/>
          <w:color w:val="000000" w:themeColor="text1"/>
          <w:sz w:val="24"/>
        </w:rPr>
        <w:t>3</w:t>
      </w:r>
      <w:r>
        <w:rPr>
          <w:rFonts w:ascii="宋体" w:hAnsi="宋体"/>
          <w:color w:val="000000" w:themeColor="text1"/>
          <w:sz w:val="24"/>
        </w:rPr>
        <w:t>）</w:t>
      </w:r>
      <w:r>
        <w:rPr>
          <w:rFonts w:hint="eastAsia" w:ascii="宋体" w:hAnsi="宋体"/>
          <w:color w:val="000000" w:themeColor="text1"/>
          <w:sz w:val="24"/>
        </w:rPr>
        <w:t>投标人关于产品生产时间、升级或者更新淘汰计划、配件供应以及本单位债务纠纷、违法违规记录等方面的情况（内容见投标声明书）</w:t>
      </w:r>
    </w:p>
    <w:p>
      <w:pPr>
        <w:snapToGrid w:val="0"/>
        <w:spacing w:line="360" w:lineRule="auto"/>
        <w:ind w:firstLine="470" w:firstLineChars="196"/>
        <w:jc w:val="left"/>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1</w:t>
      </w:r>
      <w:r>
        <w:rPr>
          <w:rFonts w:hint="eastAsia" w:ascii="宋体" w:hAnsi="宋体"/>
          <w:color w:val="000000" w:themeColor="text1"/>
          <w:sz w:val="24"/>
        </w:rPr>
        <w:t>4</w:t>
      </w:r>
      <w:r>
        <w:rPr>
          <w:rFonts w:ascii="宋体" w:hAnsi="宋体"/>
          <w:color w:val="000000" w:themeColor="text1"/>
          <w:sz w:val="24"/>
        </w:rPr>
        <w:t>）</w:t>
      </w:r>
      <w:r>
        <w:rPr>
          <w:rFonts w:hint="eastAsia" w:ascii="宋体" w:hAnsi="宋体"/>
          <w:color w:val="000000" w:themeColor="text1"/>
          <w:sz w:val="24"/>
        </w:rPr>
        <w:t>投标人情况介绍；</w:t>
      </w:r>
    </w:p>
    <w:p>
      <w:pPr>
        <w:snapToGrid w:val="0"/>
        <w:spacing w:line="360" w:lineRule="auto"/>
        <w:ind w:firstLine="470" w:firstLineChars="196"/>
        <w:jc w:val="left"/>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1</w:t>
      </w:r>
      <w:r>
        <w:rPr>
          <w:rFonts w:hint="eastAsia" w:ascii="宋体" w:hAnsi="宋体"/>
          <w:color w:val="000000" w:themeColor="text1"/>
          <w:sz w:val="24"/>
        </w:rPr>
        <w:t>5</w:t>
      </w:r>
      <w:r>
        <w:rPr>
          <w:rFonts w:ascii="宋体" w:hAnsi="宋体"/>
          <w:color w:val="000000" w:themeColor="text1"/>
          <w:sz w:val="24"/>
        </w:rPr>
        <w:t>）</w:t>
      </w:r>
      <w:r>
        <w:rPr>
          <w:rFonts w:hint="eastAsia" w:ascii="宋体" w:hAnsi="宋体"/>
          <w:color w:val="000000" w:themeColor="text1"/>
          <w:sz w:val="24"/>
        </w:rPr>
        <w:t>商务响应表（格式见附件）；</w:t>
      </w:r>
    </w:p>
    <w:p>
      <w:pPr>
        <w:snapToGrid w:val="0"/>
        <w:spacing w:line="360" w:lineRule="auto"/>
        <w:ind w:firstLine="472" w:firstLineChars="196"/>
        <w:jc w:val="left"/>
        <w:rPr>
          <w:rFonts w:ascii="宋体" w:hAnsi="宋体"/>
          <w:b/>
          <w:bCs/>
          <w:color w:val="000000" w:themeColor="text1"/>
          <w:sz w:val="24"/>
          <w:szCs w:val="20"/>
        </w:rPr>
      </w:pPr>
      <w:r>
        <w:rPr>
          <w:rFonts w:ascii="宋体" w:hAnsi="宋体"/>
          <w:b/>
          <w:bCs/>
          <w:color w:val="000000" w:themeColor="text1"/>
          <w:sz w:val="24"/>
        </w:rPr>
        <w:t>2</w:t>
      </w:r>
      <w:r>
        <w:rPr>
          <w:rFonts w:hint="eastAsia" w:ascii="宋体" w:hAnsi="宋体"/>
          <w:b/>
          <w:bCs/>
          <w:color w:val="000000" w:themeColor="text1"/>
          <w:sz w:val="24"/>
        </w:rPr>
        <w:t>.</w:t>
      </w:r>
      <w:r>
        <w:rPr>
          <w:rFonts w:ascii="宋体" w:hAnsi="宋体"/>
          <w:b/>
          <w:bCs/>
          <w:color w:val="000000" w:themeColor="text1"/>
          <w:sz w:val="24"/>
        </w:rPr>
        <w:t>技术文件</w:t>
      </w:r>
    </w:p>
    <w:p>
      <w:pPr>
        <w:snapToGrid w:val="0"/>
        <w:spacing w:line="360" w:lineRule="auto"/>
        <w:ind w:firstLine="472" w:firstLineChars="196"/>
        <w:jc w:val="left"/>
        <w:rPr>
          <w:rFonts w:ascii="宋体" w:hAnsi="宋体"/>
          <w:b/>
          <w:bCs/>
          <w:color w:val="000000" w:themeColor="text1"/>
          <w:sz w:val="24"/>
          <w:szCs w:val="20"/>
        </w:rPr>
      </w:pPr>
      <w:r>
        <w:rPr>
          <w:rFonts w:ascii="宋体" w:hAnsi="宋体"/>
          <w:b/>
          <w:bCs/>
          <w:color w:val="000000" w:themeColor="text1"/>
          <w:sz w:val="24"/>
        </w:rPr>
        <w:t>A技术服务类项目的投标技术文件</w:t>
      </w:r>
    </w:p>
    <w:p>
      <w:pPr>
        <w:snapToGrid w:val="0"/>
        <w:spacing w:line="360" w:lineRule="auto"/>
        <w:ind w:firstLine="480" w:firstLineChars="200"/>
        <w:jc w:val="left"/>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1）对本项目系统总体要求的理解；</w:t>
      </w:r>
    </w:p>
    <w:p>
      <w:pPr>
        <w:snapToGrid w:val="0"/>
        <w:spacing w:line="360" w:lineRule="auto"/>
        <w:ind w:firstLine="480" w:firstLineChars="200"/>
        <w:jc w:val="left"/>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2）项目总体架构及技术解决方案</w:t>
      </w:r>
    </w:p>
    <w:p>
      <w:pPr>
        <w:snapToGrid w:val="0"/>
        <w:spacing w:line="360" w:lineRule="auto"/>
        <w:ind w:firstLine="480" w:firstLineChars="200"/>
        <w:jc w:val="left"/>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 xml:space="preserve">3）保证工程质量的技术力量及技术措施； </w:t>
      </w:r>
    </w:p>
    <w:p>
      <w:pPr>
        <w:snapToGrid w:val="0"/>
        <w:spacing w:line="360" w:lineRule="auto"/>
        <w:ind w:firstLine="480" w:firstLineChars="200"/>
        <w:jc w:val="left"/>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4）保证工期的施工组织方案及人力资源安排；</w:t>
      </w:r>
    </w:p>
    <w:p>
      <w:pPr>
        <w:snapToGrid w:val="0"/>
        <w:spacing w:line="360" w:lineRule="auto"/>
        <w:ind w:firstLine="480" w:firstLineChars="200"/>
        <w:jc w:val="left"/>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5）项目实施人员一览表</w:t>
      </w:r>
    </w:p>
    <w:p>
      <w:pPr>
        <w:snapToGrid w:val="0"/>
        <w:spacing w:line="360" w:lineRule="auto"/>
        <w:ind w:firstLine="480" w:firstLineChars="200"/>
        <w:jc w:val="left"/>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6）工程量/原材料、人工费清单（均不含报价）</w:t>
      </w:r>
    </w:p>
    <w:p>
      <w:pPr>
        <w:snapToGrid w:val="0"/>
        <w:spacing w:line="360" w:lineRule="auto"/>
        <w:ind w:firstLine="480" w:firstLineChars="200"/>
        <w:jc w:val="left"/>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7）技术服务、技术培训、售后服务的内容和措施；</w:t>
      </w:r>
    </w:p>
    <w:p>
      <w:pPr>
        <w:snapToGrid w:val="0"/>
        <w:spacing w:line="360" w:lineRule="auto"/>
        <w:ind w:firstLine="480" w:firstLineChars="200"/>
        <w:jc w:val="left"/>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8）投标人对本项目的合理化建议和改进措施；</w:t>
      </w:r>
    </w:p>
    <w:p>
      <w:pPr>
        <w:snapToGrid w:val="0"/>
        <w:spacing w:line="360" w:lineRule="auto"/>
        <w:ind w:firstLine="480" w:firstLineChars="200"/>
        <w:jc w:val="left"/>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9）投标人需要说明的其他文件和说明（格式</w:t>
      </w:r>
      <w:r>
        <w:rPr>
          <w:rFonts w:hint="eastAsia" w:ascii="宋体" w:hAnsi="宋体"/>
          <w:color w:val="000000" w:themeColor="text1"/>
          <w:sz w:val="24"/>
        </w:rPr>
        <w:t>自拟</w:t>
      </w:r>
      <w:r>
        <w:rPr>
          <w:rFonts w:ascii="宋体" w:hAnsi="宋体"/>
          <w:color w:val="000000" w:themeColor="text1"/>
          <w:sz w:val="24"/>
        </w:rPr>
        <w:t>）。</w:t>
      </w:r>
    </w:p>
    <w:p>
      <w:pPr>
        <w:snapToGrid w:val="0"/>
        <w:spacing w:line="360" w:lineRule="auto"/>
        <w:ind w:firstLine="472" w:firstLineChars="196"/>
        <w:jc w:val="left"/>
        <w:rPr>
          <w:rFonts w:ascii="宋体" w:hAnsi="宋体"/>
          <w:b/>
          <w:bCs/>
          <w:color w:val="000000" w:themeColor="text1"/>
          <w:sz w:val="24"/>
          <w:szCs w:val="20"/>
        </w:rPr>
      </w:pPr>
      <w:r>
        <w:rPr>
          <w:rFonts w:ascii="宋体" w:hAnsi="宋体"/>
          <w:b/>
          <w:bCs/>
          <w:color w:val="000000" w:themeColor="text1"/>
          <w:sz w:val="24"/>
        </w:rPr>
        <w:t>B货物类项目的投标技术文件</w:t>
      </w:r>
    </w:p>
    <w:p>
      <w:pPr>
        <w:snapToGrid w:val="0"/>
        <w:spacing w:line="360" w:lineRule="auto"/>
        <w:ind w:firstLine="480" w:firstLineChars="200"/>
        <w:jc w:val="left"/>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10）对本项目系统总体要求的理解。包括：功能说明、性能指标及设备选型说明（质量、性能、价格、外观、体积等方面进行比较和选择的理由</w:t>
      </w:r>
      <w:r>
        <w:rPr>
          <w:rFonts w:hint="eastAsia" w:ascii="宋体" w:hAnsi="宋体"/>
          <w:color w:val="000000" w:themeColor="text1"/>
          <w:sz w:val="24"/>
        </w:rPr>
        <w:t>及</w:t>
      </w:r>
      <w:r>
        <w:rPr>
          <w:rFonts w:ascii="宋体" w:hAnsi="宋体"/>
          <w:color w:val="000000" w:themeColor="text1"/>
          <w:sz w:val="24"/>
        </w:rPr>
        <w:t>过程）；</w:t>
      </w:r>
    </w:p>
    <w:p>
      <w:pPr>
        <w:snapToGrid w:val="0"/>
        <w:spacing w:line="360" w:lineRule="auto"/>
        <w:ind w:firstLine="480" w:firstLineChars="200"/>
        <w:jc w:val="left"/>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11）投标人拥有主要装备和检测设施的情况</w:t>
      </w:r>
      <w:r>
        <w:rPr>
          <w:rFonts w:hint="eastAsia" w:ascii="宋体" w:hAnsi="宋体"/>
          <w:color w:val="000000" w:themeColor="text1"/>
          <w:sz w:val="24"/>
        </w:rPr>
        <w:t>及</w:t>
      </w:r>
      <w:r>
        <w:rPr>
          <w:rFonts w:ascii="宋体" w:hAnsi="宋体"/>
          <w:color w:val="000000" w:themeColor="text1"/>
          <w:sz w:val="24"/>
        </w:rPr>
        <w:t>现状；</w:t>
      </w:r>
    </w:p>
    <w:p>
      <w:pPr>
        <w:snapToGrid w:val="0"/>
        <w:spacing w:line="360" w:lineRule="auto"/>
        <w:ind w:firstLine="480" w:firstLineChars="200"/>
        <w:jc w:val="left"/>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12）</w:t>
      </w:r>
      <w:r>
        <w:rPr>
          <w:rFonts w:hint="eastAsia" w:ascii="宋体" w:hAnsi="宋体"/>
          <w:color w:val="000000" w:themeColor="text1"/>
          <w:sz w:val="24"/>
        </w:rPr>
        <w:t>产品出厂标准、质量检测报告（其中有精度要求的仪器设备类政府采购项目，应当要求投标人提供由第三方精度检测报告或由采购人在投标前组织的精度实测数据）</w:t>
      </w:r>
    </w:p>
    <w:p>
      <w:pPr>
        <w:snapToGrid w:val="0"/>
        <w:spacing w:line="360" w:lineRule="auto"/>
        <w:ind w:firstLine="480" w:firstLineChars="200"/>
        <w:jc w:val="left"/>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13）原厂出厂配置表及原厂中文使用说明书；</w:t>
      </w:r>
    </w:p>
    <w:p>
      <w:pPr>
        <w:snapToGrid w:val="0"/>
        <w:spacing w:line="360" w:lineRule="auto"/>
        <w:ind w:firstLine="480" w:firstLineChars="200"/>
        <w:jc w:val="left"/>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14）设备配置清单（均不含报价）；</w:t>
      </w:r>
    </w:p>
    <w:p>
      <w:pPr>
        <w:snapToGrid w:val="0"/>
        <w:spacing w:line="360" w:lineRule="auto"/>
        <w:ind w:firstLine="480" w:firstLineChars="200"/>
        <w:jc w:val="left"/>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15）技术响应表；</w:t>
      </w:r>
    </w:p>
    <w:p>
      <w:pPr>
        <w:snapToGrid w:val="0"/>
        <w:spacing w:line="360" w:lineRule="auto"/>
        <w:ind w:firstLine="480" w:firstLineChars="200"/>
        <w:jc w:val="left"/>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16）投标人建议的安装、调试、验收方法或方案；</w:t>
      </w:r>
    </w:p>
    <w:p>
      <w:pPr>
        <w:snapToGrid w:val="0"/>
        <w:spacing w:line="360" w:lineRule="auto"/>
        <w:ind w:firstLine="480" w:firstLineChars="200"/>
        <w:jc w:val="left"/>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17）技术服务、技术培训、售后服务的内容和措施；</w:t>
      </w:r>
    </w:p>
    <w:p>
      <w:pPr>
        <w:snapToGrid w:val="0"/>
        <w:spacing w:line="360" w:lineRule="auto"/>
        <w:ind w:firstLine="480" w:firstLineChars="200"/>
        <w:jc w:val="left"/>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18）项目实施人员一览表</w:t>
      </w:r>
    </w:p>
    <w:p>
      <w:pPr>
        <w:snapToGrid w:val="0"/>
        <w:spacing w:line="360" w:lineRule="auto"/>
        <w:ind w:firstLine="480" w:firstLineChars="200"/>
        <w:jc w:val="left"/>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 xml:space="preserve">19）优惠条件：投标人承诺给予采购人的各种优惠条件，包括售后服务、备品备件、专用耗材等方面的优惠； </w:t>
      </w:r>
    </w:p>
    <w:p>
      <w:pPr>
        <w:snapToGrid w:val="0"/>
        <w:spacing w:line="360" w:lineRule="auto"/>
        <w:ind w:firstLine="480" w:firstLineChars="200"/>
        <w:jc w:val="left"/>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20）投标人对本项目的合理化建议和改进措施；</w:t>
      </w:r>
    </w:p>
    <w:p>
      <w:pPr>
        <w:snapToGrid w:val="0"/>
        <w:spacing w:line="360" w:lineRule="auto"/>
        <w:ind w:firstLine="480" w:firstLineChars="200"/>
        <w:jc w:val="left"/>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21）投标人需要说明的其他文件和说明（格式略）。</w:t>
      </w:r>
    </w:p>
    <w:p>
      <w:pPr>
        <w:snapToGrid w:val="0"/>
        <w:spacing w:line="360" w:lineRule="auto"/>
        <w:ind w:firstLine="472" w:firstLineChars="196"/>
        <w:jc w:val="left"/>
        <w:rPr>
          <w:rFonts w:ascii="宋体" w:hAnsi="宋体"/>
          <w:b/>
          <w:bCs/>
          <w:color w:val="000000" w:themeColor="text1"/>
          <w:sz w:val="24"/>
          <w:szCs w:val="20"/>
        </w:rPr>
      </w:pPr>
      <w:r>
        <w:rPr>
          <w:rFonts w:ascii="宋体" w:hAnsi="宋体"/>
          <w:b/>
          <w:bCs/>
          <w:color w:val="000000" w:themeColor="text1"/>
          <w:sz w:val="24"/>
        </w:rPr>
        <w:t>C货物并安装服务类项目的投标技术文件，应包含上述A、B项的全部内容</w:t>
      </w:r>
    </w:p>
    <w:p>
      <w:pPr>
        <w:snapToGrid w:val="0"/>
        <w:spacing w:line="360" w:lineRule="auto"/>
        <w:jc w:val="left"/>
        <w:rPr>
          <w:rFonts w:ascii="宋体" w:hAnsi="宋体"/>
          <w:b/>
          <w:color w:val="000000" w:themeColor="text1"/>
          <w:sz w:val="24"/>
          <w:szCs w:val="20"/>
        </w:rPr>
      </w:pPr>
    </w:p>
    <w:p>
      <w:pPr>
        <w:snapToGrid w:val="0"/>
        <w:spacing w:line="360" w:lineRule="auto"/>
        <w:ind w:firstLine="472" w:firstLineChars="196"/>
        <w:jc w:val="left"/>
        <w:rPr>
          <w:rFonts w:ascii="宋体" w:hAnsi="宋体"/>
          <w:b/>
          <w:color w:val="000000" w:themeColor="text1"/>
          <w:sz w:val="24"/>
          <w:szCs w:val="20"/>
        </w:rPr>
      </w:pPr>
      <w:r>
        <w:rPr>
          <w:rFonts w:ascii="宋体" w:hAnsi="宋体"/>
          <w:b/>
          <w:color w:val="000000" w:themeColor="text1"/>
          <w:sz w:val="24"/>
        </w:rPr>
        <w:t>3</w:t>
      </w:r>
      <w:r>
        <w:rPr>
          <w:rFonts w:hint="eastAsia" w:ascii="宋体" w:hAnsi="宋体"/>
          <w:b/>
          <w:color w:val="000000" w:themeColor="text1"/>
          <w:sz w:val="24"/>
        </w:rPr>
        <w:t>.</w:t>
      </w:r>
      <w:r>
        <w:rPr>
          <w:rFonts w:ascii="宋体" w:hAnsi="宋体"/>
          <w:b/>
          <w:color w:val="000000" w:themeColor="text1"/>
          <w:sz w:val="24"/>
        </w:rPr>
        <w:t>报价文件：</w:t>
      </w:r>
    </w:p>
    <w:p>
      <w:pPr>
        <w:tabs>
          <w:tab w:val="left" w:pos="3870"/>
          <w:tab w:val="left" w:pos="4085"/>
        </w:tabs>
        <w:snapToGrid w:val="0"/>
        <w:spacing w:line="360" w:lineRule="auto"/>
        <w:ind w:firstLine="480" w:firstLineChars="200"/>
        <w:jc w:val="left"/>
        <w:rPr>
          <w:rFonts w:ascii="宋体" w:hAnsi="宋体"/>
          <w:color w:val="000000" w:themeColor="text1"/>
          <w:sz w:val="24"/>
          <w:szCs w:val="20"/>
        </w:rPr>
      </w:pPr>
      <w:r>
        <w:rPr>
          <w:rFonts w:hint="eastAsia" w:ascii="宋体" w:hAnsi="宋体"/>
          <w:color w:val="000000" w:themeColor="text1"/>
          <w:sz w:val="24"/>
        </w:rPr>
        <w:t xml:space="preserve">（1）投标函（格式见附件）； </w:t>
      </w:r>
    </w:p>
    <w:p>
      <w:pPr>
        <w:pStyle w:val="27"/>
        <w:snapToGrid w:val="0"/>
        <w:spacing w:line="360" w:lineRule="auto"/>
        <w:ind w:left="0" w:leftChars="0" w:firstLine="480" w:firstLineChars="200"/>
        <w:rPr>
          <w:rFonts w:ascii="宋体" w:hAnsi="宋体" w:eastAsia="宋体"/>
          <w:color w:val="000000" w:themeColor="text1"/>
          <w:sz w:val="24"/>
          <w:szCs w:val="24"/>
        </w:rPr>
      </w:pPr>
      <w:r>
        <w:rPr>
          <w:rFonts w:hint="eastAsia" w:ascii="宋体" w:hAnsi="宋体" w:eastAsia="宋体"/>
          <w:color w:val="000000" w:themeColor="text1"/>
          <w:sz w:val="24"/>
        </w:rPr>
        <w:t>（2</w:t>
      </w:r>
      <w:r>
        <w:rPr>
          <w:rFonts w:ascii="宋体" w:hAnsi="宋体" w:eastAsia="宋体"/>
          <w:color w:val="000000" w:themeColor="text1"/>
          <w:sz w:val="24"/>
          <w:szCs w:val="24"/>
        </w:rPr>
        <w:t>）投标报价明细表（格式见附件）；</w:t>
      </w:r>
    </w:p>
    <w:p>
      <w:pPr>
        <w:pStyle w:val="27"/>
        <w:snapToGrid w:val="0"/>
        <w:spacing w:line="360" w:lineRule="auto"/>
        <w:ind w:left="0" w:leftChars="0" w:firstLine="480" w:firstLineChars="200"/>
        <w:rPr>
          <w:rFonts w:ascii="宋体" w:hAnsi="宋体" w:eastAsia="宋体"/>
          <w:color w:val="000000" w:themeColor="text1"/>
          <w:sz w:val="24"/>
          <w:szCs w:val="24"/>
        </w:rPr>
      </w:pPr>
      <w:r>
        <w:rPr>
          <w:rFonts w:hint="eastAsia" w:ascii="宋体" w:hAnsi="宋体" w:eastAsia="宋体"/>
          <w:color w:val="000000" w:themeColor="text1"/>
          <w:sz w:val="24"/>
          <w:szCs w:val="24"/>
        </w:rPr>
        <w:t>（3</w:t>
      </w:r>
      <w:r>
        <w:rPr>
          <w:rFonts w:ascii="宋体" w:hAnsi="宋体" w:eastAsia="宋体"/>
          <w:color w:val="000000" w:themeColor="text1"/>
          <w:sz w:val="24"/>
          <w:szCs w:val="24"/>
        </w:rPr>
        <w:t>）投标人</w:t>
      </w:r>
      <w:r>
        <w:rPr>
          <w:rFonts w:hint="eastAsia" w:ascii="宋体" w:hAnsi="宋体" w:eastAsia="宋体"/>
          <w:color w:val="000000" w:themeColor="text1"/>
          <w:sz w:val="24"/>
          <w:szCs w:val="24"/>
        </w:rPr>
        <w:t>针对报价</w:t>
      </w:r>
      <w:r>
        <w:rPr>
          <w:rFonts w:ascii="宋体" w:hAnsi="宋体" w:eastAsia="宋体"/>
          <w:color w:val="000000" w:themeColor="text1"/>
          <w:sz w:val="24"/>
          <w:szCs w:val="24"/>
        </w:rPr>
        <w:t>需要说明的其他文件和说明（格式</w:t>
      </w:r>
      <w:r>
        <w:rPr>
          <w:rFonts w:hint="eastAsia" w:ascii="宋体" w:hAnsi="宋体" w:eastAsia="宋体"/>
          <w:color w:val="000000" w:themeColor="text1"/>
          <w:sz w:val="24"/>
          <w:szCs w:val="24"/>
        </w:rPr>
        <w:t>自拟</w:t>
      </w:r>
      <w:r>
        <w:rPr>
          <w:rFonts w:ascii="宋体" w:hAnsi="宋体" w:eastAsia="宋体"/>
          <w:color w:val="000000" w:themeColor="text1"/>
          <w:sz w:val="24"/>
          <w:szCs w:val="24"/>
        </w:rPr>
        <w:t>）。</w:t>
      </w:r>
    </w:p>
    <w:p>
      <w:pPr>
        <w:snapToGrid w:val="0"/>
        <w:spacing w:line="360" w:lineRule="auto"/>
        <w:ind w:firstLine="480" w:firstLineChars="200"/>
        <w:jc w:val="left"/>
        <w:rPr>
          <w:rFonts w:ascii="宋体" w:hAnsi="宋体"/>
          <w:color w:val="000000" w:themeColor="text1"/>
          <w:sz w:val="24"/>
          <w:szCs w:val="20"/>
        </w:rPr>
      </w:pPr>
      <w:r>
        <w:rPr>
          <w:rFonts w:hint="eastAsia" w:ascii="宋体" w:hAnsi="宋体"/>
          <w:color w:val="000000" w:themeColor="text1"/>
          <w:sz w:val="24"/>
        </w:rPr>
        <w:t>（4</w:t>
      </w:r>
      <w:r>
        <w:rPr>
          <w:rFonts w:ascii="宋体" w:hAnsi="宋体"/>
          <w:color w:val="000000" w:themeColor="text1"/>
          <w:sz w:val="24"/>
        </w:rPr>
        <w:t>）开标一览表（</w:t>
      </w:r>
      <w:r>
        <w:rPr>
          <w:rFonts w:hint="eastAsia" w:ascii="宋体" w:hAnsi="宋体"/>
          <w:color w:val="000000" w:themeColor="text1"/>
          <w:sz w:val="24"/>
        </w:rPr>
        <w:t>单独封装，</w:t>
      </w:r>
      <w:r>
        <w:rPr>
          <w:rFonts w:ascii="宋体" w:hAnsi="宋体"/>
          <w:color w:val="000000" w:themeColor="text1"/>
          <w:sz w:val="24"/>
        </w:rPr>
        <w:t>格式见附件）；</w:t>
      </w:r>
    </w:p>
    <w:p>
      <w:pPr>
        <w:pStyle w:val="41"/>
        <w:widowControl w:val="0"/>
        <w:spacing w:before="0" w:afterLines="0" w:line="360" w:lineRule="auto"/>
        <w:ind w:firstLine="480" w:firstLineChars="200"/>
        <w:rPr>
          <w:color w:val="000000" w:themeColor="text1"/>
        </w:rPr>
      </w:pPr>
      <w:r>
        <w:rPr>
          <w:rFonts w:hint="eastAsia" w:cs="宋体"/>
          <w:color w:val="000000" w:themeColor="text1"/>
        </w:rPr>
        <w:t>★</w:t>
      </w:r>
      <w:r>
        <w:rPr>
          <w:b/>
          <w:bCs/>
          <w:color w:val="000000" w:themeColor="text1"/>
        </w:rPr>
        <w:t>注：法定代表人授权委托书必须由法定代表人签名并加盖单位公章。</w:t>
      </w:r>
    </w:p>
    <w:p>
      <w:pPr>
        <w:spacing w:line="360" w:lineRule="auto"/>
        <w:ind w:firstLine="482" w:firstLineChars="200"/>
        <w:rPr>
          <w:rFonts w:ascii="宋体" w:hAnsi="宋体"/>
          <w:b/>
          <w:color w:val="000000" w:themeColor="text1"/>
          <w:sz w:val="24"/>
        </w:rPr>
      </w:pPr>
      <w:r>
        <w:rPr>
          <w:rFonts w:hint="eastAsia" w:ascii="宋体" w:hAnsi="宋体"/>
          <w:b/>
          <w:color w:val="000000" w:themeColor="text1"/>
          <w:sz w:val="24"/>
        </w:rPr>
        <w:t>（二）投标文件的语言及计量</w:t>
      </w:r>
    </w:p>
    <w:p>
      <w:pPr>
        <w:snapToGrid w:val="0"/>
        <w:spacing w:line="360" w:lineRule="auto"/>
        <w:ind w:firstLine="480" w:firstLineChars="200"/>
        <w:jc w:val="left"/>
        <w:rPr>
          <w:rFonts w:ascii="宋体" w:hAnsi="宋体"/>
          <w:color w:val="000000" w:themeColor="text1"/>
          <w:sz w:val="24"/>
          <w:szCs w:val="20"/>
        </w:rPr>
      </w:pPr>
      <w:r>
        <w:rPr>
          <w:rFonts w:hint="eastAsia" w:ascii="宋体" w:hAnsi="宋体" w:cs="宋体"/>
          <w:color w:val="000000" w:themeColor="text1"/>
          <w:sz w:val="24"/>
        </w:rPr>
        <w:t>★</w:t>
      </w:r>
      <w:r>
        <w:rPr>
          <w:rFonts w:ascii="宋体" w:hAnsi="宋体"/>
          <w:color w:val="000000" w:themeColor="text1"/>
          <w:sz w:val="24"/>
        </w:rPr>
        <w:t>1投标文件以及投标方与招标方就有关投标事宜的所有来往函电，均应以中文汉语书写。除签名、盖章、专用名称等特殊情形外，以中文汉语以外的文字表述的投标文件视同未提供。</w:t>
      </w:r>
    </w:p>
    <w:p>
      <w:pPr>
        <w:snapToGrid w:val="0"/>
        <w:spacing w:line="360" w:lineRule="auto"/>
        <w:ind w:firstLine="480" w:firstLineChars="200"/>
        <w:jc w:val="left"/>
        <w:rPr>
          <w:rFonts w:ascii="宋体" w:hAnsi="宋体"/>
          <w:color w:val="000000" w:themeColor="text1"/>
          <w:sz w:val="24"/>
          <w:szCs w:val="20"/>
        </w:rPr>
      </w:pPr>
      <w:r>
        <w:rPr>
          <w:rFonts w:hint="eastAsia" w:ascii="宋体" w:hAnsi="宋体" w:cs="宋体"/>
          <w:color w:val="000000" w:themeColor="text1"/>
          <w:sz w:val="24"/>
        </w:rPr>
        <w:t>★</w:t>
      </w:r>
      <w:r>
        <w:rPr>
          <w:rFonts w:ascii="宋体" w:hAnsi="宋体"/>
          <w:color w:val="000000" w:themeColor="text1"/>
          <w:sz w:val="24"/>
        </w:rPr>
        <w:t>2投标计量单位，招标文件已有明确规定的，使用招标文件规定的计量单位；招标文件没有规定的，应采用中华人民共和国法定计量单位（货币单位：人民币元），否则视同未响应。</w:t>
      </w:r>
    </w:p>
    <w:p>
      <w:pPr>
        <w:spacing w:line="360" w:lineRule="auto"/>
        <w:ind w:firstLine="482" w:firstLineChars="200"/>
        <w:rPr>
          <w:rFonts w:ascii="宋体" w:hAnsi="宋体"/>
          <w:b/>
          <w:color w:val="000000" w:themeColor="text1"/>
          <w:sz w:val="24"/>
          <w:szCs w:val="20"/>
        </w:rPr>
      </w:pPr>
      <w:r>
        <w:rPr>
          <w:rFonts w:hint="eastAsia" w:ascii="宋体" w:hAnsi="宋体"/>
          <w:b/>
          <w:color w:val="000000" w:themeColor="text1"/>
          <w:sz w:val="24"/>
        </w:rPr>
        <w:t>（三）投标报价</w:t>
      </w:r>
    </w:p>
    <w:p>
      <w:pPr>
        <w:pStyle w:val="25"/>
        <w:snapToGrid w:val="0"/>
        <w:spacing w:beforeLines="0" w:afterLines="0" w:line="360" w:lineRule="auto"/>
        <w:ind w:firstLine="480" w:firstLineChars="200"/>
        <w:jc w:val="left"/>
        <w:rPr>
          <w:rFonts w:hAnsi="宋体"/>
          <w:color w:val="000000" w:themeColor="text1"/>
        </w:rPr>
      </w:pPr>
      <w:r>
        <w:rPr>
          <w:rFonts w:hAnsi="宋体"/>
          <w:color w:val="000000" w:themeColor="text1"/>
        </w:rPr>
        <w:t>1</w:t>
      </w:r>
      <w:r>
        <w:rPr>
          <w:rFonts w:hint="eastAsia" w:hAnsi="宋体"/>
          <w:color w:val="000000" w:themeColor="text1"/>
        </w:rPr>
        <w:t>.</w:t>
      </w:r>
      <w:r>
        <w:rPr>
          <w:rFonts w:hAnsi="宋体"/>
          <w:color w:val="000000" w:themeColor="text1"/>
        </w:rPr>
        <w:t>投标报价应按招标文件中相关附表格式填写。</w:t>
      </w:r>
    </w:p>
    <w:p>
      <w:pPr>
        <w:pStyle w:val="25"/>
        <w:snapToGrid w:val="0"/>
        <w:spacing w:beforeLines="0" w:afterLines="0" w:line="360" w:lineRule="auto"/>
        <w:ind w:firstLine="480" w:firstLineChars="200"/>
        <w:jc w:val="left"/>
        <w:rPr>
          <w:rFonts w:hAnsi="宋体"/>
          <w:color w:val="000000" w:themeColor="text1"/>
        </w:rPr>
      </w:pPr>
      <w:r>
        <w:rPr>
          <w:rFonts w:hint="eastAsia" w:hAnsi="宋体" w:cs="宋体"/>
          <w:color w:val="000000" w:themeColor="text1"/>
        </w:rPr>
        <w:t>★</w:t>
      </w:r>
      <w:r>
        <w:rPr>
          <w:rFonts w:hAnsi="宋体"/>
          <w:color w:val="000000" w:themeColor="text1"/>
        </w:rPr>
        <w:t>2</w:t>
      </w:r>
      <w:r>
        <w:rPr>
          <w:rFonts w:hint="eastAsia" w:hAnsi="宋体"/>
          <w:color w:val="000000" w:themeColor="text1"/>
        </w:rPr>
        <w:t>.</w:t>
      </w:r>
      <w:r>
        <w:rPr>
          <w:rFonts w:hAnsi="宋体"/>
          <w:color w:val="000000" w:themeColor="text1"/>
        </w:rPr>
        <w:t>投标报价是履行合同的最终价格，应包括货款、标准附件、备品备件、专用工具、包装、运输、装卸、保险、税金、货到就位以及安装、调试、培训、保修等一切税金和费用。</w:t>
      </w:r>
    </w:p>
    <w:p>
      <w:pPr>
        <w:tabs>
          <w:tab w:val="left" w:pos="525"/>
        </w:tabs>
        <w:snapToGrid w:val="0"/>
        <w:spacing w:line="360" w:lineRule="auto"/>
        <w:ind w:firstLine="480" w:firstLineChars="200"/>
        <w:jc w:val="left"/>
        <w:rPr>
          <w:rFonts w:ascii="宋体" w:hAnsi="宋体"/>
          <w:color w:val="000000" w:themeColor="text1"/>
          <w:sz w:val="24"/>
          <w:szCs w:val="20"/>
        </w:rPr>
      </w:pPr>
      <w:r>
        <w:rPr>
          <w:rFonts w:hint="eastAsia" w:ascii="宋体" w:hAnsi="宋体" w:cs="宋体"/>
          <w:color w:val="000000" w:themeColor="text1"/>
          <w:sz w:val="24"/>
        </w:rPr>
        <w:t>★</w:t>
      </w:r>
      <w:r>
        <w:rPr>
          <w:rFonts w:ascii="宋体" w:hAnsi="宋体"/>
          <w:color w:val="000000" w:themeColor="text1"/>
          <w:sz w:val="24"/>
        </w:rPr>
        <w:t>3</w:t>
      </w:r>
      <w:r>
        <w:rPr>
          <w:rFonts w:hint="eastAsia" w:ascii="宋体" w:hAnsi="宋体"/>
          <w:color w:val="000000" w:themeColor="text1"/>
          <w:sz w:val="24"/>
        </w:rPr>
        <w:t>.</w:t>
      </w:r>
      <w:r>
        <w:rPr>
          <w:rFonts w:ascii="宋体" w:hAnsi="宋体"/>
          <w:color w:val="000000" w:themeColor="text1"/>
          <w:sz w:val="24"/>
        </w:rPr>
        <w:t>投标文件只允许有一个报价，有选择的</w:t>
      </w:r>
      <w:r>
        <w:rPr>
          <w:rFonts w:hint="eastAsia" w:ascii="宋体" w:hAnsi="宋体"/>
          <w:color w:val="000000" w:themeColor="text1"/>
          <w:sz w:val="24"/>
        </w:rPr>
        <w:t>或有条件的</w:t>
      </w:r>
      <w:r>
        <w:rPr>
          <w:rFonts w:ascii="宋体" w:hAnsi="宋体"/>
          <w:color w:val="000000" w:themeColor="text1"/>
          <w:sz w:val="24"/>
        </w:rPr>
        <w:t>报价将不予接受。</w:t>
      </w:r>
    </w:p>
    <w:p>
      <w:pPr>
        <w:pStyle w:val="14"/>
        <w:widowControl w:val="0"/>
        <w:numPr>
          <w:ilvl w:val="0"/>
          <w:numId w:val="0"/>
        </w:numPr>
        <w:snapToGrid w:val="0"/>
        <w:spacing w:beforeLines="50" w:afterLines="0" w:line="360" w:lineRule="auto"/>
        <w:ind w:firstLine="472" w:firstLineChars="196"/>
        <w:rPr>
          <w:rFonts w:ascii="宋体" w:hAnsi="宋体"/>
          <w:b/>
          <w:color w:val="000000" w:themeColor="text1"/>
          <w:szCs w:val="24"/>
        </w:rPr>
      </w:pPr>
      <w:r>
        <w:rPr>
          <w:rFonts w:hint="eastAsia" w:ascii="宋体" w:hAnsi="宋体"/>
          <w:b/>
          <w:color w:val="000000" w:themeColor="text1"/>
          <w:szCs w:val="24"/>
        </w:rPr>
        <w:t>（四）投标文件的有效期</w:t>
      </w:r>
    </w:p>
    <w:p>
      <w:pPr>
        <w:pStyle w:val="14"/>
        <w:widowControl w:val="0"/>
        <w:numPr>
          <w:ilvl w:val="0"/>
          <w:numId w:val="0"/>
        </w:numPr>
        <w:snapToGrid w:val="0"/>
        <w:spacing w:afterLines="0" w:line="360" w:lineRule="auto"/>
        <w:ind w:firstLine="480" w:firstLineChars="200"/>
        <w:rPr>
          <w:rFonts w:ascii="宋体" w:hAnsi="宋体"/>
          <w:color w:val="000000" w:themeColor="text1"/>
          <w:szCs w:val="24"/>
        </w:rPr>
      </w:pPr>
      <w:r>
        <w:rPr>
          <w:rFonts w:hint="eastAsia" w:ascii="宋体" w:hAnsi="宋体" w:cs="宋体"/>
          <w:color w:val="000000" w:themeColor="text1"/>
        </w:rPr>
        <w:t>★</w:t>
      </w:r>
      <w:r>
        <w:rPr>
          <w:rFonts w:ascii="宋体" w:hAnsi="宋体"/>
          <w:color w:val="000000" w:themeColor="text1"/>
          <w:szCs w:val="24"/>
        </w:rPr>
        <w:t>1</w:t>
      </w:r>
      <w:r>
        <w:rPr>
          <w:rFonts w:hint="eastAsia" w:ascii="宋体" w:hAnsi="宋体"/>
          <w:color w:val="000000" w:themeColor="text1"/>
          <w:szCs w:val="24"/>
        </w:rPr>
        <w:t>.</w:t>
      </w:r>
      <w:r>
        <w:rPr>
          <w:rFonts w:ascii="宋体" w:hAnsi="宋体"/>
          <w:color w:val="000000" w:themeColor="text1"/>
          <w:szCs w:val="24"/>
        </w:rPr>
        <w:t>自投标截止日起</w:t>
      </w:r>
      <w:r>
        <w:rPr>
          <w:rFonts w:hint="eastAsia" w:ascii="宋体" w:hAnsi="宋体"/>
          <w:color w:val="000000" w:themeColor="text1"/>
          <w:szCs w:val="24"/>
          <w:u w:val="single"/>
        </w:rPr>
        <w:t>90</w:t>
      </w:r>
      <w:r>
        <w:rPr>
          <w:rFonts w:ascii="宋体" w:hAnsi="宋体"/>
          <w:color w:val="000000" w:themeColor="text1"/>
          <w:szCs w:val="24"/>
        </w:rPr>
        <w:t>天投标</w:t>
      </w:r>
      <w:r>
        <w:rPr>
          <w:rFonts w:hint="eastAsia" w:ascii="宋体" w:hAnsi="宋体"/>
          <w:color w:val="000000" w:themeColor="text1"/>
          <w:szCs w:val="24"/>
        </w:rPr>
        <w:t>文件</w:t>
      </w:r>
      <w:r>
        <w:rPr>
          <w:rFonts w:ascii="宋体" w:hAnsi="宋体"/>
          <w:color w:val="000000" w:themeColor="text1"/>
          <w:szCs w:val="24"/>
        </w:rPr>
        <w:t>应保持有效。有效期</w:t>
      </w:r>
      <w:r>
        <w:rPr>
          <w:rFonts w:hint="eastAsia" w:ascii="宋体" w:hAnsi="宋体"/>
          <w:color w:val="000000" w:themeColor="text1"/>
          <w:szCs w:val="24"/>
        </w:rPr>
        <w:t>不足</w:t>
      </w:r>
      <w:r>
        <w:rPr>
          <w:rFonts w:ascii="宋体" w:hAnsi="宋体"/>
          <w:color w:val="000000" w:themeColor="text1"/>
          <w:szCs w:val="24"/>
        </w:rPr>
        <w:t>的投标</w:t>
      </w:r>
      <w:r>
        <w:rPr>
          <w:rFonts w:hint="eastAsia" w:ascii="宋体" w:hAnsi="宋体"/>
          <w:color w:val="000000" w:themeColor="text1"/>
          <w:szCs w:val="24"/>
        </w:rPr>
        <w:t>文件</w:t>
      </w:r>
      <w:r>
        <w:rPr>
          <w:rFonts w:ascii="宋体" w:hAnsi="宋体"/>
          <w:color w:val="000000" w:themeColor="text1"/>
          <w:szCs w:val="24"/>
        </w:rPr>
        <w:t>将被拒绝。</w:t>
      </w:r>
    </w:p>
    <w:p>
      <w:pPr>
        <w:pStyle w:val="14"/>
        <w:widowControl w:val="0"/>
        <w:numPr>
          <w:ilvl w:val="0"/>
          <w:numId w:val="0"/>
        </w:numPr>
        <w:snapToGrid w:val="0"/>
        <w:spacing w:afterLines="0" w:line="360" w:lineRule="auto"/>
        <w:ind w:firstLine="480" w:firstLineChars="200"/>
        <w:rPr>
          <w:rFonts w:ascii="宋体" w:hAnsi="宋体"/>
          <w:color w:val="000000" w:themeColor="text1"/>
          <w:szCs w:val="24"/>
        </w:rPr>
      </w:pPr>
      <w:r>
        <w:rPr>
          <w:rFonts w:ascii="宋体" w:hAnsi="宋体"/>
          <w:color w:val="000000" w:themeColor="text1"/>
          <w:szCs w:val="24"/>
        </w:rPr>
        <w:t>2</w:t>
      </w:r>
      <w:r>
        <w:rPr>
          <w:rFonts w:hint="eastAsia" w:ascii="宋体" w:hAnsi="宋体"/>
          <w:color w:val="000000" w:themeColor="text1"/>
          <w:szCs w:val="24"/>
        </w:rPr>
        <w:t>.</w:t>
      </w:r>
      <w:r>
        <w:rPr>
          <w:rFonts w:ascii="宋体" w:hAnsi="宋体"/>
          <w:color w:val="000000" w:themeColor="text1"/>
          <w:szCs w:val="24"/>
        </w:rPr>
        <w:t>在特殊情况下，采购人可与投标人协商延长投标书的有效期，这种要求和答复均以书面形式进行。</w:t>
      </w:r>
    </w:p>
    <w:p>
      <w:pPr>
        <w:pStyle w:val="14"/>
        <w:widowControl w:val="0"/>
        <w:numPr>
          <w:ilvl w:val="0"/>
          <w:numId w:val="0"/>
        </w:numPr>
        <w:snapToGrid w:val="0"/>
        <w:spacing w:afterLines="0" w:line="360" w:lineRule="auto"/>
        <w:ind w:firstLine="480" w:firstLineChars="200"/>
        <w:rPr>
          <w:rFonts w:ascii="宋体" w:hAnsi="宋体"/>
          <w:color w:val="000000" w:themeColor="text1"/>
          <w:szCs w:val="24"/>
        </w:rPr>
      </w:pPr>
      <w:r>
        <w:rPr>
          <w:rFonts w:hint="eastAsia" w:ascii="宋体" w:hAnsi="宋体"/>
          <w:color w:val="000000" w:themeColor="text1"/>
          <w:szCs w:val="24"/>
        </w:rPr>
        <w:t>3.</w:t>
      </w:r>
      <w:r>
        <w:rPr>
          <w:rFonts w:ascii="宋体" w:hAnsi="宋体"/>
          <w:color w:val="000000" w:themeColor="text1"/>
          <w:szCs w:val="24"/>
        </w:rPr>
        <w:t>中标人的投标文件自开标之日起至合同履行完毕止均应保持有效。</w:t>
      </w:r>
    </w:p>
    <w:p>
      <w:pPr>
        <w:rPr>
          <w:color w:val="000000" w:themeColor="text1"/>
        </w:rPr>
      </w:pPr>
    </w:p>
    <w:p>
      <w:pPr>
        <w:snapToGrid w:val="0"/>
        <w:spacing w:beforeLines="50" w:line="360" w:lineRule="auto"/>
        <w:ind w:firstLine="472" w:firstLineChars="196"/>
        <w:jc w:val="left"/>
        <w:outlineLvl w:val="0"/>
        <w:rPr>
          <w:rFonts w:ascii="宋体" w:hAnsi="宋体"/>
          <w:b/>
          <w:color w:val="000000" w:themeColor="text1"/>
          <w:sz w:val="24"/>
          <w:szCs w:val="20"/>
        </w:rPr>
      </w:pPr>
      <w:r>
        <w:rPr>
          <w:rFonts w:hint="eastAsia" w:ascii="宋体" w:hAnsi="宋体"/>
          <w:b/>
          <w:color w:val="000000" w:themeColor="text1"/>
          <w:sz w:val="24"/>
        </w:rPr>
        <w:t>（五）投标文件的签署和份数</w:t>
      </w:r>
    </w:p>
    <w:p>
      <w:pPr>
        <w:snapToGrid w:val="0"/>
        <w:spacing w:line="360" w:lineRule="auto"/>
        <w:ind w:firstLine="480" w:firstLineChars="200"/>
        <w:jc w:val="left"/>
        <w:rPr>
          <w:rFonts w:ascii="宋体" w:hAnsi="宋体"/>
          <w:color w:val="000000" w:themeColor="text1"/>
          <w:sz w:val="24"/>
          <w:szCs w:val="20"/>
        </w:rPr>
      </w:pPr>
      <w:r>
        <w:rPr>
          <w:rFonts w:ascii="宋体" w:hAnsi="宋体"/>
          <w:color w:val="000000" w:themeColor="text1"/>
          <w:sz w:val="24"/>
        </w:rPr>
        <w:t>1</w:t>
      </w:r>
      <w:r>
        <w:rPr>
          <w:rFonts w:hint="eastAsia" w:ascii="宋体" w:hAnsi="宋体"/>
          <w:color w:val="000000" w:themeColor="text1"/>
          <w:sz w:val="24"/>
        </w:rPr>
        <w:t>.</w:t>
      </w:r>
      <w:r>
        <w:rPr>
          <w:rFonts w:ascii="宋体" w:hAnsi="宋体"/>
          <w:color w:val="000000" w:themeColor="text1"/>
          <w:sz w:val="24"/>
        </w:rPr>
        <w:t>投标人应</w:t>
      </w:r>
      <w:r>
        <w:rPr>
          <w:rFonts w:hint="eastAsia" w:ascii="宋体" w:hAnsi="宋体"/>
          <w:color w:val="000000" w:themeColor="text1"/>
          <w:sz w:val="24"/>
        </w:rPr>
        <w:t>按</w:t>
      </w:r>
      <w:r>
        <w:rPr>
          <w:rFonts w:ascii="宋体" w:hAnsi="宋体"/>
          <w:color w:val="000000" w:themeColor="text1"/>
          <w:sz w:val="24"/>
        </w:rPr>
        <w:t>本招标文件规定的格式和顺序编制、装订投标文件</w:t>
      </w:r>
      <w:r>
        <w:rPr>
          <w:rFonts w:hint="eastAsia" w:ascii="宋体" w:hAnsi="宋体"/>
          <w:color w:val="000000" w:themeColor="text1"/>
          <w:sz w:val="24"/>
        </w:rPr>
        <w:t>并标注页码</w:t>
      </w:r>
      <w:r>
        <w:rPr>
          <w:rFonts w:ascii="宋体" w:hAnsi="宋体"/>
          <w:color w:val="000000" w:themeColor="text1"/>
          <w:sz w:val="24"/>
        </w:rPr>
        <w:t>，投标文件内容不完整、编排混乱导致投标文件被误读、漏读或者查找不到相关内容的，是投标人的责任。</w:t>
      </w:r>
    </w:p>
    <w:p>
      <w:pPr>
        <w:snapToGrid w:val="0"/>
        <w:spacing w:line="360" w:lineRule="auto"/>
        <w:ind w:firstLine="480" w:firstLineChars="200"/>
        <w:jc w:val="left"/>
        <w:rPr>
          <w:rFonts w:ascii="宋体" w:hAnsi="宋体"/>
          <w:color w:val="000000" w:themeColor="text1"/>
          <w:sz w:val="24"/>
          <w:szCs w:val="20"/>
        </w:rPr>
      </w:pPr>
      <w:r>
        <w:rPr>
          <w:rFonts w:ascii="宋体" w:hAnsi="宋体"/>
          <w:color w:val="000000" w:themeColor="text1"/>
          <w:sz w:val="24"/>
        </w:rPr>
        <w:t>2</w:t>
      </w:r>
      <w:r>
        <w:rPr>
          <w:rFonts w:hint="eastAsia" w:ascii="宋体" w:hAnsi="宋体"/>
          <w:color w:val="000000" w:themeColor="text1"/>
          <w:sz w:val="24"/>
        </w:rPr>
        <w:t>.</w:t>
      </w:r>
      <w:r>
        <w:rPr>
          <w:rFonts w:ascii="宋体" w:hAnsi="宋体"/>
          <w:color w:val="000000" w:themeColor="text1"/>
          <w:sz w:val="24"/>
        </w:rPr>
        <w:t>投标人应按</w:t>
      </w:r>
      <w:r>
        <w:rPr>
          <w:rFonts w:hint="eastAsia" w:ascii="宋体" w:hAnsi="宋体"/>
          <w:color w:val="000000" w:themeColor="text1"/>
          <w:sz w:val="24"/>
        </w:rPr>
        <w:t>资信及商务文件、技术文件、投标报价文件正本各</w:t>
      </w:r>
      <w:r>
        <w:rPr>
          <w:rFonts w:hint="eastAsia" w:ascii="宋体" w:hAnsi="宋体"/>
          <w:color w:val="000000" w:themeColor="text1"/>
          <w:sz w:val="24"/>
          <w:u w:val="single"/>
        </w:rPr>
        <w:t xml:space="preserve"> 1 </w:t>
      </w:r>
      <w:r>
        <w:rPr>
          <w:rFonts w:hint="eastAsia" w:ascii="宋体" w:hAnsi="宋体"/>
          <w:color w:val="000000" w:themeColor="text1"/>
          <w:sz w:val="24"/>
        </w:rPr>
        <w:t>份，副本各</w:t>
      </w:r>
      <w:r>
        <w:rPr>
          <w:rFonts w:hint="eastAsia" w:ascii="宋体" w:hAnsi="宋体"/>
          <w:color w:val="000000" w:themeColor="text1"/>
          <w:sz w:val="24"/>
          <w:u w:val="single"/>
          <w:lang w:val="en-US" w:eastAsia="zh-CN"/>
        </w:rPr>
        <w:t>9</w:t>
      </w:r>
      <w:r>
        <w:rPr>
          <w:rFonts w:hint="eastAsia" w:ascii="宋体" w:hAnsi="宋体"/>
          <w:color w:val="000000" w:themeColor="text1"/>
          <w:sz w:val="24"/>
        </w:rPr>
        <w:t>份分别编制并单</w:t>
      </w:r>
      <w:bookmarkStart w:id="529" w:name="_GoBack"/>
      <w:bookmarkEnd w:id="529"/>
      <w:r>
        <w:rPr>
          <w:rFonts w:hint="eastAsia" w:ascii="宋体" w:hAnsi="宋体"/>
          <w:color w:val="000000" w:themeColor="text1"/>
          <w:sz w:val="24"/>
        </w:rPr>
        <w:t>独装订成册，投标文件的封面应注明“正本”、“副本”字样。</w:t>
      </w:r>
    </w:p>
    <w:p>
      <w:pPr>
        <w:snapToGrid w:val="0"/>
        <w:spacing w:line="360" w:lineRule="auto"/>
        <w:ind w:firstLine="480" w:firstLineChars="200"/>
        <w:jc w:val="left"/>
        <w:rPr>
          <w:rFonts w:ascii="宋体" w:hAnsi="宋体"/>
          <w:color w:val="000000" w:themeColor="text1"/>
          <w:sz w:val="24"/>
          <w:szCs w:val="20"/>
        </w:rPr>
      </w:pPr>
      <w:r>
        <w:rPr>
          <w:rFonts w:ascii="宋体" w:hAnsi="宋体"/>
          <w:color w:val="000000" w:themeColor="text1"/>
          <w:sz w:val="24"/>
        </w:rPr>
        <w:t>3</w:t>
      </w:r>
      <w:r>
        <w:rPr>
          <w:rFonts w:hint="eastAsia" w:ascii="宋体" w:hAnsi="宋体"/>
          <w:color w:val="000000" w:themeColor="text1"/>
          <w:sz w:val="24"/>
        </w:rPr>
        <w:t>.</w:t>
      </w:r>
      <w:r>
        <w:rPr>
          <w:rFonts w:ascii="宋体" w:hAnsi="宋体"/>
          <w:color w:val="000000" w:themeColor="text1"/>
          <w:sz w:val="24"/>
        </w:rPr>
        <w:t>投标文件的正本需打印或用不褪色的墨水填写，投标文件正本除本</w:t>
      </w:r>
      <w:r>
        <w:rPr>
          <w:rFonts w:hint="eastAsia" w:ascii="宋体" w:hAnsi="宋体"/>
          <w:color w:val="000000" w:themeColor="text1"/>
          <w:sz w:val="24"/>
        </w:rPr>
        <w:t>《</w:t>
      </w:r>
      <w:r>
        <w:rPr>
          <w:rFonts w:ascii="宋体" w:hAnsi="宋体"/>
          <w:color w:val="000000" w:themeColor="text1"/>
          <w:sz w:val="24"/>
        </w:rPr>
        <w:t>投标人须知</w:t>
      </w:r>
      <w:r>
        <w:rPr>
          <w:rFonts w:hint="eastAsia" w:ascii="宋体" w:hAnsi="宋体"/>
          <w:color w:val="000000" w:themeColor="text1"/>
          <w:sz w:val="24"/>
        </w:rPr>
        <w:t>》</w:t>
      </w:r>
      <w:r>
        <w:rPr>
          <w:rFonts w:ascii="宋体" w:hAnsi="宋体"/>
          <w:color w:val="000000" w:themeColor="text1"/>
          <w:sz w:val="24"/>
        </w:rPr>
        <w:t>中规定的可提供复印件外均须提供原件。副本为正本的复印件。</w:t>
      </w:r>
    </w:p>
    <w:p>
      <w:pPr>
        <w:snapToGrid w:val="0"/>
        <w:spacing w:line="360" w:lineRule="auto"/>
        <w:ind w:firstLine="480" w:firstLineChars="200"/>
        <w:jc w:val="left"/>
        <w:rPr>
          <w:rFonts w:ascii="宋体" w:hAnsi="宋体"/>
          <w:color w:val="000000" w:themeColor="text1"/>
          <w:sz w:val="24"/>
          <w:szCs w:val="20"/>
        </w:rPr>
      </w:pPr>
      <w:r>
        <w:rPr>
          <w:rFonts w:ascii="宋体" w:hAnsi="宋体"/>
          <w:color w:val="000000" w:themeColor="text1"/>
          <w:sz w:val="24"/>
        </w:rPr>
        <w:t>4</w:t>
      </w:r>
      <w:r>
        <w:rPr>
          <w:rFonts w:hint="eastAsia" w:ascii="宋体" w:hAnsi="宋体"/>
          <w:color w:val="000000" w:themeColor="text1"/>
          <w:sz w:val="24"/>
        </w:rPr>
        <w:t>.</w:t>
      </w:r>
      <w:r>
        <w:rPr>
          <w:rFonts w:ascii="宋体" w:hAnsi="宋体"/>
          <w:color w:val="000000" w:themeColor="text1"/>
          <w:sz w:val="24"/>
        </w:rPr>
        <w:t>投标文件须由投标人在规定位置盖章并由法定代表人或法定代表</w:t>
      </w:r>
      <w:r>
        <w:rPr>
          <w:rFonts w:hint="eastAsia" w:ascii="宋体" w:hAnsi="宋体"/>
          <w:color w:val="000000" w:themeColor="text1"/>
          <w:sz w:val="24"/>
        </w:rPr>
        <w:t>人的</w:t>
      </w:r>
      <w:r>
        <w:rPr>
          <w:rFonts w:ascii="宋体" w:hAnsi="宋体"/>
          <w:color w:val="000000" w:themeColor="text1"/>
          <w:sz w:val="24"/>
        </w:rPr>
        <w:t>授权</w:t>
      </w:r>
      <w:r>
        <w:rPr>
          <w:rFonts w:hint="eastAsia" w:ascii="宋体" w:hAnsi="宋体"/>
          <w:color w:val="000000" w:themeColor="text1"/>
          <w:sz w:val="24"/>
        </w:rPr>
        <w:t>委托</w:t>
      </w:r>
      <w:r>
        <w:rPr>
          <w:rFonts w:ascii="宋体" w:hAnsi="宋体"/>
          <w:color w:val="000000" w:themeColor="text1"/>
          <w:sz w:val="24"/>
        </w:rPr>
        <w:t>人签署，投标人应写全称。</w:t>
      </w:r>
    </w:p>
    <w:p>
      <w:pPr>
        <w:snapToGrid w:val="0"/>
        <w:spacing w:line="360" w:lineRule="auto"/>
        <w:ind w:firstLine="480" w:firstLineChars="200"/>
        <w:jc w:val="left"/>
        <w:rPr>
          <w:rFonts w:ascii="宋体" w:hAnsi="宋体"/>
          <w:color w:val="000000" w:themeColor="text1"/>
          <w:sz w:val="24"/>
          <w:szCs w:val="20"/>
        </w:rPr>
      </w:pPr>
      <w:r>
        <w:rPr>
          <w:rFonts w:ascii="宋体" w:hAnsi="宋体"/>
          <w:color w:val="000000" w:themeColor="text1"/>
          <w:sz w:val="24"/>
        </w:rPr>
        <w:t>5</w:t>
      </w:r>
      <w:r>
        <w:rPr>
          <w:rFonts w:hint="eastAsia" w:ascii="宋体" w:hAnsi="宋体"/>
          <w:color w:val="000000" w:themeColor="text1"/>
          <w:sz w:val="24"/>
        </w:rPr>
        <w:t>.</w:t>
      </w:r>
      <w:r>
        <w:rPr>
          <w:rFonts w:ascii="宋体" w:hAnsi="宋体"/>
          <w:color w:val="000000" w:themeColor="text1"/>
          <w:sz w:val="24"/>
        </w:rPr>
        <w:t>投标文件不得涂改，若有修改错漏处，须加盖单位公章或者法定代表人或授权委托人签字或盖章。投标文件因字迹潦草或表达不清所引起的后果由投标人负责。</w:t>
      </w:r>
    </w:p>
    <w:p>
      <w:pPr>
        <w:snapToGrid w:val="0"/>
        <w:spacing w:beforeLines="50" w:line="360" w:lineRule="auto"/>
        <w:ind w:firstLine="354" w:firstLineChars="147"/>
        <w:jc w:val="left"/>
        <w:rPr>
          <w:rFonts w:ascii="宋体" w:hAnsi="宋体"/>
          <w:b/>
          <w:color w:val="000000" w:themeColor="text1"/>
          <w:sz w:val="24"/>
          <w:szCs w:val="20"/>
        </w:rPr>
      </w:pPr>
      <w:r>
        <w:rPr>
          <w:rFonts w:hint="eastAsia" w:ascii="宋体" w:hAnsi="宋体"/>
          <w:b/>
          <w:color w:val="000000" w:themeColor="text1"/>
          <w:sz w:val="24"/>
        </w:rPr>
        <w:t>（六）投标文件的包装、递交、修改和撤回</w:t>
      </w:r>
    </w:p>
    <w:p>
      <w:pPr>
        <w:snapToGrid w:val="0"/>
        <w:spacing w:line="360" w:lineRule="auto"/>
        <w:ind w:firstLine="420"/>
        <w:jc w:val="left"/>
        <w:rPr>
          <w:rFonts w:ascii="宋体" w:hAnsi="宋体"/>
          <w:color w:val="000000" w:themeColor="text1"/>
          <w:sz w:val="24"/>
        </w:rPr>
      </w:pPr>
      <w:r>
        <w:rPr>
          <w:rFonts w:hint="eastAsia" w:ascii="宋体" w:hAnsi="宋体" w:cs="宋体"/>
          <w:color w:val="000000" w:themeColor="text1"/>
        </w:rPr>
        <w:t>★</w:t>
      </w:r>
      <w:r>
        <w:rPr>
          <w:rFonts w:hint="eastAsia" w:ascii="宋体" w:hAnsi="宋体"/>
          <w:color w:val="000000" w:themeColor="text1"/>
          <w:sz w:val="24"/>
        </w:rPr>
        <w:t>1.投标人应按资信及商务文件、技术文件、投标报价文件三部分分别密封封装投标文件，其中《投标报价一览表》（格式见附件）应单独用小信封密封。投标文件的包装封面上应注明投标人名称、投标人地址、投标文件名称（资信/商务文件或者技术文件、报价文件、投标报价一览表等）、投标项目名称、项目编号、标项及“开标时启封”字样，并加盖投标人公章。</w:t>
      </w:r>
    </w:p>
    <w:p>
      <w:pPr>
        <w:snapToGrid w:val="0"/>
        <w:spacing w:line="360" w:lineRule="auto"/>
        <w:ind w:firstLine="420"/>
        <w:jc w:val="left"/>
        <w:rPr>
          <w:rFonts w:ascii="宋体" w:hAnsi="宋体"/>
          <w:color w:val="000000" w:themeColor="text1"/>
          <w:sz w:val="24"/>
        </w:rPr>
      </w:pPr>
      <w:r>
        <w:rPr>
          <w:rFonts w:hint="eastAsia" w:ascii="宋体" w:hAnsi="宋体" w:cs="宋体"/>
          <w:color w:val="000000" w:themeColor="text1"/>
        </w:rPr>
        <w:t>★</w:t>
      </w:r>
      <w:r>
        <w:rPr>
          <w:rFonts w:hint="eastAsia" w:ascii="宋体" w:hAnsi="宋体"/>
          <w:color w:val="000000" w:themeColor="text1"/>
          <w:sz w:val="24"/>
        </w:rPr>
        <w:t>2.未按规定密封或标记的投标文件将被拒绝，由此造成投标文件被误投或提前拆封的风险由投标人承担。</w:t>
      </w:r>
    </w:p>
    <w:p>
      <w:pPr>
        <w:snapToGrid w:val="0"/>
        <w:spacing w:line="360" w:lineRule="auto"/>
        <w:ind w:firstLine="420"/>
        <w:jc w:val="left"/>
        <w:rPr>
          <w:rFonts w:ascii="宋体" w:hAnsi="宋体"/>
          <w:color w:val="000000" w:themeColor="text1"/>
          <w:sz w:val="24"/>
        </w:rPr>
      </w:pPr>
      <w:r>
        <w:rPr>
          <w:rFonts w:hint="eastAsia" w:ascii="宋体" w:hAnsi="宋体"/>
          <w:color w:val="000000" w:themeColor="text1"/>
          <w:sz w:val="24"/>
        </w:rPr>
        <w:t>3.投标人在投标截止时间之前，可以对已提交的投标文件进行修改或撤回，并书面通知招标采购单位；投标截止时间后，投标人不得撤回、修改投标文件。修改后重新递交的投标文件应当按本招标文件的要求签署、盖章和密封。</w:t>
      </w:r>
    </w:p>
    <w:p>
      <w:pPr>
        <w:spacing w:line="360" w:lineRule="auto"/>
        <w:ind w:firstLine="241" w:firstLineChars="100"/>
        <w:rPr>
          <w:rFonts w:ascii="宋体" w:hAnsi="宋体"/>
          <w:b/>
          <w:color w:val="000000" w:themeColor="text1"/>
          <w:sz w:val="24"/>
          <w:szCs w:val="20"/>
        </w:rPr>
      </w:pPr>
      <w:r>
        <w:rPr>
          <w:rFonts w:hint="eastAsia" w:ascii="宋体" w:hAnsi="宋体"/>
          <w:b/>
          <w:color w:val="000000" w:themeColor="text1"/>
          <w:sz w:val="24"/>
        </w:rPr>
        <w:t>（七）投标无效的情形</w:t>
      </w:r>
    </w:p>
    <w:p>
      <w:pPr>
        <w:snapToGrid w:val="0"/>
        <w:spacing w:line="360" w:lineRule="auto"/>
        <w:ind w:firstLine="480" w:firstLineChars="200"/>
        <w:rPr>
          <w:rFonts w:ascii="宋体" w:hAnsi="宋体"/>
          <w:bCs/>
          <w:color w:val="000000" w:themeColor="text1"/>
          <w:sz w:val="24"/>
          <w:szCs w:val="20"/>
        </w:rPr>
      </w:pPr>
      <w:r>
        <w:rPr>
          <w:rFonts w:hint="eastAsia" w:ascii="宋体" w:hAnsi="宋体"/>
          <w:bCs/>
          <w:color w:val="000000" w:themeColor="text1"/>
          <w:sz w:val="24"/>
        </w:rPr>
        <w:t>实质上没有响应招标文件要求的投标将被视为无效投标。投标人不得通过修正或撤消不合要求的偏离或保留从而使其投标成为实质上响应的投标，但经评标委员会认定属于投标人疏忽、笔误所造成的差错，应当允许其在评标结束之前进行修改或者补正（可以是复印件、传真件等，原件必须加盖单位公章）。修改或者补正投标文件必须以书面形式进行，并应在中标结果公告之前查核原件。限期内不补正或经补正后仍不符合招标文件要求的，应认定其投标无效。投标人修改、补正投标文件后，不影响评标委员会对其投标文件所作的评价和评分结果。</w:t>
      </w:r>
    </w:p>
    <w:p>
      <w:pPr>
        <w:snapToGrid w:val="0"/>
        <w:spacing w:line="360" w:lineRule="auto"/>
        <w:ind w:firstLine="472" w:firstLineChars="196"/>
        <w:rPr>
          <w:rFonts w:ascii="宋体" w:hAnsi="宋体"/>
          <w:b/>
          <w:bCs/>
          <w:color w:val="000000" w:themeColor="text1"/>
          <w:sz w:val="24"/>
          <w:szCs w:val="20"/>
        </w:rPr>
      </w:pPr>
      <w:r>
        <w:rPr>
          <w:rFonts w:ascii="宋体" w:hAnsi="宋体"/>
          <w:b/>
          <w:bCs/>
          <w:color w:val="000000" w:themeColor="text1"/>
          <w:sz w:val="24"/>
        </w:rPr>
        <w:t>1</w:t>
      </w:r>
      <w:r>
        <w:rPr>
          <w:rFonts w:hint="eastAsia" w:ascii="宋体" w:hAnsi="宋体"/>
          <w:b/>
          <w:bCs/>
          <w:color w:val="000000" w:themeColor="text1"/>
          <w:sz w:val="24"/>
        </w:rPr>
        <w:t>.</w:t>
      </w:r>
      <w:r>
        <w:rPr>
          <w:rFonts w:ascii="宋体" w:hAnsi="宋体"/>
          <w:b/>
          <w:bCs/>
          <w:color w:val="000000" w:themeColor="text1"/>
          <w:sz w:val="24"/>
        </w:rPr>
        <w:t>在符合性审查和商务评审时，如发现下列情形之一的，投标文件将被视为无效：</w:t>
      </w:r>
    </w:p>
    <w:p>
      <w:pPr>
        <w:snapToGrid w:val="0"/>
        <w:spacing w:line="360" w:lineRule="auto"/>
        <w:ind w:firstLine="470" w:firstLineChars="196"/>
        <w:rPr>
          <w:rFonts w:ascii="宋体" w:hAnsi="宋体"/>
          <w:color w:val="000000" w:themeColor="text1"/>
          <w:sz w:val="24"/>
          <w:szCs w:val="20"/>
        </w:rPr>
      </w:pPr>
      <w:r>
        <w:rPr>
          <w:rFonts w:hint="eastAsia" w:ascii="宋体" w:hAnsi="宋体"/>
          <w:color w:val="000000" w:themeColor="text1"/>
          <w:sz w:val="24"/>
        </w:rPr>
        <w:t>（1</w:t>
      </w:r>
      <w:r>
        <w:rPr>
          <w:rFonts w:ascii="宋体" w:hAnsi="宋体"/>
          <w:color w:val="000000" w:themeColor="text1"/>
          <w:sz w:val="24"/>
        </w:rPr>
        <w:t>）超出经营范围投标的</w:t>
      </w:r>
      <w:r>
        <w:rPr>
          <w:rFonts w:hint="eastAsia" w:ascii="宋体" w:hAnsi="宋体"/>
          <w:color w:val="000000" w:themeColor="text1"/>
          <w:sz w:val="24"/>
        </w:rPr>
        <w:t>；</w:t>
      </w:r>
    </w:p>
    <w:p>
      <w:pPr>
        <w:snapToGrid w:val="0"/>
        <w:spacing w:line="360" w:lineRule="auto"/>
        <w:ind w:firstLine="470" w:firstLineChars="196"/>
        <w:rPr>
          <w:rFonts w:ascii="宋体" w:hAnsi="宋体"/>
          <w:color w:val="000000" w:themeColor="text1"/>
          <w:sz w:val="24"/>
          <w:szCs w:val="20"/>
        </w:rPr>
      </w:pPr>
      <w:r>
        <w:rPr>
          <w:rFonts w:hint="eastAsia" w:ascii="宋体" w:hAnsi="宋体"/>
          <w:color w:val="000000" w:themeColor="text1"/>
          <w:sz w:val="24"/>
        </w:rPr>
        <w:t>（2</w:t>
      </w:r>
      <w:r>
        <w:rPr>
          <w:rFonts w:ascii="宋体" w:hAnsi="宋体"/>
          <w:color w:val="000000" w:themeColor="text1"/>
          <w:sz w:val="24"/>
        </w:rPr>
        <w:t>）资格证明文件不全的，或者不符合招标文件标明的资格要求的</w:t>
      </w:r>
    </w:p>
    <w:p>
      <w:pPr>
        <w:snapToGrid w:val="0"/>
        <w:spacing w:line="360" w:lineRule="auto"/>
        <w:ind w:firstLine="470" w:firstLineChars="196"/>
        <w:rPr>
          <w:rFonts w:ascii="宋体" w:hAnsi="宋体"/>
          <w:bCs/>
          <w:color w:val="000000" w:themeColor="text1"/>
          <w:kern w:val="0"/>
          <w:sz w:val="24"/>
          <w:szCs w:val="20"/>
        </w:rPr>
      </w:pPr>
      <w:r>
        <w:rPr>
          <w:rFonts w:hint="eastAsia" w:ascii="宋体" w:hAnsi="宋体"/>
          <w:color w:val="000000" w:themeColor="text1"/>
          <w:sz w:val="24"/>
        </w:rPr>
        <w:t>（3</w:t>
      </w:r>
      <w:r>
        <w:rPr>
          <w:rFonts w:ascii="宋体" w:hAnsi="宋体"/>
          <w:color w:val="000000" w:themeColor="text1"/>
          <w:sz w:val="24"/>
        </w:rPr>
        <w:t>）投标文件无法定代表人签字,或未</w:t>
      </w:r>
      <w:r>
        <w:rPr>
          <w:rFonts w:hint="eastAsia" w:ascii="宋体" w:hAnsi="宋体"/>
          <w:bCs/>
          <w:color w:val="000000" w:themeColor="text1"/>
          <w:kern w:val="0"/>
          <w:sz w:val="24"/>
        </w:rPr>
        <w:t>提供法定代表人授权委托书、投标声明书或者填写项目不齐全的；</w:t>
      </w:r>
    </w:p>
    <w:p>
      <w:pPr>
        <w:snapToGrid w:val="0"/>
        <w:spacing w:line="360" w:lineRule="auto"/>
        <w:ind w:firstLine="470" w:firstLineChars="196"/>
        <w:rPr>
          <w:rFonts w:ascii="宋体" w:hAnsi="宋体"/>
          <w:color w:val="000000" w:themeColor="text1"/>
          <w:sz w:val="24"/>
          <w:szCs w:val="20"/>
        </w:rPr>
      </w:pPr>
      <w:r>
        <w:rPr>
          <w:rFonts w:hint="eastAsia" w:ascii="宋体" w:hAnsi="宋体"/>
          <w:color w:val="000000" w:themeColor="text1"/>
          <w:sz w:val="24"/>
        </w:rPr>
        <w:t>（4</w:t>
      </w:r>
      <w:r>
        <w:rPr>
          <w:rFonts w:ascii="宋体" w:hAnsi="宋体"/>
          <w:color w:val="000000" w:themeColor="text1"/>
          <w:sz w:val="24"/>
        </w:rPr>
        <w:t>）</w:t>
      </w:r>
      <w:r>
        <w:rPr>
          <w:rFonts w:hint="eastAsia" w:ascii="宋体" w:hAnsi="宋体"/>
          <w:color w:val="000000" w:themeColor="text1"/>
          <w:sz w:val="24"/>
        </w:rPr>
        <w:t>投标代表人未能出具身份证明或与法定代表人授权委托人身份不符的；</w:t>
      </w:r>
    </w:p>
    <w:p>
      <w:pPr>
        <w:pStyle w:val="20"/>
        <w:snapToGrid w:val="0"/>
        <w:spacing w:line="360" w:lineRule="auto"/>
        <w:ind w:firstLine="454" w:firstLineChars="196"/>
        <w:rPr>
          <w:rFonts w:hAnsi="宋体"/>
          <w:snapToGrid w:val="0"/>
          <w:color w:val="000000" w:themeColor="text1"/>
          <w:sz w:val="24"/>
          <w:szCs w:val="24"/>
        </w:rPr>
      </w:pPr>
      <w:r>
        <w:rPr>
          <w:rFonts w:hAnsi="宋体"/>
          <w:color w:val="000000" w:themeColor="text1"/>
          <w:sz w:val="24"/>
        </w:rPr>
        <w:t>（</w:t>
      </w:r>
      <w:r>
        <w:rPr>
          <w:rFonts w:hint="eastAsia" w:hAnsi="宋体"/>
          <w:snapToGrid w:val="0"/>
          <w:color w:val="000000" w:themeColor="text1"/>
          <w:sz w:val="24"/>
          <w:szCs w:val="24"/>
        </w:rPr>
        <w:t>5</w:t>
      </w:r>
      <w:r>
        <w:rPr>
          <w:rFonts w:hAnsi="宋体"/>
          <w:snapToGrid w:val="0"/>
          <w:color w:val="000000" w:themeColor="text1"/>
          <w:sz w:val="24"/>
          <w:szCs w:val="24"/>
        </w:rPr>
        <w:t>）</w:t>
      </w:r>
      <w:r>
        <w:rPr>
          <w:rFonts w:hAnsi="宋体"/>
          <w:color w:val="000000" w:themeColor="text1"/>
          <w:sz w:val="24"/>
        </w:rPr>
        <w:t>投标文件格式不规范、项目不齐全或者内容虚假的；</w:t>
      </w:r>
    </w:p>
    <w:p>
      <w:pPr>
        <w:pStyle w:val="20"/>
        <w:snapToGrid w:val="0"/>
        <w:spacing w:line="360" w:lineRule="auto"/>
        <w:ind w:firstLine="454" w:firstLineChars="196"/>
        <w:rPr>
          <w:rFonts w:hAnsi="宋体"/>
          <w:snapToGrid w:val="0"/>
          <w:color w:val="000000" w:themeColor="text1"/>
          <w:sz w:val="24"/>
          <w:szCs w:val="24"/>
        </w:rPr>
      </w:pPr>
      <w:r>
        <w:rPr>
          <w:rFonts w:hAnsi="宋体"/>
          <w:color w:val="000000" w:themeColor="text1"/>
          <w:sz w:val="24"/>
        </w:rPr>
        <w:t>（</w:t>
      </w:r>
      <w:r>
        <w:rPr>
          <w:rFonts w:hint="eastAsia" w:hAnsi="宋体"/>
          <w:color w:val="000000" w:themeColor="text1"/>
          <w:sz w:val="24"/>
        </w:rPr>
        <w:t>6</w:t>
      </w:r>
      <w:r>
        <w:rPr>
          <w:rFonts w:hAnsi="宋体"/>
          <w:color w:val="000000" w:themeColor="text1"/>
          <w:sz w:val="24"/>
        </w:rPr>
        <w:t>）投标文件的实质性内容未使用中文表述、意思表述不明确、前后矛盾或者使用计量单位不符合招标文件要求的（经评标委员会认定</w:t>
      </w:r>
      <w:r>
        <w:rPr>
          <w:rFonts w:hint="eastAsia" w:hAnsi="宋体"/>
          <w:color w:val="000000" w:themeColor="text1"/>
          <w:sz w:val="24"/>
        </w:rPr>
        <w:t>并</w:t>
      </w:r>
      <w:r>
        <w:rPr>
          <w:rFonts w:hAnsi="宋体"/>
          <w:color w:val="000000" w:themeColor="text1"/>
          <w:sz w:val="24"/>
        </w:rPr>
        <w:t>允许其当场更正的笔误除外）</w:t>
      </w:r>
    </w:p>
    <w:p>
      <w:pPr>
        <w:pStyle w:val="20"/>
        <w:snapToGrid w:val="0"/>
        <w:spacing w:line="360" w:lineRule="auto"/>
        <w:ind w:firstLine="454" w:firstLineChars="196"/>
        <w:rPr>
          <w:rFonts w:hAnsi="宋体"/>
          <w:snapToGrid w:val="0"/>
          <w:color w:val="000000" w:themeColor="text1"/>
          <w:sz w:val="24"/>
          <w:szCs w:val="24"/>
        </w:rPr>
      </w:pPr>
      <w:r>
        <w:rPr>
          <w:rFonts w:hAnsi="宋体"/>
          <w:color w:val="000000" w:themeColor="text1"/>
          <w:sz w:val="24"/>
        </w:rPr>
        <w:t>（</w:t>
      </w:r>
      <w:r>
        <w:rPr>
          <w:rFonts w:hint="eastAsia" w:hAnsi="宋体"/>
          <w:snapToGrid w:val="0"/>
          <w:color w:val="000000" w:themeColor="text1"/>
          <w:sz w:val="24"/>
          <w:szCs w:val="24"/>
        </w:rPr>
        <w:t>7</w:t>
      </w:r>
      <w:r>
        <w:rPr>
          <w:rFonts w:hAnsi="宋体"/>
          <w:snapToGrid w:val="0"/>
          <w:color w:val="000000" w:themeColor="text1"/>
          <w:sz w:val="24"/>
          <w:szCs w:val="24"/>
        </w:rPr>
        <w:t>）投标有效期、交货时间、质保期等商务条款不能满足招标文件要求的；</w:t>
      </w:r>
    </w:p>
    <w:p>
      <w:pPr>
        <w:pStyle w:val="20"/>
        <w:snapToGrid w:val="0"/>
        <w:spacing w:line="360" w:lineRule="auto"/>
        <w:ind w:firstLine="454" w:firstLineChars="196"/>
        <w:rPr>
          <w:rFonts w:hAnsi="宋体"/>
          <w:color w:val="000000" w:themeColor="text1"/>
          <w:sz w:val="24"/>
        </w:rPr>
      </w:pPr>
      <w:r>
        <w:rPr>
          <w:rFonts w:hAnsi="宋体"/>
          <w:color w:val="000000" w:themeColor="text1"/>
          <w:sz w:val="24"/>
        </w:rPr>
        <w:t>（</w:t>
      </w:r>
      <w:r>
        <w:rPr>
          <w:rFonts w:hint="eastAsia" w:hAnsi="宋体"/>
          <w:color w:val="000000" w:themeColor="text1"/>
          <w:sz w:val="24"/>
        </w:rPr>
        <w:t>8</w:t>
      </w:r>
      <w:r>
        <w:rPr>
          <w:rFonts w:hAnsi="宋体"/>
          <w:color w:val="000000" w:themeColor="text1"/>
          <w:sz w:val="24"/>
        </w:rPr>
        <w:t>）</w:t>
      </w:r>
      <w:r>
        <w:rPr>
          <w:rFonts w:hint="eastAsia" w:hAnsi="宋体"/>
          <w:color w:val="000000" w:themeColor="text1"/>
          <w:sz w:val="24"/>
        </w:rPr>
        <w:t>未实质性</w:t>
      </w:r>
      <w:r>
        <w:rPr>
          <w:rFonts w:hAnsi="宋体"/>
          <w:color w:val="000000" w:themeColor="text1"/>
          <w:sz w:val="24"/>
        </w:rPr>
        <w:t>响应招标文件要求或者投标文件有招标方不能接受的附加条件的；</w:t>
      </w:r>
    </w:p>
    <w:p>
      <w:pPr>
        <w:pStyle w:val="20"/>
        <w:snapToGrid w:val="0"/>
        <w:spacing w:line="360" w:lineRule="auto"/>
        <w:ind w:firstLine="457" w:firstLineChars="196"/>
        <w:rPr>
          <w:rFonts w:hAnsi="宋体"/>
          <w:b/>
          <w:bCs/>
          <w:color w:val="000000" w:themeColor="text1"/>
          <w:sz w:val="24"/>
        </w:rPr>
      </w:pPr>
      <w:r>
        <w:rPr>
          <w:rFonts w:hAnsi="宋体"/>
          <w:b/>
          <w:bCs/>
          <w:color w:val="000000" w:themeColor="text1"/>
          <w:sz w:val="24"/>
        </w:rPr>
        <w:t>2</w:t>
      </w:r>
      <w:r>
        <w:rPr>
          <w:rFonts w:hint="eastAsia" w:hAnsi="宋体"/>
          <w:b/>
          <w:bCs/>
          <w:color w:val="000000" w:themeColor="text1"/>
          <w:sz w:val="24"/>
        </w:rPr>
        <w:t>.</w:t>
      </w:r>
      <w:r>
        <w:rPr>
          <w:rFonts w:hAnsi="宋体"/>
          <w:b/>
          <w:bCs/>
          <w:color w:val="000000" w:themeColor="text1"/>
          <w:sz w:val="24"/>
        </w:rPr>
        <w:t>在技术评审时，如发现下列情形之一的，投标文件将被视为无效：</w:t>
      </w:r>
    </w:p>
    <w:p>
      <w:pPr>
        <w:pStyle w:val="20"/>
        <w:snapToGrid w:val="0"/>
        <w:spacing w:line="360" w:lineRule="auto"/>
        <w:ind w:firstLine="454" w:firstLineChars="196"/>
        <w:rPr>
          <w:rFonts w:hAnsi="宋体"/>
          <w:color w:val="000000" w:themeColor="text1"/>
          <w:sz w:val="24"/>
        </w:rPr>
      </w:pPr>
      <w:r>
        <w:rPr>
          <w:rFonts w:hAnsi="宋体"/>
          <w:color w:val="000000" w:themeColor="text1"/>
          <w:sz w:val="24"/>
        </w:rPr>
        <w:t>（1）未提供或未如实提供投标货物的技术参数，或者投标文件标明的响应或偏离与事实不符或虚假投标的；</w:t>
      </w:r>
    </w:p>
    <w:p>
      <w:pPr>
        <w:pStyle w:val="20"/>
        <w:snapToGrid w:val="0"/>
        <w:spacing w:line="360" w:lineRule="auto"/>
        <w:ind w:firstLine="454" w:firstLineChars="196"/>
        <w:rPr>
          <w:rFonts w:hAnsi="宋体"/>
          <w:color w:val="000000" w:themeColor="text1"/>
          <w:sz w:val="24"/>
        </w:rPr>
      </w:pPr>
      <w:r>
        <w:rPr>
          <w:rFonts w:hAnsi="宋体"/>
          <w:color w:val="000000" w:themeColor="text1"/>
          <w:sz w:val="24"/>
        </w:rPr>
        <w:t>（2）</w:t>
      </w:r>
      <w:r>
        <w:rPr>
          <w:rFonts w:hAnsi="宋体"/>
          <w:snapToGrid w:val="0"/>
          <w:color w:val="000000" w:themeColor="text1"/>
          <w:sz w:val="24"/>
        </w:rPr>
        <w:t>明显不符合招标文件</w:t>
      </w:r>
      <w:r>
        <w:rPr>
          <w:rFonts w:hint="eastAsia" w:hAnsi="宋体"/>
          <w:snapToGrid w:val="0"/>
          <w:color w:val="000000" w:themeColor="text1"/>
          <w:sz w:val="24"/>
        </w:rPr>
        <w:t>要求</w:t>
      </w:r>
      <w:r>
        <w:rPr>
          <w:rFonts w:hAnsi="宋体"/>
          <w:snapToGrid w:val="0"/>
          <w:color w:val="000000" w:themeColor="text1"/>
          <w:sz w:val="24"/>
        </w:rPr>
        <w:t>的规格型号、质量标准，或者</w:t>
      </w:r>
      <w:r>
        <w:rPr>
          <w:rFonts w:hint="eastAsia" w:hAnsi="宋体"/>
          <w:snapToGrid w:val="0"/>
          <w:color w:val="000000" w:themeColor="text1"/>
          <w:sz w:val="24"/>
        </w:rPr>
        <w:t>与</w:t>
      </w:r>
      <w:r>
        <w:rPr>
          <w:rFonts w:hAnsi="宋体"/>
          <w:color w:val="000000" w:themeColor="text1"/>
          <w:sz w:val="24"/>
        </w:rPr>
        <w:t>招标文件中标“</w:t>
      </w:r>
      <w:r>
        <w:rPr>
          <w:rFonts w:hint="eastAsia" w:hAnsi="宋体" w:cs="宋体"/>
          <w:color w:val="000000" w:themeColor="text1"/>
          <w:sz w:val="24"/>
        </w:rPr>
        <w:t>★</w:t>
      </w:r>
      <w:r>
        <w:rPr>
          <w:rFonts w:hAnsi="宋体"/>
          <w:color w:val="000000" w:themeColor="text1"/>
          <w:sz w:val="24"/>
        </w:rPr>
        <w:t>”的技术指标、主要功能项目发生实质性偏离的；</w:t>
      </w:r>
    </w:p>
    <w:p>
      <w:pPr>
        <w:pStyle w:val="20"/>
        <w:snapToGrid w:val="0"/>
        <w:spacing w:line="360" w:lineRule="auto"/>
        <w:ind w:firstLine="454" w:firstLineChars="196"/>
        <w:rPr>
          <w:rFonts w:hAnsi="宋体"/>
          <w:color w:val="000000" w:themeColor="text1"/>
          <w:sz w:val="24"/>
        </w:rPr>
      </w:pPr>
      <w:r>
        <w:rPr>
          <w:rFonts w:hAnsi="宋体"/>
          <w:color w:val="000000" w:themeColor="text1"/>
          <w:sz w:val="24"/>
        </w:rPr>
        <w:t>（3）允许偏离的技术、性能指标或者辅助功能项目发生负偏离达</w:t>
      </w:r>
      <w:r>
        <w:rPr>
          <w:rFonts w:hint="eastAsia" w:hAnsi="宋体"/>
          <w:color w:val="000000" w:themeColor="text1"/>
          <w:sz w:val="24"/>
        </w:rPr>
        <w:t xml:space="preserve">5 </w:t>
      </w:r>
      <w:r>
        <w:rPr>
          <w:rFonts w:hAnsi="宋体"/>
          <w:color w:val="000000" w:themeColor="text1"/>
          <w:sz w:val="24"/>
        </w:rPr>
        <w:t>项（含）以上</w:t>
      </w:r>
      <w:r>
        <w:rPr>
          <w:rFonts w:hint="eastAsia" w:hAnsi="宋体"/>
          <w:color w:val="000000" w:themeColor="text1"/>
          <w:sz w:val="24"/>
        </w:rPr>
        <w:t>，</w:t>
      </w:r>
      <w:r>
        <w:rPr>
          <w:rFonts w:hAnsi="宋体"/>
          <w:color w:val="000000" w:themeColor="text1"/>
          <w:sz w:val="24"/>
        </w:rPr>
        <w:t>且</w:t>
      </w:r>
      <w:r>
        <w:rPr>
          <w:rFonts w:hint="eastAsia" w:hAnsi="宋体"/>
          <w:color w:val="000000" w:themeColor="text1"/>
          <w:sz w:val="24"/>
        </w:rPr>
        <w:t>经</w:t>
      </w:r>
      <w:r>
        <w:rPr>
          <w:rFonts w:hAnsi="宋体"/>
          <w:color w:val="000000" w:themeColor="text1"/>
          <w:sz w:val="24"/>
        </w:rPr>
        <w:t>评标委员会确认对本项目</w:t>
      </w:r>
      <w:r>
        <w:rPr>
          <w:rFonts w:hint="eastAsia" w:hAnsi="宋体"/>
          <w:color w:val="000000" w:themeColor="text1"/>
          <w:sz w:val="24"/>
        </w:rPr>
        <w:t>实际</w:t>
      </w:r>
      <w:r>
        <w:rPr>
          <w:rFonts w:hAnsi="宋体"/>
          <w:color w:val="000000" w:themeColor="text1"/>
          <w:sz w:val="24"/>
        </w:rPr>
        <w:t>使用造成影响</w:t>
      </w:r>
      <w:r>
        <w:rPr>
          <w:rFonts w:hint="eastAsia" w:hAnsi="宋体"/>
          <w:color w:val="000000" w:themeColor="text1"/>
          <w:sz w:val="24"/>
        </w:rPr>
        <w:t>的</w:t>
      </w:r>
      <w:r>
        <w:rPr>
          <w:rFonts w:hAnsi="宋体"/>
          <w:color w:val="000000" w:themeColor="text1"/>
          <w:sz w:val="24"/>
        </w:rPr>
        <w:t>；</w:t>
      </w:r>
    </w:p>
    <w:p>
      <w:pPr>
        <w:pStyle w:val="20"/>
        <w:snapToGrid w:val="0"/>
        <w:spacing w:line="360" w:lineRule="auto"/>
        <w:ind w:firstLine="454" w:firstLineChars="196"/>
        <w:rPr>
          <w:rFonts w:hAnsi="宋体"/>
          <w:color w:val="000000" w:themeColor="text1"/>
          <w:sz w:val="24"/>
        </w:rPr>
      </w:pPr>
      <w:r>
        <w:rPr>
          <w:rFonts w:hAnsi="宋体"/>
          <w:color w:val="000000" w:themeColor="text1"/>
          <w:sz w:val="24"/>
        </w:rPr>
        <w:t>（4）投标技术方案不明确，存在一个或一个以上备选（替代）投标方案的；</w:t>
      </w:r>
    </w:p>
    <w:p>
      <w:pPr>
        <w:pStyle w:val="20"/>
        <w:snapToGrid w:val="0"/>
        <w:spacing w:line="360" w:lineRule="auto"/>
        <w:ind w:firstLine="464" w:firstLineChars="200"/>
        <w:rPr>
          <w:rFonts w:hAnsi="宋体"/>
          <w:color w:val="000000" w:themeColor="text1"/>
          <w:sz w:val="24"/>
        </w:rPr>
      </w:pPr>
      <w:r>
        <w:rPr>
          <w:rFonts w:hint="eastAsia" w:hAnsi="宋体"/>
          <w:color w:val="000000" w:themeColor="text1"/>
          <w:sz w:val="24"/>
        </w:rPr>
        <w:t>（5）与其他参加本次投标人的投标文件（技术文件）的文字表述内容相同连续20行以上或者差错相同2处以上的（招标文件中复制粘贴而来的除外）；</w:t>
      </w:r>
    </w:p>
    <w:p>
      <w:pPr>
        <w:pStyle w:val="20"/>
        <w:snapToGrid w:val="0"/>
        <w:spacing w:line="360" w:lineRule="auto"/>
        <w:ind w:firstLine="457" w:firstLineChars="196"/>
        <w:rPr>
          <w:rFonts w:hAnsi="宋体"/>
          <w:b/>
          <w:bCs/>
          <w:color w:val="000000" w:themeColor="text1"/>
          <w:sz w:val="24"/>
        </w:rPr>
      </w:pPr>
      <w:r>
        <w:rPr>
          <w:rFonts w:hAnsi="宋体"/>
          <w:b/>
          <w:bCs/>
          <w:color w:val="000000" w:themeColor="text1"/>
          <w:sz w:val="24"/>
        </w:rPr>
        <w:t>3</w:t>
      </w:r>
      <w:r>
        <w:rPr>
          <w:rFonts w:hint="eastAsia" w:hAnsi="宋体"/>
          <w:b/>
          <w:bCs/>
          <w:color w:val="000000" w:themeColor="text1"/>
          <w:sz w:val="24"/>
        </w:rPr>
        <w:t>.</w:t>
      </w:r>
      <w:r>
        <w:rPr>
          <w:rFonts w:hAnsi="宋体"/>
          <w:b/>
          <w:bCs/>
          <w:color w:val="000000" w:themeColor="text1"/>
          <w:sz w:val="24"/>
        </w:rPr>
        <w:t>在报价评审时，如发现下列情形之一的，投标文件将被视为无效：</w:t>
      </w:r>
    </w:p>
    <w:p>
      <w:pPr>
        <w:pStyle w:val="20"/>
        <w:snapToGrid w:val="0"/>
        <w:spacing w:line="360" w:lineRule="auto"/>
        <w:ind w:firstLine="454" w:firstLineChars="196"/>
        <w:rPr>
          <w:rFonts w:hAnsi="宋体"/>
          <w:color w:val="000000" w:themeColor="text1"/>
          <w:sz w:val="24"/>
        </w:rPr>
      </w:pPr>
      <w:r>
        <w:rPr>
          <w:rFonts w:hAnsi="宋体"/>
          <w:color w:val="000000" w:themeColor="text1"/>
          <w:sz w:val="24"/>
        </w:rPr>
        <w:t>（1）未采用人民币报价或者未按照招标文件标明的币种报价的；</w:t>
      </w:r>
    </w:p>
    <w:p>
      <w:pPr>
        <w:pStyle w:val="20"/>
        <w:snapToGrid w:val="0"/>
        <w:spacing w:line="360" w:lineRule="auto"/>
        <w:ind w:firstLine="454" w:firstLineChars="196"/>
        <w:rPr>
          <w:rFonts w:hAnsi="宋体"/>
          <w:color w:val="000000" w:themeColor="text1"/>
          <w:sz w:val="24"/>
        </w:rPr>
      </w:pPr>
      <w:r>
        <w:rPr>
          <w:rFonts w:hAnsi="宋体"/>
          <w:color w:val="000000" w:themeColor="text1"/>
          <w:sz w:val="24"/>
        </w:rPr>
        <w:t>（2）报价超出最高限价，或者超出采购预算金额</w:t>
      </w:r>
      <w:r>
        <w:rPr>
          <w:rFonts w:hint="eastAsia" w:hAnsi="宋体"/>
          <w:color w:val="000000" w:themeColor="text1"/>
          <w:sz w:val="24"/>
        </w:rPr>
        <w:t>，</w:t>
      </w:r>
      <w:r>
        <w:rPr>
          <w:rFonts w:hAnsi="宋体"/>
          <w:color w:val="000000" w:themeColor="text1"/>
          <w:sz w:val="24"/>
        </w:rPr>
        <w:t>采购人不能支付的</w:t>
      </w:r>
      <w:r>
        <w:rPr>
          <w:rFonts w:hint="eastAsia" w:hAnsi="宋体"/>
          <w:color w:val="000000" w:themeColor="text1"/>
          <w:sz w:val="24"/>
        </w:rPr>
        <w:t>；</w:t>
      </w:r>
    </w:p>
    <w:p>
      <w:pPr>
        <w:pStyle w:val="20"/>
        <w:snapToGrid w:val="0"/>
        <w:spacing w:line="360" w:lineRule="auto"/>
        <w:ind w:firstLine="464" w:firstLineChars="200"/>
        <w:rPr>
          <w:rFonts w:hAnsi="宋体"/>
          <w:color w:val="000000" w:themeColor="text1"/>
          <w:sz w:val="24"/>
        </w:rPr>
      </w:pPr>
      <w:r>
        <w:rPr>
          <w:rFonts w:hint="eastAsia" w:hAnsi="宋体"/>
          <w:color w:val="000000" w:themeColor="text1"/>
          <w:sz w:val="24"/>
        </w:rPr>
        <w:t>（3）投标报价具有选择性，或者开标价格与投标文件承诺的优惠（折扣）价格不一致的；</w:t>
      </w:r>
    </w:p>
    <w:p>
      <w:pPr>
        <w:pStyle w:val="20"/>
        <w:snapToGrid w:val="0"/>
        <w:spacing w:line="360" w:lineRule="auto"/>
        <w:ind w:firstLine="464" w:firstLineChars="200"/>
        <w:rPr>
          <w:rFonts w:hAnsi="宋体"/>
          <w:color w:val="000000" w:themeColor="text1"/>
          <w:sz w:val="24"/>
        </w:rPr>
      </w:pPr>
      <w:r>
        <w:rPr>
          <w:rFonts w:hint="eastAsia" w:hAnsi="宋体"/>
          <w:color w:val="000000" w:themeColor="text1"/>
          <w:sz w:val="24"/>
        </w:rPr>
        <w:t xml:space="preserve">（4）投标报价明细表总额与开标一览表总价不一致，且高于总价5％的；                                                                                                     </w:t>
      </w:r>
    </w:p>
    <w:p>
      <w:pPr>
        <w:pStyle w:val="20"/>
        <w:snapToGrid w:val="0"/>
        <w:spacing w:line="360" w:lineRule="auto"/>
        <w:ind w:firstLine="457" w:firstLineChars="196"/>
        <w:rPr>
          <w:rFonts w:hAnsi="宋体"/>
          <w:b/>
          <w:color w:val="000000" w:themeColor="text1"/>
          <w:sz w:val="24"/>
        </w:rPr>
      </w:pPr>
      <w:r>
        <w:rPr>
          <w:rFonts w:hAnsi="宋体"/>
          <w:b/>
          <w:color w:val="000000" w:themeColor="text1"/>
          <w:sz w:val="24"/>
        </w:rPr>
        <w:t>4</w:t>
      </w:r>
      <w:r>
        <w:rPr>
          <w:rFonts w:hint="eastAsia" w:hAnsi="宋体"/>
          <w:b/>
          <w:color w:val="000000" w:themeColor="text1"/>
          <w:sz w:val="24"/>
        </w:rPr>
        <w:t>.</w:t>
      </w:r>
      <w:r>
        <w:rPr>
          <w:rFonts w:hAnsi="宋体"/>
          <w:b/>
          <w:color w:val="000000" w:themeColor="text1"/>
          <w:sz w:val="24"/>
        </w:rPr>
        <w:t>被拒绝的投标文件为无效。</w:t>
      </w:r>
    </w:p>
    <w:p>
      <w:pPr>
        <w:pStyle w:val="20"/>
        <w:snapToGrid w:val="0"/>
        <w:spacing w:line="360" w:lineRule="auto"/>
        <w:ind w:firstLine="0"/>
        <w:rPr>
          <w:rFonts w:hAnsi="宋体"/>
          <w:b/>
          <w:snapToGrid w:val="0"/>
          <w:color w:val="000000" w:themeColor="text1"/>
          <w:sz w:val="24"/>
          <w:szCs w:val="24"/>
        </w:rPr>
      </w:pPr>
    </w:p>
    <w:p>
      <w:pPr>
        <w:pStyle w:val="20"/>
        <w:snapToGrid w:val="0"/>
        <w:spacing w:line="360" w:lineRule="auto"/>
        <w:ind w:firstLine="535" w:firstLineChars="196"/>
        <w:rPr>
          <w:rFonts w:hAnsi="宋体"/>
          <w:b/>
          <w:snapToGrid w:val="0"/>
          <w:color w:val="000000" w:themeColor="text1"/>
          <w:sz w:val="28"/>
          <w:szCs w:val="28"/>
        </w:rPr>
      </w:pPr>
      <w:r>
        <w:rPr>
          <w:rFonts w:hint="eastAsia" w:hAnsi="宋体"/>
          <w:b/>
          <w:color w:val="000000" w:themeColor="text1"/>
          <w:sz w:val="28"/>
          <w:szCs w:val="28"/>
        </w:rPr>
        <w:t>四、开标</w:t>
      </w:r>
    </w:p>
    <w:p>
      <w:pPr>
        <w:pStyle w:val="25"/>
        <w:snapToGrid w:val="0"/>
        <w:spacing w:beforeLines="0" w:afterLines="0" w:line="360" w:lineRule="auto"/>
        <w:ind w:firstLine="472" w:firstLineChars="196"/>
        <w:rPr>
          <w:rFonts w:hAnsi="宋体"/>
          <w:b/>
          <w:color w:val="000000" w:themeColor="text1"/>
        </w:rPr>
      </w:pPr>
      <w:r>
        <w:rPr>
          <w:rFonts w:hAnsi="宋体"/>
          <w:b/>
          <w:color w:val="000000" w:themeColor="text1"/>
        </w:rPr>
        <w:t>（一）开标准备</w:t>
      </w:r>
    </w:p>
    <w:p>
      <w:pPr>
        <w:pStyle w:val="25"/>
        <w:snapToGrid w:val="0"/>
        <w:spacing w:beforeLines="0" w:afterLines="0" w:line="360" w:lineRule="auto"/>
        <w:ind w:firstLine="480" w:firstLineChars="200"/>
        <w:rPr>
          <w:rFonts w:hAnsi="宋体"/>
          <w:bCs/>
          <w:color w:val="000000" w:themeColor="text1"/>
        </w:rPr>
      </w:pPr>
      <w:r>
        <w:rPr>
          <w:rFonts w:hAnsi="宋体"/>
          <w:bCs/>
          <w:color w:val="000000" w:themeColor="text1"/>
        </w:rPr>
        <w:t>采购代理机构将在规定的时间和地点进行开标，投标人的法定代表人或其授权代表应参加开标会并签到。投标人的法定代表人或其授权代表未按时签到的，视同放弃开标监督权利、认可开标结果。</w:t>
      </w:r>
    </w:p>
    <w:p>
      <w:pPr>
        <w:pStyle w:val="25"/>
        <w:snapToGrid w:val="0"/>
        <w:spacing w:beforeLines="0" w:afterLines="0" w:line="360" w:lineRule="auto"/>
        <w:ind w:firstLine="472" w:firstLineChars="196"/>
        <w:rPr>
          <w:rFonts w:hAnsi="宋体"/>
          <w:b/>
          <w:color w:val="000000" w:themeColor="text1"/>
        </w:rPr>
      </w:pPr>
      <w:r>
        <w:rPr>
          <w:rFonts w:hAnsi="宋体"/>
          <w:b/>
          <w:color w:val="000000" w:themeColor="text1"/>
        </w:rPr>
        <w:t>（二） 开标程序：</w:t>
      </w:r>
    </w:p>
    <w:p>
      <w:pPr>
        <w:pStyle w:val="25"/>
        <w:snapToGrid w:val="0"/>
        <w:spacing w:beforeLines="0" w:afterLines="0" w:line="360" w:lineRule="auto"/>
        <w:ind w:firstLine="480" w:firstLineChars="200"/>
        <w:rPr>
          <w:rFonts w:hAnsi="宋体"/>
          <w:color w:val="000000" w:themeColor="text1"/>
        </w:rPr>
      </w:pPr>
      <w:r>
        <w:rPr>
          <w:rFonts w:hAnsi="宋体"/>
          <w:color w:val="000000" w:themeColor="text1"/>
        </w:rPr>
        <w:t>1</w:t>
      </w:r>
      <w:r>
        <w:rPr>
          <w:rFonts w:hint="eastAsia" w:hAnsi="宋体"/>
          <w:color w:val="000000" w:themeColor="text1"/>
        </w:rPr>
        <w:t>.</w:t>
      </w:r>
      <w:r>
        <w:rPr>
          <w:rFonts w:hAnsi="宋体"/>
          <w:color w:val="000000" w:themeColor="text1"/>
        </w:rPr>
        <w:t>开标会由采购代理机构主持，主持人宣布开标会议开始；</w:t>
      </w:r>
    </w:p>
    <w:p>
      <w:pPr>
        <w:pStyle w:val="25"/>
        <w:snapToGrid w:val="0"/>
        <w:spacing w:beforeLines="0" w:afterLines="0" w:line="360" w:lineRule="auto"/>
        <w:ind w:firstLine="480" w:firstLineChars="200"/>
        <w:rPr>
          <w:rFonts w:hAnsi="宋体"/>
          <w:color w:val="000000" w:themeColor="text1"/>
        </w:rPr>
      </w:pPr>
      <w:r>
        <w:rPr>
          <w:rFonts w:hAnsi="宋体"/>
          <w:color w:val="000000" w:themeColor="text1"/>
        </w:rPr>
        <w:t>2</w:t>
      </w:r>
      <w:r>
        <w:rPr>
          <w:rFonts w:hint="eastAsia" w:hAnsi="宋体"/>
          <w:color w:val="000000" w:themeColor="text1"/>
        </w:rPr>
        <w:t>.主持人</w:t>
      </w:r>
      <w:r>
        <w:rPr>
          <w:rFonts w:hAnsi="宋体"/>
          <w:color w:val="000000" w:themeColor="text1"/>
        </w:rPr>
        <w:t xml:space="preserve">介绍参加开标会的人员名单； </w:t>
      </w:r>
    </w:p>
    <w:p>
      <w:pPr>
        <w:pStyle w:val="25"/>
        <w:snapToGrid w:val="0"/>
        <w:spacing w:beforeLines="0" w:afterLines="0" w:line="360" w:lineRule="auto"/>
        <w:ind w:firstLine="480" w:firstLineChars="200"/>
        <w:rPr>
          <w:rFonts w:hAnsi="宋体"/>
          <w:color w:val="000000" w:themeColor="text1"/>
        </w:rPr>
      </w:pPr>
      <w:r>
        <w:rPr>
          <w:rFonts w:hAnsi="宋体"/>
          <w:color w:val="000000" w:themeColor="text1"/>
        </w:rPr>
        <w:t>3</w:t>
      </w:r>
      <w:r>
        <w:rPr>
          <w:rFonts w:hint="eastAsia" w:hAnsi="宋体"/>
          <w:color w:val="000000" w:themeColor="text1"/>
        </w:rPr>
        <w:t>.主持人</w:t>
      </w:r>
      <w:r>
        <w:rPr>
          <w:rFonts w:hAnsi="宋体"/>
          <w:color w:val="000000" w:themeColor="text1"/>
        </w:rPr>
        <w:t>宣布评标期间的有关事项；告知应当回避的情形,提请有关人员回避；</w:t>
      </w:r>
    </w:p>
    <w:p>
      <w:pPr>
        <w:pStyle w:val="25"/>
        <w:snapToGrid w:val="0"/>
        <w:spacing w:beforeLines="0" w:afterLines="0" w:line="360" w:lineRule="auto"/>
        <w:ind w:firstLine="480" w:firstLineChars="200"/>
        <w:rPr>
          <w:rFonts w:hAnsi="宋体"/>
          <w:color w:val="000000" w:themeColor="text1"/>
        </w:rPr>
      </w:pPr>
      <w:r>
        <w:rPr>
          <w:rFonts w:hAnsi="宋体"/>
          <w:color w:val="000000" w:themeColor="text1"/>
        </w:rPr>
        <w:t>4</w:t>
      </w:r>
      <w:r>
        <w:rPr>
          <w:rFonts w:hint="eastAsia" w:hAnsi="宋体"/>
          <w:color w:val="000000" w:themeColor="text1"/>
        </w:rPr>
        <w:t>.投标人或其当场推荐的代表，或者招标采购单位委托的</w:t>
      </w:r>
      <w:r>
        <w:rPr>
          <w:rFonts w:hAnsi="宋体"/>
          <w:color w:val="000000" w:themeColor="text1"/>
        </w:rPr>
        <w:t>公证</w:t>
      </w:r>
      <w:r>
        <w:rPr>
          <w:rFonts w:hint="eastAsia" w:hAnsi="宋体"/>
          <w:color w:val="000000" w:themeColor="text1"/>
        </w:rPr>
        <w:t>机构</w:t>
      </w:r>
      <w:r>
        <w:rPr>
          <w:rFonts w:hAnsi="宋体"/>
          <w:color w:val="000000" w:themeColor="text1"/>
        </w:rPr>
        <w:t>检</w:t>
      </w:r>
      <w:r>
        <w:rPr>
          <w:rFonts w:hint="eastAsia" w:hAnsi="宋体"/>
          <w:color w:val="000000" w:themeColor="text1"/>
        </w:rPr>
        <w:t>查</w:t>
      </w:r>
      <w:r>
        <w:rPr>
          <w:rFonts w:hAnsi="宋体"/>
          <w:color w:val="000000" w:themeColor="text1"/>
        </w:rPr>
        <w:t>投标文件密封的完整性并签字确认；</w:t>
      </w:r>
    </w:p>
    <w:p>
      <w:pPr>
        <w:pStyle w:val="25"/>
        <w:snapToGrid w:val="0"/>
        <w:spacing w:beforeLines="0" w:afterLines="0" w:line="360" w:lineRule="auto"/>
        <w:ind w:firstLine="480" w:firstLineChars="200"/>
        <w:rPr>
          <w:rFonts w:hAnsi="宋体"/>
          <w:color w:val="000000" w:themeColor="text1"/>
        </w:rPr>
      </w:pPr>
      <w:r>
        <w:rPr>
          <w:rFonts w:hAnsi="宋体"/>
          <w:color w:val="000000" w:themeColor="text1"/>
        </w:rPr>
        <w:t>5</w:t>
      </w:r>
      <w:r>
        <w:rPr>
          <w:rFonts w:hint="eastAsia" w:hAnsi="宋体"/>
          <w:color w:val="000000" w:themeColor="text1"/>
        </w:rPr>
        <w:t>.</w:t>
      </w:r>
      <w:r>
        <w:rPr>
          <w:rFonts w:hAnsi="宋体"/>
          <w:color w:val="000000" w:themeColor="text1"/>
        </w:rPr>
        <w:t>按各投标人提交投标文件时间的先后顺序打开资信/商务文件、技术文件外包装，清点投标文件正本、副本数量，符合招标文件要求的送评标室评审；不符合要求的，当场退还投标人，并由投标人代表签字确认</w:t>
      </w:r>
      <w:r>
        <w:rPr>
          <w:rFonts w:hint="eastAsia" w:hAnsi="宋体"/>
          <w:color w:val="000000" w:themeColor="text1"/>
        </w:rPr>
        <w:t>；</w:t>
      </w:r>
    </w:p>
    <w:p>
      <w:pPr>
        <w:pStyle w:val="25"/>
        <w:snapToGrid w:val="0"/>
        <w:spacing w:beforeLines="0" w:afterLines="0" w:line="360" w:lineRule="auto"/>
        <w:ind w:firstLine="480" w:firstLineChars="200"/>
        <w:rPr>
          <w:rFonts w:hAnsi="宋体"/>
          <w:color w:val="000000" w:themeColor="text1"/>
        </w:rPr>
      </w:pPr>
      <w:r>
        <w:rPr>
          <w:rFonts w:hAnsi="宋体"/>
          <w:color w:val="000000" w:themeColor="text1"/>
        </w:rPr>
        <w:t>6</w:t>
      </w:r>
      <w:r>
        <w:rPr>
          <w:rFonts w:hint="eastAsia" w:hAnsi="宋体"/>
          <w:color w:val="000000" w:themeColor="text1"/>
        </w:rPr>
        <w:t>.</w:t>
      </w:r>
      <w:r>
        <w:rPr>
          <w:rFonts w:hAnsi="宋体"/>
          <w:color w:val="000000" w:themeColor="text1"/>
        </w:rPr>
        <w:t>资信</w:t>
      </w:r>
      <w:r>
        <w:rPr>
          <w:rFonts w:hint="eastAsia" w:hAnsi="宋体"/>
          <w:color w:val="000000" w:themeColor="text1"/>
        </w:rPr>
        <w:t>/</w:t>
      </w:r>
      <w:r>
        <w:rPr>
          <w:rFonts w:hAnsi="宋体"/>
          <w:color w:val="000000" w:themeColor="text1"/>
        </w:rPr>
        <w:t>商务、技术评分结束后，由主持人公布无效投标的投标人名单、投标无效的原因及其他有效投标的评分结果；</w:t>
      </w:r>
    </w:p>
    <w:p>
      <w:pPr>
        <w:pStyle w:val="25"/>
        <w:snapToGrid w:val="0"/>
        <w:spacing w:beforeLines="0" w:afterLines="0" w:line="360" w:lineRule="auto"/>
        <w:ind w:firstLine="480" w:firstLineChars="200"/>
        <w:rPr>
          <w:rFonts w:hAnsi="宋体"/>
          <w:color w:val="000000" w:themeColor="text1"/>
        </w:rPr>
      </w:pPr>
      <w:r>
        <w:rPr>
          <w:rFonts w:hAnsi="宋体"/>
          <w:color w:val="000000" w:themeColor="text1"/>
        </w:rPr>
        <w:t>7</w:t>
      </w:r>
      <w:r>
        <w:rPr>
          <w:rFonts w:hint="eastAsia" w:hAnsi="宋体"/>
          <w:color w:val="000000" w:themeColor="text1"/>
        </w:rPr>
        <w:t>.</w:t>
      </w:r>
      <w:r>
        <w:rPr>
          <w:rFonts w:hAnsi="宋体"/>
          <w:color w:val="000000" w:themeColor="text1"/>
        </w:rPr>
        <w:t>由主持人公布预算价或标底,宣读《投标报价一览表》中的投标人名称及在其投标文件中承诺的投标报价、投标内容（投标设备名称、规格型号或者服务项目名称），以及采购代理机构认为有必要宣读的其他内容。</w:t>
      </w:r>
    </w:p>
    <w:p>
      <w:pPr>
        <w:pStyle w:val="25"/>
        <w:snapToGrid w:val="0"/>
        <w:spacing w:beforeLines="0" w:afterLines="0" w:line="360" w:lineRule="auto"/>
        <w:ind w:firstLine="480" w:firstLineChars="200"/>
        <w:rPr>
          <w:rFonts w:hAnsi="宋体"/>
          <w:color w:val="000000" w:themeColor="text1"/>
        </w:rPr>
      </w:pPr>
      <w:r>
        <w:rPr>
          <w:rFonts w:hAnsi="宋体"/>
          <w:color w:val="000000" w:themeColor="text1"/>
        </w:rPr>
        <w:t>8、采购代理机构做开标记录, 投标人代表对开标记录进行当场校核及勘误，并签字确认；同时由记录人、监督人当场签字确认。投标人代表未到场签字确认</w:t>
      </w:r>
      <w:r>
        <w:rPr>
          <w:rFonts w:hint="eastAsia" w:hAnsi="宋体"/>
          <w:color w:val="000000" w:themeColor="text1"/>
        </w:rPr>
        <w:t>或者拒绝签字确认</w:t>
      </w:r>
      <w:r>
        <w:rPr>
          <w:rFonts w:hAnsi="宋体"/>
          <w:color w:val="000000" w:themeColor="text1"/>
        </w:rPr>
        <w:t>的，不影响评标过程。</w:t>
      </w:r>
    </w:p>
    <w:p>
      <w:pPr>
        <w:pStyle w:val="25"/>
        <w:snapToGrid w:val="0"/>
        <w:spacing w:beforeLines="0" w:afterLines="0" w:line="360" w:lineRule="auto"/>
        <w:ind w:left="719" w:leftChars="228" w:hanging="240" w:hangingChars="100"/>
        <w:rPr>
          <w:rFonts w:hAnsi="宋体"/>
          <w:color w:val="000000" w:themeColor="text1"/>
        </w:rPr>
      </w:pPr>
      <w:r>
        <w:rPr>
          <w:rFonts w:hint="eastAsia" w:hAnsi="宋体"/>
          <w:color w:val="000000" w:themeColor="text1"/>
        </w:rPr>
        <w:t>9.</w:t>
      </w:r>
      <w:r>
        <w:rPr>
          <w:rFonts w:hAnsi="宋体"/>
          <w:color w:val="000000" w:themeColor="text1"/>
        </w:rPr>
        <w:t>开标会议结束。</w:t>
      </w:r>
    </w:p>
    <w:p>
      <w:pPr>
        <w:pStyle w:val="25"/>
        <w:snapToGrid w:val="0"/>
        <w:spacing w:beforeLines="0" w:afterLines="0" w:line="360" w:lineRule="auto"/>
        <w:ind w:left="720" w:hanging="720" w:hangingChars="300"/>
        <w:rPr>
          <w:rFonts w:hAnsi="宋体"/>
          <w:color w:val="000000" w:themeColor="text1"/>
        </w:rPr>
      </w:pPr>
    </w:p>
    <w:p>
      <w:pPr>
        <w:pStyle w:val="25"/>
        <w:snapToGrid w:val="0"/>
        <w:spacing w:beforeLines="0" w:afterLines="0" w:line="360" w:lineRule="auto"/>
        <w:ind w:left="842" w:leftChars="267" w:hanging="281" w:hangingChars="100"/>
        <w:outlineLvl w:val="1"/>
        <w:rPr>
          <w:rFonts w:hAnsi="宋体"/>
          <w:b/>
          <w:color w:val="000000" w:themeColor="text1"/>
          <w:sz w:val="28"/>
          <w:szCs w:val="28"/>
        </w:rPr>
      </w:pPr>
      <w:r>
        <w:rPr>
          <w:rFonts w:hint="eastAsia" w:hAnsi="宋体"/>
          <w:b/>
          <w:color w:val="000000" w:themeColor="text1"/>
          <w:sz w:val="28"/>
          <w:szCs w:val="28"/>
        </w:rPr>
        <w:t>五、评标</w:t>
      </w:r>
    </w:p>
    <w:p>
      <w:pPr>
        <w:pStyle w:val="25"/>
        <w:snapToGrid w:val="0"/>
        <w:spacing w:beforeLines="0" w:afterLines="0" w:line="360" w:lineRule="auto"/>
        <w:ind w:left="720" w:leftChars="228" w:hanging="241" w:hangingChars="100"/>
        <w:rPr>
          <w:rFonts w:hAnsi="宋体"/>
          <w:b/>
          <w:color w:val="000000" w:themeColor="text1"/>
        </w:rPr>
      </w:pPr>
      <w:r>
        <w:rPr>
          <w:rFonts w:hAnsi="宋体"/>
          <w:b/>
          <w:color w:val="000000" w:themeColor="text1"/>
        </w:rPr>
        <w:t>（一）组建评标委员会</w:t>
      </w:r>
    </w:p>
    <w:p>
      <w:pPr>
        <w:pStyle w:val="25"/>
        <w:snapToGrid w:val="0"/>
        <w:spacing w:beforeLines="0" w:afterLines="0" w:line="360" w:lineRule="auto"/>
        <w:ind w:firstLine="480" w:firstLineChars="200"/>
        <w:rPr>
          <w:rFonts w:hAnsi="宋体"/>
          <w:color w:val="000000" w:themeColor="text1"/>
        </w:rPr>
      </w:pPr>
      <w:r>
        <w:rPr>
          <w:rFonts w:hint="eastAsia" w:hAnsi="宋体"/>
          <w:color w:val="000000" w:themeColor="text1"/>
        </w:rPr>
        <w:t>本项目评标委员会由政府采购评审专家 ≧5人单数(采购人代表不超过评标委员会总人数的1/3)组成。</w:t>
      </w:r>
    </w:p>
    <w:p>
      <w:pPr>
        <w:pStyle w:val="25"/>
        <w:snapToGrid w:val="0"/>
        <w:spacing w:beforeLines="0" w:afterLines="0" w:line="360" w:lineRule="auto"/>
        <w:ind w:left="720" w:leftChars="228" w:hanging="241" w:hangingChars="100"/>
        <w:rPr>
          <w:rFonts w:hAnsi="宋体"/>
          <w:b/>
          <w:color w:val="000000" w:themeColor="text1"/>
        </w:rPr>
      </w:pPr>
      <w:r>
        <w:rPr>
          <w:rFonts w:hAnsi="宋体"/>
          <w:b/>
          <w:color w:val="000000" w:themeColor="text1"/>
        </w:rPr>
        <w:t>（二）评标的方式</w:t>
      </w:r>
    </w:p>
    <w:p>
      <w:pPr>
        <w:pStyle w:val="25"/>
        <w:snapToGrid w:val="0"/>
        <w:spacing w:beforeLines="0" w:afterLines="0" w:line="360" w:lineRule="auto"/>
        <w:ind w:left="719" w:leftChars="228" w:hanging="240" w:hangingChars="100"/>
        <w:rPr>
          <w:rFonts w:hAnsi="宋体"/>
          <w:color w:val="000000" w:themeColor="text1"/>
        </w:rPr>
      </w:pPr>
      <w:r>
        <w:rPr>
          <w:rFonts w:hAnsi="宋体"/>
          <w:color w:val="000000" w:themeColor="text1"/>
        </w:rPr>
        <w:t>本项目采用不公开方式评标，评标的依据为招标文件和投标文件。</w:t>
      </w:r>
    </w:p>
    <w:p>
      <w:pPr>
        <w:pStyle w:val="25"/>
        <w:snapToGrid w:val="0"/>
        <w:spacing w:beforeLines="0" w:afterLines="0" w:line="360" w:lineRule="auto"/>
        <w:ind w:left="720" w:leftChars="228" w:hanging="241" w:hangingChars="100"/>
        <w:rPr>
          <w:rFonts w:hAnsi="宋体"/>
          <w:b/>
          <w:color w:val="000000" w:themeColor="text1"/>
        </w:rPr>
      </w:pPr>
      <w:r>
        <w:rPr>
          <w:rFonts w:hAnsi="宋体"/>
          <w:b/>
          <w:color w:val="000000" w:themeColor="text1"/>
        </w:rPr>
        <w:t>（三）</w:t>
      </w:r>
      <w:r>
        <w:rPr>
          <w:rFonts w:hAnsi="宋体"/>
          <w:b/>
          <w:bCs/>
          <w:color w:val="000000" w:themeColor="text1"/>
        </w:rPr>
        <w:t>评标程序</w:t>
      </w:r>
    </w:p>
    <w:p>
      <w:pPr>
        <w:snapToGrid w:val="0"/>
        <w:spacing w:line="360" w:lineRule="auto"/>
        <w:ind w:firstLine="472" w:firstLineChars="196"/>
        <w:rPr>
          <w:rFonts w:ascii="宋体" w:hAnsi="宋体"/>
          <w:b/>
          <w:bCs/>
          <w:color w:val="000000" w:themeColor="text1"/>
          <w:sz w:val="24"/>
          <w:szCs w:val="20"/>
        </w:rPr>
      </w:pPr>
      <w:r>
        <w:rPr>
          <w:rFonts w:ascii="宋体" w:hAnsi="宋体"/>
          <w:b/>
          <w:bCs/>
          <w:color w:val="000000" w:themeColor="text1"/>
          <w:sz w:val="24"/>
        </w:rPr>
        <w:t>1</w:t>
      </w:r>
      <w:r>
        <w:rPr>
          <w:rFonts w:hint="eastAsia" w:ascii="宋体" w:hAnsi="宋体"/>
          <w:b/>
          <w:bCs/>
          <w:color w:val="000000" w:themeColor="text1"/>
          <w:sz w:val="24"/>
        </w:rPr>
        <w:t>.</w:t>
      </w:r>
      <w:r>
        <w:rPr>
          <w:rFonts w:ascii="宋体" w:hAnsi="宋体"/>
          <w:b/>
          <w:bCs/>
          <w:color w:val="000000" w:themeColor="text1"/>
          <w:sz w:val="24"/>
        </w:rPr>
        <w:t>形式审查</w:t>
      </w:r>
    </w:p>
    <w:p>
      <w:pPr>
        <w:snapToGrid w:val="0"/>
        <w:spacing w:line="360" w:lineRule="auto"/>
        <w:ind w:firstLine="480" w:firstLineChars="200"/>
        <w:rPr>
          <w:rFonts w:ascii="宋体" w:hAnsi="宋体"/>
          <w:b/>
          <w:color w:val="000000" w:themeColor="text1"/>
          <w:sz w:val="24"/>
          <w:szCs w:val="20"/>
        </w:rPr>
      </w:pPr>
      <w:r>
        <w:rPr>
          <w:rFonts w:hint="eastAsia" w:ascii="宋体" w:hAnsi="宋体"/>
          <w:color w:val="000000" w:themeColor="text1"/>
          <w:sz w:val="24"/>
        </w:rPr>
        <w:t>采购人代表和代理机构工作人员协助评标委员会对投标人的资格</w:t>
      </w:r>
      <w:r>
        <w:rPr>
          <w:rFonts w:ascii="宋体" w:hAnsi="宋体"/>
          <w:color w:val="000000" w:themeColor="text1"/>
          <w:sz w:val="24"/>
        </w:rPr>
        <w:t>和投标文件的完整性、合法性等进行审查。</w:t>
      </w:r>
    </w:p>
    <w:p>
      <w:pPr>
        <w:snapToGrid w:val="0"/>
        <w:spacing w:line="360" w:lineRule="auto"/>
        <w:ind w:firstLine="472" w:firstLineChars="196"/>
        <w:rPr>
          <w:rFonts w:ascii="宋体" w:hAnsi="宋体"/>
          <w:b/>
          <w:bCs/>
          <w:color w:val="000000" w:themeColor="text1"/>
          <w:sz w:val="24"/>
          <w:szCs w:val="20"/>
        </w:rPr>
      </w:pPr>
      <w:r>
        <w:rPr>
          <w:rFonts w:ascii="宋体" w:hAnsi="宋体"/>
          <w:b/>
          <w:bCs/>
          <w:color w:val="000000" w:themeColor="text1"/>
          <w:sz w:val="24"/>
        </w:rPr>
        <w:t>2</w:t>
      </w:r>
      <w:r>
        <w:rPr>
          <w:rFonts w:hint="eastAsia" w:ascii="宋体" w:hAnsi="宋体"/>
          <w:b/>
          <w:bCs/>
          <w:color w:val="000000" w:themeColor="text1"/>
          <w:sz w:val="24"/>
        </w:rPr>
        <w:t>.</w:t>
      </w:r>
      <w:r>
        <w:rPr>
          <w:rFonts w:ascii="宋体" w:hAnsi="宋体"/>
          <w:b/>
          <w:bCs/>
          <w:color w:val="000000" w:themeColor="text1"/>
          <w:sz w:val="24"/>
        </w:rPr>
        <w:t>实质审查与比较</w:t>
      </w:r>
    </w:p>
    <w:p>
      <w:pPr>
        <w:snapToGrid w:val="0"/>
        <w:spacing w:line="360" w:lineRule="auto"/>
        <w:ind w:firstLine="480" w:firstLineChars="200"/>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1）评标委员会审查投标文件的实质性内容是否符合招标文件的实质性要求。</w:t>
      </w:r>
    </w:p>
    <w:p>
      <w:pPr>
        <w:snapToGrid w:val="0"/>
        <w:spacing w:line="360" w:lineRule="auto"/>
        <w:ind w:firstLine="480" w:firstLineChars="200"/>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2）评标委员会将根据投标人的投标文件进行审查、核对,如有疑问,将对投标人进行询标,投标人要向评标委员会澄清有关问题,并最终以书面形式进行答复。</w:t>
      </w:r>
    </w:p>
    <w:p>
      <w:pPr>
        <w:snapToGrid w:val="0"/>
        <w:spacing w:line="360" w:lineRule="auto"/>
        <w:rPr>
          <w:rFonts w:ascii="宋体" w:hAnsi="宋体"/>
          <w:color w:val="000000" w:themeColor="text1"/>
          <w:sz w:val="24"/>
          <w:szCs w:val="20"/>
        </w:rPr>
      </w:pPr>
      <w:r>
        <w:rPr>
          <w:rFonts w:hint="eastAsia" w:ascii="宋体" w:hAnsi="宋体"/>
          <w:color w:val="000000" w:themeColor="text1"/>
          <w:sz w:val="24"/>
        </w:rPr>
        <w:t>投标人代表未到场或者拒绝澄清或者澄清的内容改变了投标文件的实质性内容的，评标委员会有权对该投标文件作出不利于投标人的评判。</w:t>
      </w:r>
    </w:p>
    <w:p>
      <w:pPr>
        <w:snapToGrid w:val="0"/>
        <w:spacing w:line="360" w:lineRule="auto"/>
        <w:ind w:firstLine="480" w:firstLineChars="200"/>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3）各投标人的技术得分为所有评委的有效评分的算术平均数</w:t>
      </w:r>
      <w:r>
        <w:rPr>
          <w:rFonts w:hint="eastAsia" w:ascii="宋体" w:hAnsi="宋体"/>
          <w:color w:val="000000" w:themeColor="text1"/>
          <w:sz w:val="24"/>
        </w:rPr>
        <w:t>，</w:t>
      </w:r>
      <w:r>
        <w:rPr>
          <w:rFonts w:ascii="宋体" w:hAnsi="宋体"/>
          <w:color w:val="000000" w:themeColor="text1"/>
          <w:sz w:val="24"/>
        </w:rPr>
        <w:t>由指定专人进行计算复核。</w:t>
      </w:r>
    </w:p>
    <w:p>
      <w:pPr>
        <w:snapToGrid w:val="0"/>
        <w:spacing w:line="360" w:lineRule="auto"/>
        <w:ind w:firstLine="480" w:firstLineChars="200"/>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4）</w:t>
      </w:r>
      <w:r>
        <w:rPr>
          <w:rFonts w:hint="eastAsia" w:ascii="宋体" w:hAnsi="宋体"/>
          <w:color w:val="000000" w:themeColor="text1"/>
          <w:sz w:val="24"/>
        </w:rPr>
        <w:t>代理机构工作人员协助</w:t>
      </w:r>
      <w:r>
        <w:rPr>
          <w:rFonts w:ascii="宋体" w:hAnsi="宋体"/>
          <w:color w:val="000000" w:themeColor="text1"/>
          <w:sz w:val="24"/>
        </w:rPr>
        <w:t>评标委员会根据</w:t>
      </w:r>
      <w:r>
        <w:rPr>
          <w:rFonts w:hint="eastAsia" w:ascii="宋体" w:hAnsi="宋体"/>
          <w:color w:val="000000" w:themeColor="text1"/>
          <w:sz w:val="24"/>
        </w:rPr>
        <w:t>本项目的评分标准</w:t>
      </w:r>
      <w:r>
        <w:rPr>
          <w:rFonts w:ascii="宋体" w:hAnsi="宋体"/>
          <w:color w:val="000000" w:themeColor="text1"/>
          <w:sz w:val="24"/>
        </w:rPr>
        <w:t>计算各投标人的商务报价得分</w:t>
      </w:r>
      <w:r>
        <w:rPr>
          <w:rFonts w:hint="eastAsia" w:ascii="宋体" w:hAnsi="宋体"/>
          <w:color w:val="000000" w:themeColor="text1"/>
          <w:sz w:val="24"/>
        </w:rPr>
        <w:t>。</w:t>
      </w:r>
    </w:p>
    <w:p>
      <w:pPr>
        <w:snapToGrid w:val="0"/>
        <w:spacing w:line="360" w:lineRule="auto"/>
        <w:ind w:firstLine="480" w:firstLineChars="200"/>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5）评标委员会完成评标后,评委对各部分得分汇总,</w:t>
      </w:r>
      <w:r>
        <w:rPr>
          <w:rFonts w:hint="eastAsia" w:ascii="宋体" w:hAnsi="宋体"/>
          <w:color w:val="000000" w:themeColor="text1"/>
          <w:sz w:val="24"/>
        </w:rPr>
        <w:t>计算</w:t>
      </w:r>
      <w:r>
        <w:rPr>
          <w:rFonts w:ascii="宋体" w:hAnsi="宋体"/>
          <w:color w:val="000000" w:themeColor="text1"/>
          <w:sz w:val="24"/>
        </w:rPr>
        <w:t>出本项目</w:t>
      </w:r>
      <w:r>
        <w:rPr>
          <w:rFonts w:hint="eastAsia" w:ascii="宋体" w:hAnsi="宋体"/>
          <w:color w:val="000000" w:themeColor="text1"/>
          <w:sz w:val="24"/>
        </w:rPr>
        <w:t>最终得分、性价比、评标价等</w:t>
      </w:r>
      <w:r>
        <w:rPr>
          <w:rFonts w:ascii="宋体" w:hAnsi="宋体"/>
          <w:color w:val="000000" w:themeColor="text1"/>
          <w:sz w:val="24"/>
        </w:rPr>
        <w:t>。评标委员会按评标原则推荐中标候选人同时起草评标报告。</w:t>
      </w:r>
    </w:p>
    <w:p>
      <w:pPr>
        <w:snapToGrid w:val="0"/>
        <w:spacing w:line="360" w:lineRule="auto"/>
        <w:ind w:firstLine="480" w:firstLineChars="200"/>
        <w:rPr>
          <w:rFonts w:ascii="宋体" w:hAnsi="宋体"/>
          <w:b/>
          <w:color w:val="000000" w:themeColor="text1"/>
          <w:sz w:val="24"/>
          <w:szCs w:val="20"/>
        </w:rPr>
      </w:pPr>
      <w:r>
        <w:rPr>
          <w:rFonts w:hint="eastAsia" w:ascii="宋体" w:hAnsi="宋体"/>
          <w:color w:val="000000" w:themeColor="text1"/>
          <w:sz w:val="24"/>
        </w:rPr>
        <w:t>（四）</w:t>
      </w:r>
      <w:r>
        <w:rPr>
          <w:rFonts w:hint="eastAsia" w:ascii="宋体" w:hAnsi="宋体"/>
          <w:b/>
          <w:color w:val="000000" w:themeColor="text1"/>
          <w:sz w:val="24"/>
        </w:rPr>
        <w:t>澄清问题的形式</w:t>
      </w:r>
    </w:p>
    <w:p>
      <w:pPr>
        <w:snapToGrid w:val="0"/>
        <w:spacing w:line="360" w:lineRule="auto"/>
        <w:ind w:firstLine="480" w:firstLineChars="200"/>
        <w:rPr>
          <w:rFonts w:ascii="宋体" w:hAnsi="宋体"/>
          <w:color w:val="000000" w:themeColor="text1"/>
          <w:sz w:val="24"/>
          <w:szCs w:val="20"/>
        </w:rPr>
      </w:pPr>
      <w:r>
        <w:rPr>
          <w:rFonts w:hint="eastAsia" w:ascii="宋体" w:hAnsi="宋体"/>
          <w:color w:val="000000" w:themeColor="text1"/>
          <w:sz w:val="24"/>
        </w:rPr>
        <w:t>对投标文件中含义不明确、同类问题表述不一致或者有明显文字和计算错误的内容，评标委员会可要求投标人作出必要的澄清、说明或者纠正。投标人的澄清、说明或者补正应当采用书面形式，由其授权代表签字或盖章确认，并不得超出投标文件的范围或者改变投标文件的实质性内容。</w:t>
      </w:r>
    </w:p>
    <w:p>
      <w:pPr>
        <w:pStyle w:val="25"/>
        <w:snapToGrid w:val="0"/>
        <w:spacing w:beforeLines="0" w:afterLines="0" w:line="360" w:lineRule="auto"/>
        <w:ind w:left="719" w:leftChars="228" w:hanging="240" w:hangingChars="100"/>
        <w:rPr>
          <w:rFonts w:hAnsi="宋体"/>
          <w:b/>
          <w:color w:val="000000" w:themeColor="text1"/>
        </w:rPr>
      </w:pPr>
      <w:r>
        <w:rPr>
          <w:rFonts w:hAnsi="宋体"/>
          <w:color w:val="000000" w:themeColor="text1"/>
        </w:rPr>
        <w:t>（五）</w:t>
      </w:r>
      <w:r>
        <w:rPr>
          <w:rFonts w:hAnsi="宋体"/>
          <w:b/>
          <w:color w:val="000000" w:themeColor="text1"/>
        </w:rPr>
        <w:t>错误修正</w:t>
      </w:r>
    </w:p>
    <w:p>
      <w:pPr>
        <w:pStyle w:val="25"/>
        <w:snapToGrid w:val="0"/>
        <w:spacing w:beforeLines="0" w:afterLines="0" w:line="360" w:lineRule="auto"/>
        <w:ind w:left="719" w:leftChars="228" w:hanging="240" w:hangingChars="100"/>
        <w:rPr>
          <w:rFonts w:hAnsi="宋体"/>
          <w:color w:val="000000" w:themeColor="text1"/>
        </w:rPr>
      </w:pPr>
      <w:r>
        <w:rPr>
          <w:rFonts w:hAnsi="宋体"/>
          <w:color w:val="000000" w:themeColor="text1"/>
        </w:rPr>
        <w:t>投标文件如果出现计算或表达上的错误，修正错误的原则如下：</w:t>
      </w:r>
    </w:p>
    <w:p>
      <w:pPr>
        <w:snapToGrid w:val="0"/>
        <w:spacing w:line="360" w:lineRule="auto"/>
        <w:ind w:firstLine="480" w:firstLineChars="200"/>
        <w:rPr>
          <w:rFonts w:ascii="宋体" w:hAnsi="宋体"/>
          <w:color w:val="000000" w:themeColor="text1"/>
          <w:sz w:val="24"/>
          <w:szCs w:val="20"/>
        </w:rPr>
      </w:pPr>
      <w:r>
        <w:rPr>
          <w:rFonts w:ascii="宋体" w:hAnsi="宋体"/>
          <w:color w:val="000000" w:themeColor="text1"/>
          <w:sz w:val="24"/>
        </w:rPr>
        <w:t>1</w:t>
      </w:r>
      <w:r>
        <w:rPr>
          <w:rFonts w:hint="eastAsia" w:ascii="宋体" w:hAnsi="宋体"/>
          <w:color w:val="000000" w:themeColor="text1"/>
          <w:sz w:val="24"/>
        </w:rPr>
        <w:t>.开标一览表总价与投标报价明细表汇总数不一致的，</w:t>
      </w:r>
      <w:r>
        <w:rPr>
          <w:rFonts w:hint="eastAsia" w:ascii="宋体" w:hAnsi="宋体" w:cs="Arial"/>
          <w:color w:val="000000" w:themeColor="text1"/>
          <w:kern w:val="0"/>
          <w:sz w:val="24"/>
        </w:rPr>
        <w:t>以开标一览表为准；</w:t>
      </w:r>
    </w:p>
    <w:p>
      <w:pPr>
        <w:pStyle w:val="25"/>
        <w:snapToGrid w:val="0"/>
        <w:spacing w:beforeLines="0" w:afterLines="0" w:line="360" w:lineRule="auto"/>
        <w:ind w:firstLine="480" w:firstLineChars="200"/>
        <w:rPr>
          <w:rFonts w:hAnsi="宋体"/>
          <w:color w:val="000000" w:themeColor="text1"/>
        </w:rPr>
      </w:pPr>
      <w:r>
        <w:rPr>
          <w:rFonts w:hAnsi="宋体"/>
          <w:color w:val="000000" w:themeColor="text1"/>
        </w:rPr>
        <w:t>2</w:t>
      </w:r>
      <w:r>
        <w:rPr>
          <w:rFonts w:hint="eastAsia" w:hAnsi="宋体"/>
          <w:color w:val="000000" w:themeColor="text1"/>
        </w:rPr>
        <w:t>.</w:t>
      </w:r>
      <w:r>
        <w:rPr>
          <w:rFonts w:hAnsi="宋体"/>
          <w:color w:val="000000" w:themeColor="text1"/>
        </w:rPr>
        <w:t>投标文件的大写金额和小写金额不一致的，以大写金额为准；</w:t>
      </w:r>
    </w:p>
    <w:p>
      <w:pPr>
        <w:pStyle w:val="25"/>
        <w:snapToGrid w:val="0"/>
        <w:spacing w:beforeLines="0" w:afterLines="0" w:line="360" w:lineRule="auto"/>
        <w:ind w:firstLine="480" w:firstLineChars="200"/>
        <w:rPr>
          <w:rFonts w:hAnsi="宋体"/>
          <w:color w:val="000000" w:themeColor="text1"/>
        </w:rPr>
      </w:pPr>
      <w:r>
        <w:rPr>
          <w:rFonts w:hAnsi="宋体"/>
          <w:color w:val="000000" w:themeColor="text1"/>
        </w:rPr>
        <w:t>3</w:t>
      </w:r>
      <w:r>
        <w:rPr>
          <w:rFonts w:hint="eastAsia" w:hAnsi="宋体"/>
          <w:color w:val="000000" w:themeColor="text1"/>
        </w:rPr>
        <w:t>.</w:t>
      </w:r>
      <w:r>
        <w:rPr>
          <w:rFonts w:hAnsi="宋体"/>
          <w:color w:val="000000" w:themeColor="text1"/>
        </w:rPr>
        <w:t>总价金额与按单价汇总金额不一致的，以单价金额计算结果为准；</w:t>
      </w:r>
    </w:p>
    <w:p>
      <w:pPr>
        <w:pStyle w:val="25"/>
        <w:snapToGrid w:val="0"/>
        <w:spacing w:beforeLines="0" w:afterLines="0" w:line="360" w:lineRule="auto"/>
        <w:ind w:firstLine="480" w:firstLineChars="200"/>
        <w:rPr>
          <w:rFonts w:hAnsi="宋体"/>
          <w:color w:val="000000" w:themeColor="text1"/>
        </w:rPr>
      </w:pPr>
      <w:r>
        <w:rPr>
          <w:rFonts w:hAnsi="宋体"/>
          <w:color w:val="000000" w:themeColor="text1"/>
        </w:rPr>
        <w:t>4</w:t>
      </w:r>
      <w:r>
        <w:rPr>
          <w:rFonts w:hint="eastAsia" w:hAnsi="宋体"/>
          <w:color w:val="000000" w:themeColor="text1"/>
        </w:rPr>
        <w:t>.</w:t>
      </w:r>
      <w:r>
        <w:rPr>
          <w:rFonts w:hAnsi="宋体"/>
          <w:color w:val="000000" w:themeColor="text1"/>
        </w:rPr>
        <w:t>对不同文字文本投标文件的解释发生异议的，以中文文本为准。</w:t>
      </w:r>
    </w:p>
    <w:p>
      <w:pPr>
        <w:pStyle w:val="25"/>
        <w:snapToGrid w:val="0"/>
        <w:spacing w:beforeLines="0" w:afterLines="0" w:line="360" w:lineRule="auto"/>
        <w:ind w:firstLine="482" w:firstLineChars="200"/>
        <w:rPr>
          <w:rFonts w:hAnsi="宋体"/>
          <w:b/>
          <w:bCs/>
          <w:color w:val="000000" w:themeColor="text1"/>
        </w:rPr>
      </w:pPr>
      <w:r>
        <w:rPr>
          <w:rFonts w:hAnsi="宋体"/>
          <w:b/>
          <w:bCs/>
          <w:color w:val="000000" w:themeColor="text1"/>
        </w:rPr>
        <w:t>按上述修正错误的原则及方法调整或修正投标文件的投标报价，投标人同意</w:t>
      </w:r>
      <w:r>
        <w:rPr>
          <w:rFonts w:hint="eastAsia" w:hAnsi="宋体"/>
          <w:b/>
          <w:bCs/>
          <w:color w:val="000000" w:themeColor="text1"/>
        </w:rPr>
        <w:t>并签字确认</w:t>
      </w:r>
      <w:r>
        <w:rPr>
          <w:rFonts w:hAnsi="宋体"/>
          <w:b/>
          <w:bCs/>
          <w:color w:val="000000" w:themeColor="text1"/>
        </w:rPr>
        <w:t>后，调整后的投标报价对投标人具有约束作用。如果投标人不接受修正后的报价，则其投标将</w:t>
      </w:r>
      <w:r>
        <w:rPr>
          <w:rFonts w:hint="eastAsia" w:hAnsi="宋体"/>
          <w:b/>
          <w:bCs/>
          <w:color w:val="000000" w:themeColor="text1"/>
        </w:rPr>
        <w:t>作为无效投标处理</w:t>
      </w:r>
      <w:r>
        <w:rPr>
          <w:rFonts w:hAnsi="宋体"/>
          <w:b/>
          <w:bCs/>
          <w:color w:val="000000" w:themeColor="text1"/>
        </w:rPr>
        <w:t>。</w:t>
      </w:r>
    </w:p>
    <w:p>
      <w:pPr>
        <w:pStyle w:val="25"/>
        <w:tabs>
          <w:tab w:val="left" w:pos="630"/>
        </w:tabs>
        <w:snapToGrid w:val="0"/>
        <w:spacing w:beforeLines="0" w:afterLines="0" w:line="360" w:lineRule="auto"/>
        <w:ind w:firstLine="472" w:firstLineChars="196"/>
        <w:rPr>
          <w:rFonts w:hAnsi="宋体"/>
          <w:b/>
          <w:color w:val="000000" w:themeColor="text1"/>
        </w:rPr>
      </w:pPr>
      <w:r>
        <w:rPr>
          <w:rFonts w:hAnsi="宋体"/>
          <w:b/>
          <w:color w:val="000000" w:themeColor="text1"/>
        </w:rPr>
        <w:t>（六）评标原则和评标办法</w:t>
      </w:r>
    </w:p>
    <w:p>
      <w:pPr>
        <w:pStyle w:val="25"/>
        <w:snapToGrid w:val="0"/>
        <w:spacing w:beforeLines="0" w:afterLines="0" w:line="360" w:lineRule="auto"/>
        <w:ind w:firstLine="480" w:firstLineChars="200"/>
        <w:rPr>
          <w:rFonts w:hAnsi="宋体"/>
          <w:color w:val="000000" w:themeColor="text1"/>
        </w:rPr>
      </w:pPr>
      <w:r>
        <w:rPr>
          <w:rFonts w:hAnsi="宋体"/>
          <w:color w:val="000000" w:themeColor="text1"/>
        </w:rPr>
        <w:t>1</w:t>
      </w:r>
      <w:r>
        <w:rPr>
          <w:rFonts w:hint="eastAsia" w:hAnsi="宋体"/>
          <w:color w:val="000000" w:themeColor="text1"/>
        </w:rPr>
        <w:t>.</w:t>
      </w:r>
      <w:r>
        <w:rPr>
          <w:rFonts w:hAnsi="宋体"/>
          <w:color w:val="000000" w:themeColor="text1"/>
        </w:rPr>
        <w:t>评标原则。评标委员会必须公平、公正、客观，不带任何倾向性和启发性；不得向外界透露任何与评标有关的内容；任何单位和个人不得干扰、影响评标的正常进行；评标委员会及有关工作人员不得私下与投标人接触。</w:t>
      </w:r>
    </w:p>
    <w:p>
      <w:pPr>
        <w:pStyle w:val="25"/>
        <w:snapToGrid w:val="0"/>
        <w:spacing w:beforeLines="0" w:afterLines="0" w:line="360" w:lineRule="auto"/>
        <w:ind w:firstLine="480" w:firstLineChars="200"/>
        <w:rPr>
          <w:rFonts w:hAnsi="宋体"/>
          <w:color w:val="000000" w:themeColor="text1"/>
        </w:rPr>
      </w:pPr>
      <w:r>
        <w:rPr>
          <w:rFonts w:hAnsi="宋体"/>
          <w:color w:val="000000" w:themeColor="text1"/>
        </w:rPr>
        <w:t>2</w:t>
      </w:r>
      <w:r>
        <w:rPr>
          <w:rFonts w:hint="eastAsia" w:hAnsi="宋体"/>
          <w:color w:val="000000" w:themeColor="text1"/>
        </w:rPr>
        <w:t>.</w:t>
      </w:r>
      <w:r>
        <w:rPr>
          <w:rFonts w:hAnsi="宋体"/>
          <w:color w:val="000000" w:themeColor="text1"/>
        </w:rPr>
        <w:t>评标办法。本项目评标办法是</w:t>
      </w:r>
      <w:r>
        <w:rPr>
          <w:rFonts w:hint="eastAsia" w:hAnsi="宋体"/>
          <w:color w:val="000000" w:themeColor="text1"/>
        </w:rPr>
        <w:t>综合</w:t>
      </w:r>
      <w:r>
        <w:rPr>
          <w:rFonts w:hAnsi="宋体"/>
          <w:color w:val="000000" w:themeColor="text1"/>
        </w:rPr>
        <w:t>评分法，具体评标内容及评分标准等详见《第四章：评标办法及评分标准》。</w:t>
      </w:r>
    </w:p>
    <w:p>
      <w:pPr>
        <w:pStyle w:val="25"/>
        <w:snapToGrid w:val="0"/>
        <w:spacing w:beforeLines="0" w:afterLines="0" w:line="360" w:lineRule="auto"/>
        <w:ind w:firstLine="472" w:firstLineChars="196"/>
        <w:rPr>
          <w:rFonts w:hAnsi="宋体"/>
          <w:b/>
          <w:color w:val="000000" w:themeColor="text1"/>
        </w:rPr>
      </w:pPr>
      <w:r>
        <w:rPr>
          <w:rFonts w:hAnsi="宋体"/>
          <w:b/>
          <w:color w:val="000000" w:themeColor="text1"/>
        </w:rPr>
        <w:t>（七）评标过程的监控</w:t>
      </w:r>
    </w:p>
    <w:p>
      <w:pPr>
        <w:pStyle w:val="25"/>
        <w:snapToGrid w:val="0"/>
        <w:spacing w:beforeLines="0" w:afterLines="0" w:line="360" w:lineRule="auto"/>
        <w:ind w:firstLine="480" w:firstLineChars="200"/>
        <w:rPr>
          <w:rFonts w:hAnsi="宋体"/>
          <w:color w:val="000000" w:themeColor="text1"/>
        </w:rPr>
      </w:pPr>
      <w:r>
        <w:rPr>
          <w:rFonts w:hAnsi="宋体"/>
          <w:color w:val="000000" w:themeColor="text1"/>
        </w:rPr>
        <w:t>本项目评标过程实行全程录音、录像监控</w:t>
      </w:r>
      <w:r>
        <w:rPr>
          <w:rFonts w:hint="eastAsia" w:hAnsi="宋体"/>
          <w:color w:val="000000" w:themeColor="text1"/>
        </w:rPr>
        <w:t>并</w:t>
      </w:r>
      <w:r>
        <w:rPr>
          <w:rFonts w:hAnsi="宋体"/>
          <w:color w:val="000000" w:themeColor="text1"/>
        </w:rPr>
        <w:t>聘请</w:t>
      </w:r>
      <w:r>
        <w:rPr>
          <w:rFonts w:hint="eastAsia" w:hAnsi="宋体"/>
          <w:color w:val="000000" w:themeColor="text1"/>
        </w:rPr>
        <w:t>金华市公信</w:t>
      </w:r>
      <w:r>
        <w:rPr>
          <w:rFonts w:hAnsi="宋体"/>
          <w:color w:val="000000" w:themeColor="text1"/>
        </w:rPr>
        <w:t>公证处公证员进行现场监督，投标人在评标过程中所进行的</w:t>
      </w:r>
      <w:r>
        <w:rPr>
          <w:rFonts w:hint="eastAsia" w:hAnsi="宋体"/>
          <w:color w:val="000000" w:themeColor="text1"/>
        </w:rPr>
        <w:t>试</w:t>
      </w:r>
      <w:r>
        <w:rPr>
          <w:rFonts w:hAnsi="宋体"/>
          <w:color w:val="000000" w:themeColor="text1"/>
        </w:rPr>
        <w:t>图影响评标结果的不公正活动，可能导致其投标被拒绝。</w:t>
      </w:r>
    </w:p>
    <w:p>
      <w:pPr>
        <w:pStyle w:val="25"/>
        <w:snapToGrid w:val="0"/>
        <w:spacing w:beforeLines="0" w:afterLines="0" w:line="360" w:lineRule="auto"/>
        <w:ind w:firstLine="551" w:firstLineChars="196"/>
        <w:rPr>
          <w:rFonts w:hAnsi="宋体"/>
          <w:b/>
          <w:color w:val="000000" w:themeColor="text1"/>
          <w:sz w:val="28"/>
          <w:szCs w:val="28"/>
        </w:rPr>
      </w:pPr>
      <w:r>
        <w:rPr>
          <w:rFonts w:hint="eastAsia" w:hAnsi="宋体"/>
          <w:b/>
          <w:color w:val="000000" w:themeColor="text1"/>
          <w:sz w:val="28"/>
          <w:szCs w:val="28"/>
        </w:rPr>
        <w:t>六、定标</w:t>
      </w:r>
    </w:p>
    <w:p>
      <w:pPr>
        <w:pStyle w:val="25"/>
        <w:snapToGrid w:val="0"/>
        <w:spacing w:beforeLines="0" w:afterLines="0" w:line="360" w:lineRule="auto"/>
        <w:ind w:firstLine="472" w:firstLineChars="196"/>
        <w:rPr>
          <w:rFonts w:hAnsi="宋体"/>
          <w:b/>
          <w:bCs/>
          <w:color w:val="000000" w:themeColor="text1"/>
          <w:szCs w:val="20"/>
        </w:rPr>
      </w:pPr>
      <w:r>
        <w:rPr>
          <w:rFonts w:hint="eastAsia" w:hAnsi="宋体"/>
          <w:b/>
          <w:bCs/>
          <w:color w:val="000000" w:themeColor="text1"/>
        </w:rPr>
        <w:t>（一）确定中标人。本项目由采购人事先授权评标委员会确定中标人。</w:t>
      </w:r>
    </w:p>
    <w:p>
      <w:pPr>
        <w:snapToGrid w:val="0"/>
        <w:spacing w:line="360" w:lineRule="auto"/>
        <w:ind w:firstLine="480" w:firstLineChars="200"/>
        <w:rPr>
          <w:rFonts w:ascii="宋体" w:hAnsi="宋体"/>
          <w:color w:val="000000" w:themeColor="text1"/>
          <w:sz w:val="24"/>
          <w:szCs w:val="20"/>
        </w:rPr>
      </w:pPr>
      <w:r>
        <w:rPr>
          <w:rFonts w:ascii="宋体" w:hAnsi="宋体"/>
          <w:color w:val="000000" w:themeColor="text1"/>
          <w:sz w:val="24"/>
        </w:rPr>
        <w:t>1</w:t>
      </w:r>
      <w:r>
        <w:rPr>
          <w:rFonts w:hint="eastAsia" w:ascii="宋体" w:hAnsi="宋体"/>
          <w:color w:val="000000" w:themeColor="text1"/>
          <w:sz w:val="24"/>
        </w:rPr>
        <w:t>.</w:t>
      </w:r>
      <w:r>
        <w:rPr>
          <w:rFonts w:ascii="宋体" w:hAnsi="宋体"/>
          <w:color w:val="000000" w:themeColor="text1"/>
          <w:sz w:val="24"/>
        </w:rPr>
        <w:t>采购代理机构在评标结束后2个工作日内将评标报告交采购人确认，同时在发布招标公告的网站上对评标结果进行公示。</w:t>
      </w:r>
    </w:p>
    <w:p>
      <w:pPr>
        <w:snapToGrid w:val="0"/>
        <w:spacing w:line="360" w:lineRule="auto"/>
        <w:ind w:firstLine="480" w:firstLineChars="200"/>
        <w:rPr>
          <w:rFonts w:ascii="宋体" w:hAnsi="宋体"/>
          <w:color w:val="000000" w:themeColor="text1"/>
          <w:sz w:val="24"/>
          <w:szCs w:val="20"/>
        </w:rPr>
      </w:pPr>
      <w:r>
        <w:rPr>
          <w:rFonts w:ascii="宋体" w:hAnsi="宋体"/>
          <w:color w:val="000000" w:themeColor="text1"/>
          <w:sz w:val="24"/>
        </w:rPr>
        <w:t>2</w:t>
      </w:r>
      <w:r>
        <w:rPr>
          <w:rFonts w:hint="eastAsia" w:ascii="宋体" w:hAnsi="宋体"/>
          <w:color w:val="000000" w:themeColor="text1"/>
          <w:sz w:val="24"/>
        </w:rPr>
        <w:t>.</w:t>
      </w:r>
      <w:r>
        <w:rPr>
          <w:rFonts w:ascii="宋体" w:hAnsi="宋体"/>
          <w:color w:val="000000" w:themeColor="text1"/>
          <w:sz w:val="24"/>
        </w:rPr>
        <w:t>投标人对评标结果无异议的，采购人应在收到评标报告后5个工作日内对评标结果进行确认。如有投标人对评标结果提出质疑的，采购人可在质疑处理完毕后确定中标人。</w:t>
      </w:r>
    </w:p>
    <w:p>
      <w:pPr>
        <w:snapToGrid w:val="0"/>
        <w:spacing w:line="360" w:lineRule="auto"/>
        <w:ind w:firstLine="480" w:firstLineChars="200"/>
        <w:rPr>
          <w:rFonts w:ascii="宋体" w:hAnsi="宋体"/>
          <w:color w:val="000000" w:themeColor="text1"/>
          <w:sz w:val="24"/>
          <w:szCs w:val="20"/>
        </w:rPr>
      </w:pPr>
      <w:r>
        <w:rPr>
          <w:rFonts w:hint="eastAsia" w:ascii="宋体" w:hAnsi="宋体"/>
          <w:color w:val="000000" w:themeColor="text1"/>
          <w:sz w:val="24"/>
        </w:rPr>
        <w:t>3.采购人依法确定中标人后</w:t>
      </w:r>
      <w:r>
        <w:rPr>
          <w:rFonts w:ascii="宋体" w:hAnsi="宋体"/>
          <w:color w:val="000000" w:themeColor="text1"/>
          <w:sz w:val="24"/>
        </w:rPr>
        <w:t>2个工作日内，采购代理机构以书面形式发出《中标通知书》,并同时在相关网站上发布中标公告。</w:t>
      </w:r>
    </w:p>
    <w:p>
      <w:pPr>
        <w:pStyle w:val="25"/>
        <w:snapToGrid w:val="0"/>
        <w:spacing w:beforeLines="0" w:afterLines="0" w:line="360" w:lineRule="auto"/>
        <w:ind w:firstLine="551" w:firstLineChars="196"/>
        <w:rPr>
          <w:rFonts w:hAnsi="宋体"/>
          <w:b/>
          <w:color w:val="000000" w:themeColor="text1"/>
          <w:sz w:val="28"/>
          <w:szCs w:val="28"/>
        </w:rPr>
      </w:pPr>
      <w:r>
        <w:rPr>
          <w:rFonts w:hint="eastAsia" w:hAnsi="宋体"/>
          <w:b/>
          <w:color w:val="000000" w:themeColor="text1"/>
          <w:sz w:val="28"/>
          <w:szCs w:val="28"/>
        </w:rPr>
        <w:t>七、合同授予</w:t>
      </w:r>
    </w:p>
    <w:p>
      <w:pPr>
        <w:snapToGrid w:val="0"/>
        <w:spacing w:line="360" w:lineRule="auto"/>
        <w:ind w:firstLine="472" w:firstLineChars="196"/>
        <w:rPr>
          <w:rFonts w:ascii="宋体" w:hAnsi="宋体"/>
          <w:b/>
          <w:bCs/>
          <w:color w:val="000000" w:themeColor="text1"/>
          <w:sz w:val="24"/>
          <w:szCs w:val="20"/>
        </w:rPr>
      </w:pPr>
      <w:r>
        <w:rPr>
          <w:rFonts w:hint="eastAsia" w:ascii="宋体" w:hAnsi="宋体"/>
          <w:b/>
          <w:bCs/>
          <w:color w:val="000000" w:themeColor="text1"/>
          <w:sz w:val="24"/>
        </w:rPr>
        <w:t>（一）签订合同</w:t>
      </w:r>
    </w:p>
    <w:p>
      <w:pPr>
        <w:pStyle w:val="25"/>
        <w:snapToGrid w:val="0"/>
        <w:spacing w:beforeLines="0" w:afterLines="0" w:line="360" w:lineRule="auto"/>
        <w:ind w:firstLine="480" w:firstLineChars="200"/>
        <w:rPr>
          <w:rFonts w:hAnsi="宋体"/>
          <w:color w:val="000000" w:themeColor="text1"/>
        </w:rPr>
      </w:pPr>
      <w:r>
        <w:rPr>
          <w:rFonts w:hAnsi="宋体"/>
          <w:color w:val="000000" w:themeColor="text1"/>
        </w:rPr>
        <w:t>1</w:t>
      </w:r>
      <w:r>
        <w:rPr>
          <w:rFonts w:hint="eastAsia" w:hAnsi="宋体"/>
          <w:color w:val="000000" w:themeColor="text1"/>
        </w:rPr>
        <w:t>.采购人与</w:t>
      </w:r>
      <w:r>
        <w:rPr>
          <w:rFonts w:hAnsi="宋体"/>
          <w:color w:val="000000" w:themeColor="text1"/>
        </w:rPr>
        <w:t>中标人应</w:t>
      </w:r>
      <w:r>
        <w:rPr>
          <w:rFonts w:hint="eastAsia" w:hAnsi="宋体"/>
          <w:color w:val="000000" w:themeColor="text1"/>
        </w:rPr>
        <w:t>当在《</w:t>
      </w:r>
      <w:r>
        <w:rPr>
          <w:rFonts w:hAnsi="宋体"/>
          <w:color w:val="000000" w:themeColor="text1"/>
        </w:rPr>
        <w:t>中标通知书</w:t>
      </w:r>
      <w:r>
        <w:rPr>
          <w:rFonts w:hint="eastAsia" w:hAnsi="宋体"/>
          <w:color w:val="000000" w:themeColor="text1"/>
        </w:rPr>
        <w:t>》发出之日起30日内签订政府采购合同。同时，采购代理机构对合同内容进行审查，如发现与采购结果和投标承诺内容不一致的，应予以纠正。</w:t>
      </w:r>
    </w:p>
    <w:p>
      <w:pPr>
        <w:pStyle w:val="25"/>
        <w:snapToGrid w:val="0"/>
        <w:spacing w:beforeLines="0" w:afterLines="0" w:line="360" w:lineRule="auto"/>
        <w:ind w:firstLine="480" w:firstLineChars="200"/>
        <w:rPr>
          <w:rFonts w:hAnsi="宋体"/>
          <w:color w:val="000000" w:themeColor="text1"/>
        </w:rPr>
      </w:pPr>
      <w:r>
        <w:rPr>
          <w:rFonts w:hAnsi="宋体"/>
          <w:color w:val="000000" w:themeColor="text1"/>
        </w:rPr>
        <w:t>2</w:t>
      </w:r>
      <w:r>
        <w:rPr>
          <w:rFonts w:hint="eastAsia" w:hAnsi="宋体"/>
          <w:color w:val="000000" w:themeColor="text1"/>
        </w:rPr>
        <w:t>.</w:t>
      </w:r>
      <w:r>
        <w:rPr>
          <w:rFonts w:hAnsi="宋体"/>
          <w:color w:val="000000" w:themeColor="text1"/>
        </w:rPr>
        <w:t>中标人拖延、拒签合同的,取消中标资格</w:t>
      </w:r>
      <w:r>
        <w:rPr>
          <w:rFonts w:hint="eastAsia" w:hAnsi="宋体"/>
          <w:color w:val="000000" w:themeColor="text1"/>
        </w:rPr>
        <w:t>并通报相关</w:t>
      </w:r>
      <w:r>
        <w:rPr>
          <w:rFonts w:hAnsi="宋体"/>
          <w:color w:val="000000" w:themeColor="text1"/>
        </w:rPr>
        <w:t>监管</w:t>
      </w:r>
      <w:r>
        <w:rPr>
          <w:rFonts w:hint="eastAsia" w:hAnsi="宋体"/>
          <w:color w:val="000000" w:themeColor="text1"/>
        </w:rPr>
        <w:t>部门</w:t>
      </w:r>
      <w:r>
        <w:rPr>
          <w:rFonts w:hAnsi="宋体"/>
          <w:color w:val="000000" w:themeColor="text1"/>
        </w:rPr>
        <w:t>。</w:t>
      </w:r>
    </w:p>
    <w:p>
      <w:pPr>
        <w:pStyle w:val="25"/>
        <w:snapToGrid w:val="0"/>
        <w:spacing w:beforeLines="0" w:afterLines="0" w:line="360" w:lineRule="auto"/>
        <w:ind w:firstLine="472" w:firstLineChars="196"/>
        <w:rPr>
          <w:rFonts w:hAnsi="宋体"/>
          <w:b/>
          <w:color w:val="000000" w:themeColor="text1"/>
        </w:rPr>
      </w:pPr>
      <w:r>
        <w:rPr>
          <w:rFonts w:hAnsi="宋体"/>
          <w:b/>
          <w:color w:val="000000" w:themeColor="text1"/>
        </w:rPr>
        <w:t>（二）履约保证金及质量保金</w:t>
      </w:r>
    </w:p>
    <w:p>
      <w:pPr>
        <w:pStyle w:val="25"/>
        <w:snapToGrid w:val="0"/>
        <w:spacing w:beforeLines="0" w:afterLines="0" w:line="360" w:lineRule="auto"/>
        <w:ind w:firstLine="480" w:firstLineChars="200"/>
        <w:rPr>
          <w:rFonts w:hAnsi="宋体"/>
          <w:color w:val="000000" w:themeColor="text1"/>
        </w:rPr>
      </w:pPr>
      <w:r>
        <w:rPr>
          <w:rFonts w:hAnsi="宋体"/>
          <w:color w:val="000000" w:themeColor="text1"/>
        </w:rPr>
        <w:t>1</w:t>
      </w:r>
      <w:r>
        <w:rPr>
          <w:rFonts w:hint="eastAsia" w:hAnsi="宋体"/>
          <w:color w:val="000000" w:themeColor="text1"/>
        </w:rPr>
        <w:t>.</w:t>
      </w:r>
      <w:r>
        <w:rPr>
          <w:rFonts w:hAnsi="宋体"/>
          <w:color w:val="000000" w:themeColor="text1"/>
        </w:rPr>
        <w:t>签订合同前，中标人应按采购代理机构根据招标文件确定的履约保证金的金额，向</w:t>
      </w:r>
      <w:r>
        <w:rPr>
          <w:rFonts w:hint="eastAsia" w:hAnsi="宋体"/>
          <w:color w:val="000000" w:themeColor="text1"/>
        </w:rPr>
        <w:t>采购人</w:t>
      </w:r>
      <w:r>
        <w:rPr>
          <w:rFonts w:hAnsi="宋体"/>
          <w:color w:val="000000" w:themeColor="text1"/>
        </w:rPr>
        <w:t>交纳履约保证金。</w:t>
      </w:r>
    </w:p>
    <w:p>
      <w:pPr>
        <w:pStyle w:val="25"/>
        <w:snapToGrid w:val="0"/>
        <w:spacing w:beforeLines="0" w:afterLines="0" w:line="360" w:lineRule="auto"/>
        <w:ind w:firstLine="480" w:firstLineChars="200"/>
        <w:rPr>
          <w:rFonts w:hAnsi="宋体"/>
          <w:color w:val="000000" w:themeColor="text1"/>
        </w:rPr>
      </w:pPr>
      <w:r>
        <w:rPr>
          <w:rFonts w:hAnsi="宋体"/>
          <w:color w:val="000000" w:themeColor="text1"/>
        </w:rPr>
        <w:t>2</w:t>
      </w:r>
      <w:r>
        <w:rPr>
          <w:rFonts w:hint="eastAsia" w:hAnsi="宋体"/>
          <w:color w:val="000000" w:themeColor="text1"/>
        </w:rPr>
        <w:t>.</w:t>
      </w:r>
      <w:r>
        <w:rPr>
          <w:rFonts w:hAnsi="宋体"/>
          <w:color w:val="000000" w:themeColor="text1"/>
        </w:rPr>
        <w:t>签订合同后，如中标人不按双方合同约定履约，则没收其全部履约保证金，履约保证金不足以赔偿损失的，按实际损失赔偿。</w:t>
      </w:r>
    </w:p>
    <w:p>
      <w:pPr>
        <w:pStyle w:val="25"/>
        <w:snapToGrid w:val="0"/>
        <w:spacing w:beforeLines="0" w:afterLines="0" w:line="360" w:lineRule="auto"/>
        <w:ind w:firstLine="480" w:firstLineChars="200"/>
        <w:rPr>
          <w:rFonts w:hAnsi="宋体"/>
          <w:color w:val="000000" w:themeColor="text1"/>
        </w:rPr>
      </w:pPr>
      <w:r>
        <w:rPr>
          <w:rFonts w:hAnsi="宋体"/>
          <w:color w:val="000000" w:themeColor="text1"/>
        </w:rPr>
        <w:t>3</w:t>
      </w:r>
      <w:r>
        <w:rPr>
          <w:rFonts w:hint="eastAsia" w:hAnsi="宋体"/>
          <w:color w:val="000000" w:themeColor="text1"/>
        </w:rPr>
        <w:t>.</w:t>
      </w:r>
      <w:r>
        <w:rPr>
          <w:rFonts w:hAnsi="宋体"/>
          <w:color w:val="000000" w:themeColor="text1"/>
        </w:rPr>
        <w:t>履约保证金在中标人按合同约定交货验收合格后自行转为货物的质保金，在质保期内中标人提供的货物质量和服务符合合同约定，经验收合格，质保期满后该款无息退还。</w:t>
      </w:r>
    </w:p>
    <w:p>
      <w:pPr>
        <w:pStyle w:val="25"/>
        <w:snapToGrid w:val="0"/>
        <w:spacing w:before="120" w:after="120" w:line="240" w:lineRule="auto"/>
        <w:rPr>
          <w:rFonts w:hAnsi="宋体"/>
          <w:color w:val="000000" w:themeColor="text1"/>
        </w:rPr>
      </w:pPr>
      <w:r>
        <w:rPr>
          <w:rFonts w:hAnsi="宋体"/>
          <w:color w:val="000000" w:themeColor="text1"/>
        </w:rPr>
        <w:br w:type="page"/>
      </w:r>
    </w:p>
    <w:p>
      <w:pPr>
        <w:pStyle w:val="25"/>
        <w:snapToGrid w:val="0"/>
        <w:spacing w:before="120" w:after="120" w:line="240" w:lineRule="auto"/>
        <w:jc w:val="center"/>
        <w:outlineLvl w:val="0"/>
        <w:rPr>
          <w:rFonts w:ascii="黑体" w:hAnsi="宋体" w:eastAsia="黑体"/>
          <w:color w:val="000000" w:themeColor="text1"/>
          <w:sz w:val="30"/>
          <w:szCs w:val="30"/>
        </w:rPr>
      </w:pPr>
      <w:r>
        <w:rPr>
          <w:rFonts w:hint="eastAsia" w:ascii="黑体" w:hAnsi="宋体" w:eastAsia="黑体"/>
          <w:color w:val="000000" w:themeColor="text1"/>
          <w:sz w:val="30"/>
          <w:szCs w:val="30"/>
        </w:rPr>
        <w:t>第四章  评标办法及评分标准</w:t>
      </w:r>
    </w:p>
    <w:p>
      <w:pPr>
        <w:pStyle w:val="25"/>
        <w:spacing w:before="120" w:after="120"/>
        <w:rPr>
          <w:rFonts w:hAnsi="宋体"/>
          <w:bCs/>
          <w:color w:val="000000" w:themeColor="text1"/>
          <w:sz w:val="28"/>
          <w:szCs w:val="30"/>
        </w:rPr>
      </w:pPr>
      <w:r>
        <w:rPr>
          <w:rFonts w:hint="eastAsia" w:hAnsi="宋体"/>
          <w:b/>
          <w:color w:val="000000" w:themeColor="text1"/>
        </w:rPr>
        <w:t>Ⅰ 综合评分法</w:t>
      </w:r>
      <w:r>
        <w:rPr>
          <w:rFonts w:hint="eastAsia" w:hAnsi="宋体"/>
          <w:bCs/>
          <w:color w:val="000000" w:themeColor="text1"/>
        </w:rPr>
        <w:t>（</w:t>
      </w:r>
      <w:r>
        <w:rPr>
          <w:rFonts w:hint="eastAsia" w:hAnsi="宋体"/>
          <w:color w:val="000000" w:themeColor="text1"/>
          <w:szCs w:val="28"/>
        </w:rPr>
        <w:t>适用于技术服务及其他技术复杂的政府采购项目）</w:t>
      </w:r>
    </w:p>
    <w:p>
      <w:pPr>
        <w:pStyle w:val="25"/>
        <w:spacing w:before="120" w:after="120"/>
        <w:jc w:val="center"/>
        <w:rPr>
          <w:rFonts w:hAnsi="宋体"/>
          <w:b/>
          <w:color w:val="000000" w:themeColor="text1"/>
          <w:sz w:val="30"/>
          <w:szCs w:val="30"/>
        </w:rPr>
      </w:pPr>
      <w:r>
        <w:rPr>
          <w:rFonts w:hint="eastAsia" w:hAnsi="宋体"/>
          <w:b/>
          <w:color w:val="000000" w:themeColor="text1"/>
          <w:sz w:val="30"/>
          <w:szCs w:val="48"/>
        </w:rPr>
        <w:t>金华市公共安全视频监控建设联网应用项目（雪亮工程）后端建设部分</w:t>
      </w:r>
      <w:r>
        <w:rPr>
          <w:rFonts w:hAnsi="宋体"/>
          <w:b/>
          <w:color w:val="000000" w:themeColor="text1"/>
          <w:sz w:val="30"/>
          <w:szCs w:val="30"/>
        </w:rPr>
        <w:t>评标办法</w:t>
      </w:r>
    </w:p>
    <w:p>
      <w:pPr>
        <w:spacing w:beforeLines="50" w:afterLines="50" w:line="400" w:lineRule="exact"/>
        <w:ind w:firstLine="420"/>
        <w:rPr>
          <w:rFonts w:ascii="宋体" w:hAnsi="宋体"/>
          <w:color w:val="000000" w:themeColor="text1"/>
          <w:sz w:val="24"/>
        </w:rPr>
      </w:pPr>
      <w:r>
        <w:rPr>
          <w:rFonts w:hint="eastAsia" w:ascii="宋体" w:hAnsi="宋体"/>
          <w:color w:val="000000" w:themeColor="text1"/>
          <w:sz w:val="24"/>
        </w:rPr>
        <w:t>为公正、公平、科学地选择中标人，根据《中华人民共和国政府采购法》等有关法律法规的规定，并结合本项目的实际，制定本办法。</w:t>
      </w:r>
    </w:p>
    <w:p>
      <w:pPr>
        <w:spacing w:beforeLines="50" w:afterLines="50" w:line="400" w:lineRule="exact"/>
        <w:ind w:firstLine="420"/>
        <w:rPr>
          <w:rFonts w:ascii="宋体" w:hAnsi="宋体"/>
          <w:bCs/>
          <w:color w:val="000000" w:themeColor="text1"/>
          <w:sz w:val="24"/>
          <w:szCs w:val="48"/>
        </w:rPr>
      </w:pPr>
      <w:r>
        <w:rPr>
          <w:rFonts w:hint="eastAsia" w:ascii="宋体" w:hAnsi="宋体"/>
          <w:color w:val="000000" w:themeColor="text1"/>
          <w:sz w:val="24"/>
        </w:rPr>
        <w:t>本办法适用于</w:t>
      </w:r>
      <w:r>
        <w:rPr>
          <w:rFonts w:hint="eastAsia" w:ascii="宋体" w:hAnsi="宋体"/>
          <w:b/>
          <w:color w:val="000000" w:themeColor="text1"/>
          <w:sz w:val="24"/>
        </w:rPr>
        <w:t>金华市公共安全视频监控建设联网应用项目（雪亮工程）后端建设部分</w:t>
      </w:r>
      <w:r>
        <w:rPr>
          <w:rFonts w:hint="eastAsia" w:ascii="宋体" w:hAnsi="宋体"/>
          <w:bCs/>
          <w:color w:val="000000" w:themeColor="text1"/>
          <w:sz w:val="24"/>
        </w:rPr>
        <w:t>的</w:t>
      </w:r>
      <w:r>
        <w:rPr>
          <w:rFonts w:hint="eastAsia" w:ascii="宋体" w:hAnsi="宋体"/>
          <w:bCs/>
          <w:color w:val="000000" w:themeColor="text1"/>
          <w:sz w:val="24"/>
          <w:szCs w:val="48"/>
        </w:rPr>
        <w:t>评标。</w:t>
      </w:r>
    </w:p>
    <w:p>
      <w:pPr>
        <w:spacing w:beforeLines="50" w:afterLines="50" w:line="400" w:lineRule="exact"/>
        <w:ind w:firstLine="551" w:firstLineChars="196"/>
        <w:rPr>
          <w:rFonts w:ascii="宋体" w:hAnsi="宋体"/>
          <w:b/>
          <w:color w:val="000000" w:themeColor="text1"/>
          <w:sz w:val="28"/>
          <w:szCs w:val="28"/>
        </w:rPr>
      </w:pPr>
      <w:r>
        <w:rPr>
          <w:rFonts w:hint="eastAsia" w:ascii="宋体" w:hAnsi="宋体"/>
          <w:b/>
          <w:color w:val="000000" w:themeColor="text1"/>
          <w:sz w:val="28"/>
          <w:szCs w:val="28"/>
        </w:rPr>
        <w:t>一、总则</w:t>
      </w:r>
    </w:p>
    <w:p>
      <w:pPr>
        <w:spacing w:beforeLines="50" w:afterLines="50" w:line="400" w:lineRule="exact"/>
        <w:ind w:firstLine="480" w:firstLineChars="200"/>
        <w:rPr>
          <w:rFonts w:ascii="宋体" w:hAnsi="宋体"/>
          <w:color w:val="000000" w:themeColor="text1"/>
          <w:sz w:val="24"/>
        </w:rPr>
      </w:pPr>
      <w:r>
        <w:rPr>
          <w:rFonts w:hint="eastAsia" w:ascii="宋体" w:hAnsi="宋体"/>
          <w:color w:val="000000" w:themeColor="text1"/>
          <w:sz w:val="24"/>
        </w:rPr>
        <w:t>本次评标采用综合评分法，总分为100分，其中</w:t>
      </w:r>
    </w:p>
    <w:p>
      <w:pPr>
        <w:spacing w:beforeLines="50" w:afterLines="50" w:line="400" w:lineRule="exact"/>
        <w:ind w:firstLine="480" w:firstLineChars="200"/>
        <w:rPr>
          <w:rFonts w:ascii="宋体" w:hAnsi="宋体"/>
          <w:color w:val="000000" w:themeColor="text1"/>
          <w:sz w:val="24"/>
        </w:rPr>
      </w:pPr>
      <w:r>
        <w:rPr>
          <w:rFonts w:ascii="宋体" w:hAnsi="宋体"/>
          <w:color w:val="000000" w:themeColor="text1"/>
          <w:sz w:val="24"/>
        </w:rPr>
        <w:t>资信商务技术分为</w:t>
      </w:r>
      <w:r>
        <w:rPr>
          <w:rFonts w:hint="eastAsia" w:ascii="宋体" w:hAnsi="宋体"/>
          <w:color w:val="000000" w:themeColor="text1"/>
          <w:sz w:val="24"/>
        </w:rPr>
        <w:t>70</w:t>
      </w:r>
      <w:r>
        <w:rPr>
          <w:rFonts w:ascii="宋体" w:hAnsi="宋体"/>
          <w:color w:val="000000" w:themeColor="text1"/>
          <w:sz w:val="24"/>
        </w:rPr>
        <w:t>分，价格分为</w:t>
      </w:r>
      <w:r>
        <w:rPr>
          <w:rFonts w:hint="eastAsia" w:ascii="宋体" w:hAnsi="宋体"/>
          <w:color w:val="000000" w:themeColor="text1"/>
          <w:sz w:val="24"/>
        </w:rPr>
        <w:t>30</w:t>
      </w:r>
      <w:r>
        <w:rPr>
          <w:rFonts w:ascii="宋体" w:hAnsi="宋体"/>
          <w:color w:val="000000" w:themeColor="text1"/>
          <w:sz w:val="24"/>
        </w:rPr>
        <w:t>分;</w:t>
      </w:r>
    </w:p>
    <w:p>
      <w:pPr>
        <w:spacing w:beforeLines="50" w:afterLines="50" w:line="400" w:lineRule="exact"/>
        <w:ind w:firstLine="480" w:firstLineChars="200"/>
        <w:rPr>
          <w:rFonts w:ascii="宋体" w:hAnsi="宋体"/>
          <w:color w:val="000000" w:themeColor="text1"/>
          <w:sz w:val="24"/>
        </w:rPr>
      </w:pPr>
      <w:r>
        <w:rPr>
          <w:rFonts w:hint="eastAsia" w:ascii="宋体" w:hAnsi="宋体"/>
          <w:color w:val="000000" w:themeColor="text1"/>
          <w:sz w:val="24"/>
        </w:rPr>
        <w:t>合格投标人的评标得分为各项目汇总得分，中标候选资格按评标得分由高到低顺序排列，得分相同的，按投标报价由低到高顺序排列；得分且投标报价相同的，按技术得分由高到低顺序排列；得分、投标报价及技术得分相同的，则提供政府优先采购和强制采购《品目清单》范围内产品的投标人优先（按该类产品所占比重大小进行排序，且投标人须提供相关产品的认证证书）。排名第一的的投标人为中标候选人,排名第二的投标人为候补中标候选人……其他投标人中标候选资格依此类推。</w:t>
      </w:r>
      <w:r>
        <w:rPr>
          <w:rFonts w:hint="eastAsia" w:ascii="宋体" w:hAnsi="宋体"/>
          <w:bCs/>
          <w:color w:val="000000" w:themeColor="text1"/>
          <w:sz w:val="24"/>
        </w:rPr>
        <w:t>评分过程中采用四舍五入法，并保留小数2位。</w:t>
      </w:r>
    </w:p>
    <w:p>
      <w:pPr>
        <w:spacing w:beforeLines="50" w:afterLines="50" w:line="400" w:lineRule="exact"/>
        <w:ind w:firstLine="480" w:firstLineChars="200"/>
        <w:rPr>
          <w:rFonts w:ascii="宋体" w:hAnsi="宋体"/>
          <w:color w:val="000000" w:themeColor="text1"/>
          <w:sz w:val="24"/>
        </w:rPr>
      </w:pPr>
      <w:r>
        <w:rPr>
          <w:rFonts w:hint="eastAsia" w:ascii="宋体" w:hAnsi="宋体"/>
          <w:color w:val="000000" w:themeColor="text1"/>
          <w:sz w:val="24"/>
        </w:rPr>
        <w:t>投标人评标综合得分=价格分+(技术分+商务分+资信及其他分)</w:t>
      </w:r>
    </w:p>
    <w:p>
      <w:pPr>
        <w:spacing w:beforeLines="50" w:afterLines="50" w:line="400" w:lineRule="exact"/>
        <w:rPr>
          <w:rFonts w:ascii="宋体" w:hAnsi="宋体"/>
          <w:b/>
          <w:color w:val="000000" w:themeColor="text1"/>
          <w:sz w:val="28"/>
          <w:szCs w:val="28"/>
        </w:rPr>
      </w:pPr>
      <w:r>
        <w:rPr>
          <w:rFonts w:hint="eastAsia" w:ascii="宋体" w:hAnsi="宋体"/>
          <w:b/>
          <w:color w:val="000000" w:themeColor="text1"/>
          <w:sz w:val="28"/>
          <w:szCs w:val="28"/>
        </w:rPr>
        <w:t xml:space="preserve">   二、评标内容及标准</w:t>
      </w:r>
    </w:p>
    <w:p>
      <w:pPr>
        <w:spacing w:beforeLines="50" w:afterLines="50" w:line="400" w:lineRule="exact"/>
        <w:ind w:firstLine="480" w:firstLineChars="200"/>
        <w:rPr>
          <w:rFonts w:ascii="宋体" w:hAnsi="宋体"/>
          <w:color w:val="000000" w:themeColor="text1"/>
          <w:sz w:val="24"/>
        </w:rPr>
      </w:pPr>
      <w:r>
        <w:rPr>
          <w:rFonts w:hint="eastAsia" w:ascii="宋体" w:hAnsi="宋体"/>
          <w:color w:val="000000" w:themeColor="text1"/>
          <w:sz w:val="24"/>
        </w:rPr>
        <w:t>1.价格分采用低价优先法计算，即：以满足招标文件要求且进行了政策性价格扣除后，以评审价格的最低价者定为评标基准价，其价格分为满分。其他投标人的价格分统一按照下列公式计算：</w:t>
      </w:r>
    </w:p>
    <w:p>
      <w:pPr>
        <w:spacing w:beforeLines="50" w:afterLines="50" w:line="400" w:lineRule="exact"/>
        <w:ind w:firstLine="480" w:firstLineChars="200"/>
        <w:rPr>
          <w:rFonts w:ascii="宋体" w:hAnsi="宋体"/>
          <w:color w:val="000000" w:themeColor="text1"/>
          <w:sz w:val="24"/>
        </w:rPr>
      </w:pPr>
      <w:r>
        <w:rPr>
          <w:rFonts w:hint="eastAsia" w:ascii="宋体" w:hAnsi="宋体"/>
          <w:color w:val="000000" w:themeColor="text1"/>
          <w:sz w:val="24"/>
        </w:rPr>
        <w:t>其他投标人的价格分=（评标基准价/评审价格）×</w:t>
      </w:r>
      <w:r>
        <w:rPr>
          <w:rFonts w:ascii="宋体" w:hAnsi="宋体"/>
          <w:color w:val="000000" w:themeColor="text1"/>
          <w:sz w:val="24"/>
        </w:rPr>
        <w:t>3</w:t>
      </w:r>
      <w:r>
        <w:rPr>
          <w:rFonts w:hint="eastAsia" w:ascii="宋体" w:hAnsi="宋体"/>
          <w:color w:val="000000" w:themeColor="text1"/>
          <w:sz w:val="24"/>
        </w:rPr>
        <w:t>0%×100</w:t>
      </w:r>
    </w:p>
    <w:p>
      <w:pPr>
        <w:spacing w:beforeLines="50" w:afterLines="50" w:line="400" w:lineRule="exact"/>
        <w:ind w:firstLine="480" w:firstLineChars="200"/>
        <w:rPr>
          <w:rFonts w:ascii="宋体" w:hAnsi="宋体"/>
          <w:color w:val="000000" w:themeColor="text1"/>
          <w:sz w:val="24"/>
        </w:rPr>
      </w:pPr>
      <w:r>
        <w:rPr>
          <w:rFonts w:hint="eastAsia" w:ascii="宋体" w:hAnsi="宋体"/>
          <w:color w:val="000000" w:themeColor="text1"/>
          <w:sz w:val="24"/>
        </w:rPr>
        <w:t>2.依照《政府采购促进中小企业发展暂行办法》、《财政部 民政部 中国残疾人联合会关于促进残疾人就业政府采购政策的通知》（财库〔2017〕141号）、《财政部、司法部关于政府采购支持监狱企业发展有关问题的通知》（财库〔2014〕68号）的规定，对符合相关要求的有效投标人，按照以下比例给予相应的价格扣除，以确定该投标人的报价评审价格：</w:t>
      </w:r>
    </w:p>
    <w:tbl>
      <w:tblPr>
        <w:tblStyle w:val="53"/>
        <w:tblW w:w="8931" w:type="dxa"/>
        <w:tblInd w:w="-276" w:type="dxa"/>
        <w:tblLayout w:type="fixed"/>
        <w:tblCellMar>
          <w:top w:w="0" w:type="dxa"/>
          <w:left w:w="108" w:type="dxa"/>
          <w:bottom w:w="0" w:type="dxa"/>
          <w:right w:w="108" w:type="dxa"/>
        </w:tblCellMar>
      </w:tblPr>
      <w:tblGrid>
        <w:gridCol w:w="997"/>
        <w:gridCol w:w="2699"/>
        <w:gridCol w:w="2160"/>
        <w:gridCol w:w="3075"/>
      </w:tblGrid>
      <w:tr>
        <w:tblPrEx>
          <w:tblLayout w:type="fixed"/>
          <w:tblCellMar>
            <w:top w:w="0" w:type="dxa"/>
            <w:left w:w="108" w:type="dxa"/>
            <w:bottom w:w="0" w:type="dxa"/>
            <w:right w:w="108" w:type="dxa"/>
          </w:tblCellMar>
        </w:tblPrEx>
        <w:tc>
          <w:tcPr>
            <w:tcW w:w="997" w:type="dxa"/>
            <w:tcBorders>
              <w:top w:val="single" w:color="000000" w:sz="6" w:space="0"/>
              <w:left w:val="single" w:color="000000" w:sz="6" w:space="0"/>
              <w:bottom w:val="single" w:color="000000" w:sz="6" w:space="0"/>
              <w:right w:val="single" w:color="000000" w:sz="6" w:space="0"/>
            </w:tcBorders>
            <w:shd w:val="clear" w:color="auto" w:fill="F3F3F3"/>
            <w:tcMar>
              <w:top w:w="0" w:type="dxa"/>
              <w:left w:w="0" w:type="dxa"/>
              <w:bottom w:w="0" w:type="dxa"/>
              <w:right w:w="0" w:type="dxa"/>
            </w:tcMar>
            <w:vAlign w:val="center"/>
          </w:tcPr>
          <w:p>
            <w:pPr>
              <w:snapToGrid w:val="0"/>
              <w:spacing w:line="300" w:lineRule="exact"/>
              <w:jc w:val="center"/>
              <w:rPr>
                <w:rFonts w:ascii="宋体" w:hAnsi="宋体"/>
                <w:color w:val="000000" w:themeColor="text1"/>
              </w:rPr>
            </w:pPr>
            <w:r>
              <w:rPr>
                <w:rFonts w:hint="eastAsia" w:ascii="宋体" w:hAnsi="宋体"/>
                <w:color w:val="000000" w:themeColor="text1"/>
              </w:rPr>
              <w:t>序号</w:t>
            </w:r>
          </w:p>
        </w:tc>
        <w:tc>
          <w:tcPr>
            <w:tcW w:w="2699" w:type="dxa"/>
            <w:tcBorders>
              <w:top w:val="single" w:color="000000" w:sz="6" w:space="0"/>
              <w:left w:val="nil"/>
              <w:bottom w:val="single" w:color="000000" w:sz="6" w:space="0"/>
              <w:right w:val="single" w:color="000000" w:sz="6" w:space="0"/>
            </w:tcBorders>
            <w:shd w:val="clear" w:color="auto" w:fill="F3F3F3"/>
            <w:tcMar>
              <w:top w:w="0" w:type="dxa"/>
              <w:left w:w="0" w:type="dxa"/>
              <w:bottom w:w="0" w:type="dxa"/>
              <w:right w:w="0" w:type="dxa"/>
            </w:tcMar>
            <w:vAlign w:val="center"/>
          </w:tcPr>
          <w:p>
            <w:pPr>
              <w:snapToGrid w:val="0"/>
              <w:spacing w:line="300" w:lineRule="exact"/>
              <w:jc w:val="center"/>
              <w:rPr>
                <w:rFonts w:ascii="宋体" w:hAnsi="宋体"/>
                <w:color w:val="000000" w:themeColor="text1"/>
              </w:rPr>
            </w:pPr>
            <w:r>
              <w:rPr>
                <w:rFonts w:hint="eastAsia" w:ascii="宋体" w:hAnsi="宋体"/>
                <w:color w:val="000000" w:themeColor="text1"/>
              </w:rPr>
              <w:t>情形</w:t>
            </w:r>
          </w:p>
        </w:tc>
        <w:tc>
          <w:tcPr>
            <w:tcW w:w="2160" w:type="dxa"/>
            <w:tcBorders>
              <w:top w:val="single" w:color="000000" w:sz="6" w:space="0"/>
              <w:left w:val="nil"/>
              <w:bottom w:val="single" w:color="000000" w:sz="6" w:space="0"/>
              <w:right w:val="single" w:color="000000" w:sz="6" w:space="0"/>
            </w:tcBorders>
            <w:shd w:val="clear" w:color="auto" w:fill="F3F3F3"/>
            <w:tcMar>
              <w:top w:w="0" w:type="dxa"/>
              <w:left w:w="0" w:type="dxa"/>
              <w:bottom w:w="0" w:type="dxa"/>
              <w:right w:w="0" w:type="dxa"/>
            </w:tcMar>
            <w:vAlign w:val="center"/>
          </w:tcPr>
          <w:p>
            <w:pPr>
              <w:snapToGrid w:val="0"/>
              <w:spacing w:line="300" w:lineRule="exact"/>
              <w:jc w:val="center"/>
              <w:rPr>
                <w:rFonts w:ascii="宋体" w:hAnsi="宋体"/>
                <w:color w:val="000000" w:themeColor="text1"/>
              </w:rPr>
            </w:pPr>
            <w:r>
              <w:rPr>
                <w:rFonts w:hint="eastAsia" w:ascii="宋体" w:hAnsi="宋体"/>
                <w:color w:val="000000" w:themeColor="text1"/>
              </w:rPr>
              <w:t>价格扣除比例</w:t>
            </w:r>
          </w:p>
        </w:tc>
        <w:tc>
          <w:tcPr>
            <w:tcW w:w="3075" w:type="dxa"/>
            <w:tcBorders>
              <w:top w:val="single" w:color="000000" w:sz="6" w:space="0"/>
              <w:left w:val="nil"/>
              <w:bottom w:val="single" w:color="000000" w:sz="6" w:space="0"/>
              <w:right w:val="single" w:color="000000" w:sz="6" w:space="0"/>
            </w:tcBorders>
            <w:shd w:val="clear" w:color="auto" w:fill="F3F3F3"/>
            <w:tcMar>
              <w:top w:w="0" w:type="dxa"/>
              <w:left w:w="0" w:type="dxa"/>
              <w:bottom w:w="0" w:type="dxa"/>
              <w:right w:w="0" w:type="dxa"/>
            </w:tcMar>
            <w:vAlign w:val="center"/>
          </w:tcPr>
          <w:p>
            <w:pPr>
              <w:snapToGrid w:val="0"/>
              <w:spacing w:line="300" w:lineRule="exact"/>
              <w:jc w:val="center"/>
              <w:rPr>
                <w:rFonts w:ascii="宋体" w:hAnsi="宋体"/>
                <w:color w:val="000000" w:themeColor="text1"/>
              </w:rPr>
            </w:pPr>
            <w:r>
              <w:rPr>
                <w:rFonts w:hint="eastAsia" w:ascii="宋体" w:hAnsi="宋体"/>
                <w:color w:val="000000" w:themeColor="text1"/>
              </w:rPr>
              <w:t>计算公式</w:t>
            </w:r>
          </w:p>
        </w:tc>
      </w:tr>
      <w:tr>
        <w:tblPrEx>
          <w:tblLayout w:type="fixed"/>
          <w:tblCellMar>
            <w:top w:w="0" w:type="dxa"/>
            <w:left w:w="108" w:type="dxa"/>
            <w:bottom w:w="0" w:type="dxa"/>
            <w:right w:w="108" w:type="dxa"/>
          </w:tblCellMar>
        </w:tblPrEx>
        <w:trPr>
          <w:trHeight w:val="988" w:hRule="atLeast"/>
        </w:trPr>
        <w:tc>
          <w:tcPr>
            <w:tcW w:w="997"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snapToGrid w:val="0"/>
              <w:spacing w:line="300" w:lineRule="exact"/>
              <w:jc w:val="center"/>
              <w:rPr>
                <w:rFonts w:ascii="宋体" w:hAnsi="宋体"/>
                <w:color w:val="000000" w:themeColor="text1"/>
              </w:rPr>
            </w:pPr>
            <w:r>
              <w:rPr>
                <w:rFonts w:hint="eastAsia" w:ascii="宋体" w:hAnsi="宋体"/>
                <w:color w:val="000000" w:themeColor="text1"/>
              </w:rPr>
              <w:t>1</w:t>
            </w:r>
          </w:p>
        </w:tc>
        <w:tc>
          <w:tcPr>
            <w:tcW w:w="2699" w:type="dxa"/>
            <w:tcBorders>
              <w:top w:val="single" w:color="000000" w:sz="6" w:space="0"/>
              <w:left w:val="nil"/>
              <w:bottom w:val="single" w:color="000000" w:sz="6" w:space="0"/>
              <w:right w:val="single" w:color="000000" w:sz="6" w:space="0"/>
            </w:tcBorders>
            <w:tcMar>
              <w:top w:w="0" w:type="dxa"/>
              <w:left w:w="0" w:type="dxa"/>
              <w:bottom w:w="0" w:type="dxa"/>
              <w:right w:w="0" w:type="dxa"/>
            </w:tcMar>
            <w:vAlign w:val="center"/>
          </w:tcPr>
          <w:p>
            <w:pPr>
              <w:snapToGrid w:val="0"/>
              <w:spacing w:line="300" w:lineRule="exact"/>
              <w:rPr>
                <w:rFonts w:ascii="宋体" w:hAnsi="宋体"/>
                <w:color w:val="000000" w:themeColor="text1"/>
              </w:rPr>
            </w:pPr>
            <w:r>
              <w:rPr>
                <w:rFonts w:hint="eastAsia" w:ascii="宋体" w:hAnsi="宋体"/>
                <w:color w:val="000000" w:themeColor="text1"/>
              </w:rPr>
              <w:t>非联合体投标人</w:t>
            </w:r>
          </w:p>
          <w:p>
            <w:pPr>
              <w:snapToGrid w:val="0"/>
              <w:spacing w:line="300" w:lineRule="exact"/>
              <w:rPr>
                <w:rFonts w:ascii="宋体" w:hAnsi="宋体"/>
                <w:color w:val="000000" w:themeColor="text1"/>
              </w:rPr>
            </w:pPr>
            <w:r>
              <w:rPr>
                <w:rFonts w:hint="eastAsia" w:ascii="宋体" w:hAnsi="宋体"/>
                <w:color w:val="000000" w:themeColor="text1"/>
              </w:rPr>
              <w:t>（投标人须为中小企业）</w:t>
            </w:r>
          </w:p>
        </w:tc>
        <w:tc>
          <w:tcPr>
            <w:tcW w:w="2160" w:type="dxa"/>
            <w:tcBorders>
              <w:top w:val="single" w:color="000000" w:sz="6" w:space="0"/>
              <w:left w:val="nil"/>
              <w:bottom w:val="single" w:color="000000" w:sz="6" w:space="0"/>
              <w:right w:val="single" w:color="000000" w:sz="6" w:space="0"/>
            </w:tcBorders>
            <w:tcMar>
              <w:top w:w="0" w:type="dxa"/>
              <w:left w:w="0" w:type="dxa"/>
              <w:bottom w:w="0" w:type="dxa"/>
              <w:right w:w="0" w:type="dxa"/>
            </w:tcMar>
            <w:vAlign w:val="center"/>
          </w:tcPr>
          <w:p>
            <w:pPr>
              <w:snapToGrid w:val="0"/>
              <w:spacing w:line="300" w:lineRule="exact"/>
              <w:rPr>
                <w:rFonts w:ascii="宋体" w:hAnsi="宋体"/>
                <w:color w:val="000000" w:themeColor="text1"/>
              </w:rPr>
            </w:pPr>
            <w:r>
              <w:rPr>
                <w:rFonts w:hint="eastAsia" w:ascii="宋体" w:hAnsi="宋体"/>
                <w:color w:val="000000" w:themeColor="text1"/>
              </w:rPr>
              <w:t>对小型和微型企业产品的价格扣除6%</w:t>
            </w:r>
          </w:p>
        </w:tc>
        <w:tc>
          <w:tcPr>
            <w:tcW w:w="3075" w:type="dxa"/>
            <w:tcBorders>
              <w:top w:val="single" w:color="000000" w:sz="6" w:space="0"/>
              <w:left w:val="nil"/>
              <w:bottom w:val="single" w:color="000000" w:sz="6" w:space="0"/>
              <w:right w:val="single" w:color="000000" w:sz="6" w:space="0"/>
            </w:tcBorders>
            <w:tcMar>
              <w:top w:w="0" w:type="dxa"/>
              <w:left w:w="0" w:type="dxa"/>
              <w:bottom w:w="0" w:type="dxa"/>
              <w:right w:w="0" w:type="dxa"/>
            </w:tcMar>
            <w:vAlign w:val="center"/>
          </w:tcPr>
          <w:p>
            <w:pPr>
              <w:snapToGrid w:val="0"/>
              <w:spacing w:line="300" w:lineRule="exact"/>
              <w:rPr>
                <w:rFonts w:ascii="宋体" w:hAnsi="宋体"/>
                <w:color w:val="000000" w:themeColor="text1"/>
              </w:rPr>
            </w:pPr>
            <w:r>
              <w:rPr>
                <w:rFonts w:hint="eastAsia" w:ascii="宋体" w:hAnsi="宋体"/>
                <w:color w:val="000000" w:themeColor="text1"/>
              </w:rPr>
              <w:t>评审价格＝（总投标报价—小型和微型企业产品的价格）+小型和微型企业产品的价格×(1-6%)</w:t>
            </w:r>
          </w:p>
        </w:tc>
      </w:tr>
    </w:tbl>
    <w:p>
      <w:pPr>
        <w:spacing w:beforeLines="50" w:afterLines="50" w:line="400" w:lineRule="exact"/>
        <w:ind w:firstLine="480" w:firstLineChars="200"/>
        <w:rPr>
          <w:rFonts w:ascii="宋体" w:hAnsi="宋体"/>
          <w:color w:val="000000" w:themeColor="text1"/>
          <w:sz w:val="24"/>
        </w:rPr>
      </w:pPr>
      <w:r>
        <w:rPr>
          <w:rFonts w:hint="eastAsia" w:ascii="宋体" w:hAnsi="宋体"/>
          <w:color w:val="000000" w:themeColor="text1"/>
          <w:sz w:val="24"/>
        </w:rPr>
        <w:t>注：①中型企业不享受以上优惠；②小型和微型企业产品包括货物及其提供的服务与工程；③残疾人福利性单位或监狱企业视同小型、微型企业执行。</w:t>
      </w:r>
    </w:p>
    <w:p>
      <w:pPr>
        <w:pStyle w:val="42"/>
        <w:shd w:val="clear" w:color="auto" w:fill="FFFFFF"/>
        <w:spacing w:before="50" w:after="50" w:line="400" w:lineRule="exact"/>
        <w:ind w:firstLine="482" w:firstLineChars="200"/>
        <w:rPr>
          <w:b/>
          <w:color w:val="000000" w:themeColor="text1"/>
        </w:rPr>
      </w:pPr>
      <w:r>
        <w:rPr>
          <w:rFonts w:hint="eastAsia"/>
          <w:b/>
          <w:color w:val="000000" w:themeColor="text1"/>
        </w:rPr>
        <w:t>3.</w:t>
      </w:r>
      <w:r>
        <w:rPr>
          <w:color w:val="000000" w:themeColor="text1"/>
        </w:rPr>
        <w:t>资信商务技术分</w:t>
      </w:r>
      <w:r>
        <w:rPr>
          <w:rFonts w:hint="eastAsia"/>
          <w:color w:val="000000" w:themeColor="text1"/>
        </w:rPr>
        <w:t>（70分</w:t>
      </w:r>
      <w:r>
        <w:rPr>
          <w:color w:val="000000" w:themeColor="text1"/>
        </w:rPr>
        <w:t>）</w:t>
      </w:r>
    </w:p>
    <w:tbl>
      <w:tblPr>
        <w:tblStyle w:val="53"/>
        <w:tblW w:w="894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519"/>
        <w:gridCol w:w="851"/>
        <w:gridCol w:w="819"/>
        <w:gridCol w:w="685"/>
        <w:gridCol w:w="6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 w:hRule="atLeast"/>
          <w:jc w:val="center"/>
        </w:trPr>
        <w:tc>
          <w:tcPr>
            <w:tcW w:w="519" w:type="dxa"/>
            <w:vAlign w:val="center"/>
          </w:tcPr>
          <w:p>
            <w:pPr>
              <w:spacing w:line="300" w:lineRule="exact"/>
              <w:jc w:val="center"/>
              <w:rPr>
                <w:rFonts w:ascii="仿宋_GB2312" w:hAnsi="宋体" w:cs="宋体"/>
                <w:b/>
                <w:bCs/>
                <w:color w:val="000000" w:themeColor="text1"/>
                <w:sz w:val="24"/>
              </w:rPr>
            </w:pPr>
            <w:r>
              <w:rPr>
                <w:rFonts w:hint="eastAsia" w:ascii="仿宋_GB2312" w:hAnsi="宋体" w:cs="宋体"/>
                <w:b/>
                <w:bCs/>
                <w:color w:val="000000" w:themeColor="text1"/>
                <w:sz w:val="24"/>
              </w:rPr>
              <w:t>序号</w:t>
            </w:r>
          </w:p>
        </w:tc>
        <w:tc>
          <w:tcPr>
            <w:tcW w:w="1670" w:type="dxa"/>
            <w:gridSpan w:val="2"/>
            <w:vAlign w:val="center"/>
          </w:tcPr>
          <w:p>
            <w:pPr>
              <w:spacing w:line="300" w:lineRule="exact"/>
              <w:jc w:val="center"/>
              <w:rPr>
                <w:rFonts w:ascii="仿宋_GB2312" w:hAnsi="宋体" w:cs="宋体"/>
                <w:b/>
                <w:bCs/>
                <w:color w:val="000000" w:themeColor="text1"/>
                <w:sz w:val="24"/>
              </w:rPr>
            </w:pPr>
            <w:r>
              <w:rPr>
                <w:rFonts w:hint="eastAsia" w:ascii="仿宋_GB2312" w:hAnsi="宋体" w:cs="宋体"/>
                <w:b/>
                <w:bCs/>
                <w:color w:val="000000" w:themeColor="text1"/>
                <w:sz w:val="24"/>
              </w:rPr>
              <w:t>类别</w:t>
            </w:r>
          </w:p>
        </w:tc>
        <w:tc>
          <w:tcPr>
            <w:tcW w:w="685" w:type="dxa"/>
            <w:vAlign w:val="center"/>
          </w:tcPr>
          <w:p>
            <w:pPr>
              <w:spacing w:line="300" w:lineRule="exact"/>
              <w:jc w:val="center"/>
              <w:rPr>
                <w:rFonts w:ascii="仿宋_GB2312" w:hAnsi="宋体" w:cs="宋体"/>
                <w:b/>
                <w:bCs/>
                <w:color w:val="000000" w:themeColor="text1"/>
                <w:sz w:val="24"/>
              </w:rPr>
            </w:pPr>
            <w:r>
              <w:rPr>
                <w:rFonts w:hint="eastAsia" w:ascii="仿宋_GB2312" w:hAnsi="宋体" w:cs="宋体"/>
                <w:b/>
                <w:bCs/>
                <w:color w:val="000000" w:themeColor="text1"/>
                <w:sz w:val="24"/>
              </w:rPr>
              <w:t>分值</w:t>
            </w:r>
          </w:p>
        </w:tc>
        <w:tc>
          <w:tcPr>
            <w:tcW w:w="6075" w:type="dxa"/>
            <w:vAlign w:val="center"/>
          </w:tcPr>
          <w:p>
            <w:pPr>
              <w:spacing w:line="300" w:lineRule="exact"/>
              <w:jc w:val="center"/>
              <w:rPr>
                <w:rFonts w:ascii="仿宋_GB2312" w:hAnsi="宋体" w:cs="宋体"/>
                <w:b/>
                <w:bCs/>
                <w:color w:val="000000" w:themeColor="text1"/>
                <w:sz w:val="24"/>
              </w:rPr>
            </w:pPr>
            <w:r>
              <w:rPr>
                <w:rFonts w:hint="eastAsia" w:ascii="仿宋_GB2312" w:hAnsi="宋体" w:cs="宋体"/>
                <w:b/>
                <w:bCs/>
                <w:color w:val="000000" w:themeColor="text1"/>
                <w:sz w:val="24"/>
              </w:rPr>
              <w:t>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 w:hRule="atLeast"/>
          <w:jc w:val="center"/>
        </w:trPr>
        <w:tc>
          <w:tcPr>
            <w:tcW w:w="519" w:type="dxa"/>
            <w:vMerge w:val="restart"/>
            <w:vAlign w:val="center"/>
          </w:tcPr>
          <w:p>
            <w:pPr>
              <w:spacing w:line="300" w:lineRule="exact"/>
              <w:jc w:val="center"/>
              <w:rPr>
                <w:rFonts w:ascii="仿宋_GB2312" w:hAnsi="宋体" w:cs="宋体"/>
                <w:bCs/>
                <w:color w:val="000000" w:themeColor="text1"/>
                <w:sz w:val="24"/>
              </w:rPr>
            </w:pPr>
            <w:r>
              <w:rPr>
                <w:rFonts w:hint="eastAsia" w:ascii="仿宋_GB2312" w:hAnsi="宋体" w:cs="宋体"/>
                <w:bCs/>
                <w:color w:val="000000" w:themeColor="text1"/>
                <w:sz w:val="24"/>
              </w:rPr>
              <w:t>1</w:t>
            </w:r>
          </w:p>
        </w:tc>
        <w:tc>
          <w:tcPr>
            <w:tcW w:w="1670" w:type="dxa"/>
            <w:gridSpan w:val="2"/>
            <w:vMerge w:val="restart"/>
            <w:vAlign w:val="center"/>
          </w:tcPr>
          <w:p>
            <w:pPr>
              <w:spacing w:line="300" w:lineRule="exact"/>
              <w:jc w:val="center"/>
              <w:rPr>
                <w:rFonts w:ascii="仿宋_GB2312" w:hAnsi="宋体" w:cs="宋体"/>
                <w:bCs/>
                <w:color w:val="000000" w:themeColor="text1"/>
                <w:sz w:val="24"/>
              </w:rPr>
            </w:pPr>
            <w:r>
              <w:rPr>
                <w:rFonts w:hint="eastAsia" w:ascii="仿宋_GB2312" w:hAnsi="宋体" w:cs="宋体"/>
                <w:bCs/>
                <w:color w:val="000000" w:themeColor="text1"/>
                <w:sz w:val="24"/>
              </w:rPr>
              <w:t>投标人综合评价</w:t>
            </w:r>
          </w:p>
        </w:tc>
        <w:tc>
          <w:tcPr>
            <w:tcW w:w="685" w:type="dxa"/>
            <w:vAlign w:val="center"/>
          </w:tcPr>
          <w:p>
            <w:pPr>
              <w:spacing w:line="300" w:lineRule="exact"/>
              <w:jc w:val="center"/>
              <w:rPr>
                <w:rFonts w:ascii="仿宋_GB2312" w:hAnsi="宋体" w:cs="宋体"/>
                <w:bCs/>
                <w:color w:val="000000" w:themeColor="text1"/>
                <w:sz w:val="24"/>
              </w:rPr>
            </w:pPr>
            <w:r>
              <w:rPr>
                <w:rFonts w:ascii="仿宋_GB2312" w:hAnsi="宋体" w:cs="宋体"/>
                <w:bCs/>
                <w:color w:val="000000" w:themeColor="text1"/>
                <w:sz w:val="24"/>
              </w:rPr>
              <w:t>5</w:t>
            </w:r>
          </w:p>
        </w:tc>
        <w:tc>
          <w:tcPr>
            <w:tcW w:w="6075" w:type="dxa"/>
            <w:vAlign w:val="center"/>
          </w:tcPr>
          <w:p>
            <w:pPr>
              <w:spacing w:line="300" w:lineRule="exact"/>
              <w:rPr>
                <w:rFonts w:ascii="仿宋_GB2312" w:hAnsi="宋体" w:cs="宋体"/>
                <w:bCs/>
                <w:color w:val="000000" w:themeColor="text1"/>
                <w:sz w:val="24"/>
              </w:rPr>
            </w:pPr>
            <w:r>
              <w:rPr>
                <w:rFonts w:hint="eastAsia" w:ascii="仿宋_GB2312" w:hAnsi="宋体" w:cs="宋体"/>
                <w:bCs/>
                <w:color w:val="000000" w:themeColor="text1"/>
                <w:sz w:val="24"/>
              </w:rPr>
              <w:t>根据投标人资源整合能力、资信情况、信誉情况等方面进行比较</w:t>
            </w:r>
            <w:r>
              <w:rPr>
                <w:rFonts w:hint="eastAsia" w:ascii="仿宋_GB2312" w:hAnsi="宋体" w:cs="宋体"/>
                <w:color w:val="000000" w:themeColor="text1"/>
                <w:sz w:val="24"/>
              </w:rPr>
              <w:t>。优秀</w:t>
            </w:r>
            <w:r>
              <w:rPr>
                <w:rFonts w:ascii="仿宋_GB2312" w:hAnsi="宋体" w:cs="宋体"/>
                <w:color w:val="000000" w:themeColor="text1"/>
                <w:sz w:val="24"/>
              </w:rPr>
              <w:t>得</w:t>
            </w:r>
            <w:r>
              <w:rPr>
                <w:rFonts w:hint="eastAsia" w:ascii="仿宋_GB2312" w:hAnsi="宋体" w:cs="宋体"/>
                <w:color w:val="000000" w:themeColor="text1"/>
                <w:sz w:val="24"/>
              </w:rPr>
              <w:t>4～</w:t>
            </w:r>
            <w:r>
              <w:rPr>
                <w:rFonts w:ascii="仿宋_GB2312" w:hAnsi="宋体" w:cs="宋体"/>
                <w:color w:val="000000" w:themeColor="text1"/>
                <w:sz w:val="24"/>
              </w:rPr>
              <w:t>5</w:t>
            </w:r>
            <w:r>
              <w:rPr>
                <w:rFonts w:hint="eastAsia" w:ascii="仿宋_GB2312" w:hAnsi="宋体" w:cs="宋体"/>
                <w:color w:val="000000" w:themeColor="text1"/>
                <w:sz w:val="24"/>
              </w:rPr>
              <w:t>分，良好得</w:t>
            </w:r>
            <w:r>
              <w:rPr>
                <w:rFonts w:ascii="仿宋_GB2312" w:hAnsi="宋体" w:cs="宋体"/>
                <w:color w:val="000000" w:themeColor="text1"/>
                <w:sz w:val="24"/>
              </w:rPr>
              <w:t>2</w:t>
            </w:r>
            <w:r>
              <w:rPr>
                <w:rFonts w:hint="eastAsia" w:ascii="仿宋_GB2312" w:hAnsi="宋体" w:cs="宋体"/>
                <w:color w:val="000000" w:themeColor="text1"/>
                <w:sz w:val="24"/>
              </w:rPr>
              <w:t>～</w:t>
            </w:r>
            <w:r>
              <w:rPr>
                <w:rFonts w:ascii="仿宋_GB2312" w:hAnsi="宋体" w:cs="宋体"/>
                <w:color w:val="000000" w:themeColor="text1"/>
                <w:sz w:val="24"/>
              </w:rPr>
              <w:t>3</w:t>
            </w:r>
            <w:r>
              <w:rPr>
                <w:rFonts w:hint="eastAsia" w:ascii="仿宋_GB2312" w:hAnsi="宋体" w:cs="宋体"/>
                <w:color w:val="000000" w:themeColor="text1"/>
                <w:sz w:val="24"/>
              </w:rPr>
              <w:t>分，一般得</w:t>
            </w:r>
            <w:r>
              <w:rPr>
                <w:rFonts w:ascii="仿宋_GB2312" w:hAnsi="宋体" w:cs="宋体"/>
                <w:color w:val="000000" w:themeColor="text1"/>
                <w:sz w:val="24"/>
              </w:rPr>
              <w:t>0</w:t>
            </w:r>
            <w:r>
              <w:rPr>
                <w:rFonts w:hint="eastAsia" w:ascii="仿宋_GB2312" w:hAnsi="宋体" w:cs="宋体"/>
                <w:color w:val="000000" w:themeColor="text1"/>
                <w:sz w:val="24"/>
              </w:rPr>
              <w:t>～</w:t>
            </w:r>
            <w:r>
              <w:rPr>
                <w:rFonts w:ascii="仿宋_GB2312" w:hAnsi="宋体" w:cs="宋体"/>
                <w:color w:val="000000" w:themeColor="text1"/>
                <w:sz w:val="24"/>
              </w:rPr>
              <w:t>1</w:t>
            </w:r>
            <w:r>
              <w:rPr>
                <w:rFonts w:hint="eastAsia" w:ascii="仿宋_GB2312" w:hAnsi="宋体" w:cs="宋体"/>
                <w:color w:val="000000" w:themeColor="text1"/>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 w:hRule="atLeast"/>
          <w:jc w:val="center"/>
        </w:trPr>
        <w:tc>
          <w:tcPr>
            <w:tcW w:w="519" w:type="dxa"/>
            <w:vMerge w:val="continue"/>
            <w:vAlign w:val="center"/>
          </w:tcPr>
          <w:p>
            <w:pPr>
              <w:spacing w:line="300" w:lineRule="exact"/>
              <w:jc w:val="center"/>
              <w:rPr>
                <w:rFonts w:ascii="仿宋_GB2312" w:hAnsi="宋体" w:cs="宋体"/>
                <w:bCs/>
                <w:color w:val="000000" w:themeColor="text1"/>
                <w:sz w:val="24"/>
              </w:rPr>
            </w:pPr>
          </w:p>
        </w:tc>
        <w:tc>
          <w:tcPr>
            <w:tcW w:w="1670" w:type="dxa"/>
            <w:gridSpan w:val="2"/>
            <w:vMerge w:val="continue"/>
            <w:vAlign w:val="center"/>
          </w:tcPr>
          <w:p>
            <w:pPr>
              <w:spacing w:line="300" w:lineRule="exact"/>
              <w:jc w:val="center"/>
              <w:rPr>
                <w:rFonts w:ascii="仿宋_GB2312" w:hAnsi="宋体" w:cs="宋体"/>
                <w:bCs/>
                <w:color w:val="000000" w:themeColor="text1"/>
                <w:sz w:val="24"/>
              </w:rPr>
            </w:pPr>
          </w:p>
        </w:tc>
        <w:tc>
          <w:tcPr>
            <w:tcW w:w="685" w:type="dxa"/>
            <w:vAlign w:val="center"/>
          </w:tcPr>
          <w:p>
            <w:pPr>
              <w:spacing w:line="300" w:lineRule="exact"/>
              <w:jc w:val="center"/>
              <w:rPr>
                <w:rFonts w:ascii="仿宋_GB2312" w:hAnsi="宋体" w:cs="宋体"/>
                <w:bCs/>
                <w:color w:val="000000" w:themeColor="text1"/>
                <w:sz w:val="24"/>
              </w:rPr>
            </w:pPr>
            <w:r>
              <w:rPr>
                <w:rFonts w:ascii="仿宋_GB2312" w:hAnsi="宋体" w:cs="宋体"/>
                <w:bCs/>
                <w:color w:val="000000" w:themeColor="text1"/>
                <w:sz w:val="24"/>
              </w:rPr>
              <w:t>5</w:t>
            </w:r>
          </w:p>
        </w:tc>
        <w:tc>
          <w:tcPr>
            <w:tcW w:w="6075" w:type="dxa"/>
            <w:vAlign w:val="center"/>
          </w:tcPr>
          <w:p>
            <w:pPr>
              <w:spacing w:line="300" w:lineRule="exact"/>
              <w:rPr>
                <w:rFonts w:ascii="仿宋_GB2312" w:hAnsi="宋体" w:cs="宋体"/>
                <w:bCs/>
                <w:color w:val="000000" w:themeColor="text1"/>
                <w:sz w:val="24"/>
              </w:rPr>
            </w:pPr>
            <w:r>
              <w:rPr>
                <w:rFonts w:hint="eastAsia" w:ascii="仿宋_GB2312" w:hAnsi="宋体" w:cs="宋体"/>
                <w:bCs/>
                <w:color w:val="000000" w:themeColor="text1"/>
                <w:sz w:val="24"/>
              </w:rPr>
              <w:t>人员团队的合理性、全面性；管理人员及技术人员是否明确，是否具有相应专业证书和必要的专业知识。</w:t>
            </w:r>
            <w:r>
              <w:rPr>
                <w:rFonts w:hint="eastAsia" w:ascii="仿宋_GB2312" w:hAnsi="宋体" w:cs="宋体"/>
                <w:color w:val="000000" w:themeColor="text1"/>
                <w:sz w:val="24"/>
              </w:rPr>
              <w:t>优秀</w:t>
            </w:r>
            <w:r>
              <w:rPr>
                <w:rFonts w:ascii="仿宋_GB2312" w:hAnsi="宋体" w:cs="宋体"/>
                <w:color w:val="000000" w:themeColor="text1"/>
                <w:sz w:val="24"/>
              </w:rPr>
              <w:t>得</w:t>
            </w:r>
            <w:r>
              <w:rPr>
                <w:rFonts w:hint="eastAsia" w:ascii="仿宋_GB2312" w:hAnsi="宋体" w:cs="宋体"/>
                <w:color w:val="000000" w:themeColor="text1"/>
                <w:sz w:val="24"/>
              </w:rPr>
              <w:t>4～</w:t>
            </w:r>
            <w:r>
              <w:rPr>
                <w:rFonts w:ascii="仿宋_GB2312" w:hAnsi="宋体" w:cs="宋体"/>
                <w:color w:val="000000" w:themeColor="text1"/>
                <w:sz w:val="24"/>
              </w:rPr>
              <w:t>5</w:t>
            </w:r>
            <w:r>
              <w:rPr>
                <w:rFonts w:hint="eastAsia" w:ascii="仿宋_GB2312" w:hAnsi="宋体" w:cs="宋体"/>
                <w:color w:val="000000" w:themeColor="text1"/>
                <w:sz w:val="24"/>
              </w:rPr>
              <w:t>分，良好得</w:t>
            </w:r>
            <w:r>
              <w:rPr>
                <w:rFonts w:ascii="仿宋_GB2312" w:hAnsi="宋体" w:cs="宋体"/>
                <w:color w:val="000000" w:themeColor="text1"/>
                <w:sz w:val="24"/>
              </w:rPr>
              <w:t>2</w:t>
            </w:r>
            <w:r>
              <w:rPr>
                <w:rFonts w:hint="eastAsia" w:ascii="仿宋_GB2312" w:hAnsi="宋体" w:cs="宋体"/>
                <w:color w:val="000000" w:themeColor="text1"/>
                <w:sz w:val="24"/>
              </w:rPr>
              <w:t>～</w:t>
            </w:r>
            <w:r>
              <w:rPr>
                <w:rFonts w:ascii="仿宋_GB2312" w:hAnsi="宋体" w:cs="宋体"/>
                <w:color w:val="000000" w:themeColor="text1"/>
                <w:sz w:val="24"/>
              </w:rPr>
              <w:t>3</w:t>
            </w:r>
            <w:r>
              <w:rPr>
                <w:rFonts w:hint="eastAsia" w:ascii="仿宋_GB2312" w:hAnsi="宋体" w:cs="宋体"/>
                <w:color w:val="000000" w:themeColor="text1"/>
                <w:sz w:val="24"/>
              </w:rPr>
              <w:t>分，一般得</w:t>
            </w:r>
            <w:r>
              <w:rPr>
                <w:rFonts w:ascii="仿宋_GB2312" w:hAnsi="宋体" w:cs="宋体"/>
                <w:color w:val="000000" w:themeColor="text1"/>
                <w:sz w:val="24"/>
              </w:rPr>
              <w:t>0</w:t>
            </w:r>
            <w:r>
              <w:rPr>
                <w:rFonts w:hint="eastAsia" w:ascii="仿宋_GB2312" w:hAnsi="宋体" w:cs="宋体"/>
                <w:color w:val="000000" w:themeColor="text1"/>
                <w:sz w:val="24"/>
              </w:rPr>
              <w:t>～</w:t>
            </w:r>
            <w:r>
              <w:rPr>
                <w:rFonts w:ascii="仿宋_GB2312" w:hAnsi="宋体" w:cs="宋体"/>
                <w:color w:val="000000" w:themeColor="text1"/>
                <w:sz w:val="24"/>
              </w:rPr>
              <w:t>1</w:t>
            </w:r>
            <w:r>
              <w:rPr>
                <w:rFonts w:hint="eastAsia" w:ascii="仿宋_GB2312" w:hAnsi="宋体" w:cs="宋体"/>
                <w:color w:val="000000" w:themeColor="text1"/>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 w:hRule="atLeast"/>
          <w:jc w:val="center"/>
        </w:trPr>
        <w:tc>
          <w:tcPr>
            <w:tcW w:w="519" w:type="dxa"/>
            <w:vAlign w:val="center"/>
          </w:tcPr>
          <w:p>
            <w:pPr>
              <w:spacing w:line="300" w:lineRule="exact"/>
              <w:jc w:val="center"/>
              <w:rPr>
                <w:rFonts w:ascii="仿宋_GB2312" w:hAnsi="宋体" w:cs="宋体"/>
                <w:color w:val="000000" w:themeColor="text1"/>
                <w:sz w:val="24"/>
              </w:rPr>
            </w:pPr>
            <w:r>
              <w:rPr>
                <w:rFonts w:hint="eastAsia" w:ascii="仿宋_GB2312" w:hAnsi="宋体" w:cs="宋体"/>
                <w:color w:val="000000" w:themeColor="text1"/>
                <w:sz w:val="24"/>
              </w:rPr>
              <w:t>2</w:t>
            </w:r>
          </w:p>
        </w:tc>
        <w:tc>
          <w:tcPr>
            <w:tcW w:w="1670" w:type="dxa"/>
            <w:gridSpan w:val="2"/>
            <w:vAlign w:val="center"/>
          </w:tcPr>
          <w:p>
            <w:pPr>
              <w:spacing w:line="300" w:lineRule="exact"/>
              <w:jc w:val="center"/>
              <w:rPr>
                <w:rFonts w:ascii="仿宋_GB2312" w:hAnsi="宋体" w:cs="宋体"/>
                <w:color w:val="000000" w:themeColor="text1"/>
                <w:sz w:val="24"/>
              </w:rPr>
            </w:pPr>
            <w:r>
              <w:rPr>
                <w:rFonts w:hint="eastAsia" w:ascii="仿宋_GB2312" w:hAnsi="宋体" w:cs="宋体"/>
                <w:color w:val="000000" w:themeColor="text1"/>
                <w:sz w:val="24"/>
              </w:rPr>
              <w:t>对项目整体方案的理解和深化设计</w:t>
            </w:r>
          </w:p>
        </w:tc>
        <w:tc>
          <w:tcPr>
            <w:tcW w:w="685" w:type="dxa"/>
            <w:vAlign w:val="center"/>
          </w:tcPr>
          <w:p>
            <w:pPr>
              <w:spacing w:line="300" w:lineRule="exact"/>
              <w:jc w:val="center"/>
              <w:rPr>
                <w:rFonts w:ascii="仿宋_GB2312" w:hAnsi="宋体" w:cs="宋体"/>
                <w:color w:val="000000" w:themeColor="text1"/>
                <w:sz w:val="24"/>
              </w:rPr>
            </w:pPr>
            <w:r>
              <w:rPr>
                <w:rFonts w:ascii="仿宋_GB2312" w:hAnsi="宋体" w:cs="宋体"/>
                <w:color w:val="000000" w:themeColor="text1"/>
                <w:sz w:val="24"/>
              </w:rPr>
              <w:t>6</w:t>
            </w:r>
          </w:p>
        </w:tc>
        <w:tc>
          <w:tcPr>
            <w:tcW w:w="6075" w:type="dxa"/>
            <w:vAlign w:val="center"/>
          </w:tcPr>
          <w:p>
            <w:pPr>
              <w:spacing w:line="300" w:lineRule="exact"/>
              <w:rPr>
                <w:rFonts w:ascii="仿宋_GB2312"/>
                <w:color w:val="000000" w:themeColor="text1"/>
                <w:sz w:val="24"/>
              </w:rPr>
            </w:pPr>
            <w:r>
              <w:rPr>
                <w:rFonts w:hint="eastAsia" w:ascii="仿宋_GB2312" w:hAnsi="宋体" w:cs="宋体"/>
                <w:color w:val="000000" w:themeColor="text1"/>
                <w:sz w:val="24"/>
              </w:rPr>
              <w:t>投标人对项目整体方案和系统建设目标的理解，并分析项目建设的重点与难点，在此基础上，提出项目建设的技术路线。根据项目整体方案的理解和提供深化设计方案，评价其科学性、先进性、可行性和扩展性等，优秀</w:t>
            </w:r>
            <w:r>
              <w:rPr>
                <w:rFonts w:ascii="仿宋_GB2312" w:hAnsi="宋体" w:cs="宋体"/>
                <w:color w:val="000000" w:themeColor="text1"/>
                <w:sz w:val="24"/>
              </w:rPr>
              <w:t>得</w:t>
            </w:r>
            <w:r>
              <w:rPr>
                <w:rFonts w:hint="eastAsia" w:ascii="仿宋_GB2312" w:hAnsi="宋体" w:cs="宋体"/>
                <w:color w:val="000000" w:themeColor="text1"/>
                <w:sz w:val="24"/>
              </w:rPr>
              <w:t>4～</w:t>
            </w:r>
            <w:r>
              <w:rPr>
                <w:rFonts w:ascii="仿宋_GB2312" w:hAnsi="宋体" w:cs="宋体"/>
                <w:color w:val="000000" w:themeColor="text1"/>
                <w:sz w:val="24"/>
              </w:rPr>
              <w:t>6</w:t>
            </w:r>
            <w:r>
              <w:rPr>
                <w:rFonts w:hint="eastAsia" w:ascii="仿宋_GB2312" w:hAnsi="宋体" w:cs="宋体"/>
                <w:color w:val="000000" w:themeColor="text1"/>
                <w:sz w:val="24"/>
              </w:rPr>
              <w:t>分，良好得</w:t>
            </w:r>
            <w:r>
              <w:rPr>
                <w:rFonts w:ascii="仿宋_GB2312" w:hAnsi="宋体" w:cs="宋体"/>
                <w:color w:val="000000" w:themeColor="text1"/>
                <w:sz w:val="24"/>
              </w:rPr>
              <w:t>2</w:t>
            </w:r>
            <w:r>
              <w:rPr>
                <w:rFonts w:hint="eastAsia" w:ascii="仿宋_GB2312" w:hAnsi="宋体" w:cs="宋体"/>
                <w:color w:val="000000" w:themeColor="text1"/>
                <w:sz w:val="24"/>
              </w:rPr>
              <w:t>～</w:t>
            </w:r>
            <w:r>
              <w:rPr>
                <w:rFonts w:ascii="仿宋_GB2312" w:hAnsi="宋体" w:cs="宋体"/>
                <w:color w:val="000000" w:themeColor="text1"/>
                <w:sz w:val="24"/>
              </w:rPr>
              <w:t>3</w:t>
            </w:r>
            <w:r>
              <w:rPr>
                <w:rFonts w:hint="eastAsia" w:ascii="仿宋_GB2312" w:hAnsi="宋体" w:cs="宋体"/>
                <w:color w:val="000000" w:themeColor="text1"/>
                <w:sz w:val="24"/>
              </w:rPr>
              <w:t>分，一般得</w:t>
            </w:r>
            <w:r>
              <w:rPr>
                <w:rFonts w:ascii="仿宋_GB2312" w:hAnsi="宋体" w:cs="宋体"/>
                <w:color w:val="000000" w:themeColor="text1"/>
                <w:sz w:val="24"/>
              </w:rPr>
              <w:t>0</w:t>
            </w:r>
            <w:r>
              <w:rPr>
                <w:rFonts w:hint="eastAsia" w:ascii="仿宋_GB2312" w:hAnsi="宋体" w:cs="宋体"/>
                <w:color w:val="000000" w:themeColor="text1"/>
                <w:sz w:val="24"/>
              </w:rPr>
              <w:t>～</w:t>
            </w:r>
            <w:r>
              <w:rPr>
                <w:rFonts w:ascii="仿宋_GB2312" w:hAnsi="宋体" w:cs="宋体"/>
                <w:color w:val="000000" w:themeColor="text1"/>
                <w:sz w:val="24"/>
              </w:rPr>
              <w:t>1</w:t>
            </w:r>
            <w:r>
              <w:rPr>
                <w:rFonts w:hint="eastAsia" w:ascii="仿宋_GB2312" w:hAnsi="宋体" w:cs="宋体"/>
                <w:color w:val="000000" w:themeColor="text1"/>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 w:hRule="atLeast"/>
          <w:jc w:val="center"/>
        </w:trPr>
        <w:tc>
          <w:tcPr>
            <w:tcW w:w="519" w:type="dxa"/>
            <w:vAlign w:val="center"/>
          </w:tcPr>
          <w:p>
            <w:pPr>
              <w:spacing w:line="300" w:lineRule="exact"/>
              <w:jc w:val="center"/>
              <w:rPr>
                <w:rFonts w:ascii="仿宋_GB2312" w:hAnsi="宋体" w:cs="宋体"/>
                <w:color w:val="000000" w:themeColor="text1"/>
                <w:sz w:val="24"/>
              </w:rPr>
            </w:pPr>
            <w:r>
              <w:rPr>
                <w:rFonts w:hint="eastAsia" w:ascii="仿宋_GB2312" w:hAnsi="宋体" w:cs="宋体"/>
                <w:color w:val="000000" w:themeColor="text1"/>
                <w:sz w:val="24"/>
              </w:rPr>
              <w:t>3</w:t>
            </w:r>
          </w:p>
        </w:tc>
        <w:tc>
          <w:tcPr>
            <w:tcW w:w="1670" w:type="dxa"/>
            <w:gridSpan w:val="2"/>
            <w:vAlign w:val="center"/>
          </w:tcPr>
          <w:p>
            <w:pPr>
              <w:spacing w:line="300" w:lineRule="exact"/>
              <w:jc w:val="center"/>
              <w:rPr>
                <w:rFonts w:ascii="仿宋_GB2312" w:hAnsi="宋体" w:cs="宋体"/>
                <w:color w:val="000000" w:themeColor="text1"/>
                <w:sz w:val="24"/>
              </w:rPr>
            </w:pPr>
            <w:r>
              <w:rPr>
                <w:rFonts w:hint="eastAsia" w:ascii="仿宋_GB2312" w:hAnsi="宋体" w:cs="宋体"/>
                <w:color w:val="000000" w:themeColor="text1"/>
                <w:sz w:val="24"/>
              </w:rPr>
              <w:t>案例</w:t>
            </w:r>
          </w:p>
        </w:tc>
        <w:tc>
          <w:tcPr>
            <w:tcW w:w="685" w:type="dxa"/>
            <w:vAlign w:val="center"/>
          </w:tcPr>
          <w:p>
            <w:pPr>
              <w:spacing w:line="300" w:lineRule="exact"/>
              <w:jc w:val="center"/>
              <w:rPr>
                <w:rFonts w:ascii="仿宋_GB2312" w:hAnsi="宋体" w:cs="宋体"/>
                <w:color w:val="000000" w:themeColor="text1"/>
                <w:sz w:val="24"/>
              </w:rPr>
            </w:pPr>
            <w:r>
              <w:rPr>
                <w:rFonts w:ascii="仿宋_GB2312" w:hAnsi="宋体" w:cs="宋体"/>
                <w:color w:val="000000" w:themeColor="text1"/>
                <w:sz w:val="24"/>
              </w:rPr>
              <w:t>2</w:t>
            </w:r>
          </w:p>
        </w:tc>
        <w:tc>
          <w:tcPr>
            <w:tcW w:w="6075" w:type="dxa"/>
            <w:vAlign w:val="center"/>
          </w:tcPr>
          <w:p>
            <w:pPr>
              <w:rPr>
                <w:rFonts w:ascii="宋体" w:hAnsi="宋体" w:cs="宋体"/>
                <w:color w:val="000000" w:themeColor="text1"/>
                <w:sz w:val="24"/>
              </w:rPr>
            </w:pPr>
            <w:r>
              <w:rPr>
                <w:rFonts w:hint="eastAsia" w:ascii="仿宋_GB2312" w:hAnsi="宋体" w:cs="宋体"/>
                <w:color w:val="000000" w:themeColor="text1"/>
                <w:sz w:val="24"/>
              </w:rPr>
              <w:t>投标人提供近五</w:t>
            </w:r>
            <w:r>
              <w:rPr>
                <w:rFonts w:ascii="仿宋_GB2312" w:hAnsi="宋体" w:cs="宋体"/>
                <w:color w:val="000000" w:themeColor="text1"/>
                <w:sz w:val="24"/>
              </w:rPr>
              <w:t>年完成的同类项目案例，</w:t>
            </w:r>
            <w:r>
              <w:rPr>
                <w:rFonts w:hint="eastAsia" w:ascii="仿宋_GB2312" w:hAnsi="宋体" w:cs="宋体"/>
                <w:color w:val="000000" w:themeColor="text1"/>
                <w:sz w:val="24"/>
              </w:rPr>
              <w:t>每提供</w:t>
            </w:r>
            <w:r>
              <w:rPr>
                <w:rFonts w:ascii="仿宋_GB2312" w:hAnsi="宋体" w:cs="宋体"/>
                <w:color w:val="000000" w:themeColor="text1"/>
                <w:sz w:val="24"/>
              </w:rPr>
              <w:t>一个得</w:t>
            </w:r>
            <w:r>
              <w:rPr>
                <w:rFonts w:hint="eastAsia" w:ascii="仿宋_GB2312" w:hAnsi="宋体" w:cs="宋体"/>
                <w:color w:val="000000" w:themeColor="text1"/>
                <w:sz w:val="24"/>
              </w:rPr>
              <w:t>0.5分</w:t>
            </w:r>
            <w:r>
              <w:rPr>
                <w:rFonts w:ascii="仿宋_GB2312" w:hAnsi="宋体" w:cs="宋体"/>
                <w:color w:val="000000" w:themeColor="text1"/>
                <w:sz w:val="24"/>
              </w:rPr>
              <w:t>，最高得</w:t>
            </w:r>
            <w:r>
              <w:rPr>
                <w:rFonts w:hint="eastAsia" w:ascii="仿宋_GB2312" w:hAnsi="宋体" w:cs="宋体"/>
                <w:color w:val="000000" w:themeColor="text1"/>
                <w:sz w:val="24"/>
              </w:rPr>
              <w:t>2分</w:t>
            </w:r>
            <w:r>
              <w:rPr>
                <w:rFonts w:ascii="仿宋_GB2312" w:hAnsi="宋体" w:cs="宋体"/>
                <w:color w:val="000000" w:themeColor="text1"/>
                <w:sz w:val="24"/>
              </w:rPr>
              <w:t>，须提供相关的合同</w:t>
            </w:r>
            <w:r>
              <w:rPr>
                <w:rFonts w:hint="eastAsia" w:ascii="仿宋_GB2312" w:hAnsi="宋体" w:cs="宋体"/>
                <w:color w:val="000000" w:themeColor="text1"/>
                <w:sz w:val="24"/>
              </w:rPr>
              <w:t>及</w:t>
            </w:r>
            <w:r>
              <w:rPr>
                <w:rFonts w:ascii="仿宋_GB2312" w:hAnsi="宋体" w:cs="宋体"/>
                <w:color w:val="000000" w:themeColor="text1"/>
                <w:sz w:val="24"/>
              </w:rPr>
              <w:t>验收报告证明材料。</w:t>
            </w:r>
            <w:r>
              <w:rPr>
                <w:rFonts w:hint="eastAsia" w:ascii="仿宋_GB2312" w:hAnsi="宋体" w:cs="宋体"/>
                <w:color w:val="000000" w:themeColor="text1"/>
                <w:sz w:val="24"/>
              </w:rPr>
              <w:t>未提供材料不得分。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071" w:hRule="atLeast"/>
          <w:jc w:val="center"/>
        </w:trPr>
        <w:tc>
          <w:tcPr>
            <w:tcW w:w="519" w:type="dxa"/>
            <w:vMerge w:val="restart"/>
            <w:vAlign w:val="center"/>
          </w:tcPr>
          <w:p>
            <w:pPr>
              <w:spacing w:line="300" w:lineRule="exact"/>
              <w:jc w:val="center"/>
              <w:rPr>
                <w:rFonts w:ascii="仿宋_GB2312" w:hAnsi="宋体" w:cs="宋体"/>
                <w:color w:val="000000" w:themeColor="text1"/>
                <w:sz w:val="24"/>
              </w:rPr>
            </w:pPr>
            <w:r>
              <w:rPr>
                <w:rFonts w:hint="eastAsia" w:ascii="仿宋_GB2312" w:hAnsi="宋体" w:cs="宋体"/>
                <w:color w:val="000000" w:themeColor="text1"/>
                <w:sz w:val="24"/>
              </w:rPr>
              <w:t>4</w:t>
            </w:r>
          </w:p>
        </w:tc>
        <w:tc>
          <w:tcPr>
            <w:tcW w:w="1670" w:type="dxa"/>
            <w:gridSpan w:val="2"/>
            <w:vMerge w:val="restart"/>
            <w:vAlign w:val="center"/>
          </w:tcPr>
          <w:p>
            <w:pPr>
              <w:spacing w:line="300" w:lineRule="exact"/>
              <w:jc w:val="center"/>
              <w:rPr>
                <w:rFonts w:ascii="仿宋_GB2312" w:hAnsi="宋体" w:cs="宋体"/>
                <w:color w:val="000000" w:themeColor="text1"/>
                <w:sz w:val="24"/>
              </w:rPr>
            </w:pPr>
            <w:r>
              <w:rPr>
                <w:rFonts w:hint="eastAsia" w:ascii="仿宋_GB2312" w:hAnsi="宋体" w:cs="宋体"/>
                <w:color w:val="000000" w:themeColor="text1"/>
                <w:sz w:val="24"/>
              </w:rPr>
              <w:t>现场讲解：讲解时间不超过15分钟，不含专家提问时间，人员仅限2名进入评审区，且为项目实施的总负责人（主、副），演讲人员仅限1名，中途不得更换演讲人员，非总负责人讲解的此项不得分。</w:t>
            </w:r>
          </w:p>
        </w:tc>
        <w:tc>
          <w:tcPr>
            <w:tcW w:w="685" w:type="dxa"/>
            <w:vAlign w:val="center"/>
          </w:tcPr>
          <w:p>
            <w:pPr>
              <w:spacing w:line="300" w:lineRule="exact"/>
              <w:jc w:val="center"/>
              <w:rPr>
                <w:rFonts w:ascii="仿宋_GB2312" w:hAnsi="宋体" w:cs="宋体"/>
                <w:color w:val="000000" w:themeColor="text1"/>
                <w:sz w:val="24"/>
              </w:rPr>
            </w:pPr>
            <w:r>
              <w:rPr>
                <w:rFonts w:ascii="仿宋_GB2312" w:hAnsi="宋体" w:cs="宋体"/>
                <w:color w:val="000000" w:themeColor="text1"/>
                <w:sz w:val="24"/>
              </w:rPr>
              <w:t>6</w:t>
            </w:r>
          </w:p>
        </w:tc>
        <w:tc>
          <w:tcPr>
            <w:tcW w:w="6075" w:type="dxa"/>
            <w:vAlign w:val="center"/>
          </w:tcPr>
          <w:p>
            <w:pPr>
              <w:spacing w:line="300" w:lineRule="exact"/>
              <w:rPr>
                <w:rFonts w:ascii="仿宋_GB2312" w:hAnsi="宋体" w:cs="宋体"/>
                <w:color w:val="000000" w:themeColor="text1"/>
                <w:sz w:val="24"/>
              </w:rPr>
            </w:pPr>
            <w:r>
              <w:rPr>
                <w:rFonts w:hint="eastAsia" w:ascii="仿宋_GB2312" w:hAnsi="宋体" w:cs="宋体"/>
                <w:color w:val="000000" w:themeColor="text1"/>
                <w:sz w:val="24"/>
              </w:rPr>
              <w:t>本项目熟悉程度:</w:t>
            </w:r>
          </w:p>
          <w:p>
            <w:pPr>
              <w:spacing w:line="300" w:lineRule="exact"/>
              <w:rPr>
                <w:rFonts w:ascii="仿宋_GB2312" w:hAnsi="宋体" w:cs="宋体"/>
                <w:color w:val="000000" w:themeColor="text1"/>
                <w:sz w:val="24"/>
              </w:rPr>
            </w:pPr>
            <w:r>
              <w:rPr>
                <w:rFonts w:hint="eastAsia" w:ascii="仿宋_GB2312" w:hAnsi="宋体" w:cs="宋体"/>
                <w:color w:val="000000" w:themeColor="text1"/>
                <w:sz w:val="24"/>
              </w:rPr>
              <w:t>投标人是否熟悉相关业务，对本项目整体建设的理解情况和所采取的措施情况；对系统平台的功能要求、指标项以及相应服务的考虑情况。优秀</w:t>
            </w:r>
            <w:r>
              <w:rPr>
                <w:rFonts w:ascii="仿宋_GB2312" w:hAnsi="宋体" w:cs="宋体"/>
                <w:color w:val="000000" w:themeColor="text1"/>
                <w:sz w:val="24"/>
              </w:rPr>
              <w:t>得5</w:t>
            </w:r>
            <w:r>
              <w:rPr>
                <w:rFonts w:hint="eastAsia" w:ascii="仿宋_GB2312" w:hAnsi="宋体" w:cs="宋体"/>
                <w:color w:val="000000" w:themeColor="text1"/>
                <w:sz w:val="24"/>
              </w:rPr>
              <w:t>～</w:t>
            </w:r>
            <w:r>
              <w:rPr>
                <w:rFonts w:ascii="仿宋_GB2312" w:hAnsi="宋体" w:cs="宋体"/>
                <w:color w:val="000000" w:themeColor="text1"/>
                <w:sz w:val="24"/>
              </w:rPr>
              <w:t>6</w:t>
            </w:r>
            <w:r>
              <w:rPr>
                <w:rFonts w:hint="eastAsia" w:ascii="仿宋_GB2312" w:hAnsi="宋体" w:cs="宋体"/>
                <w:color w:val="000000" w:themeColor="text1"/>
                <w:sz w:val="24"/>
              </w:rPr>
              <w:t>分，良好得</w:t>
            </w:r>
            <w:r>
              <w:rPr>
                <w:rFonts w:ascii="仿宋_GB2312" w:hAnsi="宋体" w:cs="宋体"/>
                <w:color w:val="000000" w:themeColor="text1"/>
                <w:sz w:val="24"/>
              </w:rPr>
              <w:t>2</w:t>
            </w:r>
            <w:r>
              <w:rPr>
                <w:rFonts w:hint="eastAsia" w:ascii="仿宋_GB2312" w:hAnsi="宋体" w:cs="宋体"/>
                <w:color w:val="000000" w:themeColor="text1"/>
                <w:sz w:val="24"/>
              </w:rPr>
              <w:t>～</w:t>
            </w:r>
            <w:r>
              <w:rPr>
                <w:rFonts w:ascii="仿宋_GB2312" w:hAnsi="宋体" w:cs="宋体"/>
                <w:color w:val="000000" w:themeColor="text1"/>
                <w:sz w:val="24"/>
              </w:rPr>
              <w:t>3</w:t>
            </w:r>
            <w:r>
              <w:rPr>
                <w:rFonts w:hint="eastAsia" w:ascii="仿宋_GB2312" w:hAnsi="宋体" w:cs="宋体"/>
                <w:color w:val="000000" w:themeColor="text1"/>
                <w:sz w:val="24"/>
              </w:rPr>
              <w:t>分，一般得</w:t>
            </w:r>
            <w:r>
              <w:rPr>
                <w:rFonts w:ascii="仿宋_GB2312" w:hAnsi="宋体" w:cs="宋体"/>
                <w:color w:val="000000" w:themeColor="text1"/>
                <w:sz w:val="24"/>
              </w:rPr>
              <w:t>0</w:t>
            </w:r>
            <w:r>
              <w:rPr>
                <w:rFonts w:hint="eastAsia" w:ascii="仿宋_GB2312" w:hAnsi="宋体" w:cs="宋体"/>
                <w:color w:val="000000" w:themeColor="text1"/>
                <w:sz w:val="24"/>
              </w:rPr>
              <w:t>～</w:t>
            </w:r>
            <w:r>
              <w:rPr>
                <w:rFonts w:ascii="仿宋_GB2312" w:hAnsi="宋体" w:cs="宋体"/>
                <w:color w:val="000000" w:themeColor="text1"/>
                <w:sz w:val="24"/>
              </w:rPr>
              <w:t>1</w:t>
            </w:r>
            <w:r>
              <w:rPr>
                <w:rFonts w:hint="eastAsia" w:ascii="仿宋_GB2312" w:hAnsi="宋体" w:cs="宋体"/>
                <w:color w:val="000000" w:themeColor="text1"/>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440" w:hRule="atLeast"/>
          <w:jc w:val="center"/>
        </w:trPr>
        <w:tc>
          <w:tcPr>
            <w:tcW w:w="519" w:type="dxa"/>
            <w:vMerge w:val="continue"/>
            <w:vAlign w:val="center"/>
          </w:tcPr>
          <w:p>
            <w:pPr>
              <w:spacing w:line="300" w:lineRule="exact"/>
              <w:jc w:val="center"/>
              <w:rPr>
                <w:rFonts w:ascii="仿宋_GB2312" w:hAnsi="宋体" w:cs="宋体"/>
                <w:color w:val="000000" w:themeColor="text1"/>
                <w:sz w:val="24"/>
              </w:rPr>
            </w:pPr>
          </w:p>
        </w:tc>
        <w:tc>
          <w:tcPr>
            <w:tcW w:w="1670" w:type="dxa"/>
            <w:gridSpan w:val="2"/>
            <w:vMerge w:val="continue"/>
            <w:vAlign w:val="center"/>
          </w:tcPr>
          <w:p>
            <w:pPr>
              <w:spacing w:line="300" w:lineRule="exact"/>
              <w:jc w:val="center"/>
              <w:rPr>
                <w:rFonts w:ascii="仿宋_GB2312" w:hAnsi="宋体" w:cs="宋体"/>
                <w:color w:val="000000" w:themeColor="text1"/>
                <w:sz w:val="24"/>
              </w:rPr>
            </w:pPr>
          </w:p>
        </w:tc>
        <w:tc>
          <w:tcPr>
            <w:tcW w:w="685" w:type="dxa"/>
            <w:vAlign w:val="center"/>
          </w:tcPr>
          <w:p>
            <w:pPr>
              <w:spacing w:line="300" w:lineRule="exact"/>
              <w:jc w:val="center"/>
              <w:rPr>
                <w:rFonts w:ascii="仿宋_GB2312" w:hAnsi="宋体" w:cs="宋体"/>
                <w:color w:val="000000" w:themeColor="text1"/>
                <w:sz w:val="24"/>
              </w:rPr>
            </w:pPr>
            <w:r>
              <w:rPr>
                <w:rFonts w:hint="eastAsia" w:ascii="仿宋_GB2312" w:hAnsi="宋体" w:cs="宋体"/>
                <w:color w:val="000000" w:themeColor="text1"/>
                <w:sz w:val="24"/>
              </w:rPr>
              <w:t xml:space="preserve">7 </w:t>
            </w:r>
          </w:p>
        </w:tc>
        <w:tc>
          <w:tcPr>
            <w:tcW w:w="6075" w:type="dxa"/>
            <w:vAlign w:val="center"/>
          </w:tcPr>
          <w:p>
            <w:pPr>
              <w:spacing w:line="300" w:lineRule="exact"/>
              <w:rPr>
                <w:rFonts w:ascii="仿宋_GB2312" w:hAnsi="宋体" w:cs="宋体"/>
                <w:color w:val="000000" w:themeColor="text1"/>
                <w:sz w:val="24"/>
              </w:rPr>
            </w:pPr>
            <w:r>
              <w:rPr>
                <w:rFonts w:hint="eastAsia" w:ascii="仿宋_GB2312" w:hAnsi="宋体" w:cs="宋体"/>
                <w:color w:val="000000" w:themeColor="text1"/>
                <w:sz w:val="24"/>
              </w:rPr>
              <w:t>技术先进性、合理性:</w:t>
            </w:r>
          </w:p>
          <w:p>
            <w:pPr>
              <w:spacing w:line="300" w:lineRule="exact"/>
              <w:rPr>
                <w:rFonts w:ascii="仿宋_GB2312" w:hAnsi="宋体" w:cs="宋体"/>
                <w:color w:val="000000" w:themeColor="text1"/>
                <w:sz w:val="24"/>
              </w:rPr>
            </w:pPr>
            <w:r>
              <w:rPr>
                <w:rFonts w:hint="eastAsia" w:ascii="仿宋_GB2312" w:hAnsi="宋体" w:cs="宋体"/>
                <w:color w:val="000000" w:themeColor="text1"/>
                <w:sz w:val="24"/>
              </w:rPr>
              <w:t>系统现场方案讲解情况，包括对体系架构、功能模块、实现思路和关键技术等；在解决系统关键问题，包括人脸、数据存储、数据对接、日常运营服务、可持续性维护服务、应急响应与恢复服务等内容，是否体现前瞻性，合理性和可行性等。优秀</w:t>
            </w:r>
            <w:r>
              <w:rPr>
                <w:rFonts w:ascii="仿宋_GB2312" w:hAnsi="宋体" w:cs="宋体"/>
                <w:color w:val="000000" w:themeColor="text1"/>
                <w:sz w:val="24"/>
              </w:rPr>
              <w:t>得6</w:t>
            </w:r>
            <w:r>
              <w:rPr>
                <w:rFonts w:hint="eastAsia" w:ascii="仿宋_GB2312" w:hAnsi="宋体" w:cs="宋体"/>
                <w:color w:val="000000" w:themeColor="text1"/>
                <w:sz w:val="24"/>
              </w:rPr>
              <w:t>～</w:t>
            </w:r>
            <w:r>
              <w:rPr>
                <w:rFonts w:ascii="仿宋_GB2312" w:hAnsi="宋体" w:cs="宋体"/>
                <w:color w:val="000000" w:themeColor="text1"/>
                <w:sz w:val="24"/>
              </w:rPr>
              <w:t>7</w:t>
            </w:r>
            <w:r>
              <w:rPr>
                <w:rFonts w:hint="eastAsia" w:ascii="仿宋_GB2312" w:hAnsi="宋体" w:cs="宋体"/>
                <w:color w:val="000000" w:themeColor="text1"/>
                <w:sz w:val="24"/>
              </w:rPr>
              <w:t>分，良好得</w:t>
            </w:r>
            <w:r>
              <w:rPr>
                <w:rFonts w:ascii="仿宋_GB2312" w:hAnsi="宋体" w:cs="宋体"/>
                <w:color w:val="000000" w:themeColor="text1"/>
                <w:sz w:val="24"/>
              </w:rPr>
              <w:t>2</w:t>
            </w:r>
            <w:r>
              <w:rPr>
                <w:rFonts w:hint="eastAsia" w:ascii="仿宋_GB2312" w:hAnsi="宋体" w:cs="宋体"/>
                <w:color w:val="000000" w:themeColor="text1"/>
                <w:sz w:val="24"/>
              </w:rPr>
              <w:t>～</w:t>
            </w:r>
            <w:r>
              <w:rPr>
                <w:rFonts w:ascii="仿宋_GB2312" w:hAnsi="宋体" w:cs="宋体"/>
                <w:color w:val="000000" w:themeColor="text1"/>
                <w:sz w:val="24"/>
              </w:rPr>
              <w:t>3</w:t>
            </w:r>
            <w:r>
              <w:rPr>
                <w:rFonts w:hint="eastAsia" w:ascii="仿宋_GB2312" w:hAnsi="宋体" w:cs="宋体"/>
                <w:color w:val="000000" w:themeColor="text1"/>
                <w:sz w:val="24"/>
              </w:rPr>
              <w:t>分，一般得</w:t>
            </w:r>
            <w:r>
              <w:rPr>
                <w:rFonts w:ascii="仿宋_GB2312" w:hAnsi="宋体" w:cs="宋体"/>
                <w:color w:val="000000" w:themeColor="text1"/>
                <w:sz w:val="24"/>
              </w:rPr>
              <w:t>0</w:t>
            </w:r>
            <w:r>
              <w:rPr>
                <w:rFonts w:hint="eastAsia" w:ascii="仿宋_GB2312" w:hAnsi="宋体" w:cs="宋体"/>
                <w:color w:val="000000" w:themeColor="text1"/>
                <w:sz w:val="24"/>
              </w:rPr>
              <w:t>～</w:t>
            </w:r>
            <w:r>
              <w:rPr>
                <w:rFonts w:ascii="仿宋_GB2312" w:hAnsi="宋体" w:cs="宋体"/>
                <w:color w:val="000000" w:themeColor="text1"/>
                <w:sz w:val="24"/>
              </w:rPr>
              <w:t>1</w:t>
            </w:r>
            <w:r>
              <w:rPr>
                <w:rFonts w:hint="eastAsia" w:ascii="仿宋_GB2312" w:hAnsi="宋体" w:cs="宋体"/>
                <w:color w:val="000000" w:themeColor="text1"/>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 w:hRule="atLeast"/>
          <w:jc w:val="center"/>
        </w:trPr>
        <w:tc>
          <w:tcPr>
            <w:tcW w:w="519" w:type="dxa"/>
            <w:vMerge w:val="restart"/>
            <w:vAlign w:val="center"/>
          </w:tcPr>
          <w:p>
            <w:pPr>
              <w:spacing w:line="300" w:lineRule="exact"/>
              <w:jc w:val="center"/>
              <w:rPr>
                <w:rFonts w:ascii="仿宋_GB2312" w:hAnsi="宋体" w:cs="宋体"/>
                <w:color w:val="000000" w:themeColor="text1"/>
                <w:sz w:val="24"/>
              </w:rPr>
            </w:pPr>
            <w:r>
              <w:rPr>
                <w:rFonts w:hint="eastAsia" w:ascii="仿宋_GB2312" w:hAnsi="宋体" w:cs="宋体"/>
                <w:color w:val="000000" w:themeColor="text1"/>
                <w:sz w:val="24"/>
              </w:rPr>
              <w:t>5</w:t>
            </w:r>
          </w:p>
        </w:tc>
        <w:tc>
          <w:tcPr>
            <w:tcW w:w="851" w:type="dxa"/>
            <w:vMerge w:val="restart"/>
            <w:vAlign w:val="center"/>
          </w:tcPr>
          <w:p>
            <w:pPr>
              <w:spacing w:line="300" w:lineRule="exact"/>
              <w:jc w:val="center"/>
              <w:rPr>
                <w:rFonts w:ascii="仿宋_GB2312" w:hAnsi="宋体" w:cs="宋体"/>
                <w:color w:val="000000" w:themeColor="text1"/>
                <w:sz w:val="24"/>
              </w:rPr>
            </w:pPr>
            <w:r>
              <w:rPr>
                <w:rFonts w:hint="eastAsia" w:ascii="仿宋_GB2312" w:hAnsi="宋体" w:cs="宋体"/>
                <w:color w:val="000000" w:themeColor="text1"/>
                <w:sz w:val="24"/>
              </w:rPr>
              <w:t>项目实施集成</w:t>
            </w:r>
          </w:p>
        </w:tc>
        <w:tc>
          <w:tcPr>
            <w:tcW w:w="819" w:type="dxa"/>
            <w:vAlign w:val="center"/>
          </w:tcPr>
          <w:p>
            <w:pPr>
              <w:spacing w:line="300" w:lineRule="exact"/>
              <w:rPr>
                <w:rFonts w:ascii="仿宋_GB2312" w:hAnsi="宋体"/>
                <w:color w:val="000000" w:themeColor="text1"/>
                <w:sz w:val="24"/>
              </w:rPr>
            </w:pPr>
            <w:r>
              <w:rPr>
                <w:rFonts w:hint="eastAsia" w:ascii="仿宋_GB2312" w:hAnsi="宋体" w:cs="宋体"/>
                <w:color w:val="000000" w:themeColor="text1"/>
                <w:sz w:val="24"/>
              </w:rPr>
              <w:t>保障措施及进度安排</w:t>
            </w:r>
          </w:p>
        </w:tc>
        <w:tc>
          <w:tcPr>
            <w:tcW w:w="685" w:type="dxa"/>
            <w:vAlign w:val="center"/>
          </w:tcPr>
          <w:p>
            <w:pPr>
              <w:spacing w:line="300" w:lineRule="exact"/>
              <w:jc w:val="center"/>
              <w:rPr>
                <w:rFonts w:ascii="仿宋_GB2312" w:hAnsi="宋体" w:cs="宋体"/>
                <w:color w:val="000000" w:themeColor="text1"/>
                <w:sz w:val="24"/>
              </w:rPr>
            </w:pPr>
            <w:r>
              <w:rPr>
                <w:rFonts w:hint="eastAsia" w:ascii="仿宋_GB2312" w:hAnsi="宋体" w:cs="宋体"/>
                <w:color w:val="000000" w:themeColor="text1"/>
                <w:sz w:val="24"/>
              </w:rPr>
              <w:t>2</w:t>
            </w:r>
          </w:p>
        </w:tc>
        <w:tc>
          <w:tcPr>
            <w:tcW w:w="6075" w:type="dxa"/>
            <w:vAlign w:val="center"/>
          </w:tcPr>
          <w:p>
            <w:pPr>
              <w:spacing w:line="300" w:lineRule="exact"/>
              <w:rPr>
                <w:rFonts w:ascii="仿宋_GB2312" w:hAnsi="宋体" w:cs="宋体"/>
                <w:color w:val="000000" w:themeColor="text1"/>
                <w:sz w:val="24"/>
              </w:rPr>
            </w:pPr>
            <w:r>
              <w:rPr>
                <w:rFonts w:hint="eastAsia" w:ascii="仿宋_GB2312" w:hAnsi="宋体" w:cs="宋体"/>
                <w:color w:val="000000" w:themeColor="text1"/>
                <w:sz w:val="24"/>
              </w:rPr>
              <w:t>项目采购的保障措施、组织方法和实施进度计划的符合性、可行性与合理性评价。（0～2分）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 w:hRule="atLeast"/>
          <w:jc w:val="center"/>
        </w:trPr>
        <w:tc>
          <w:tcPr>
            <w:tcW w:w="519" w:type="dxa"/>
            <w:vMerge w:val="continue"/>
            <w:vAlign w:val="center"/>
          </w:tcPr>
          <w:p>
            <w:pPr>
              <w:spacing w:line="300" w:lineRule="exact"/>
              <w:rPr>
                <w:rFonts w:ascii="仿宋_GB2312" w:hAnsi="宋体" w:cs="宋体"/>
                <w:color w:val="000000" w:themeColor="text1"/>
                <w:sz w:val="24"/>
              </w:rPr>
            </w:pPr>
          </w:p>
        </w:tc>
        <w:tc>
          <w:tcPr>
            <w:tcW w:w="851" w:type="dxa"/>
            <w:vMerge w:val="continue"/>
            <w:vAlign w:val="center"/>
          </w:tcPr>
          <w:p>
            <w:pPr>
              <w:spacing w:line="300" w:lineRule="exact"/>
              <w:rPr>
                <w:rFonts w:ascii="仿宋_GB2312" w:hAnsi="宋体" w:cs="宋体"/>
                <w:color w:val="000000" w:themeColor="text1"/>
                <w:sz w:val="24"/>
              </w:rPr>
            </w:pPr>
          </w:p>
        </w:tc>
        <w:tc>
          <w:tcPr>
            <w:tcW w:w="819" w:type="dxa"/>
            <w:vMerge w:val="restart"/>
            <w:vAlign w:val="center"/>
          </w:tcPr>
          <w:p>
            <w:pPr>
              <w:spacing w:line="300" w:lineRule="exact"/>
              <w:rPr>
                <w:rFonts w:ascii="仿宋_GB2312" w:hAnsi="宋体" w:cs="宋体"/>
                <w:color w:val="000000" w:themeColor="text1"/>
                <w:sz w:val="24"/>
              </w:rPr>
            </w:pPr>
            <w:r>
              <w:rPr>
                <w:rFonts w:hint="eastAsia" w:ascii="仿宋_GB2312" w:hAnsi="宋体" w:cs="宋体"/>
                <w:color w:val="000000" w:themeColor="text1"/>
                <w:sz w:val="24"/>
              </w:rPr>
              <w:t>项目组织实施能力</w:t>
            </w:r>
          </w:p>
        </w:tc>
        <w:tc>
          <w:tcPr>
            <w:tcW w:w="685" w:type="dxa"/>
            <w:vAlign w:val="center"/>
          </w:tcPr>
          <w:p>
            <w:pPr>
              <w:spacing w:line="300" w:lineRule="exact"/>
              <w:jc w:val="center"/>
              <w:rPr>
                <w:rFonts w:ascii="仿宋_GB2312" w:hAnsi="宋体" w:cs="宋体"/>
                <w:color w:val="000000" w:themeColor="text1"/>
                <w:sz w:val="24"/>
              </w:rPr>
            </w:pPr>
            <w:r>
              <w:rPr>
                <w:rFonts w:hint="eastAsia" w:ascii="仿宋_GB2312" w:hAnsi="宋体" w:cs="宋体"/>
                <w:color w:val="000000" w:themeColor="text1"/>
                <w:sz w:val="24"/>
              </w:rPr>
              <w:t>2</w:t>
            </w:r>
          </w:p>
        </w:tc>
        <w:tc>
          <w:tcPr>
            <w:tcW w:w="6075" w:type="dxa"/>
            <w:vAlign w:val="center"/>
          </w:tcPr>
          <w:p>
            <w:pPr>
              <w:spacing w:line="300" w:lineRule="exact"/>
              <w:rPr>
                <w:rFonts w:ascii="仿宋_GB2312" w:hAnsi="宋体" w:cs="宋体"/>
                <w:color w:val="000000" w:themeColor="text1"/>
                <w:sz w:val="24"/>
              </w:rPr>
            </w:pPr>
            <w:r>
              <w:rPr>
                <w:rFonts w:hint="eastAsia" w:ascii="仿宋_GB2312" w:hAnsi="宋体" w:cs="宋体"/>
                <w:color w:val="000000" w:themeColor="text1"/>
                <w:sz w:val="24"/>
              </w:rPr>
              <w:t>具体的施工设计方案、必要的拓扑图、平面示意图与采购人的实际要求结合的符合性、合理性。（0～2分）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 w:hRule="atLeast"/>
          <w:jc w:val="center"/>
        </w:trPr>
        <w:tc>
          <w:tcPr>
            <w:tcW w:w="519" w:type="dxa"/>
            <w:vMerge w:val="continue"/>
            <w:vAlign w:val="center"/>
          </w:tcPr>
          <w:p>
            <w:pPr>
              <w:spacing w:line="300" w:lineRule="exact"/>
              <w:rPr>
                <w:rFonts w:ascii="仿宋_GB2312" w:hAnsi="宋体" w:cs="宋体"/>
                <w:color w:val="000000" w:themeColor="text1"/>
                <w:sz w:val="24"/>
              </w:rPr>
            </w:pPr>
          </w:p>
        </w:tc>
        <w:tc>
          <w:tcPr>
            <w:tcW w:w="851" w:type="dxa"/>
            <w:vMerge w:val="continue"/>
            <w:vAlign w:val="center"/>
          </w:tcPr>
          <w:p>
            <w:pPr>
              <w:spacing w:line="300" w:lineRule="exact"/>
              <w:rPr>
                <w:rFonts w:ascii="仿宋_GB2312" w:hAnsi="宋体" w:cs="宋体"/>
                <w:color w:val="000000" w:themeColor="text1"/>
                <w:sz w:val="24"/>
              </w:rPr>
            </w:pPr>
          </w:p>
        </w:tc>
        <w:tc>
          <w:tcPr>
            <w:tcW w:w="819" w:type="dxa"/>
            <w:vMerge w:val="continue"/>
            <w:vAlign w:val="center"/>
          </w:tcPr>
          <w:p>
            <w:pPr>
              <w:spacing w:line="300" w:lineRule="exact"/>
              <w:jc w:val="center"/>
              <w:rPr>
                <w:rFonts w:ascii="仿宋_GB2312" w:hAnsi="宋体" w:cs="宋体"/>
                <w:color w:val="000000" w:themeColor="text1"/>
                <w:sz w:val="24"/>
              </w:rPr>
            </w:pPr>
          </w:p>
        </w:tc>
        <w:tc>
          <w:tcPr>
            <w:tcW w:w="685" w:type="dxa"/>
            <w:vAlign w:val="center"/>
          </w:tcPr>
          <w:p>
            <w:pPr>
              <w:spacing w:line="300" w:lineRule="exact"/>
              <w:jc w:val="center"/>
              <w:rPr>
                <w:rFonts w:ascii="仿宋_GB2312" w:hAnsi="宋体" w:cs="宋体"/>
                <w:color w:val="000000" w:themeColor="text1"/>
                <w:sz w:val="24"/>
              </w:rPr>
            </w:pPr>
            <w:r>
              <w:rPr>
                <w:rFonts w:hint="eastAsia" w:ascii="仿宋_GB2312" w:hAnsi="宋体" w:cs="宋体"/>
                <w:color w:val="000000" w:themeColor="text1"/>
                <w:sz w:val="24"/>
              </w:rPr>
              <w:t>1</w:t>
            </w:r>
          </w:p>
        </w:tc>
        <w:tc>
          <w:tcPr>
            <w:tcW w:w="6075" w:type="dxa"/>
            <w:vAlign w:val="center"/>
          </w:tcPr>
          <w:p>
            <w:pPr>
              <w:spacing w:line="300" w:lineRule="exact"/>
              <w:rPr>
                <w:rFonts w:ascii="仿宋_GB2312" w:hAnsi="宋体" w:cs="宋体"/>
                <w:color w:val="000000" w:themeColor="text1"/>
                <w:sz w:val="24"/>
              </w:rPr>
            </w:pPr>
            <w:r>
              <w:rPr>
                <w:rFonts w:hint="eastAsia" w:ascii="仿宋_GB2312" w:hAnsi="宋体" w:cs="宋体"/>
                <w:color w:val="000000" w:themeColor="text1"/>
                <w:sz w:val="24"/>
              </w:rPr>
              <w:t>具体的安装、测试与验收方案对应用户单位的实际符合性与合理性。（0～1分）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62" w:hRule="atLeast"/>
          <w:jc w:val="center"/>
        </w:trPr>
        <w:tc>
          <w:tcPr>
            <w:tcW w:w="519" w:type="dxa"/>
            <w:vMerge w:val="continue"/>
            <w:vAlign w:val="center"/>
          </w:tcPr>
          <w:p>
            <w:pPr>
              <w:spacing w:line="300" w:lineRule="exact"/>
              <w:rPr>
                <w:rFonts w:ascii="仿宋_GB2312" w:hAnsi="宋体" w:cs="宋体"/>
                <w:color w:val="000000" w:themeColor="text1"/>
                <w:sz w:val="24"/>
              </w:rPr>
            </w:pPr>
          </w:p>
        </w:tc>
        <w:tc>
          <w:tcPr>
            <w:tcW w:w="851" w:type="dxa"/>
            <w:vMerge w:val="continue"/>
            <w:vAlign w:val="center"/>
          </w:tcPr>
          <w:p>
            <w:pPr>
              <w:spacing w:line="300" w:lineRule="exact"/>
              <w:rPr>
                <w:rFonts w:ascii="仿宋_GB2312" w:hAnsi="宋体" w:cs="宋体"/>
                <w:color w:val="000000" w:themeColor="text1"/>
                <w:sz w:val="24"/>
              </w:rPr>
            </w:pPr>
          </w:p>
        </w:tc>
        <w:tc>
          <w:tcPr>
            <w:tcW w:w="819" w:type="dxa"/>
            <w:vMerge w:val="restart"/>
            <w:vAlign w:val="center"/>
          </w:tcPr>
          <w:p>
            <w:pPr>
              <w:spacing w:line="300" w:lineRule="exact"/>
              <w:jc w:val="center"/>
              <w:rPr>
                <w:rFonts w:ascii="仿宋_GB2312" w:hAnsi="宋体" w:cs="宋体"/>
                <w:color w:val="000000" w:themeColor="text1"/>
                <w:sz w:val="24"/>
              </w:rPr>
            </w:pPr>
            <w:r>
              <w:rPr>
                <w:rFonts w:hint="eastAsia" w:ascii="仿宋_GB2312" w:hAnsi="宋体" w:cs="宋体"/>
                <w:color w:val="000000" w:themeColor="text1"/>
                <w:sz w:val="24"/>
              </w:rPr>
              <w:t>项目建设驻场人员</w:t>
            </w:r>
          </w:p>
        </w:tc>
        <w:tc>
          <w:tcPr>
            <w:tcW w:w="685" w:type="dxa"/>
            <w:vMerge w:val="restart"/>
            <w:vAlign w:val="center"/>
          </w:tcPr>
          <w:p>
            <w:pPr>
              <w:spacing w:line="300" w:lineRule="exact"/>
              <w:jc w:val="center"/>
              <w:rPr>
                <w:rFonts w:ascii="仿宋_GB2312" w:hAnsi="宋体" w:cs="宋体"/>
                <w:color w:val="000000" w:themeColor="text1"/>
                <w:sz w:val="24"/>
              </w:rPr>
            </w:pPr>
            <w:r>
              <w:rPr>
                <w:rFonts w:hint="eastAsia" w:ascii="仿宋_GB2312" w:hAnsi="宋体" w:cs="宋体"/>
                <w:color w:val="000000" w:themeColor="text1"/>
                <w:sz w:val="24"/>
              </w:rPr>
              <w:t>5</w:t>
            </w:r>
          </w:p>
        </w:tc>
        <w:tc>
          <w:tcPr>
            <w:tcW w:w="6075" w:type="dxa"/>
            <w:vAlign w:val="center"/>
          </w:tcPr>
          <w:p>
            <w:pPr>
              <w:spacing w:line="300" w:lineRule="exact"/>
              <w:rPr>
                <w:rFonts w:ascii="仿宋_GB2312" w:hAnsi="宋体" w:cs="宋体"/>
                <w:color w:val="000000" w:themeColor="text1"/>
                <w:sz w:val="24"/>
              </w:rPr>
            </w:pPr>
            <w:r>
              <w:rPr>
                <w:rFonts w:hint="eastAsia" w:ascii="仿宋_GB2312" w:hAnsi="宋体" w:cs="宋体"/>
                <w:color w:val="000000" w:themeColor="text1"/>
                <w:sz w:val="24"/>
              </w:rPr>
              <w:t>拟派项目总负责人除需具备招标需求中描述的基本条件外，具备信息系统项目管理师、系统分析师、系统架构设计师、网络规划设计师证书之一的，每项得0.</w:t>
            </w:r>
            <w:r>
              <w:rPr>
                <w:rFonts w:ascii="仿宋_GB2312" w:hAnsi="宋体" w:cs="宋体"/>
                <w:color w:val="000000" w:themeColor="text1"/>
                <w:sz w:val="24"/>
              </w:rPr>
              <w:t>2</w:t>
            </w:r>
            <w:r>
              <w:rPr>
                <w:rFonts w:hint="eastAsia" w:ascii="仿宋_GB2312" w:hAnsi="宋体" w:cs="宋体"/>
                <w:color w:val="000000" w:themeColor="text1"/>
                <w:sz w:val="24"/>
              </w:rPr>
              <w:t>分，本项最高得0.4分</w:t>
            </w:r>
            <w:r>
              <w:rPr>
                <w:rFonts w:hint="eastAsia" w:ascii="仿宋_GB2312" w:hAnsi="宋体"/>
                <w:color w:val="000000" w:themeColor="text1"/>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62" w:hRule="atLeast"/>
          <w:jc w:val="center"/>
        </w:trPr>
        <w:tc>
          <w:tcPr>
            <w:tcW w:w="519" w:type="dxa"/>
            <w:vMerge w:val="continue"/>
            <w:vAlign w:val="center"/>
          </w:tcPr>
          <w:p>
            <w:pPr>
              <w:spacing w:line="300" w:lineRule="exact"/>
              <w:rPr>
                <w:rFonts w:ascii="仿宋_GB2312" w:hAnsi="宋体" w:cs="宋体"/>
                <w:color w:val="000000" w:themeColor="text1"/>
                <w:sz w:val="24"/>
              </w:rPr>
            </w:pPr>
          </w:p>
        </w:tc>
        <w:tc>
          <w:tcPr>
            <w:tcW w:w="851" w:type="dxa"/>
            <w:vMerge w:val="continue"/>
            <w:vAlign w:val="center"/>
          </w:tcPr>
          <w:p>
            <w:pPr>
              <w:spacing w:line="300" w:lineRule="exact"/>
              <w:rPr>
                <w:rFonts w:ascii="仿宋_GB2312" w:hAnsi="宋体" w:cs="宋体"/>
                <w:color w:val="000000" w:themeColor="text1"/>
                <w:sz w:val="24"/>
              </w:rPr>
            </w:pPr>
          </w:p>
        </w:tc>
        <w:tc>
          <w:tcPr>
            <w:tcW w:w="819" w:type="dxa"/>
            <w:vMerge w:val="continue"/>
            <w:vAlign w:val="center"/>
          </w:tcPr>
          <w:p>
            <w:pPr>
              <w:spacing w:line="300" w:lineRule="exact"/>
              <w:jc w:val="center"/>
              <w:rPr>
                <w:rFonts w:ascii="仿宋_GB2312" w:hAnsi="宋体" w:cs="宋体"/>
                <w:color w:val="000000" w:themeColor="text1"/>
                <w:sz w:val="24"/>
              </w:rPr>
            </w:pPr>
          </w:p>
        </w:tc>
        <w:tc>
          <w:tcPr>
            <w:tcW w:w="685" w:type="dxa"/>
            <w:vMerge w:val="continue"/>
            <w:vAlign w:val="center"/>
          </w:tcPr>
          <w:p>
            <w:pPr>
              <w:spacing w:line="300" w:lineRule="exact"/>
              <w:jc w:val="center"/>
              <w:rPr>
                <w:rFonts w:ascii="仿宋_GB2312" w:hAnsi="宋体" w:cs="宋体"/>
                <w:color w:val="000000" w:themeColor="text1"/>
                <w:sz w:val="24"/>
              </w:rPr>
            </w:pPr>
          </w:p>
        </w:tc>
        <w:tc>
          <w:tcPr>
            <w:tcW w:w="6075" w:type="dxa"/>
            <w:vAlign w:val="center"/>
          </w:tcPr>
          <w:p>
            <w:pPr>
              <w:spacing w:line="300" w:lineRule="exact"/>
              <w:rPr>
                <w:rFonts w:ascii="仿宋_GB2312" w:hAnsi="宋体" w:cs="宋体"/>
                <w:color w:val="000000" w:themeColor="text1"/>
                <w:sz w:val="24"/>
              </w:rPr>
            </w:pPr>
            <w:r>
              <w:rPr>
                <w:rFonts w:hint="eastAsia" w:ascii="仿宋_GB2312" w:hAnsi="宋体" w:cs="宋体"/>
                <w:color w:val="000000" w:themeColor="text1"/>
                <w:sz w:val="24"/>
              </w:rPr>
              <w:t>拟投入本项目的实施团队组成人员（除总负责人外）具有信息系统项目管理师、系统分析师、系统架构设计师、网络规划设计师、系统规划与管理师证书每本0.1分，本项最高1.6分。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14" w:hRule="atLeast"/>
          <w:jc w:val="center"/>
        </w:trPr>
        <w:tc>
          <w:tcPr>
            <w:tcW w:w="519" w:type="dxa"/>
            <w:vMerge w:val="continue"/>
            <w:vAlign w:val="center"/>
          </w:tcPr>
          <w:p>
            <w:pPr>
              <w:spacing w:line="300" w:lineRule="exact"/>
              <w:rPr>
                <w:rFonts w:ascii="仿宋_GB2312" w:hAnsi="宋体" w:cs="宋体"/>
                <w:color w:val="000000" w:themeColor="text1"/>
                <w:sz w:val="24"/>
              </w:rPr>
            </w:pPr>
          </w:p>
        </w:tc>
        <w:tc>
          <w:tcPr>
            <w:tcW w:w="851" w:type="dxa"/>
            <w:vMerge w:val="continue"/>
            <w:vAlign w:val="center"/>
          </w:tcPr>
          <w:p>
            <w:pPr>
              <w:spacing w:line="300" w:lineRule="exact"/>
              <w:rPr>
                <w:rFonts w:ascii="仿宋_GB2312" w:hAnsi="宋体" w:cs="宋体"/>
                <w:color w:val="000000" w:themeColor="text1"/>
                <w:sz w:val="24"/>
              </w:rPr>
            </w:pPr>
          </w:p>
        </w:tc>
        <w:tc>
          <w:tcPr>
            <w:tcW w:w="819" w:type="dxa"/>
            <w:vMerge w:val="continue"/>
            <w:vAlign w:val="center"/>
          </w:tcPr>
          <w:p>
            <w:pPr>
              <w:spacing w:line="300" w:lineRule="exact"/>
              <w:jc w:val="center"/>
              <w:rPr>
                <w:rFonts w:ascii="仿宋_GB2312" w:hAnsi="宋体" w:cs="宋体"/>
                <w:color w:val="000000" w:themeColor="text1"/>
                <w:sz w:val="24"/>
              </w:rPr>
            </w:pPr>
          </w:p>
        </w:tc>
        <w:tc>
          <w:tcPr>
            <w:tcW w:w="685" w:type="dxa"/>
            <w:vMerge w:val="continue"/>
            <w:vAlign w:val="center"/>
          </w:tcPr>
          <w:p>
            <w:pPr>
              <w:spacing w:line="300" w:lineRule="exact"/>
              <w:jc w:val="center"/>
              <w:rPr>
                <w:rFonts w:ascii="仿宋_GB2312" w:hAnsi="宋体" w:cs="宋体"/>
                <w:color w:val="000000" w:themeColor="text1"/>
                <w:sz w:val="24"/>
              </w:rPr>
            </w:pPr>
          </w:p>
        </w:tc>
        <w:tc>
          <w:tcPr>
            <w:tcW w:w="6075" w:type="dxa"/>
            <w:vAlign w:val="center"/>
          </w:tcPr>
          <w:p>
            <w:pPr>
              <w:spacing w:line="300" w:lineRule="exact"/>
              <w:rPr>
                <w:rFonts w:ascii="仿宋_GB2312" w:hAnsi="宋体" w:cs="宋体"/>
                <w:color w:val="000000" w:themeColor="text1"/>
                <w:sz w:val="24"/>
              </w:rPr>
            </w:pPr>
            <w:r>
              <w:rPr>
                <w:rFonts w:hint="eastAsia" w:ascii="仿宋_GB2312" w:hAnsi="宋体" w:cs="宋体"/>
                <w:color w:val="000000" w:themeColor="text1"/>
                <w:sz w:val="24"/>
              </w:rPr>
              <w:t>满足招标文件的建设团队组成情况及人员数量、学历、证书、经验等要求的相关情况酌情打分。（0～</w:t>
            </w:r>
            <w:r>
              <w:rPr>
                <w:rFonts w:ascii="仿宋_GB2312" w:hAnsi="宋体" w:cs="宋体"/>
                <w:color w:val="000000" w:themeColor="text1"/>
                <w:sz w:val="24"/>
              </w:rPr>
              <w:t>3</w:t>
            </w:r>
            <w:r>
              <w:rPr>
                <w:rFonts w:hint="eastAsia" w:ascii="仿宋_GB2312" w:hAnsi="宋体" w:cs="宋体"/>
                <w:color w:val="000000" w:themeColor="text1"/>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 w:hRule="atLeast"/>
          <w:jc w:val="center"/>
        </w:trPr>
        <w:tc>
          <w:tcPr>
            <w:tcW w:w="519" w:type="dxa"/>
            <w:vMerge w:val="restart"/>
            <w:vAlign w:val="center"/>
          </w:tcPr>
          <w:p>
            <w:pPr>
              <w:spacing w:line="300" w:lineRule="exact"/>
              <w:jc w:val="center"/>
              <w:rPr>
                <w:rFonts w:ascii="仿宋_GB2312" w:hAnsi="宋体" w:cs="宋体"/>
                <w:color w:val="000000" w:themeColor="text1"/>
                <w:sz w:val="24"/>
              </w:rPr>
            </w:pPr>
            <w:r>
              <w:rPr>
                <w:rFonts w:hint="eastAsia" w:ascii="仿宋_GB2312" w:hAnsi="宋体" w:cs="宋体"/>
                <w:color w:val="000000" w:themeColor="text1"/>
                <w:sz w:val="24"/>
              </w:rPr>
              <w:t>6</w:t>
            </w:r>
          </w:p>
        </w:tc>
        <w:tc>
          <w:tcPr>
            <w:tcW w:w="851" w:type="dxa"/>
            <w:vMerge w:val="restart"/>
            <w:vAlign w:val="center"/>
          </w:tcPr>
          <w:p>
            <w:pPr>
              <w:spacing w:line="300" w:lineRule="exact"/>
              <w:jc w:val="center"/>
              <w:rPr>
                <w:rFonts w:ascii="仿宋_GB2312" w:hAnsi="宋体" w:cs="宋体"/>
                <w:color w:val="000000" w:themeColor="text1"/>
                <w:sz w:val="24"/>
              </w:rPr>
            </w:pPr>
            <w:r>
              <w:rPr>
                <w:rFonts w:hint="eastAsia" w:ascii="仿宋_GB2312" w:hAnsi="宋体" w:cs="宋体"/>
                <w:color w:val="000000" w:themeColor="text1"/>
                <w:sz w:val="24"/>
              </w:rPr>
              <w:t>设备情况</w:t>
            </w:r>
          </w:p>
        </w:tc>
        <w:tc>
          <w:tcPr>
            <w:tcW w:w="819" w:type="dxa"/>
            <w:vMerge w:val="restart"/>
            <w:vAlign w:val="center"/>
          </w:tcPr>
          <w:p>
            <w:pPr>
              <w:spacing w:line="300" w:lineRule="exact"/>
              <w:jc w:val="center"/>
              <w:rPr>
                <w:rFonts w:ascii="仿宋_GB2312" w:hAnsi="宋体" w:cs="宋体"/>
                <w:color w:val="000000" w:themeColor="text1"/>
                <w:sz w:val="24"/>
              </w:rPr>
            </w:pPr>
            <w:r>
              <w:rPr>
                <w:rFonts w:hint="eastAsia" w:ascii="仿宋_GB2312" w:hAnsi="宋体" w:cs="宋体"/>
                <w:color w:val="000000" w:themeColor="text1"/>
                <w:sz w:val="24"/>
              </w:rPr>
              <w:t>设备选型的符合性、先进性</w:t>
            </w:r>
          </w:p>
        </w:tc>
        <w:tc>
          <w:tcPr>
            <w:tcW w:w="685" w:type="dxa"/>
            <w:vAlign w:val="center"/>
          </w:tcPr>
          <w:p>
            <w:pPr>
              <w:spacing w:line="300" w:lineRule="exact"/>
              <w:jc w:val="center"/>
              <w:rPr>
                <w:rFonts w:ascii="仿宋_GB2312" w:hAnsi="宋体" w:cs="宋体"/>
                <w:color w:val="000000" w:themeColor="text1"/>
                <w:sz w:val="24"/>
              </w:rPr>
            </w:pPr>
            <w:r>
              <w:rPr>
                <w:rFonts w:ascii="仿宋_GB2312" w:hAnsi="宋体" w:cs="宋体"/>
                <w:color w:val="000000" w:themeColor="text1"/>
                <w:sz w:val="24"/>
              </w:rPr>
              <w:t>8</w:t>
            </w:r>
          </w:p>
        </w:tc>
        <w:tc>
          <w:tcPr>
            <w:tcW w:w="6075" w:type="dxa"/>
            <w:vAlign w:val="center"/>
          </w:tcPr>
          <w:p>
            <w:pPr>
              <w:spacing w:line="300" w:lineRule="exact"/>
              <w:rPr>
                <w:rFonts w:ascii="仿宋_GB2312" w:hAnsi="宋体" w:cs="宋体"/>
                <w:color w:val="000000" w:themeColor="text1"/>
                <w:sz w:val="24"/>
              </w:rPr>
            </w:pPr>
            <w:r>
              <w:rPr>
                <w:rFonts w:hint="eastAsia" w:ascii="仿宋_GB2312" w:hAnsi="宋体" w:cs="宋体"/>
                <w:color w:val="000000" w:themeColor="text1"/>
                <w:sz w:val="24"/>
              </w:rPr>
              <w:t>根据投标产品的基本功能、技术指标与需求的吻合程度和偏差及要求的检测报告提供情况（包括所投标产品的品牌、规格型号、详细配置、主要技术参数、随机软件等），所有指标均满足招标要求得</w:t>
            </w:r>
            <w:r>
              <w:rPr>
                <w:rFonts w:ascii="仿宋_GB2312" w:hAnsi="宋体" w:cs="宋体"/>
                <w:color w:val="000000" w:themeColor="text1"/>
                <w:sz w:val="24"/>
              </w:rPr>
              <w:t>6</w:t>
            </w:r>
            <w:r>
              <w:rPr>
                <w:rFonts w:hint="eastAsia" w:ascii="仿宋_GB2312" w:hAnsi="宋体" w:cs="宋体"/>
                <w:color w:val="000000" w:themeColor="text1"/>
                <w:sz w:val="24"/>
              </w:rPr>
              <w:t>分；</w:t>
            </w:r>
          </w:p>
          <w:p>
            <w:pPr>
              <w:spacing w:line="300" w:lineRule="exact"/>
              <w:rPr>
                <w:rFonts w:ascii="仿宋_GB2312" w:hAnsi="宋体" w:cs="宋体"/>
                <w:color w:val="000000" w:themeColor="text1"/>
                <w:sz w:val="24"/>
              </w:rPr>
            </w:pPr>
            <w:r>
              <w:rPr>
                <w:rFonts w:hint="eastAsia" w:ascii="仿宋_GB2312" w:hAnsi="宋体" w:cs="宋体"/>
                <w:color w:val="000000" w:themeColor="text1"/>
                <w:sz w:val="24"/>
              </w:rPr>
              <w:t>技术指标低于招标需求（负偏离）的，每项扣0.5分，扣完为止（负偏离由评委根据项目需求进行认定）。</w:t>
            </w:r>
          </w:p>
          <w:p>
            <w:pPr>
              <w:spacing w:line="300" w:lineRule="exact"/>
              <w:rPr>
                <w:rFonts w:ascii="仿宋_GB2312" w:hAnsi="宋体" w:cs="宋体"/>
                <w:color w:val="000000" w:themeColor="text1"/>
                <w:sz w:val="24"/>
              </w:rPr>
            </w:pPr>
            <w:r>
              <w:rPr>
                <w:rFonts w:hint="eastAsia" w:ascii="仿宋_GB2312" w:hAnsi="宋体" w:cs="宋体"/>
                <w:color w:val="000000" w:themeColor="text1"/>
                <w:sz w:val="24"/>
              </w:rPr>
              <w:t>主要产品技术指标高于招标需求（正偏离）的，每项加0.1分。同类设备多项正偏离最多加0.2分；本项目最多加2分（是否属于正偏离由评委根据项目需求进行认定）。</w:t>
            </w:r>
          </w:p>
          <w:p>
            <w:pPr>
              <w:spacing w:line="300" w:lineRule="exact"/>
              <w:rPr>
                <w:rFonts w:ascii="仿宋_GB2312" w:hAnsi="宋体" w:cs="宋体"/>
                <w:color w:val="000000" w:themeColor="text1"/>
                <w:sz w:val="24"/>
              </w:rPr>
            </w:pPr>
            <w:r>
              <w:rPr>
                <w:rFonts w:hint="eastAsia" w:ascii="仿宋_GB2312" w:hAnsi="宋体" w:cs="宋体"/>
                <w:color w:val="000000" w:themeColor="text1"/>
                <w:sz w:val="24"/>
              </w:rPr>
              <w:t>设备参数标有“★”的为必须满足项，不满足要求的按无效标处理。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 w:hRule="atLeast"/>
          <w:jc w:val="center"/>
        </w:trPr>
        <w:tc>
          <w:tcPr>
            <w:tcW w:w="519" w:type="dxa"/>
            <w:vMerge w:val="continue"/>
            <w:vAlign w:val="center"/>
          </w:tcPr>
          <w:p>
            <w:pPr>
              <w:spacing w:line="300" w:lineRule="exact"/>
              <w:jc w:val="center"/>
              <w:rPr>
                <w:rFonts w:ascii="仿宋_GB2312" w:hAnsi="宋体" w:cs="宋体"/>
                <w:color w:val="000000" w:themeColor="text1"/>
                <w:sz w:val="24"/>
              </w:rPr>
            </w:pPr>
          </w:p>
        </w:tc>
        <w:tc>
          <w:tcPr>
            <w:tcW w:w="851" w:type="dxa"/>
            <w:vMerge w:val="continue"/>
            <w:vAlign w:val="center"/>
          </w:tcPr>
          <w:p>
            <w:pPr>
              <w:spacing w:line="300" w:lineRule="exact"/>
              <w:jc w:val="center"/>
              <w:rPr>
                <w:rFonts w:ascii="仿宋_GB2312" w:hAnsi="宋体" w:cs="宋体"/>
                <w:color w:val="000000" w:themeColor="text1"/>
                <w:sz w:val="24"/>
              </w:rPr>
            </w:pPr>
          </w:p>
        </w:tc>
        <w:tc>
          <w:tcPr>
            <w:tcW w:w="819" w:type="dxa"/>
            <w:vMerge w:val="continue"/>
            <w:vAlign w:val="center"/>
          </w:tcPr>
          <w:p>
            <w:pPr>
              <w:spacing w:line="300" w:lineRule="exact"/>
              <w:jc w:val="center"/>
              <w:rPr>
                <w:rFonts w:ascii="仿宋_GB2312" w:hAnsi="宋体" w:cs="宋体"/>
                <w:color w:val="000000" w:themeColor="text1"/>
                <w:sz w:val="24"/>
              </w:rPr>
            </w:pPr>
          </w:p>
        </w:tc>
        <w:tc>
          <w:tcPr>
            <w:tcW w:w="685" w:type="dxa"/>
            <w:vAlign w:val="center"/>
          </w:tcPr>
          <w:p>
            <w:pPr>
              <w:spacing w:line="300" w:lineRule="exact"/>
              <w:jc w:val="center"/>
              <w:rPr>
                <w:rFonts w:ascii="仿宋_GB2312" w:hAnsi="宋体" w:cs="宋体"/>
                <w:color w:val="000000" w:themeColor="text1"/>
                <w:sz w:val="24"/>
              </w:rPr>
            </w:pPr>
            <w:r>
              <w:rPr>
                <w:rFonts w:ascii="仿宋_GB2312" w:hAnsi="宋体" w:cs="宋体"/>
                <w:color w:val="000000" w:themeColor="text1"/>
                <w:sz w:val="24"/>
              </w:rPr>
              <w:t>6</w:t>
            </w:r>
          </w:p>
        </w:tc>
        <w:tc>
          <w:tcPr>
            <w:tcW w:w="6075" w:type="dxa"/>
            <w:vAlign w:val="center"/>
          </w:tcPr>
          <w:p>
            <w:pPr>
              <w:spacing w:line="300" w:lineRule="exact"/>
              <w:rPr>
                <w:rFonts w:ascii="仿宋_GB2312" w:hAnsi="宋体" w:cs="宋体"/>
                <w:color w:val="000000" w:themeColor="text1"/>
                <w:sz w:val="24"/>
              </w:rPr>
            </w:pPr>
            <w:r>
              <w:rPr>
                <w:rFonts w:hint="eastAsia" w:ascii="仿宋_GB2312" w:hAnsi="宋体" w:cs="宋体"/>
                <w:color w:val="000000" w:themeColor="text1"/>
                <w:sz w:val="24"/>
              </w:rPr>
              <w:t>投标产品的技术先进性程度（须在投标文件中列明相关数据及资料）：</w:t>
            </w:r>
          </w:p>
          <w:p>
            <w:pPr>
              <w:spacing w:line="300" w:lineRule="exact"/>
              <w:rPr>
                <w:rFonts w:ascii="仿宋_GB2312" w:hAnsi="宋体" w:cs="宋体"/>
                <w:color w:val="000000" w:themeColor="text1"/>
                <w:sz w:val="24"/>
              </w:rPr>
            </w:pPr>
            <w:r>
              <w:rPr>
                <w:rFonts w:hint="eastAsia" w:ascii="仿宋_GB2312" w:hAnsi="宋体" w:cs="宋体"/>
                <w:color w:val="000000" w:themeColor="text1"/>
                <w:sz w:val="24"/>
              </w:rPr>
              <w:t>解析算法（人像算法、</w:t>
            </w:r>
            <w:r>
              <w:rPr>
                <w:rFonts w:ascii="仿宋_GB2312" w:hAnsi="宋体" w:cs="宋体"/>
                <w:color w:val="000000" w:themeColor="text1"/>
                <w:sz w:val="24"/>
              </w:rPr>
              <w:t>接口</w:t>
            </w:r>
            <w:r>
              <w:rPr>
                <w:rFonts w:hint="eastAsia" w:ascii="仿宋_GB2312" w:hAnsi="宋体" w:cs="宋体"/>
                <w:color w:val="000000" w:themeColor="text1"/>
                <w:sz w:val="24"/>
              </w:rPr>
              <w:t>协议及开放性）（0-</w:t>
            </w:r>
            <w:r>
              <w:rPr>
                <w:rFonts w:ascii="仿宋_GB2312" w:hAnsi="宋体" w:cs="宋体"/>
                <w:color w:val="000000" w:themeColor="text1"/>
                <w:sz w:val="24"/>
              </w:rPr>
              <w:t>3</w:t>
            </w:r>
            <w:r>
              <w:rPr>
                <w:rFonts w:hint="eastAsia" w:ascii="仿宋_GB2312" w:hAnsi="宋体" w:cs="宋体"/>
                <w:color w:val="000000" w:themeColor="text1"/>
                <w:sz w:val="24"/>
              </w:rPr>
              <w:t>分）</w:t>
            </w:r>
          </w:p>
          <w:p>
            <w:pPr>
              <w:spacing w:line="300" w:lineRule="exact"/>
              <w:rPr>
                <w:rFonts w:ascii="仿宋_GB2312" w:hAnsi="宋体" w:cs="宋体"/>
                <w:color w:val="000000" w:themeColor="text1"/>
                <w:sz w:val="24"/>
              </w:rPr>
            </w:pPr>
            <w:r>
              <w:rPr>
                <w:rFonts w:hint="eastAsia" w:ascii="仿宋_GB2312" w:hAnsi="宋体" w:cs="宋体"/>
                <w:color w:val="000000" w:themeColor="text1"/>
                <w:sz w:val="24"/>
              </w:rPr>
              <w:t>解析算法（视频萃取、车辆二次分析）（0-</w:t>
            </w:r>
            <w:r>
              <w:rPr>
                <w:rFonts w:ascii="仿宋_GB2312" w:hAnsi="宋体" w:cs="宋体"/>
                <w:color w:val="000000" w:themeColor="text1"/>
                <w:sz w:val="24"/>
              </w:rPr>
              <w:t>1</w:t>
            </w:r>
            <w:r>
              <w:rPr>
                <w:rFonts w:hint="eastAsia" w:ascii="仿宋_GB2312" w:hAnsi="宋体" w:cs="宋体"/>
                <w:color w:val="000000" w:themeColor="text1"/>
                <w:sz w:val="24"/>
              </w:rPr>
              <w:t>分）</w:t>
            </w:r>
          </w:p>
          <w:p>
            <w:pPr>
              <w:spacing w:line="300" w:lineRule="exact"/>
              <w:rPr>
                <w:rFonts w:ascii="仿宋_GB2312" w:hAnsi="宋体" w:cs="宋体"/>
                <w:color w:val="000000" w:themeColor="text1"/>
                <w:sz w:val="24"/>
              </w:rPr>
            </w:pPr>
            <w:r>
              <w:rPr>
                <w:rFonts w:hint="eastAsia" w:ascii="仿宋_GB2312" w:hAnsi="宋体" w:cs="宋体"/>
                <w:color w:val="000000" w:themeColor="text1"/>
                <w:sz w:val="24"/>
              </w:rPr>
              <w:t>大数据技术方案（0-</w:t>
            </w:r>
            <w:r>
              <w:rPr>
                <w:rFonts w:ascii="仿宋_GB2312" w:hAnsi="宋体" w:cs="宋体"/>
                <w:color w:val="000000" w:themeColor="text1"/>
                <w:sz w:val="24"/>
              </w:rPr>
              <w:t>2</w:t>
            </w:r>
            <w:r>
              <w:rPr>
                <w:rFonts w:hint="eastAsia" w:ascii="仿宋_GB2312" w:hAnsi="宋体" w:cs="宋体"/>
                <w:color w:val="000000" w:themeColor="text1"/>
                <w:sz w:val="24"/>
              </w:rPr>
              <w:t>分）</w:t>
            </w:r>
            <w:r>
              <w:rPr>
                <w:rFonts w:hint="eastAsia" w:ascii="仿宋_GB2312" w:hAnsi="Arial" w:cs="Arial"/>
                <w:color w:val="000000" w:themeColor="text1"/>
                <w:sz w:val="24"/>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 w:hRule="atLeast"/>
          <w:jc w:val="center"/>
        </w:trPr>
        <w:tc>
          <w:tcPr>
            <w:tcW w:w="519" w:type="dxa"/>
            <w:vMerge w:val="restart"/>
            <w:vAlign w:val="center"/>
          </w:tcPr>
          <w:p>
            <w:pPr>
              <w:spacing w:line="300" w:lineRule="exact"/>
              <w:jc w:val="center"/>
              <w:rPr>
                <w:rFonts w:ascii="仿宋_GB2312" w:hAnsi="宋体" w:cs="宋体"/>
                <w:color w:val="000000" w:themeColor="text1"/>
                <w:sz w:val="24"/>
              </w:rPr>
            </w:pPr>
            <w:r>
              <w:rPr>
                <w:rFonts w:ascii="仿宋_GB2312" w:hAnsi="宋体" w:cs="宋体"/>
                <w:color w:val="000000" w:themeColor="text1"/>
                <w:sz w:val="24"/>
              </w:rPr>
              <w:t>7</w:t>
            </w:r>
          </w:p>
        </w:tc>
        <w:tc>
          <w:tcPr>
            <w:tcW w:w="851" w:type="dxa"/>
            <w:vMerge w:val="restart"/>
            <w:vAlign w:val="center"/>
          </w:tcPr>
          <w:p>
            <w:pPr>
              <w:spacing w:line="300" w:lineRule="exact"/>
              <w:jc w:val="center"/>
              <w:rPr>
                <w:rFonts w:ascii="仿宋_GB2312" w:hAnsi="宋体" w:cs="宋体"/>
                <w:color w:val="000000" w:themeColor="text1"/>
                <w:sz w:val="24"/>
              </w:rPr>
            </w:pPr>
            <w:r>
              <w:rPr>
                <w:rFonts w:hint="eastAsia" w:ascii="仿宋_GB2312" w:hAnsi="宋体" w:cs="宋体"/>
                <w:color w:val="000000" w:themeColor="text1"/>
                <w:sz w:val="24"/>
              </w:rPr>
              <w:t>维护</w:t>
            </w:r>
          </w:p>
        </w:tc>
        <w:tc>
          <w:tcPr>
            <w:tcW w:w="819" w:type="dxa"/>
            <w:vAlign w:val="center"/>
          </w:tcPr>
          <w:p>
            <w:pPr>
              <w:spacing w:line="300" w:lineRule="exact"/>
              <w:jc w:val="center"/>
              <w:rPr>
                <w:rFonts w:ascii="仿宋_GB2312" w:hAnsi="宋体" w:cs="宋体"/>
                <w:color w:val="000000" w:themeColor="text1"/>
                <w:sz w:val="24"/>
              </w:rPr>
            </w:pPr>
            <w:r>
              <w:rPr>
                <w:rFonts w:hint="eastAsia" w:ascii="仿宋_GB2312" w:hAnsi="宋体" w:cs="宋体"/>
                <w:color w:val="000000" w:themeColor="text1"/>
                <w:sz w:val="24"/>
              </w:rPr>
              <w:t>维护项目经理</w:t>
            </w:r>
          </w:p>
        </w:tc>
        <w:tc>
          <w:tcPr>
            <w:tcW w:w="685" w:type="dxa"/>
            <w:vAlign w:val="center"/>
          </w:tcPr>
          <w:p>
            <w:pPr>
              <w:spacing w:line="300" w:lineRule="exact"/>
              <w:jc w:val="center"/>
              <w:rPr>
                <w:rFonts w:ascii="仿宋_GB2312" w:hAnsi="宋体" w:cs="宋体"/>
                <w:color w:val="000000" w:themeColor="text1"/>
                <w:sz w:val="24"/>
              </w:rPr>
            </w:pPr>
            <w:r>
              <w:rPr>
                <w:rFonts w:ascii="仿宋_GB2312" w:hAnsi="宋体" w:cs="宋体"/>
                <w:color w:val="000000" w:themeColor="text1"/>
                <w:sz w:val="24"/>
              </w:rPr>
              <w:t>2</w:t>
            </w:r>
          </w:p>
        </w:tc>
        <w:tc>
          <w:tcPr>
            <w:tcW w:w="6075" w:type="dxa"/>
            <w:vAlign w:val="center"/>
          </w:tcPr>
          <w:p>
            <w:pPr>
              <w:spacing w:line="300" w:lineRule="exact"/>
              <w:rPr>
                <w:rFonts w:ascii="仿宋_GB2312" w:hAnsi="宋体" w:cs="宋体"/>
                <w:color w:val="000000" w:themeColor="text1"/>
                <w:sz w:val="24"/>
              </w:rPr>
            </w:pPr>
            <w:r>
              <w:rPr>
                <w:rFonts w:hint="eastAsia" w:ascii="仿宋_GB2312" w:hAnsi="宋体" w:cs="宋体"/>
                <w:color w:val="000000" w:themeColor="text1"/>
                <w:sz w:val="24"/>
              </w:rPr>
              <w:t>根据维护项目经理学历、证书、经验等相关情况酌情打分。（0-2分）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 w:hRule="atLeast"/>
          <w:jc w:val="center"/>
        </w:trPr>
        <w:tc>
          <w:tcPr>
            <w:tcW w:w="519" w:type="dxa"/>
            <w:vMerge w:val="continue"/>
            <w:vAlign w:val="center"/>
          </w:tcPr>
          <w:p>
            <w:pPr>
              <w:spacing w:line="300" w:lineRule="exact"/>
              <w:rPr>
                <w:rFonts w:ascii="仿宋_GB2312" w:hAnsi="宋体" w:cs="宋体"/>
                <w:color w:val="000000" w:themeColor="text1"/>
                <w:sz w:val="24"/>
              </w:rPr>
            </w:pPr>
          </w:p>
        </w:tc>
        <w:tc>
          <w:tcPr>
            <w:tcW w:w="851" w:type="dxa"/>
            <w:vMerge w:val="continue"/>
            <w:vAlign w:val="center"/>
          </w:tcPr>
          <w:p>
            <w:pPr>
              <w:spacing w:line="300" w:lineRule="exact"/>
              <w:rPr>
                <w:rFonts w:ascii="仿宋_GB2312" w:hAnsi="宋体" w:cs="宋体"/>
                <w:color w:val="000000" w:themeColor="text1"/>
                <w:sz w:val="24"/>
              </w:rPr>
            </w:pPr>
          </w:p>
        </w:tc>
        <w:tc>
          <w:tcPr>
            <w:tcW w:w="819" w:type="dxa"/>
            <w:vAlign w:val="center"/>
          </w:tcPr>
          <w:p>
            <w:pPr>
              <w:spacing w:line="300" w:lineRule="exact"/>
              <w:jc w:val="center"/>
              <w:rPr>
                <w:rFonts w:ascii="仿宋_GB2312" w:hAnsi="宋体" w:cs="宋体"/>
                <w:color w:val="000000" w:themeColor="text1"/>
                <w:sz w:val="24"/>
              </w:rPr>
            </w:pPr>
            <w:r>
              <w:rPr>
                <w:rFonts w:hint="eastAsia" w:ascii="仿宋_GB2312" w:hAnsi="宋体" w:cs="宋体"/>
                <w:color w:val="000000" w:themeColor="text1"/>
                <w:sz w:val="24"/>
              </w:rPr>
              <w:t>维护方案</w:t>
            </w:r>
          </w:p>
        </w:tc>
        <w:tc>
          <w:tcPr>
            <w:tcW w:w="685" w:type="dxa"/>
            <w:vAlign w:val="center"/>
          </w:tcPr>
          <w:p>
            <w:pPr>
              <w:spacing w:line="300" w:lineRule="exact"/>
              <w:jc w:val="center"/>
              <w:rPr>
                <w:rFonts w:ascii="仿宋_GB2312" w:hAnsi="宋体" w:cs="宋体"/>
                <w:color w:val="000000" w:themeColor="text1"/>
                <w:sz w:val="24"/>
              </w:rPr>
            </w:pPr>
            <w:r>
              <w:rPr>
                <w:rFonts w:hint="eastAsia" w:ascii="仿宋_GB2312" w:hAnsi="宋体" w:cs="宋体"/>
                <w:color w:val="000000" w:themeColor="text1"/>
                <w:sz w:val="24"/>
              </w:rPr>
              <w:t>3</w:t>
            </w:r>
          </w:p>
        </w:tc>
        <w:tc>
          <w:tcPr>
            <w:tcW w:w="6075" w:type="dxa"/>
            <w:vAlign w:val="center"/>
          </w:tcPr>
          <w:p>
            <w:pPr>
              <w:spacing w:line="300" w:lineRule="exact"/>
              <w:rPr>
                <w:rFonts w:ascii="仿宋_GB2312" w:hAnsi="宋体" w:cs="宋体"/>
                <w:color w:val="000000" w:themeColor="text1"/>
                <w:sz w:val="24"/>
              </w:rPr>
            </w:pPr>
            <w:r>
              <w:rPr>
                <w:rFonts w:hint="eastAsia" w:ascii="仿宋_GB2312" w:hAnsi="宋体" w:cs="宋体"/>
                <w:color w:val="000000" w:themeColor="text1"/>
                <w:sz w:val="24"/>
              </w:rPr>
              <w:t>根据维护方案等相关情况酌情打分。（0-</w:t>
            </w:r>
            <w:r>
              <w:rPr>
                <w:rFonts w:ascii="仿宋_GB2312" w:hAnsi="宋体" w:cs="宋体"/>
                <w:color w:val="000000" w:themeColor="text1"/>
                <w:sz w:val="24"/>
              </w:rPr>
              <w:t>3</w:t>
            </w:r>
            <w:r>
              <w:rPr>
                <w:rFonts w:hint="eastAsia" w:ascii="仿宋_GB2312" w:hAnsi="宋体" w:cs="宋体"/>
                <w:color w:val="000000" w:themeColor="text1"/>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 w:hRule="atLeast"/>
          <w:jc w:val="center"/>
        </w:trPr>
        <w:tc>
          <w:tcPr>
            <w:tcW w:w="519" w:type="dxa"/>
            <w:vMerge w:val="continue"/>
            <w:vAlign w:val="center"/>
          </w:tcPr>
          <w:p>
            <w:pPr>
              <w:spacing w:line="300" w:lineRule="exact"/>
              <w:rPr>
                <w:rFonts w:ascii="仿宋_GB2312" w:hAnsi="宋体" w:cs="宋体"/>
                <w:color w:val="000000" w:themeColor="text1"/>
                <w:sz w:val="24"/>
              </w:rPr>
            </w:pPr>
          </w:p>
        </w:tc>
        <w:tc>
          <w:tcPr>
            <w:tcW w:w="851" w:type="dxa"/>
            <w:vMerge w:val="continue"/>
            <w:vAlign w:val="center"/>
          </w:tcPr>
          <w:p>
            <w:pPr>
              <w:spacing w:line="300" w:lineRule="exact"/>
              <w:rPr>
                <w:rFonts w:ascii="仿宋_GB2312" w:hAnsi="宋体" w:cs="宋体"/>
                <w:color w:val="000000" w:themeColor="text1"/>
                <w:sz w:val="24"/>
              </w:rPr>
            </w:pPr>
          </w:p>
        </w:tc>
        <w:tc>
          <w:tcPr>
            <w:tcW w:w="819" w:type="dxa"/>
            <w:vAlign w:val="center"/>
          </w:tcPr>
          <w:p>
            <w:pPr>
              <w:spacing w:line="300" w:lineRule="exact"/>
              <w:jc w:val="center"/>
              <w:rPr>
                <w:rFonts w:ascii="仿宋_GB2312" w:hAnsi="宋体" w:cs="宋体"/>
                <w:color w:val="000000" w:themeColor="text1"/>
                <w:sz w:val="24"/>
              </w:rPr>
            </w:pPr>
            <w:r>
              <w:rPr>
                <w:rFonts w:hint="eastAsia" w:ascii="仿宋_GB2312" w:hAnsi="宋体" w:cs="宋体"/>
                <w:color w:val="000000" w:themeColor="text1"/>
                <w:sz w:val="24"/>
              </w:rPr>
              <w:t>驻场运维人员</w:t>
            </w:r>
          </w:p>
        </w:tc>
        <w:tc>
          <w:tcPr>
            <w:tcW w:w="685" w:type="dxa"/>
            <w:vAlign w:val="center"/>
          </w:tcPr>
          <w:p>
            <w:pPr>
              <w:spacing w:line="300" w:lineRule="exact"/>
              <w:jc w:val="center"/>
              <w:rPr>
                <w:rFonts w:ascii="仿宋_GB2312" w:hAnsi="宋体" w:cs="宋体"/>
                <w:color w:val="000000" w:themeColor="text1"/>
                <w:sz w:val="24"/>
              </w:rPr>
            </w:pPr>
            <w:r>
              <w:rPr>
                <w:rFonts w:hint="eastAsia" w:ascii="仿宋_GB2312" w:hAnsi="宋体" w:cs="宋体"/>
                <w:color w:val="000000" w:themeColor="text1"/>
                <w:sz w:val="24"/>
              </w:rPr>
              <w:t>2</w:t>
            </w:r>
          </w:p>
        </w:tc>
        <w:tc>
          <w:tcPr>
            <w:tcW w:w="6075" w:type="dxa"/>
            <w:vAlign w:val="center"/>
          </w:tcPr>
          <w:p>
            <w:pPr>
              <w:spacing w:line="300" w:lineRule="exact"/>
              <w:rPr>
                <w:rFonts w:ascii="仿宋_GB2312" w:hAnsi="宋体" w:cs="宋体"/>
                <w:color w:val="000000" w:themeColor="text1"/>
                <w:sz w:val="24"/>
              </w:rPr>
            </w:pPr>
            <w:r>
              <w:rPr>
                <w:rFonts w:hint="eastAsia" w:ascii="仿宋_GB2312" w:hAnsi="宋体" w:cs="宋体"/>
                <w:color w:val="000000" w:themeColor="text1"/>
                <w:sz w:val="24"/>
              </w:rPr>
              <w:t>满足招标文件的维护团队组成情况及人员数量、学历、证书、经验等要求的相关情况酌情打分。（0-2分）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5" w:hRule="atLeast"/>
          <w:jc w:val="center"/>
        </w:trPr>
        <w:tc>
          <w:tcPr>
            <w:tcW w:w="519" w:type="dxa"/>
            <w:vMerge w:val="continue"/>
            <w:vAlign w:val="center"/>
          </w:tcPr>
          <w:p>
            <w:pPr>
              <w:spacing w:line="300" w:lineRule="exact"/>
              <w:rPr>
                <w:rFonts w:ascii="仿宋_GB2312" w:hAnsi="宋体" w:cs="宋体"/>
                <w:color w:val="000000" w:themeColor="text1"/>
                <w:sz w:val="24"/>
              </w:rPr>
            </w:pPr>
          </w:p>
        </w:tc>
        <w:tc>
          <w:tcPr>
            <w:tcW w:w="851" w:type="dxa"/>
            <w:vMerge w:val="continue"/>
            <w:vAlign w:val="center"/>
          </w:tcPr>
          <w:p>
            <w:pPr>
              <w:spacing w:line="300" w:lineRule="exact"/>
              <w:rPr>
                <w:rFonts w:ascii="仿宋_GB2312" w:hAnsi="宋体" w:cs="宋体"/>
                <w:color w:val="000000" w:themeColor="text1"/>
                <w:sz w:val="24"/>
              </w:rPr>
            </w:pPr>
          </w:p>
        </w:tc>
        <w:tc>
          <w:tcPr>
            <w:tcW w:w="819" w:type="dxa"/>
            <w:vAlign w:val="center"/>
          </w:tcPr>
          <w:p>
            <w:pPr>
              <w:spacing w:line="300" w:lineRule="exact"/>
              <w:jc w:val="center"/>
              <w:rPr>
                <w:rFonts w:ascii="仿宋_GB2312" w:hAnsi="宋体" w:cs="宋体"/>
                <w:color w:val="000000" w:themeColor="text1"/>
                <w:sz w:val="24"/>
              </w:rPr>
            </w:pPr>
            <w:r>
              <w:rPr>
                <w:rFonts w:hint="eastAsia" w:ascii="仿宋_GB2312" w:hAnsi="宋体" w:cs="宋体"/>
                <w:color w:val="000000" w:themeColor="text1"/>
                <w:sz w:val="24"/>
              </w:rPr>
              <w:t>备品备件</w:t>
            </w:r>
          </w:p>
        </w:tc>
        <w:tc>
          <w:tcPr>
            <w:tcW w:w="685" w:type="dxa"/>
            <w:vAlign w:val="center"/>
          </w:tcPr>
          <w:p>
            <w:pPr>
              <w:spacing w:line="300" w:lineRule="exact"/>
              <w:jc w:val="center"/>
              <w:rPr>
                <w:rFonts w:ascii="仿宋_GB2312" w:hAnsi="宋体" w:cs="宋体"/>
                <w:color w:val="000000" w:themeColor="text1"/>
                <w:sz w:val="24"/>
              </w:rPr>
            </w:pPr>
            <w:r>
              <w:rPr>
                <w:rFonts w:hint="eastAsia" w:ascii="仿宋_GB2312" w:hAnsi="宋体" w:cs="宋体"/>
                <w:color w:val="000000" w:themeColor="text1"/>
                <w:sz w:val="24"/>
              </w:rPr>
              <w:t>2</w:t>
            </w:r>
          </w:p>
        </w:tc>
        <w:tc>
          <w:tcPr>
            <w:tcW w:w="6075" w:type="dxa"/>
            <w:vAlign w:val="center"/>
          </w:tcPr>
          <w:p>
            <w:pPr>
              <w:spacing w:line="300" w:lineRule="exact"/>
              <w:rPr>
                <w:rFonts w:ascii="仿宋_GB2312" w:hAnsi="宋体" w:cs="宋体"/>
                <w:color w:val="000000" w:themeColor="text1"/>
                <w:sz w:val="24"/>
              </w:rPr>
            </w:pPr>
            <w:r>
              <w:rPr>
                <w:rFonts w:hint="eastAsia" w:ascii="仿宋_GB2312" w:hAnsi="宋体" w:cs="宋体"/>
                <w:color w:val="000000" w:themeColor="text1"/>
                <w:sz w:val="24"/>
              </w:rPr>
              <w:t>根据投标方提供的备品备件的数量、更换替代方案。（0</w:t>
            </w:r>
            <w:r>
              <w:rPr>
                <w:rFonts w:ascii="仿宋_GB2312" w:hAnsi="宋体" w:cs="宋体"/>
                <w:color w:val="000000" w:themeColor="text1"/>
                <w:sz w:val="24"/>
              </w:rPr>
              <w:t>-2</w:t>
            </w:r>
            <w:r>
              <w:rPr>
                <w:rFonts w:hint="eastAsia" w:ascii="仿宋_GB2312" w:hAnsi="宋体" w:cs="宋体"/>
                <w:color w:val="000000" w:themeColor="text1"/>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 w:hRule="atLeast"/>
          <w:jc w:val="center"/>
        </w:trPr>
        <w:tc>
          <w:tcPr>
            <w:tcW w:w="519" w:type="dxa"/>
            <w:vAlign w:val="center"/>
          </w:tcPr>
          <w:p>
            <w:pPr>
              <w:spacing w:line="300" w:lineRule="exact"/>
              <w:jc w:val="center"/>
              <w:rPr>
                <w:rFonts w:ascii="仿宋_GB2312" w:hAnsi="宋体" w:cs="宋体"/>
                <w:color w:val="000000" w:themeColor="text1"/>
                <w:sz w:val="24"/>
              </w:rPr>
            </w:pPr>
            <w:r>
              <w:rPr>
                <w:rFonts w:ascii="仿宋_GB2312" w:hAnsi="宋体" w:cs="宋体"/>
                <w:color w:val="000000" w:themeColor="text1"/>
                <w:sz w:val="24"/>
              </w:rPr>
              <w:t>8</w:t>
            </w:r>
          </w:p>
        </w:tc>
        <w:tc>
          <w:tcPr>
            <w:tcW w:w="1670" w:type="dxa"/>
            <w:gridSpan w:val="2"/>
            <w:vAlign w:val="center"/>
          </w:tcPr>
          <w:p>
            <w:pPr>
              <w:spacing w:line="300" w:lineRule="exact"/>
              <w:jc w:val="center"/>
              <w:rPr>
                <w:rFonts w:ascii="仿宋_GB2312" w:hAnsi="宋体" w:cs="宋体"/>
                <w:color w:val="000000" w:themeColor="text1"/>
                <w:sz w:val="24"/>
              </w:rPr>
            </w:pPr>
            <w:r>
              <w:rPr>
                <w:rFonts w:hint="eastAsia" w:ascii="仿宋_GB2312" w:hAnsi="宋体" w:cs="宋体"/>
                <w:color w:val="000000" w:themeColor="text1"/>
                <w:sz w:val="24"/>
              </w:rPr>
              <w:t>合理化建议</w:t>
            </w:r>
          </w:p>
        </w:tc>
        <w:tc>
          <w:tcPr>
            <w:tcW w:w="685" w:type="dxa"/>
            <w:vAlign w:val="center"/>
          </w:tcPr>
          <w:p>
            <w:pPr>
              <w:spacing w:line="300" w:lineRule="exact"/>
              <w:jc w:val="center"/>
              <w:rPr>
                <w:rFonts w:ascii="仿宋_GB2312" w:hAnsi="宋体" w:cs="宋体"/>
                <w:color w:val="000000" w:themeColor="text1"/>
                <w:sz w:val="24"/>
              </w:rPr>
            </w:pPr>
            <w:r>
              <w:rPr>
                <w:rFonts w:hint="eastAsia" w:ascii="仿宋_GB2312" w:hAnsi="宋体" w:cs="宋体"/>
                <w:color w:val="000000" w:themeColor="text1"/>
                <w:sz w:val="24"/>
              </w:rPr>
              <w:t>2</w:t>
            </w:r>
          </w:p>
        </w:tc>
        <w:tc>
          <w:tcPr>
            <w:tcW w:w="6075" w:type="dxa"/>
            <w:vAlign w:val="center"/>
          </w:tcPr>
          <w:p>
            <w:pPr>
              <w:spacing w:line="300" w:lineRule="exact"/>
              <w:rPr>
                <w:rFonts w:ascii="仿宋_GB2312" w:hAnsi="宋体" w:cs="宋体"/>
                <w:color w:val="000000" w:themeColor="text1"/>
                <w:sz w:val="24"/>
              </w:rPr>
            </w:pPr>
            <w:r>
              <w:rPr>
                <w:rFonts w:hint="eastAsia" w:ascii="仿宋_GB2312" w:hAnsi="宋体" w:cs="宋体"/>
                <w:color w:val="000000" w:themeColor="text1"/>
                <w:sz w:val="24"/>
              </w:rPr>
              <w:t>根据投标人根据本项目提出的合理化，包括在建设期和服务期建议提出的优惠条件和承诺情况和可实现程度等，合理化建议合理优秀可行的。（0</w:t>
            </w:r>
            <w:r>
              <w:rPr>
                <w:rFonts w:ascii="仿宋_GB2312" w:hAnsi="宋体" w:cs="宋体"/>
                <w:color w:val="000000" w:themeColor="text1"/>
                <w:sz w:val="24"/>
              </w:rPr>
              <w:t>-2</w:t>
            </w:r>
            <w:r>
              <w:rPr>
                <w:rFonts w:hint="eastAsia" w:ascii="仿宋_GB2312" w:hAnsi="宋体" w:cs="宋体"/>
                <w:color w:val="000000" w:themeColor="text1"/>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 w:hRule="atLeast"/>
          <w:jc w:val="center"/>
        </w:trPr>
        <w:tc>
          <w:tcPr>
            <w:tcW w:w="519" w:type="dxa"/>
            <w:vAlign w:val="center"/>
          </w:tcPr>
          <w:p>
            <w:pPr>
              <w:spacing w:line="300" w:lineRule="exact"/>
              <w:jc w:val="center"/>
              <w:rPr>
                <w:rFonts w:ascii="仿宋_GB2312" w:hAnsi="宋体" w:cs="宋体"/>
                <w:color w:val="000000" w:themeColor="text1"/>
                <w:sz w:val="24"/>
              </w:rPr>
            </w:pPr>
            <w:r>
              <w:rPr>
                <w:rFonts w:ascii="仿宋_GB2312" w:hAnsi="宋体" w:cs="宋体"/>
                <w:color w:val="000000" w:themeColor="text1"/>
                <w:sz w:val="24"/>
              </w:rPr>
              <w:t>9</w:t>
            </w:r>
          </w:p>
        </w:tc>
        <w:tc>
          <w:tcPr>
            <w:tcW w:w="1670" w:type="dxa"/>
            <w:gridSpan w:val="2"/>
            <w:vAlign w:val="center"/>
          </w:tcPr>
          <w:p>
            <w:pPr>
              <w:spacing w:line="300" w:lineRule="exact"/>
              <w:jc w:val="center"/>
              <w:rPr>
                <w:rFonts w:ascii="仿宋_GB2312" w:hAnsi="宋体" w:cs="宋体"/>
                <w:bCs/>
                <w:color w:val="000000" w:themeColor="text1"/>
                <w:sz w:val="24"/>
              </w:rPr>
            </w:pPr>
            <w:r>
              <w:rPr>
                <w:rFonts w:hint="eastAsia" w:ascii="仿宋_GB2312" w:hAnsi="宋体" w:cs="宋体"/>
                <w:color w:val="000000" w:themeColor="text1"/>
                <w:sz w:val="24"/>
              </w:rPr>
              <w:t>政策分</w:t>
            </w:r>
          </w:p>
        </w:tc>
        <w:tc>
          <w:tcPr>
            <w:tcW w:w="685" w:type="dxa"/>
            <w:vAlign w:val="center"/>
          </w:tcPr>
          <w:p>
            <w:pPr>
              <w:spacing w:line="300" w:lineRule="exact"/>
              <w:jc w:val="center"/>
              <w:rPr>
                <w:rFonts w:ascii="仿宋_GB2312" w:hAnsi="宋体" w:cs="宋体"/>
                <w:color w:val="000000" w:themeColor="text1"/>
                <w:sz w:val="24"/>
              </w:rPr>
            </w:pPr>
            <w:r>
              <w:rPr>
                <w:rFonts w:hint="eastAsia" w:ascii="仿宋_GB2312" w:hAnsi="宋体" w:cs="宋体"/>
                <w:color w:val="000000" w:themeColor="text1"/>
                <w:sz w:val="24"/>
              </w:rPr>
              <w:t>2</w:t>
            </w:r>
          </w:p>
        </w:tc>
        <w:tc>
          <w:tcPr>
            <w:tcW w:w="6075" w:type="dxa"/>
            <w:vAlign w:val="center"/>
          </w:tcPr>
          <w:p>
            <w:pPr>
              <w:spacing w:line="300" w:lineRule="exact"/>
              <w:rPr>
                <w:rFonts w:ascii="仿宋_GB2312" w:hAnsi="宋体" w:cs="宋体"/>
                <w:color w:val="000000" w:themeColor="text1"/>
                <w:sz w:val="24"/>
              </w:rPr>
            </w:pPr>
            <w:r>
              <w:rPr>
                <w:rFonts w:hint="eastAsia" w:ascii="仿宋_GB2312" w:hAnsi="宋体" w:cs="宋体"/>
                <w:color w:val="000000" w:themeColor="text1"/>
                <w:sz w:val="24"/>
              </w:rPr>
              <w:t>投标人或投标产品符合《政府采购货物和服务招标投标管理办法》第五条规定，属“扶持不发达地区和少数民族地区等”政府采购政策扶持对象的，提供相关证明材料和政策依据，每符合一项得0.5分，最高可得2分；未提供相关证明材料的不得分。（提供相关证明材料和政策依据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 w:hRule="atLeast"/>
          <w:jc w:val="center"/>
        </w:trPr>
        <w:tc>
          <w:tcPr>
            <w:tcW w:w="519" w:type="dxa"/>
            <w:vAlign w:val="center"/>
          </w:tcPr>
          <w:p>
            <w:pPr>
              <w:spacing w:line="300" w:lineRule="exact"/>
              <w:jc w:val="center"/>
              <w:rPr>
                <w:rFonts w:ascii="仿宋_GB2312" w:hAnsi="宋体" w:cs="宋体"/>
                <w:color w:val="000000" w:themeColor="text1"/>
                <w:sz w:val="24"/>
              </w:rPr>
            </w:pPr>
            <w:r>
              <w:rPr>
                <w:rFonts w:ascii="仿宋_GB2312" w:hAnsi="宋体" w:cs="宋体"/>
                <w:color w:val="000000" w:themeColor="text1"/>
                <w:sz w:val="24"/>
              </w:rPr>
              <w:t>10</w:t>
            </w:r>
          </w:p>
        </w:tc>
        <w:tc>
          <w:tcPr>
            <w:tcW w:w="1670" w:type="dxa"/>
            <w:gridSpan w:val="2"/>
            <w:vAlign w:val="center"/>
          </w:tcPr>
          <w:p>
            <w:pPr>
              <w:spacing w:line="300" w:lineRule="exact"/>
              <w:jc w:val="center"/>
              <w:rPr>
                <w:rFonts w:ascii="仿宋_GB2312" w:hAnsi="宋体" w:cs="宋体"/>
                <w:bCs/>
                <w:color w:val="000000" w:themeColor="text1"/>
                <w:sz w:val="24"/>
              </w:rPr>
            </w:pPr>
            <w:r>
              <w:rPr>
                <w:rFonts w:hint="eastAsia" w:ascii="仿宋_GB2312" w:hAnsi="宋体" w:cs="宋体"/>
                <w:color w:val="000000" w:themeColor="text1"/>
                <w:sz w:val="24"/>
              </w:rPr>
              <w:t>投标文件质量</w:t>
            </w:r>
          </w:p>
        </w:tc>
        <w:tc>
          <w:tcPr>
            <w:tcW w:w="685" w:type="dxa"/>
            <w:vAlign w:val="center"/>
          </w:tcPr>
          <w:p>
            <w:pPr>
              <w:spacing w:line="300" w:lineRule="exact"/>
              <w:jc w:val="center"/>
              <w:rPr>
                <w:rFonts w:ascii="仿宋_GB2312" w:hAnsi="宋体" w:cs="宋体"/>
                <w:bCs/>
                <w:color w:val="000000" w:themeColor="text1"/>
                <w:sz w:val="24"/>
              </w:rPr>
            </w:pPr>
            <w:r>
              <w:rPr>
                <w:rFonts w:hint="eastAsia" w:ascii="仿宋_GB2312" w:hAnsi="宋体" w:cs="宋体"/>
                <w:bCs/>
                <w:color w:val="000000" w:themeColor="text1"/>
                <w:sz w:val="24"/>
              </w:rPr>
              <w:t>2</w:t>
            </w:r>
          </w:p>
        </w:tc>
        <w:tc>
          <w:tcPr>
            <w:tcW w:w="6075" w:type="dxa"/>
            <w:vAlign w:val="center"/>
          </w:tcPr>
          <w:p>
            <w:pPr>
              <w:spacing w:line="300" w:lineRule="exact"/>
              <w:rPr>
                <w:rFonts w:ascii="仿宋_GB2312" w:hAnsi="宋体" w:cs="宋体"/>
                <w:bCs/>
                <w:color w:val="000000" w:themeColor="text1"/>
                <w:sz w:val="24"/>
              </w:rPr>
            </w:pPr>
            <w:r>
              <w:rPr>
                <w:rFonts w:hint="eastAsia" w:ascii="仿宋_GB2312" w:hAnsi="宋体" w:cs="宋体"/>
                <w:color w:val="000000" w:themeColor="text1"/>
                <w:sz w:val="24"/>
              </w:rPr>
              <w:t>投标文件制作：投标文件编制完整，格式规范、装订整齐、符合招标文件要求的，得2分；投标文件有关内容前后矛盾、与招标文件要求不一致、存在错漏的，每项（次）扣0.2分最多扣2分。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 w:hRule="atLeast"/>
          <w:jc w:val="center"/>
        </w:trPr>
        <w:tc>
          <w:tcPr>
            <w:tcW w:w="519" w:type="dxa"/>
            <w:vAlign w:val="center"/>
          </w:tcPr>
          <w:p>
            <w:pPr>
              <w:spacing w:line="300" w:lineRule="exact"/>
              <w:jc w:val="center"/>
              <w:rPr>
                <w:rFonts w:ascii="仿宋_GB2312" w:hAnsi="宋体" w:cs="宋体"/>
                <w:bCs/>
                <w:color w:val="000000" w:themeColor="text1"/>
                <w:sz w:val="24"/>
              </w:rPr>
            </w:pPr>
            <w:r>
              <w:rPr>
                <w:rFonts w:ascii="仿宋_GB2312" w:hAnsi="宋体" w:cs="宋体"/>
                <w:bCs/>
                <w:color w:val="000000" w:themeColor="text1"/>
                <w:sz w:val="24"/>
              </w:rPr>
              <w:t>11</w:t>
            </w:r>
          </w:p>
        </w:tc>
        <w:tc>
          <w:tcPr>
            <w:tcW w:w="1670" w:type="dxa"/>
            <w:gridSpan w:val="2"/>
            <w:vAlign w:val="center"/>
          </w:tcPr>
          <w:p>
            <w:pPr>
              <w:spacing w:line="300" w:lineRule="exact"/>
              <w:jc w:val="center"/>
              <w:rPr>
                <w:rFonts w:ascii="仿宋_GB2312" w:hAnsi="宋体" w:cs="宋体"/>
                <w:bCs/>
                <w:color w:val="000000" w:themeColor="text1"/>
                <w:sz w:val="24"/>
              </w:rPr>
            </w:pPr>
            <w:r>
              <w:rPr>
                <w:rFonts w:hint="eastAsia" w:ascii="仿宋_GB2312" w:hAnsi="宋体" w:cs="宋体"/>
                <w:bCs/>
                <w:color w:val="000000" w:themeColor="text1"/>
                <w:sz w:val="24"/>
              </w:rPr>
              <w:t>合计</w:t>
            </w:r>
          </w:p>
        </w:tc>
        <w:tc>
          <w:tcPr>
            <w:tcW w:w="685" w:type="dxa"/>
            <w:vAlign w:val="center"/>
          </w:tcPr>
          <w:p>
            <w:pPr>
              <w:spacing w:line="300" w:lineRule="exact"/>
              <w:jc w:val="center"/>
              <w:rPr>
                <w:rFonts w:ascii="仿宋_GB2312" w:hAnsi="宋体" w:cs="宋体"/>
                <w:bCs/>
                <w:color w:val="000000" w:themeColor="text1"/>
                <w:sz w:val="24"/>
              </w:rPr>
            </w:pPr>
            <w:r>
              <w:rPr>
                <w:rFonts w:hint="eastAsia" w:ascii="仿宋_GB2312" w:hAnsi="宋体" w:cs="宋体"/>
                <w:bCs/>
                <w:color w:val="000000" w:themeColor="text1"/>
                <w:sz w:val="24"/>
              </w:rPr>
              <w:t>70</w:t>
            </w:r>
          </w:p>
        </w:tc>
        <w:tc>
          <w:tcPr>
            <w:tcW w:w="6075" w:type="dxa"/>
            <w:vAlign w:val="center"/>
          </w:tcPr>
          <w:p>
            <w:pPr>
              <w:spacing w:line="300" w:lineRule="exact"/>
              <w:jc w:val="center"/>
              <w:rPr>
                <w:rFonts w:ascii="仿宋_GB2312" w:hAnsi="宋体" w:cs="宋体"/>
                <w:bCs/>
                <w:color w:val="000000" w:themeColor="text1"/>
                <w:sz w:val="24"/>
              </w:rPr>
            </w:pPr>
          </w:p>
        </w:tc>
      </w:tr>
    </w:tbl>
    <w:p>
      <w:pPr>
        <w:pStyle w:val="42"/>
        <w:shd w:val="clear" w:color="auto" w:fill="FFFFFF"/>
        <w:spacing w:before="50" w:after="50" w:line="400" w:lineRule="exact"/>
        <w:ind w:firstLine="482" w:firstLineChars="200"/>
        <w:rPr>
          <w:b/>
          <w:color w:val="000000" w:themeColor="text1"/>
        </w:rPr>
      </w:pPr>
    </w:p>
    <w:p>
      <w:pPr>
        <w:numPr>
          <w:ilvl w:val="0"/>
          <w:numId w:val="6"/>
        </w:numPr>
        <w:tabs>
          <w:tab w:val="left" w:pos="430"/>
        </w:tabs>
        <w:spacing w:beforeLines="50" w:afterLines="50" w:line="240" w:lineRule="exact"/>
        <w:ind w:firstLine="453" w:firstLineChars="161"/>
        <w:rPr>
          <w:rFonts w:ascii="宋体" w:hAnsi="宋体"/>
          <w:b/>
          <w:color w:val="000000" w:themeColor="text1"/>
          <w:sz w:val="28"/>
          <w:szCs w:val="28"/>
        </w:rPr>
      </w:pPr>
      <w:r>
        <w:rPr>
          <w:rFonts w:hint="eastAsia" w:ascii="宋体" w:hAnsi="宋体"/>
          <w:b/>
          <w:color w:val="000000" w:themeColor="text1"/>
          <w:sz w:val="28"/>
          <w:szCs w:val="28"/>
        </w:rPr>
        <w:tab/>
      </w:r>
      <w:r>
        <w:rPr>
          <w:rFonts w:hint="eastAsia" w:ascii="宋体" w:hAnsi="宋体"/>
          <w:b/>
          <w:color w:val="000000" w:themeColor="text1"/>
          <w:sz w:val="28"/>
          <w:szCs w:val="28"/>
        </w:rPr>
        <w:t>技术、资信及商务分的计算</w:t>
      </w:r>
    </w:p>
    <w:p>
      <w:pPr>
        <w:spacing w:beforeLines="50" w:afterLines="50" w:line="400" w:lineRule="exact"/>
        <w:ind w:firstLine="480" w:firstLineChars="200"/>
        <w:jc w:val="left"/>
        <w:rPr>
          <w:rFonts w:ascii="宋体" w:hAnsi="宋体"/>
          <w:color w:val="000000" w:themeColor="text1"/>
          <w:sz w:val="24"/>
        </w:rPr>
      </w:pPr>
      <w:r>
        <w:rPr>
          <w:rFonts w:hint="eastAsia" w:ascii="宋体" w:hAnsi="宋体"/>
          <w:color w:val="000000" w:themeColor="text1"/>
          <w:sz w:val="24"/>
        </w:rPr>
        <w:t>技术、资信及商务分按照评标委员会成员的独立评分结果汇总数、算术平均分计算，</w:t>
      </w:r>
    </w:p>
    <w:p>
      <w:pPr>
        <w:spacing w:beforeLines="50" w:afterLines="50" w:line="400" w:lineRule="exact"/>
        <w:ind w:firstLine="480" w:firstLineChars="200"/>
        <w:jc w:val="center"/>
        <w:rPr>
          <w:rFonts w:ascii="宋体" w:hAnsi="宋体"/>
          <w:color w:val="000000" w:themeColor="text1"/>
          <w:sz w:val="24"/>
        </w:rPr>
      </w:pPr>
      <w:r>
        <w:rPr>
          <w:rFonts w:hint="eastAsia" w:ascii="宋体" w:hAnsi="宋体"/>
          <w:color w:val="000000" w:themeColor="text1"/>
          <w:sz w:val="24"/>
        </w:rPr>
        <w:t>计算公式为：技术、资信及商务得分=（评标委员会所有成员评分合计数）/（评标委员会组成人员数）</w:t>
      </w:r>
      <w:r>
        <w:rPr>
          <w:rFonts w:hint="eastAsia" w:ascii="宋体" w:hAnsi="宋体"/>
          <w:color w:val="000000" w:themeColor="text1"/>
          <w:sz w:val="24"/>
        </w:rPr>
        <w:br w:type="page"/>
      </w:r>
      <w:r>
        <w:rPr>
          <w:rFonts w:hint="eastAsia" w:ascii="黑体" w:hAnsi="宋体" w:eastAsia="黑体"/>
          <w:color w:val="000000" w:themeColor="text1"/>
          <w:sz w:val="30"/>
          <w:szCs w:val="30"/>
        </w:rPr>
        <w:t xml:space="preserve">第五章  </w:t>
      </w:r>
      <w:r>
        <w:rPr>
          <w:rFonts w:hint="eastAsia" w:ascii="黑体" w:hAnsi="宋体" w:eastAsia="黑体"/>
          <w:bCs/>
          <w:color w:val="000000" w:themeColor="text1"/>
          <w:sz w:val="30"/>
          <w:szCs w:val="30"/>
        </w:rPr>
        <w:t>合同主要条款</w:t>
      </w:r>
    </w:p>
    <w:p>
      <w:pPr>
        <w:adjustRightInd w:val="0"/>
        <w:jc w:val="center"/>
        <w:rPr>
          <w:rFonts w:ascii="宋体" w:hAnsi="宋体"/>
          <w:bCs/>
          <w:color w:val="000000" w:themeColor="text1"/>
          <w:sz w:val="24"/>
        </w:rPr>
      </w:pPr>
      <w:r>
        <w:rPr>
          <w:rFonts w:hint="eastAsia" w:ascii="宋体" w:hAnsi="宋体"/>
          <w:bCs/>
          <w:color w:val="000000" w:themeColor="text1"/>
          <w:sz w:val="24"/>
        </w:rPr>
        <w:t>(货物类可普遍适用,服务类普遍适用困难)</w:t>
      </w:r>
    </w:p>
    <w:p>
      <w:pPr>
        <w:snapToGrid w:val="0"/>
        <w:spacing w:beforeLines="50" w:afterLines="50"/>
        <w:jc w:val="center"/>
        <w:rPr>
          <w:rFonts w:ascii="宋体" w:hAnsi="宋体"/>
          <w:b/>
          <w:bCs/>
          <w:color w:val="000000" w:themeColor="text1"/>
          <w:sz w:val="36"/>
          <w:szCs w:val="20"/>
        </w:rPr>
      </w:pPr>
    </w:p>
    <w:p>
      <w:pPr>
        <w:snapToGrid w:val="0"/>
        <w:spacing w:beforeLines="50" w:afterLines="50"/>
        <w:jc w:val="center"/>
        <w:outlineLvl w:val="0"/>
        <w:rPr>
          <w:rFonts w:ascii="宋体" w:hAnsi="宋体"/>
          <w:b/>
          <w:bCs/>
          <w:color w:val="000000" w:themeColor="text1"/>
          <w:sz w:val="30"/>
          <w:szCs w:val="20"/>
        </w:rPr>
      </w:pPr>
      <w:r>
        <w:rPr>
          <w:rFonts w:hint="eastAsia" w:ascii="宋体" w:hAnsi="宋体"/>
          <w:b/>
          <w:color w:val="000000" w:themeColor="text1"/>
          <w:sz w:val="30"/>
        </w:rPr>
        <w:t>浙江省政府采购合同指引（货物）</w:t>
      </w:r>
    </w:p>
    <w:p>
      <w:pPr>
        <w:pStyle w:val="25"/>
        <w:snapToGrid w:val="0"/>
        <w:spacing w:before="120" w:after="120" w:line="240" w:lineRule="auto"/>
        <w:rPr>
          <w:rFonts w:hAnsi="宋体"/>
          <w:color w:val="000000" w:themeColor="text1"/>
        </w:rPr>
      </w:pPr>
      <w:r>
        <w:rPr>
          <w:rFonts w:hAnsi="宋体"/>
          <w:color w:val="000000" w:themeColor="text1"/>
        </w:rPr>
        <w:t>项目名称：                                       项目编号：</w:t>
      </w:r>
    </w:p>
    <w:p>
      <w:pPr>
        <w:pStyle w:val="25"/>
        <w:snapToGrid w:val="0"/>
        <w:spacing w:before="120" w:after="120" w:line="240" w:lineRule="auto"/>
        <w:rPr>
          <w:rFonts w:hAnsi="宋体"/>
          <w:color w:val="000000" w:themeColor="text1"/>
        </w:rPr>
      </w:pPr>
      <w:r>
        <w:rPr>
          <w:rFonts w:hAnsi="宋体"/>
          <w:color w:val="000000" w:themeColor="text1"/>
        </w:rPr>
        <w:t>甲方：（买方）</w:t>
      </w:r>
    </w:p>
    <w:p>
      <w:pPr>
        <w:pStyle w:val="25"/>
        <w:snapToGrid w:val="0"/>
        <w:spacing w:before="120" w:after="120" w:line="240" w:lineRule="auto"/>
        <w:rPr>
          <w:rFonts w:hAnsi="宋体"/>
          <w:color w:val="000000" w:themeColor="text1"/>
        </w:rPr>
      </w:pPr>
      <w:r>
        <w:rPr>
          <w:rFonts w:hAnsi="宋体"/>
          <w:color w:val="000000" w:themeColor="text1"/>
        </w:rPr>
        <w:t>乙方：（卖方）</w:t>
      </w:r>
    </w:p>
    <w:p>
      <w:pPr>
        <w:pStyle w:val="25"/>
        <w:snapToGrid w:val="0"/>
        <w:spacing w:before="120" w:after="120" w:line="240" w:lineRule="auto"/>
        <w:rPr>
          <w:rFonts w:hAnsi="宋体"/>
          <w:b/>
          <w:color w:val="000000" w:themeColor="text1"/>
        </w:rPr>
      </w:pPr>
      <w:r>
        <w:rPr>
          <w:rFonts w:hAnsi="宋体"/>
          <w:color w:val="000000" w:themeColor="text1"/>
        </w:rPr>
        <w:t>甲、乙双方根据</w:t>
      </w:r>
      <w:r>
        <w:rPr>
          <w:rFonts w:hAnsi="宋体"/>
          <w:color w:val="000000" w:themeColor="text1"/>
          <w:u w:val="single"/>
        </w:rPr>
        <w:t>金华市政府采购中心关于 单位        项目公开招标的</w:t>
      </w:r>
      <w:r>
        <w:rPr>
          <w:rFonts w:hAnsi="宋体"/>
          <w:color w:val="000000" w:themeColor="text1"/>
        </w:rPr>
        <w:t>结果，签署本合同。</w:t>
      </w:r>
    </w:p>
    <w:p>
      <w:pPr>
        <w:pStyle w:val="25"/>
        <w:snapToGrid w:val="0"/>
        <w:spacing w:before="120" w:after="120" w:line="240" w:lineRule="auto"/>
        <w:rPr>
          <w:rFonts w:hAnsi="宋体"/>
          <w:b/>
          <w:color w:val="000000" w:themeColor="text1"/>
        </w:rPr>
      </w:pPr>
      <w:r>
        <w:rPr>
          <w:rFonts w:hAnsi="宋体"/>
          <w:b/>
          <w:color w:val="000000" w:themeColor="text1"/>
        </w:rPr>
        <w:t>一、货物内容</w:t>
      </w:r>
    </w:p>
    <w:p>
      <w:pPr>
        <w:pStyle w:val="25"/>
        <w:snapToGrid w:val="0"/>
        <w:spacing w:before="120" w:after="120" w:line="240" w:lineRule="auto"/>
        <w:rPr>
          <w:rFonts w:hAnsi="宋体"/>
          <w:color w:val="000000" w:themeColor="text1"/>
        </w:rPr>
      </w:pPr>
      <w:r>
        <w:rPr>
          <w:rFonts w:hAnsi="宋体"/>
          <w:color w:val="000000" w:themeColor="text1"/>
        </w:rPr>
        <w:t>1. 货物名称：</w:t>
      </w:r>
    </w:p>
    <w:p>
      <w:pPr>
        <w:pStyle w:val="25"/>
        <w:snapToGrid w:val="0"/>
        <w:spacing w:before="120" w:after="120" w:line="240" w:lineRule="auto"/>
        <w:rPr>
          <w:rFonts w:hAnsi="宋体"/>
          <w:color w:val="000000" w:themeColor="text1"/>
        </w:rPr>
      </w:pPr>
      <w:r>
        <w:rPr>
          <w:rFonts w:hint="eastAsia" w:hAnsi="宋体"/>
          <w:color w:val="000000" w:themeColor="text1"/>
        </w:rPr>
        <w:t>2</w:t>
      </w:r>
      <w:r>
        <w:rPr>
          <w:rFonts w:hAnsi="宋体"/>
          <w:color w:val="000000" w:themeColor="text1"/>
        </w:rPr>
        <w:t>. 型号规格：</w:t>
      </w:r>
    </w:p>
    <w:p>
      <w:pPr>
        <w:pStyle w:val="25"/>
        <w:snapToGrid w:val="0"/>
        <w:spacing w:before="120" w:after="120" w:line="240" w:lineRule="auto"/>
        <w:rPr>
          <w:rFonts w:hAnsi="宋体"/>
          <w:color w:val="000000" w:themeColor="text1"/>
        </w:rPr>
      </w:pPr>
      <w:r>
        <w:rPr>
          <w:rFonts w:hint="eastAsia" w:hAnsi="宋体"/>
          <w:color w:val="000000" w:themeColor="text1"/>
        </w:rPr>
        <w:t>3</w:t>
      </w:r>
      <w:r>
        <w:rPr>
          <w:rFonts w:hAnsi="宋体"/>
          <w:color w:val="000000" w:themeColor="text1"/>
        </w:rPr>
        <w:t>. 技术参数：</w:t>
      </w:r>
    </w:p>
    <w:p>
      <w:pPr>
        <w:pStyle w:val="25"/>
        <w:snapToGrid w:val="0"/>
        <w:spacing w:before="120" w:after="120" w:line="240" w:lineRule="auto"/>
        <w:rPr>
          <w:rFonts w:hAnsi="宋体"/>
          <w:color w:val="000000" w:themeColor="text1"/>
        </w:rPr>
      </w:pPr>
      <w:r>
        <w:rPr>
          <w:rFonts w:hAnsi="宋体"/>
          <w:color w:val="000000" w:themeColor="text1"/>
        </w:rPr>
        <w:t>4</w:t>
      </w:r>
      <w:r>
        <w:rPr>
          <w:rFonts w:hint="eastAsia" w:hAnsi="宋体"/>
          <w:color w:val="000000" w:themeColor="text1"/>
        </w:rPr>
        <w:t>.</w:t>
      </w:r>
      <w:r>
        <w:rPr>
          <w:rFonts w:hAnsi="宋体"/>
          <w:color w:val="000000" w:themeColor="text1"/>
        </w:rPr>
        <w:t xml:space="preserve"> 数量（单位）：</w:t>
      </w:r>
    </w:p>
    <w:p>
      <w:pPr>
        <w:pStyle w:val="25"/>
        <w:snapToGrid w:val="0"/>
        <w:spacing w:before="120" w:after="120" w:line="240" w:lineRule="auto"/>
        <w:rPr>
          <w:rFonts w:hAnsi="宋体"/>
          <w:b/>
          <w:color w:val="000000" w:themeColor="text1"/>
        </w:rPr>
      </w:pPr>
      <w:r>
        <w:rPr>
          <w:rFonts w:hAnsi="宋体"/>
          <w:b/>
          <w:color w:val="000000" w:themeColor="text1"/>
        </w:rPr>
        <w:t>二、合同金额</w:t>
      </w:r>
    </w:p>
    <w:p>
      <w:pPr>
        <w:pStyle w:val="25"/>
        <w:snapToGrid w:val="0"/>
        <w:spacing w:before="120" w:after="120" w:line="240" w:lineRule="auto"/>
        <w:ind w:left="410" w:hanging="410" w:hangingChars="171"/>
        <w:rPr>
          <w:rFonts w:hAnsi="宋体"/>
          <w:color w:val="000000" w:themeColor="text1"/>
        </w:rPr>
      </w:pPr>
      <w:r>
        <w:rPr>
          <w:rFonts w:hAnsi="宋体"/>
          <w:color w:val="000000" w:themeColor="text1"/>
        </w:rPr>
        <w:t xml:space="preserve"> 本合同金额为（大写）：___________________元（￥___________元）人民币。</w:t>
      </w:r>
    </w:p>
    <w:p>
      <w:pPr>
        <w:pStyle w:val="25"/>
        <w:snapToGrid w:val="0"/>
        <w:spacing w:before="120" w:after="120" w:line="240" w:lineRule="auto"/>
        <w:rPr>
          <w:rFonts w:hAnsi="宋体"/>
          <w:b/>
          <w:color w:val="000000" w:themeColor="text1"/>
        </w:rPr>
      </w:pPr>
      <w:r>
        <w:rPr>
          <w:rFonts w:hAnsi="宋体"/>
          <w:b/>
          <w:color w:val="000000" w:themeColor="text1"/>
        </w:rPr>
        <w:t>三、技术资料</w:t>
      </w:r>
    </w:p>
    <w:p>
      <w:pPr>
        <w:pStyle w:val="25"/>
        <w:snapToGrid w:val="0"/>
        <w:spacing w:before="120" w:after="120" w:line="240" w:lineRule="auto"/>
        <w:ind w:left="410" w:hanging="410" w:hangingChars="171"/>
        <w:rPr>
          <w:rFonts w:hAnsi="宋体"/>
          <w:color w:val="000000" w:themeColor="text1"/>
        </w:rPr>
      </w:pPr>
      <w:r>
        <w:rPr>
          <w:rFonts w:hAnsi="宋体"/>
          <w:color w:val="000000" w:themeColor="text1"/>
        </w:rPr>
        <w:t>1</w:t>
      </w:r>
      <w:r>
        <w:rPr>
          <w:rFonts w:hint="eastAsia" w:hAnsi="宋体"/>
          <w:color w:val="000000" w:themeColor="text1"/>
        </w:rPr>
        <w:t>.</w:t>
      </w:r>
      <w:r>
        <w:rPr>
          <w:rFonts w:hAnsi="宋体"/>
          <w:color w:val="000000" w:themeColor="text1"/>
        </w:rPr>
        <w:t>乙方应按招标文件规定的时间向甲方提供使用货物的有关技术资料。</w:t>
      </w:r>
    </w:p>
    <w:p>
      <w:pPr>
        <w:pStyle w:val="25"/>
        <w:snapToGrid w:val="0"/>
        <w:spacing w:before="120" w:after="120" w:line="240" w:lineRule="auto"/>
        <w:ind w:left="410" w:hanging="410" w:hangingChars="171"/>
        <w:rPr>
          <w:rFonts w:hAnsi="宋体"/>
          <w:color w:val="000000" w:themeColor="text1"/>
        </w:rPr>
      </w:pPr>
      <w:r>
        <w:rPr>
          <w:rFonts w:hAnsi="宋体"/>
          <w:color w:val="000000" w:themeColor="text1"/>
        </w:rPr>
        <w:t>2</w:t>
      </w:r>
      <w:r>
        <w:rPr>
          <w:rFonts w:hint="eastAsia" w:hAnsi="宋体"/>
          <w:color w:val="000000" w:themeColor="text1"/>
        </w:rPr>
        <w:t>.</w:t>
      </w:r>
      <w:r>
        <w:rPr>
          <w:rFonts w:hAnsi="宋体"/>
          <w:color w:val="000000" w:themeColor="text1"/>
        </w:rPr>
        <w:t xml:space="preserve">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25"/>
        <w:snapToGrid w:val="0"/>
        <w:spacing w:before="120" w:after="120" w:line="240" w:lineRule="auto"/>
        <w:ind w:left="412" w:hanging="412" w:hangingChars="171"/>
        <w:rPr>
          <w:rFonts w:hAnsi="宋体"/>
          <w:b/>
          <w:color w:val="000000" w:themeColor="text1"/>
        </w:rPr>
      </w:pPr>
      <w:r>
        <w:rPr>
          <w:rFonts w:hAnsi="宋体"/>
          <w:b/>
          <w:color w:val="000000" w:themeColor="text1"/>
        </w:rPr>
        <w:t>四、知识产权</w:t>
      </w:r>
    </w:p>
    <w:p>
      <w:pPr>
        <w:pStyle w:val="25"/>
        <w:snapToGrid w:val="0"/>
        <w:spacing w:before="120" w:after="120" w:line="240" w:lineRule="auto"/>
        <w:rPr>
          <w:rFonts w:hAnsi="宋体"/>
          <w:bCs/>
          <w:color w:val="000000" w:themeColor="text1"/>
        </w:rPr>
      </w:pPr>
      <w:r>
        <w:rPr>
          <w:rFonts w:hAnsi="宋体"/>
          <w:color w:val="000000" w:themeColor="text1"/>
        </w:rPr>
        <w:t>乙方应保证所提供的货物或其任何一部分均不会侵犯任何第三方的知识产权</w:t>
      </w:r>
      <w:r>
        <w:rPr>
          <w:rFonts w:hAnsi="宋体"/>
          <w:bCs/>
          <w:color w:val="000000" w:themeColor="text1"/>
        </w:rPr>
        <w:t>。</w:t>
      </w:r>
    </w:p>
    <w:p>
      <w:pPr>
        <w:pStyle w:val="25"/>
        <w:snapToGrid w:val="0"/>
        <w:spacing w:before="120" w:after="120" w:line="240" w:lineRule="auto"/>
        <w:rPr>
          <w:rFonts w:hAnsi="宋体"/>
          <w:color w:val="000000" w:themeColor="text1"/>
          <w:u w:val="single"/>
        </w:rPr>
      </w:pPr>
      <w:r>
        <w:rPr>
          <w:rFonts w:hAnsi="宋体"/>
          <w:b/>
          <w:color w:val="000000" w:themeColor="text1"/>
        </w:rPr>
        <w:t>五、产权担保</w:t>
      </w:r>
    </w:p>
    <w:p>
      <w:pPr>
        <w:pStyle w:val="25"/>
        <w:snapToGrid w:val="0"/>
        <w:spacing w:before="120" w:after="120" w:line="240" w:lineRule="auto"/>
        <w:ind w:left="408" w:hanging="408" w:hangingChars="170"/>
        <w:rPr>
          <w:rFonts w:hAnsi="宋体"/>
          <w:color w:val="000000" w:themeColor="text1"/>
          <w:u w:val="single"/>
        </w:rPr>
      </w:pPr>
      <w:r>
        <w:rPr>
          <w:rFonts w:hAnsi="宋体"/>
          <w:color w:val="000000" w:themeColor="text1"/>
        </w:rPr>
        <w:t>乙方保证所交付的货物的所有权完全属于乙方且无任何抵押、查封等产权瑕疵。</w:t>
      </w:r>
    </w:p>
    <w:p>
      <w:pPr>
        <w:pStyle w:val="25"/>
        <w:snapToGrid w:val="0"/>
        <w:spacing w:before="120" w:after="120" w:line="240" w:lineRule="auto"/>
        <w:ind w:left="410" w:hanging="410" w:hangingChars="170"/>
        <w:rPr>
          <w:rFonts w:hAnsi="宋体"/>
          <w:b/>
          <w:color w:val="000000" w:themeColor="text1"/>
        </w:rPr>
      </w:pPr>
      <w:r>
        <w:rPr>
          <w:rFonts w:hAnsi="宋体"/>
          <w:b/>
          <w:color w:val="000000" w:themeColor="text1"/>
        </w:rPr>
        <w:t>六、履约保证金</w:t>
      </w:r>
    </w:p>
    <w:p>
      <w:pPr>
        <w:pStyle w:val="25"/>
        <w:snapToGrid w:val="0"/>
        <w:spacing w:before="120" w:after="120" w:line="240" w:lineRule="auto"/>
        <w:ind w:left="408" w:hanging="408" w:hangingChars="170"/>
        <w:rPr>
          <w:rFonts w:hAnsi="宋体"/>
          <w:color w:val="000000" w:themeColor="text1"/>
        </w:rPr>
      </w:pPr>
      <w:r>
        <w:rPr>
          <w:rFonts w:hAnsi="宋体"/>
          <w:color w:val="000000" w:themeColor="text1"/>
        </w:rPr>
        <w:t>乙方交纳人民币</w:t>
      </w:r>
      <w:r>
        <w:rPr>
          <w:rFonts w:hAnsi="宋体"/>
          <w:b/>
          <w:color w:val="000000" w:themeColor="text1"/>
        </w:rPr>
        <w:t>△</w:t>
      </w:r>
      <w:r>
        <w:rPr>
          <w:rFonts w:hAnsi="宋体"/>
          <w:color w:val="000000" w:themeColor="text1"/>
        </w:rPr>
        <w:t>元作为本合同的履约保证金。</w:t>
      </w:r>
    </w:p>
    <w:p>
      <w:pPr>
        <w:pStyle w:val="25"/>
        <w:snapToGrid w:val="0"/>
        <w:spacing w:before="120" w:after="120" w:line="240" w:lineRule="auto"/>
        <w:ind w:left="410" w:hanging="410" w:hangingChars="170"/>
        <w:rPr>
          <w:rFonts w:hAnsi="宋体"/>
          <w:b/>
          <w:color w:val="000000" w:themeColor="text1"/>
        </w:rPr>
      </w:pPr>
      <w:r>
        <w:rPr>
          <w:rFonts w:hint="eastAsia" w:hAnsi="宋体"/>
          <w:b/>
          <w:color w:val="000000" w:themeColor="text1"/>
        </w:rPr>
        <w:t>七、转包或分包</w:t>
      </w:r>
    </w:p>
    <w:p>
      <w:pPr>
        <w:snapToGrid w:val="0"/>
        <w:spacing w:beforeLines="50" w:afterLines="50"/>
        <w:rPr>
          <w:rFonts w:ascii="宋体" w:hAnsi="宋体"/>
          <w:color w:val="000000" w:themeColor="text1"/>
          <w:sz w:val="24"/>
        </w:rPr>
      </w:pPr>
      <w:r>
        <w:rPr>
          <w:rFonts w:ascii="宋体" w:hAnsi="宋体"/>
          <w:color w:val="000000" w:themeColor="text1"/>
          <w:sz w:val="24"/>
        </w:rPr>
        <w:t>1</w:t>
      </w:r>
      <w:r>
        <w:rPr>
          <w:rFonts w:hint="eastAsia" w:ascii="宋体" w:hAnsi="宋体"/>
          <w:color w:val="000000" w:themeColor="text1"/>
          <w:sz w:val="24"/>
        </w:rPr>
        <w:t>.本合同范围的货物，应由</w:t>
      </w:r>
      <w:r>
        <w:rPr>
          <w:rFonts w:ascii="宋体" w:hAnsi="宋体"/>
          <w:color w:val="000000" w:themeColor="text1"/>
          <w:sz w:val="24"/>
        </w:rPr>
        <w:t>乙</w:t>
      </w:r>
      <w:r>
        <w:rPr>
          <w:rFonts w:hint="eastAsia" w:ascii="宋体" w:hAnsi="宋体"/>
          <w:color w:val="000000" w:themeColor="text1"/>
          <w:sz w:val="24"/>
        </w:rPr>
        <w:t>方直接供应，不得转让他人供应；</w:t>
      </w:r>
    </w:p>
    <w:p>
      <w:pPr>
        <w:snapToGrid w:val="0"/>
        <w:spacing w:beforeLines="50" w:afterLines="50"/>
        <w:rPr>
          <w:rFonts w:ascii="宋体" w:hAnsi="宋体"/>
          <w:color w:val="000000" w:themeColor="text1"/>
          <w:sz w:val="24"/>
        </w:rPr>
      </w:pPr>
      <w:r>
        <w:rPr>
          <w:rFonts w:ascii="宋体" w:hAnsi="宋体"/>
          <w:color w:val="000000" w:themeColor="text1"/>
          <w:sz w:val="24"/>
        </w:rPr>
        <w:t>2</w:t>
      </w:r>
      <w:r>
        <w:rPr>
          <w:rFonts w:hint="eastAsia" w:ascii="宋体" w:hAnsi="宋体"/>
          <w:color w:val="000000" w:themeColor="text1"/>
          <w:sz w:val="24"/>
        </w:rPr>
        <w:t>.除非得到</w:t>
      </w:r>
      <w:r>
        <w:rPr>
          <w:rFonts w:ascii="宋体" w:hAnsi="宋体"/>
          <w:color w:val="000000" w:themeColor="text1"/>
          <w:sz w:val="24"/>
        </w:rPr>
        <w:t>甲</w:t>
      </w:r>
      <w:r>
        <w:rPr>
          <w:rFonts w:hint="eastAsia" w:ascii="宋体" w:hAnsi="宋体"/>
          <w:color w:val="000000" w:themeColor="text1"/>
          <w:sz w:val="24"/>
        </w:rPr>
        <w:t>方的书面同意，</w:t>
      </w:r>
      <w:r>
        <w:rPr>
          <w:rFonts w:ascii="宋体" w:hAnsi="宋体"/>
          <w:color w:val="000000" w:themeColor="text1"/>
          <w:sz w:val="24"/>
        </w:rPr>
        <w:t>乙</w:t>
      </w:r>
      <w:r>
        <w:rPr>
          <w:rFonts w:hint="eastAsia" w:ascii="宋体" w:hAnsi="宋体"/>
          <w:color w:val="000000" w:themeColor="text1"/>
          <w:sz w:val="24"/>
        </w:rPr>
        <w:t>方不得将本合同范围的货物全部或部分分包给他人供应；</w:t>
      </w:r>
    </w:p>
    <w:p>
      <w:pPr>
        <w:snapToGrid w:val="0"/>
        <w:spacing w:beforeLines="50" w:afterLines="50"/>
        <w:rPr>
          <w:rFonts w:ascii="宋体" w:hAnsi="宋体"/>
          <w:color w:val="000000" w:themeColor="text1"/>
          <w:sz w:val="24"/>
        </w:rPr>
      </w:pPr>
      <w:r>
        <w:rPr>
          <w:rFonts w:ascii="宋体" w:hAnsi="宋体"/>
          <w:color w:val="000000" w:themeColor="text1"/>
          <w:sz w:val="24"/>
        </w:rPr>
        <w:t>3</w:t>
      </w:r>
      <w:r>
        <w:rPr>
          <w:rFonts w:hint="eastAsia" w:ascii="宋体" w:hAnsi="宋体"/>
          <w:color w:val="000000" w:themeColor="text1"/>
          <w:sz w:val="24"/>
        </w:rPr>
        <w:t>.如有转让和未经</w:t>
      </w:r>
      <w:r>
        <w:rPr>
          <w:rFonts w:ascii="宋体" w:hAnsi="宋体"/>
          <w:color w:val="000000" w:themeColor="text1"/>
          <w:sz w:val="24"/>
        </w:rPr>
        <w:t>甲</w:t>
      </w:r>
      <w:r>
        <w:rPr>
          <w:rFonts w:hint="eastAsia" w:ascii="宋体" w:hAnsi="宋体"/>
          <w:color w:val="000000" w:themeColor="text1"/>
          <w:sz w:val="24"/>
        </w:rPr>
        <w:t>方同意的分包行为，</w:t>
      </w:r>
      <w:r>
        <w:rPr>
          <w:rFonts w:ascii="宋体" w:hAnsi="宋体"/>
          <w:color w:val="000000" w:themeColor="text1"/>
          <w:sz w:val="24"/>
        </w:rPr>
        <w:t>甲</w:t>
      </w:r>
      <w:r>
        <w:rPr>
          <w:rFonts w:hint="eastAsia" w:ascii="宋体" w:hAnsi="宋体"/>
          <w:color w:val="000000" w:themeColor="text1"/>
          <w:sz w:val="24"/>
        </w:rPr>
        <w:t>方有权解除合同，没收履约保证金并追究乙方的违约责任。</w:t>
      </w:r>
    </w:p>
    <w:p>
      <w:pPr>
        <w:pStyle w:val="25"/>
        <w:snapToGrid w:val="0"/>
        <w:spacing w:before="120" w:after="120" w:line="240" w:lineRule="auto"/>
        <w:rPr>
          <w:rFonts w:hAnsi="宋体"/>
          <w:color w:val="000000" w:themeColor="text1"/>
        </w:rPr>
      </w:pPr>
      <w:r>
        <w:rPr>
          <w:rFonts w:hAnsi="宋体"/>
          <w:b/>
          <w:color w:val="000000" w:themeColor="text1"/>
        </w:rPr>
        <w:t>八、质保期和质保金</w:t>
      </w:r>
    </w:p>
    <w:p>
      <w:pPr>
        <w:pStyle w:val="25"/>
        <w:snapToGrid w:val="0"/>
        <w:spacing w:before="120" w:after="120" w:line="240" w:lineRule="auto"/>
        <w:ind w:left="410" w:hanging="410" w:hangingChars="171"/>
        <w:rPr>
          <w:rFonts w:hAnsi="宋体"/>
          <w:color w:val="000000" w:themeColor="text1"/>
        </w:rPr>
      </w:pPr>
      <w:r>
        <w:rPr>
          <w:rFonts w:hAnsi="宋体"/>
          <w:color w:val="000000" w:themeColor="text1"/>
        </w:rPr>
        <w:t>1</w:t>
      </w:r>
      <w:r>
        <w:rPr>
          <w:rFonts w:hint="eastAsia" w:hAnsi="宋体"/>
          <w:color w:val="000000" w:themeColor="text1"/>
        </w:rPr>
        <w:t>.</w:t>
      </w:r>
      <w:r>
        <w:rPr>
          <w:rFonts w:hAnsi="宋体"/>
          <w:color w:val="000000" w:themeColor="text1"/>
        </w:rPr>
        <w:t xml:space="preserve"> 质保期年。（自交货验收合格之日起计）</w:t>
      </w:r>
    </w:p>
    <w:p>
      <w:pPr>
        <w:pStyle w:val="25"/>
        <w:snapToGrid w:val="0"/>
        <w:spacing w:before="120" w:after="120" w:line="240" w:lineRule="auto"/>
        <w:ind w:left="410" w:hanging="410" w:hangingChars="171"/>
        <w:rPr>
          <w:rFonts w:hAnsi="宋体"/>
          <w:color w:val="000000" w:themeColor="text1"/>
        </w:rPr>
      </w:pPr>
      <w:r>
        <w:rPr>
          <w:rFonts w:hAnsi="宋体"/>
          <w:color w:val="000000" w:themeColor="text1"/>
        </w:rPr>
        <w:t>2</w:t>
      </w:r>
      <w:r>
        <w:rPr>
          <w:rFonts w:hint="eastAsia" w:hAnsi="宋体"/>
          <w:color w:val="000000" w:themeColor="text1"/>
        </w:rPr>
        <w:t>.</w:t>
      </w:r>
      <w:r>
        <w:rPr>
          <w:rFonts w:hAnsi="宋体"/>
          <w:color w:val="000000" w:themeColor="text1"/>
        </w:rPr>
        <w:t xml:space="preserve"> 质保金元。（履约保证金在中标投标人按合同约定交货验收合格后自行转为质保金）</w:t>
      </w:r>
    </w:p>
    <w:p>
      <w:pPr>
        <w:pStyle w:val="25"/>
        <w:snapToGrid w:val="0"/>
        <w:spacing w:before="120" w:after="120" w:line="240" w:lineRule="auto"/>
        <w:rPr>
          <w:rFonts w:hAnsi="宋体"/>
          <w:b/>
          <w:color w:val="000000" w:themeColor="text1"/>
        </w:rPr>
      </w:pPr>
      <w:r>
        <w:rPr>
          <w:rFonts w:hAnsi="宋体"/>
          <w:b/>
          <w:color w:val="000000" w:themeColor="text1"/>
        </w:rPr>
        <w:t>九、交货期、交货方式及交货地点</w:t>
      </w:r>
    </w:p>
    <w:p>
      <w:pPr>
        <w:pStyle w:val="25"/>
        <w:snapToGrid w:val="0"/>
        <w:spacing w:before="120" w:after="120" w:line="240" w:lineRule="auto"/>
        <w:rPr>
          <w:rFonts w:hAnsi="宋体"/>
          <w:bCs/>
          <w:color w:val="000000" w:themeColor="text1"/>
        </w:rPr>
      </w:pPr>
      <w:r>
        <w:rPr>
          <w:rFonts w:hAnsi="宋体"/>
          <w:bCs/>
          <w:color w:val="000000" w:themeColor="text1"/>
        </w:rPr>
        <w:t>1</w:t>
      </w:r>
      <w:r>
        <w:rPr>
          <w:rFonts w:hint="eastAsia" w:hAnsi="宋体"/>
          <w:bCs/>
          <w:color w:val="000000" w:themeColor="text1"/>
        </w:rPr>
        <w:t>.</w:t>
      </w:r>
      <w:r>
        <w:rPr>
          <w:rFonts w:hAnsi="宋体"/>
          <w:bCs/>
          <w:color w:val="000000" w:themeColor="text1"/>
        </w:rPr>
        <w:t xml:space="preserve"> 交货期：</w:t>
      </w:r>
    </w:p>
    <w:p>
      <w:pPr>
        <w:pStyle w:val="25"/>
        <w:snapToGrid w:val="0"/>
        <w:spacing w:before="120" w:after="120" w:line="240" w:lineRule="auto"/>
        <w:rPr>
          <w:rFonts w:hAnsi="宋体"/>
          <w:bCs/>
          <w:color w:val="000000" w:themeColor="text1"/>
        </w:rPr>
      </w:pPr>
      <w:r>
        <w:rPr>
          <w:rFonts w:hAnsi="宋体"/>
          <w:bCs/>
          <w:color w:val="000000" w:themeColor="text1"/>
        </w:rPr>
        <w:t>2</w:t>
      </w:r>
      <w:r>
        <w:rPr>
          <w:rFonts w:hint="eastAsia" w:hAnsi="宋体"/>
          <w:bCs/>
          <w:color w:val="000000" w:themeColor="text1"/>
        </w:rPr>
        <w:t>.</w:t>
      </w:r>
      <w:r>
        <w:rPr>
          <w:rFonts w:hAnsi="宋体"/>
          <w:bCs/>
          <w:color w:val="000000" w:themeColor="text1"/>
        </w:rPr>
        <w:t xml:space="preserve"> 交货方式：</w:t>
      </w:r>
    </w:p>
    <w:p>
      <w:pPr>
        <w:pStyle w:val="25"/>
        <w:snapToGrid w:val="0"/>
        <w:spacing w:before="120" w:after="120" w:line="240" w:lineRule="auto"/>
        <w:rPr>
          <w:rFonts w:hAnsi="宋体"/>
          <w:b/>
          <w:color w:val="000000" w:themeColor="text1"/>
        </w:rPr>
      </w:pPr>
      <w:r>
        <w:rPr>
          <w:rFonts w:hAnsi="宋体"/>
          <w:bCs/>
          <w:color w:val="000000" w:themeColor="text1"/>
        </w:rPr>
        <w:t>3</w:t>
      </w:r>
      <w:r>
        <w:rPr>
          <w:rFonts w:hint="eastAsia" w:hAnsi="宋体"/>
          <w:bCs/>
          <w:color w:val="000000" w:themeColor="text1"/>
        </w:rPr>
        <w:t>.</w:t>
      </w:r>
      <w:r>
        <w:rPr>
          <w:rFonts w:hAnsi="宋体"/>
          <w:bCs/>
          <w:color w:val="000000" w:themeColor="text1"/>
        </w:rPr>
        <w:t xml:space="preserve"> 交货地点：</w:t>
      </w:r>
    </w:p>
    <w:p>
      <w:pPr>
        <w:pStyle w:val="25"/>
        <w:snapToGrid w:val="0"/>
        <w:spacing w:before="120" w:after="120" w:line="240" w:lineRule="auto"/>
        <w:rPr>
          <w:rFonts w:hAnsi="宋体"/>
          <w:b/>
          <w:color w:val="000000" w:themeColor="text1"/>
        </w:rPr>
      </w:pPr>
      <w:r>
        <w:rPr>
          <w:rFonts w:hAnsi="宋体"/>
          <w:b/>
          <w:color w:val="000000" w:themeColor="text1"/>
        </w:rPr>
        <w:t>十、货款支付</w:t>
      </w:r>
    </w:p>
    <w:p>
      <w:pPr>
        <w:pStyle w:val="25"/>
        <w:snapToGrid w:val="0"/>
        <w:spacing w:before="120" w:after="120" w:line="240" w:lineRule="auto"/>
        <w:rPr>
          <w:rFonts w:hAnsi="宋体"/>
          <w:bCs/>
          <w:color w:val="000000" w:themeColor="text1"/>
        </w:rPr>
      </w:pPr>
      <w:r>
        <w:rPr>
          <w:rFonts w:hAnsi="宋体"/>
          <w:bCs/>
          <w:color w:val="000000" w:themeColor="text1"/>
        </w:rPr>
        <w:t>1</w:t>
      </w:r>
      <w:r>
        <w:rPr>
          <w:rFonts w:hint="eastAsia" w:hAnsi="宋体"/>
          <w:bCs/>
          <w:color w:val="000000" w:themeColor="text1"/>
        </w:rPr>
        <w:t>.</w:t>
      </w:r>
      <w:r>
        <w:rPr>
          <w:rFonts w:hAnsi="宋体"/>
          <w:bCs/>
          <w:color w:val="000000" w:themeColor="text1"/>
        </w:rPr>
        <w:t xml:space="preserve"> 付款方式：</w:t>
      </w:r>
    </w:p>
    <w:p>
      <w:pPr>
        <w:pStyle w:val="25"/>
        <w:snapToGrid w:val="0"/>
        <w:spacing w:before="120" w:after="120" w:line="240" w:lineRule="auto"/>
        <w:ind w:left="480" w:hanging="480" w:hangingChars="200"/>
        <w:rPr>
          <w:rFonts w:hAnsi="宋体"/>
          <w:bCs/>
          <w:color w:val="000000" w:themeColor="text1"/>
        </w:rPr>
      </w:pPr>
      <w:r>
        <w:rPr>
          <w:rFonts w:hAnsi="宋体"/>
          <w:bCs/>
          <w:color w:val="000000" w:themeColor="text1"/>
        </w:rPr>
        <w:t>2</w:t>
      </w:r>
      <w:r>
        <w:rPr>
          <w:rFonts w:hint="eastAsia" w:hAnsi="宋体"/>
          <w:bCs/>
          <w:color w:val="000000" w:themeColor="text1"/>
        </w:rPr>
        <w:t>.</w:t>
      </w:r>
      <w:r>
        <w:rPr>
          <w:rFonts w:hAnsi="宋体"/>
          <w:color w:val="000000" w:themeColor="text1"/>
        </w:rPr>
        <w:t>当采购数量与实际使用数量不一致时，乙</w:t>
      </w:r>
      <w:r>
        <w:rPr>
          <w:rFonts w:hint="eastAsia" w:hAnsi="宋体"/>
          <w:color w:val="000000" w:themeColor="text1"/>
        </w:rPr>
        <w:t>方</w:t>
      </w:r>
      <w:r>
        <w:rPr>
          <w:rFonts w:hAnsi="宋体"/>
          <w:color w:val="000000" w:themeColor="text1"/>
        </w:rPr>
        <w:t>应根据实际使用量供货，合同的最终结算金额按实际使用量乘以成交单价进行计算。</w:t>
      </w:r>
    </w:p>
    <w:p>
      <w:pPr>
        <w:snapToGrid w:val="0"/>
        <w:spacing w:beforeLines="50" w:afterLines="50"/>
        <w:rPr>
          <w:rFonts w:ascii="宋体" w:hAnsi="宋体"/>
          <w:b/>
          <w:color w:val="000000" w:themeColor="text1"/>
          <w:sz w:val="24"/>
          <w:szCs w:val="20"/>
        </w:rPr>
      </w:pPr>
      <w:r>
        <w:rPr>
          <w:rFonts w:hint="eastAsia" w:ascii="宋体" w:hAnsi="宋体"/>
          <w:b/>
          <w:color w:val="000000" w:themeColor="text1"/>
          <w:sz w:val="24"/>
        </w:rPr>
        <w:t>十一、税费</w:t>
      </w:r>
    </w:p>
    <w:p>
      <w:pPr>
        <w:snapToGrid w:val="0"/>
        <w:spacing w:beforeLines="50" w:afterLines="50"/>
        <w:rPr>
          <w:rFonts w:ascii="宋体" w:hAnsi="宋体"/>
          <w:color w:val="000000" w:themeColor="text1"/>
          <w:sz w:val="24"/>
          <w:szCs w:val="20"/>
        </w:rPr>
      </w:pPr>
      <w:r>
        <w:rPr>
          <w:rFonts w:hint="eastAsia" w:ascii="宋体" w:hAnsi="宋体"/>
          <w:color w:val="000000" w:themeColor="text1"/>
          <w:sz w:val="24"/>
        </w:rPr>
        <w:t>本合同执行中相关的一切税费均由</w:t>
      </w:r>
      <w:r>
        <w:rPr>
          <w:rFonts w:hAnsi="宋体"/>
          <w:color w:val="000000" w:themeColor="text1"/>
          <w:sz w:val="24"/>
        </w:rPr>
        <w:t>乙</w:t>
      </w:r>
      <w:r>
        <w:rPr>
          <w:rFonts w:hint="eastAsia" w:ascii="宋体" w:hAnsi="宋体"/>
          <w:color w:val="000000" w:themeColor="text1"/>
          <w:sz w:val="24"/>
        </w:rPr>
        <w:t>方负担。</w:t>
      </w:r>
    </w:p>
    <w:p>
      <w:pPr>
        <w:pStyle w:val="25"/>
        <w:snapToGrid w:val="0"/>
        <w:spacing w:before="120" w:after="120" w:line="240" w:lineRule="auto"/>
        <w:ind w:left="412" w:hanging="412" w:hangingChars="171"/>
        <w:rPr>
          <w:rFonts w:hAnsi="宋体"/>
          <w:color w:val="000000" w:themeColor="text1"/>
        </w:rPr>
      </w:pPr>
      <w:r>
        <w:rPr>
          <w:rFonts w:hAnsi="宋体"/>
          <w:b/>
          <w:color w:val="000000" w:themeColor="text1"/>
        </w:rPr>
        <w:t>十二、质量保证及售后服务</w:t>
      </w:r>
    </w:p>
    <w:p>
      <w:pPr>
        <w:pStyle w:val="25"/>
        <w:snapToGrid w:val="0"/>
        <w:spacing w:before="120" w:after="120" w:line="240" w:lineRule="auto"/>
        <w:ind w:left="410" w:hanging="410" w:hangingChars="171"/>
        <w:rPr>
          <w:rFonts w:hAnsi="宋体"/>
          <w:color w:val="000000" w:themeColor="text1"/>
        </w:rPr>
      </w:pPr>
      <w:r>
        <w:rPr>
          <w:rFonts w:hAnsi="宋体"/>
          <w:color w:val="000000" w:themeColor="text1"/>
        </w:rPr>
        <w:t>1</w:t>
      </w:r>
      <w:r>
        <w:rPr>
          <w:rFonts w:hint="eastAsia" w:hAnsi="宋体"/>
          <w:color w:val="000000" w:themeColor="text1"/>
        </w:rPr>
        <w:t>.</w:t>
      </w:r>
      <w:r>
        <w:rPr>
          <w:rFonts w:hAnsi="宋体"/>
          <w:color w:val="000000" w:themeColor="text1"/>
        </w:rPr>
        <w:t xml:space="preserve"> 乙方应按招标文件规定的货物性能、技术要求、质量标准向甲方提供未经使用的全新产品。</w:t>
      </w:r>
    </w:p>
    <w:p>
      <w:pPr>
        <w:pStyle w:val="25"/>
        <w:snapToGrid w:val="0"/>
        <w:spacing w:before="120" w:after="120" w:line="240" w:lineRule="auto"/>
        <w:ind w:left="480" w:hanging="480" w:hangingChars="200"/>
        <w:rPr>
          <w:rFonts w:hAnsi="宋体"/>
          <w:color w:val="000000" w:themeColor="text1"/>
        </w:rPr>
      </w:pPr>
      <w:r>
        <w:rPr>
          <w:rFonts w:hAnsi="宋体"/>
          <w:color w:val="000000" w:themeColor="text1"/>
        </w:rPr>
        <w:t>2</w:t>
      </w:r>
      <w:r>
        <w:rPr>
          <w:rFonts w:hint="eastAsia" w:hAnsi="宋体"/>
          <w:color w:val="000000" w:themeColor="text1"/>
        </w:rPr>
        <w:t>.</w:t>
      </w:r>
      <w:r>
        <w:rPr>
          <w:rFonts w:hAnsi="宋体"/>
          <w:color w:val="000000" w:themeColor="text1"/>
        </w:rPr>
        <w:t xml:space="preserve"> 乙方提供的货物在质</w:t>
      </w:r>
      <w:r>
        <w:rPr>
          <w:rFonts w:hint="eastAsia" w:hAnsi="宋体"/>
          <w:color w:val="000000" w:themeColor="text1"/>
        </w:rPr>
        <w:t>保</w:t>
      </w:r>
      <w:r>
        <w:rPr>
          <w:rFonts w:hAnsi="宋体"/>
          <w:color w:val="000000" w:themeColor="text1"/>
        </w:rPr>
        <w:t>期内因货物本身的质量问题发生故障，乙方应负责免费更换。对达不到技术要求者，根据实际情况，经双方协商，可按以下办法处理：</w:t>
      </w:r>
    </w:p>
    <w:p>
      <w:pPr>
        <w:pStyle w:val="25"/>
        <w:snapToGrid w:val="0"/>
        <w:spacing w:before="120" w:after="120" w:line="240" w:lineRule="auto"/>
        <w:ind w:firstLine="420"/>
        <w:rPr>
          <w:rFonts w:hAnsi="宋体"/>
          <w:color w:val="000000" w:themeColor="text1"/>
        </w:rPr>
      </w:pPr>
      <w:r>
        <w:rPr>
          <w:rFonts w:hAnsi="宋体"/>
          <w:color w:val="000000" w:themeColor="text1"/>
        </w:rPr>
        <w:t>⑴更换：由乙方承担所发生的全部费用。</w:t>
      </w:r>
    </w:p>
    <w:p>
      <w:pPr>
        <w:pStyle w:val="25"/>
        <w:snapToGrid w:val="0"/>
        <w:spacing w:before="120" w:after="120" w:line="240" w:lineRule="auto"/>
        <w:ind w:firstLine="420"/>
        <w:rPr>
          <w:rFonts w:hAnsi="宋体"/>
          <w:color w:val="000000" w:themeColor="text1"/>
        </w:rPr>
      </w:pPr>
      <w:r>
        <w:rPr>
          <w:rFonts w:hAnsi="宋体"/>
          <w:color w:val="000000" w:themeColor="text1"/>
        </w:rPr>
        <w:t>⑵贬值处理：由甲乙双方合议定价。</w:t>
      </w:r>
    </w:p>
    <w:p>
      <w:pPr>
        <w:pStyle w:val="25"/>
        <w:snapToGrid w:val="0"/>
        <w:spacing w:before="120" w:after="120" w:line="240" w:lineRule="auto"/>
        <w:ind w:left="420" w:leftChars="200"/>
        <w:rPr>
          <w:rFonts w:hAnsi="宋体"/>
          <w:color w:val="000000" w:themeColor="text1"/>
        </w:rPr>
      </w:pPr>
      <w:r>
        <w:rPr>
          <w:rFonts w:hAnsi="宋体"/>
          <w:color w:val="000000" w:themeColor="text1"/>
        </w:rPr>
        <w:t>⑶退货处理：乙方应退还甲方支付的合同款，同时应承担该货物的直接费用（运输、保险、检验、货款利息及银行手续费等）。</w:t>
      </w:r>
    </w:p>
    <w:p>
      <w:pPr>
        <w:pStyle w:val="25"/>
        <w:snapToGrid w:val="0"/>
        <w:spacing w:before="120" w:after="120" w:line="240" w:lineRule="auto"/>
        <w:rPr>
          <w:rFonts w:hAnsi="宋体"/>
          <w:color w:val="000000" w:themeColor="text1"/>
        </w:rPr>
      </w:pPr>
      <w:r>
        <w:rPr>
          <w:rFonts w:hAnsi="宋体"/>
          <w:color w:val="000000" w:themeColor="text1"/>
        </w:rPr>
        <w:t>3</w:t>
      </w:r>
      <w:r>
        <w:rPr>
          <w:rFonts w:hint="eastAsia" w:hAnsi="宋体"/>
          <w:color w:val="000000" w:themeColor="text1"/>
        </w:rPr>
        <w:t>.</w:t>
      </w:r>
      <w:r>
        <w:rPr>
          <w:rFonts w:hAnsi="宋体"/>
          <w:color w:val="000000" w:themeColor="text1"/>
        </w:rPr>
        <w:t xml:space="preserve"> 如在使用过程中发生质量问题，乙方在接到甲方通知后在△小时内到达甲方</w:t>
      </w:r>
    </w:p>
    <w:p>
      <w:pPr>
        <w:pStyle w:val="25"/>
        <w:snapToGrid w:val="0"/>
        <w:spacing w:before="120" w:after="120" w:line="240" w:lineRule="auto"/>
        <w:ind w:firstLine="360" w:firstLineChars="150"/>
        <w:rPr>
          <w:rFonts w:hAnsi="宋体"/>
          <w:color w:val="000000" w:themeColor="text1"/>
        </w:rPr>
      </w:pPr>
      <w:r>
        <w:rPr>
          <w:rFonts w:hAnsi="宋体"/>
          <w:color w:val="000000" w:themeColor="text1"/>
        </w:rPr>
        <w:t>现场。</w:t>
      </w:r>
    </w:p>
    <w:p>
      <w:pPr>
        <w:pStyle w:val="25"/>
        <w:snapToGrid w:val="0"/>
        <w:spacing w:before="120" w:after="120" w:line="240" w:lineRule="auto"/>
        <w:rPr>
          <w:rFonts w:hAnsi="宋体"/>
          <w:color w:val="000000" w:themeColor="text1"/>
        </w:rPr>
      </w:pPr>
      <w:r>
        <w:rPr>
          <w:rFonts w:hAnsi="宋体"/>
          <w:color w:val="000000" w:themeColor="text1"/>
        </w:rPr>
        <w:t>4</w:t>
      </w:r>
      <w:r>
        <w:rPr>
          <w:rFonts w:hint="eastAsia" w:hAnsi="宋体"/>
          <w:color w:val="000000" w:themeColor="text1"/>
        </w:rPr>
        <w:t>.</w:t>
      </w:r>
      <w:r>
        <w:rPr>
          <w:rFonts w:hAnsi="宋体"/>
          <w:color w:val="000000" w:themeColor="text1"/>
        </w:rPr>
        <w:t xml:space="preserve"> 在质保期内，乙方应对货物出现的质量及安全问题负责处理解决并承担一切</w:t>
      </w:r>
    </w:p>
    <w:p>
      <w:pPr>
        <w:pStyle w:val="25"/>
        <w:snapToGrid w:val="0"/>
        <w:spacing w:before="120" w:after="120" w:line="240" w:lineRule="auto"/>
        <w:ind w:firstLine="360" w:firstLineChars="150"/>
        <w:rPr>
          <w:rFonts w:hAnsi="宋体"/>
          <w:color w:val="000000" w:themeColor="text1"/>
        </w:rPr>
      </w:pPr>
      <w:r>
        <w:rPr>
          <w:rFonts w:hAnsi="宋体"/>
          <w:color w:val="000000" w:themeColor="text1"/>
        </w:rPr>
        <w:t>费用。</w:t>
      </w:r>
    </w:p>
    <w:p>
      <w:pPr>
        <w:pStyle w:val="25"/>
        <w:snapToGrid w:val="0"/>
        <w:spacing w:before="120" w:after="120" w:line="240" w:lineRule="auto"/>
        <w:rPr>
          <w:rFonts w:hAnsi="宋体"/>
          <w:color w:val="000000" w:themeColor="text1"/>
        </w:rPr>
      </w:pPr>
      <w:r>
        <w:rPr>
          <w:rFonts w:hAnsi="宋体"/>
          <w:color w:val="000000" w:themeColor="text1"/>
        </w:rPr>
        <w:t>5</w:t>
      </w:r>
      <w:r>
        <w:rPr>
          <w:rFonts w:hint="eastAsia" w:hAnsi="宋体"/>
          <w:color w:val="000000" w:themeColor="text1"/>
        </w:rPr>
        <w:t>.</w:t>
      </w:r>
      <w:r>
        <w:rPr>
          <w:rFonts w:hAnsi="宋体"/>
          <w:color w:val="000000" w:themeColor="text1"/>
        </w:rPr>
        <w:t>上述的货物免费保修期为年，因人为因素出现的故障不在免费保修范围</w:t>
      </w:r>
    </w:p>
    <w:p>
      <w:pPr>
        <w:pStyle w:val="25"/>
        <w:snapToGrid w:val="0"/>
        <w:spacing w:before="120" w:after="120" w:line="240" w:lineRule="auto"/>
        <w:ind w:firstLine="240" w:firstLineChars="100"/>
        <w:rPr>
          <w:rFonts w:hAnsi="宋体"/>
          <w:color w:val="000000" w:themeColor="text1"/>
        </w:rPr>
      </w:pPr>
      <w:r>
        <w:rPr>
          <w:rFonts w:hAnsi="宋体"/>
          <w:color w:val="000000" w:themeColor="text1"/>
        </w:rPr>
        <w:t>内。超过保修期的机器设备，终生维修，维修时只收部件成本费。</w:t>
      </w:r>
    </w:p>
    <w:p>
      <w:pPr>
        <w:pStyle w:val="25"/>
        <w:snapToGrid w:val="0"/>
        <w:spacing w:before="120" w:after="120" w:line="240" w:lineRule="auto"/>
        <w:rPr>
          <w:rFonts w:hAnsi="宋体"/>
          <w:b/>
          <w:color w:val="000000" w:themeColor="text1"/>
        </w:rPr>
      </w:pPr>
      <w:r>
        <w:rPr>
          <w:rFonts w:hAnsi="宋体"/>
          <w:b/>
          <w:color w:val="000000" w:themeColor="text1"/>
        </w:rPr>
        <w:t>十三、调试和验收</w:t>
      </w:r>
    </w:p>
    <w:p>
      <w:pPr>
        <w:pStyle w:val="25"/>
        <w:snapToGrid w:val="0"/>
        <w:spacing w:before="120" w:after="120" w:line="240" w:lineRule="auto"/>
        <w:jc w:val="left"/>
        <w:rPr>
          <w:rFonts w:hAnsi="宋体"/>
          <w:color w:val="000000" w:themeColor="text1"/>
        </w:rPr>
      </w:pPr>
      <w:r>
        <w:rPr>
          <w:rFonts w:hAnsi="宋体"/>
          <w:color w:val="000000" w:themeColor="text1"/>
        </w:rPr>
        <w:t>1</w:t>
      </w:r>
      <w:r>
        <w:rPr>
          <w:rFonts w:hint="eastAsia" w:hAnsi="宋体"/>
          <w:color w:val="000000" w:themeColor="text1"/>
        </w:rPr>
        <w:t>.</w:t>
      </w:r>
      <w:r>
        <w:rPr>
          <w:rFonts w:hAnsi="宋体"/>
          <w:color w:val="000000" w:themeColor="text1"/>
        </w:rPr>
        <w:t xml:space="preserve"> 甲方对乙方提交的货物依据招标文件上的技术规格要求和国家有关质量标准</w:t>
      </w:r>
    </w:p>
    <w:p>
      <w:pPr>
        <w:pStyle w:val="25"/>
        <w:snapToGrid w:val="0"/>
        <w:spacing w:before="120" w:after="120" w:line="240" w:lineRule="auto"/>
        <w:ind w:firstLine="360" w:firstLineChars="150"/>
        <w:jc w:val="left"/>
        <w:rPr>
          <w:rFonts w:hAnsi="宋体"/>
          <w:color w:val="000000" w:themeColor="text1"/>
        </w:rPr>
      </w:pPr>
      <w:r>
        <w:rPr>
          <w:rFonts w:hAnsi="宋体"/>
          <w:color w:val="000000" w:themeColor="text1"/>
        </w:rPr>
        <w:t>进行现场初步验收，外观、说明书符合招标文件技术要求的，给予签收，初</w:t>
      </w:r>
    </w:p>
    <w:p>
      <w:pPr>
        <w:pStyle w:val="25"/>
        <w:snapToGrid w:val="0"/>
        <w:spacing w:before="120" w:after="120" w:line="240" w:lineRule="auto"/>
        <w:ind w:firstLine="360" w:firstLineChars="150"/>
        <w:jc w:val="left"/>
        <w:rPr>
          <w:rFonts w:hAnsi="宋体"/>
          <w:color w:val="000000" w:themeColor="text1"/>
        </w:rPr>
      </w:pPr>
      <w:r>
        <w:rPr>
          <w:rFonts w:hAnsi="宋体"/>
          <w:color w:val="000000" w:themeColor="text1"/>
        </w:rPr>
        <w:t>步验收不合格的不予签收。货到后，甲方需在五个工作日内验收。</w:t>
      </w:r>
    </w:p>
    <w:p>
      <w:pPr>
        <w:pStyle w:val="25"/>
        <w:snapToGrid w:val="0"/>
        <w:spacing w:before="120" w:after="120" w:line="240" w:lineRule="auto"/>
        <w:rPr>
          <w:rFonts w:hAnsi="宋体"/>
          <w:color w:val="000000" w:themeColor="text1"/>
        </w:rPr>
      </w:pPr>
      <w:r>
        <w:rPr>
          <w:rFonts w:hAnsi="宋体"/>
          <w:color w:val="000000" w:themeColor="text1"/>
        </w:rPr>
        <w:t>2</w:t>
      </w:r>
      <w:r>
        <w:rPr>
          <w:rFonts w:hint="eastAsia" w:hAnsi="宋体"/>
          <w:color w:val="000000" w:themeColor="text1"/>
        </w:rPr>
        <w:t>.</w:t>
      </w:r>
      <w:r>
        <w:rPr>
          <w:rFonts w:hAnsi="宋体"/>
          <w:color w:val="000000" w:themeColor="text1"/>
        </w:rPr>
        <w:t xml:space="preserve"> 乙方交货前应对产品作出全面检查和对验收文件进行整理，并列出清单，作</w:t>
      </w:r>
    </w:p>
    <w:p>
      <w:pPr>
        <w:pStyle w:val="25"/>
        <w:snapToGrid w:val="0"/>
        <w:spacing w:before="120" w:after="120" w:line="240" w:lineRule="auto"/>
        <w:ind w:firstLine="360" w:firstLineChars="150"/>
        <w:rPr>
          <w:rFonts w:hAnsi="宋体"/>
          <w:color w:val="000000" w:themeColor="text1"/>
        </w:rPr>
      </w:pPr>
      <w:r>
        <w:rPr>
          <w:rFonts w:hAnsi="宋体"/>
          <w:color w:val="000000" w:themeColor="text1"/>
        </w:rPr>
        <w:t>为甲方收货验收和使用的技术条件依据，检验的结果应随货物交甲方。</w:t>
      </w:r>
    </w:p>
    <w:p>
      <w:pPr>
        <w:pStyle w:val="25"/>
        <w:snapToGrid w:val="0"/>
        <w:spacing w:before="120" w:after="120" w:line="240" w:lineRule="auto"/>
        <w:rPr>
          <w:rFonts w:hAnsi="宋体"/>
          <w:color w:val="000000" w:themeColor="text1"/>
        </w:rPr>
      </w:pPr>
      <w:r>
        <w:rPr>
          <w:rFonts w:hAnsi="宋体"/>
          <w:color w:val="000000" w:themeColor="text1"/>
        </w:rPr>
        <w:t>3</w:t>
      </w:r>
      <w:r>
        <w:rPr>
          <w:rFonts w:hint="eastAsia" w:hAnsi="宋体"/>
          <w:color w:val="000000" w:themeColor="text1"/>
        </w:rPr>
        <w:t>.</w:t>
      </w:r>
      <w:r>
        <w:rPr>
          <w:rFonts w:hAnsi="宋体"/>
          <w:color w:val="000000" w:themeColor="text1"/>
        </w:rPr>
        <w:t xml:space="preserve"> 甲方对乙方提供的货物在使用前进行调试时，乙方需负责安装并培训甲方的</w:t>
      </w:r>
    </w:p>
    <w:p>
      <w:pPr>
        <w:pStyle w:val="25"/>
        <w:snapToGrid w:val="0"/>
        <w:spacing w:before="120" w:after="120" w:line="240" w:lineRule="auto"/>
        <w:ind w:firstLine="360" w:firstLineChars="150"/>
        <w:rPr>
          <w:rFonts w:hAnsi="宋体"/>
          <w:color w:val="000000" w:themeColor="text1"/>
        </w:rPr>
      </w:pPr>
      <w:r>
        <w:rPr>
          <w:rFonts w:hAnsi="宋体"/>
          <w:color w:val="000000" w:themeColor="text1"/>
        </w:rPr>
        <w:t>使用操作人员，并协助甲方一起调试，直到符合技术要求，甲方才做最终验</w:t>
      </w:r>
    </w:p>
    <w:p>
      <w:pPr>
        <w:pStyle w:val="25"/>
        <w:snapToGrid w:val="0"/>
        <w:spacing w:before="120" w:after="120" w:line="240" w:lineRule="auto"/>
        <w:ind w:firstLine="360" w:firstLineChars="150"/>
        <w:rPr>
          <w:rFonts w:hAnsi="宋体"/>
          <w:color w:val="000000" w:themeColor="text1"/>
          <w:u w:val="single"/>
        </w:rPr>
      </w:pPr>
      <w:r>
        <w:rPr>
          <w:rFonts w:hAnsi="宋体"/>
          <w:color w:val="000000" w:themeColor="text1"/>
        </w:rPr>
        <w:t>收。</w:t>
      </w:r>
    </w:p>
    <w:p>
      <w:pPr>
        <w:pStyle w:val="25"/>
        <w:snapToGrid w:val="0"/>
        <w:spacing w:before="120" w:after="120" w:line="240" w:lineRule="auto"/>
        <w:rPr>
          <w:rFonts w:hAnsi="宋体"/>
          <w:color w:val="000000" w:themeColor="text1"/>
        </w:rPr>
      </w:pPr>
      <w:r>
        <w:rPr>
          <w:rFonts w:hAnsi="宋体"/>
          <w:color w:val="000000" w:themeColor="text1"/>
        </w:rPr>
        <w:t>4</w:t>
      </w:r>
      <w:r>
        <w:rPr>
          <w:rFonts w:hint="eastAsia" w:hAnsi="宋体"/>
          <w:color w:val="000000" w:themeColor="text1"/>
        </w:rPr>
        <w:t>.</w:t>
      </w:r>
      <w:r>
        <w:rPr>
          <w:rFonts w:hAnsi="宋体"/>
          <w:color w:val="000000" w:themeColor="text1"/>
        </w:rPr>
        <w:t xml:space="preserve"> 对技术复杂的货物，甲方应请国家认可的专业检测机构参与初步验收及最终</w:t>
      </w:r>
    </w:p>
    <w:p>
      <w:pPr>
        <w:pStyle w:val="25"/>
        <w:snapToGrid w:val="0"/>
        <w:spacing w:before="120" w:after="120" w:line="240" w:lineRule="auto"/>
        <w:ind w:firstLine="360" w:firstLineChars="150"/>
        <w:rPr>
          <w:rFonts w:hAnsi="宋体"/>
          <w:color w:val="000000" w:themeColor="text1"/>
        </w:rPr>
      </w:pPr>
      <w:r>
        <w:rPr>
          <w:rFonts w:hAnsi="宋体"/>
          <w:color w:val="000000" w:themeColor="text1"/>
        </w:rPr>
        <w:t>验收，并由其出具质量检测报告。</w:t>
      </w:r>
    </w:p>
    <w:p>
      <w:pPr>
        <w:pStyle w:val="25"/>
        <w:snapToGrid w:val="0"/>
        <w:spacing w:before="120" w:after="120" w:line="240" w:lineRule="auto"/>
        <w:rPr>
          <w:rFonts w:hAnsi="宋体"/>
          <w:color w:val="000000" w:themeColor="text1"/>
        </w:rPr>
      </w:pPr>
      <w:r>
        <w:rPr>
          <w:rFonts w:hAnsi="宋体"/>
          <w:color w:val="000000" w:themeColor="text1"/>
        </w:rPr>
        <w:t>5</w:t>
      </w:r>
      <w:r>
        <w:rPr>
          <w:rFonts w:hint="eastAsia" w:hAnsi="宋体"/>
          <w:color w:val="000000" w:themeColor="text1"/>
        </w:rPr>
        <w:t>.</w:t>
      </w:r>
      <w:r>
        <w:rPr>
          <w:rFonts w:hAnsi="宋体"/>
          <w:color w:val="000000" w:themeColor="text1"/>
        </w:rPr>
        <w:t xml:space="preserve"> 验收时乙方必须在现场，验收完毕后作出验收结果报告；验收费用由乙方负</w:t>
      </w:r>
    </w:p>
    <w:p>
      <w:pPr>
        <w:pStyle w:val="25"/>
        <w:snapToGrid w:val="0"/>
        <w:spacing w:before="120" w:after="120" w:line="240" w:lineRule="auto"/>
        <w:ind w:firstLine="360" w:firstLineChars="150"/>
        <w:rPr>
          <w:rFonts w:hAnsi="宋体"/>
          <w:color w:val="000000" w:themeColor="text1"/>
        </w:rPr>
      </w:pPr>
      <w:r>
        <w:rPr>
          <w:rFonts w:hAnsi="宋体"/>
          <w:color w:val="000000" w:themeColor="text1"/>
        </w:rPr>
        <w:t>责。</w:t>
      </w:r>
    </w:p>
    <w:p>
      <w:pPr>
        <w:pStyle w:val="25"/>
        <w:snapToGrid w:val="0"/>
        <w:spacing w:before="120" w:after="120" w:line="240" w:lineRule="auto"/>
        <w:rPr>
          <w:rFonts w:hAnsi="宋体"/>
          <w:b/>
          <w:color w:val="000000" w:themeColor="text1"/>
        </w:rPr>
      </w:pPr>
      <w:r>
        <w:rPr>
          <w:rFonts w:hAnsi="宋体"/>
          <w:b/>
          <w:color w:val="000000" w:themeColor="text1"/>
        </w:rPr>
        <w:t>十四、货物包装、发运及运输</w:t>
      </w:r>
    </w:p>
    <w:p>
      <w:pPr>
        <w:pStyle w:val="25"/>
        <w:snapToGrid w:val="0"/>
        <w:spacing w:before="120" w:after="120" w:line="240" w:lineRule="auto"/>
        <w:ind w:left="480" w:hanging="480" w:hangingChars="200"/>
        <w:rPr>
          <w:rFonts w:hAnsi="宋体"/>
          <w:color w:val="000000" w:themeColor="text1"/>
        </w:rPr>
      </w:pPr>
      <w:r>
        <w:rPr>
          <w:rFonts w:hAnsi="宋体"/>
          <w:color w:val="000000" w:themeColor="text1"/>
        </w:rPr>
        <w:t>1</w:t>
      </w:r>
      <w:r>
        <w:rPr>
          <w:rFonts w:hint="eastAsia" w:hAnsi="宋体"/>
          <w:color w:val="000000" w:themeColor="text1"/>
        </w:rPr>
        <w:t>.</w:t>
      </w:r>
      <w:r>
        <w:rPr>
          <w:rFonts w:hAnsi="宋体"/>
          <w:color w:val="000000" w:themeColor="text1"/>
        </w:rPr>
        <w:t xml:space="preserve"> 乙方应在货物发运前对其进行满足运输距离、防潮、防震、防锈和防破损装卸等要求包装，以保证货物安全运达甲方指定地点。</w:t>
      </w:r>
    </w:p>
    <w:p>
      <w:pPr>
        <w:pStyle w:val="25"/>
        <w:snapToGrid w:val="0"/>
        <w:spacing w:before="120" w:after="120" w:line="240" w:lineRule="auto"/>
        <w:ind w:left="480" w:hanging="480" w:hangingChars="200"/>
        <w:rPr>
          <w:rFonts w:hAnsi="宋体"/>
          <w:color w:val="000000" w:themeColor="text1"/>
        </w:rPr>
      </w:pPr>
      <w:r>
        <w:rPr>
          <w:rFonts w:hAnsi="宋体"/>
          <w:color w:val="000000" w:themeColor="text1"/>
        </w:rPr>
        <w:t>2</w:t>
      </w:r>
      <w:r>
        <w:rPr>
          <w:rFonts w:hint="eastAsia" w:hAnsi="宋体"/>
          <w:color w:val="000000" w:themeColor="text1"/>
        </w:rPr>
        <w:t>.</w:t>
      </w:r>
      <w:r>
        <w:rPr>
          <w:rFonts w:hAnsi="宋体"/>
          <w:color w:val="000000" w:themeColor="text1"/>
        </w:rPr>
        <w:t xml:space="preserve"> 使用说明书、质量检验证明书、随配附件和工具以及清单一并附于货物内。</w:t>
      </w:r>
    </w:p>
    <w:p>
      <w:pPr>
        <w:pStyle w:val="25"/>
        <w:snapToGrid w:val="0"/>
        <w:spacing w:before="120" w:after="120" w:line="240" w:lineRule="auto"/>
        <w:ind w:left="480" w:hanging="480" w:hangingChars="200"/>
        <w:rPr>
          <w:rFonts w:hAnsi="宋体"/>
          <w:color w:val="000000" w:themeColor="text1"/>
        </w:rPr>
      </w:pPr>
      <w:r>
        <w:rPr>
          <w:rFonts w:hAnsi="宋体"/>
          <w:color w:val="000000" w:themeColor="text1"/>
        </w:rPr>
        <w:t>3</w:t>
      </w:r>
      <w:r>
        <w:rPr>
          <w:rFonts w:hint="eastAsia" w:hAnsi="宋体"/>
          <w:color w:val="000000" w:themeColor="text1"/>
        </w:rPr>
        <w:t>.</w:t>
      </w:r>
      <w:r>
        <w:rPr>
          <w:rFonts w:hAnsi="宋体"/>
          <w:color w:val="000000" w:themeColor="text1"/>
        </w:rPr>
        <w:t xml:space="preserve"> 乙方在货物发运手续办理完毕后24小时内或货到甲方48小时前通知甲方，以准备接货。</w:t>
      </w:r>
    </w:p>
    <w:p>
      <w:pPr>
        <w:pStyle w:val="25"/>
        <w:snapToGrid w:val="0"/>
        <w:spacing w:before="120" w:after="120" w:line="240" w:lineRule="auto"/>
        <w:ind w:left="480" w:hanging="480" w:hangingChars="200"/>
        <w:rPr>
          <w:rFonts w:hAnsi="宋体"/>
          <w:color w:val="000000" w:themeColor="text1"/>
        </w:rPr>
      </w:pPr>
      <w:r>
        <w:rPr>
          <w:rFonts w:hAnsi="宋体"/>
          <w:color w:val="000000" w:themeColor="text1"/>
        </w:rPr>
        <w:t>4</w:t>
      </w:r>
      <w:r>
        <w:rPr>
          <w:rFonts w:hint="eastAsia" w:hAnsi="宋体"/>
          <w:color w:val="000000" w:themeColor="text1"/>
        </w:rPr>
        <w:t>.</w:t>
      </w:r>
      <w:r>
        <w:rPr>
          <w:rFonts w:hAnsi="宋体"/>
          <w:color w:val="000000" w:themeColor="text1"/>
        </w:rPr>
        <w:t xml:space="preserve"> 货物在交付甲方前发生的风险均由乙方负责。</w:t>
      </w:r>
    </w:p>
    <w:p>
      <w:pPr>
        <w:pStyle w:val="25"/>
        <w:snapToGrid w:val="0"/>
        <w:spacing w:beforeLines="0" w:afterLines="0" w:line="240" w:lineRule="auto"/>
        <w:ind w:left="480" w:right="26" w:hanging="480" w:hangingChars="200"/>
        <w:rPr>
          <w:rFonts w:hAnsi="宋体"/>
          <w:color w:val="000000" w:themeColor="text1"/>
        </w:rPr>
      </w:pPr>
      <w:r>
        <w:rPr>
          <w:rFonts w:hAnsi="宋体"/>
          <w:color w:val="000000" w:themeColor="text1"/>
        </w:rPr>
        <w:t>5</w:t>
      </w:r>
      <w:r>
        <w:rPr>
          <w:rFonts w:hint="eastAsia" w:hAnsi="宋体"/>
          <w:color w:val="000000" w:themeColor="text1"/>
        </w:rPr>
        <w:t>.</w:t>
      </w:r>
      <w:r>
        <w:rPr>
          <w:rFonts w:hAnsi="宋体"/>
          <w:color w:val="000000" w:themeColor="text1"/>
        </w:rPr>
        <w:t xml:space="preserve"> 货物在规定的交付期限内由乙方送达甲方指定的地点视为交付，乙方同时需</w:t>
      </w:r>
    </w:p>
    <w:p>
      <w:pPr>
        <w:pStyle w:val="25"/>
        <w:snapToGrid w:val="0"/>
        <w:spacing w:beforeLines="0" w:afterLines="0" w:line="240" w:lineRule="auto"/>
        <w:ind w:left="479" w:leftChars="171" w:right="26" w:hanging="120" w:hangingChars="50"/>
        <w:rPr>
          <w:rFonts w:hAnsi="宋体"/>
          <w:color w:val="000000" w:themeColor="text1"/>
        </w:rPr>
      </w:pPr>
      <w:r>
        <w:rPr>
          <w:rFonts w:hAnsi="宋体"/>
          <w:color w:val="000000" w:themeColor="text1"/>
        </w:rPr>
        <w:t>通知甲方货物已送达。</w:t>
      </w:r>
    </w:p>
    <w:p>
      <w:pPr>
        <w:pStyle w:val="25"/>
        <w:snapToGrid w:val="0"/>
        <w:spacing w:before="120" w:after="120" w:line="240" w:lineRule="auto"/>
        <w:rPr>
          <w:rFonts w:hAnsi="宋体"/>
          <w:b/>
          <w:color w:val="000000" w:themeColor="text1"/>
        </w:rPr>
      </w:pPr>
      <w:r>
        <w:rPr>
          <w:rFonts w:hAnsi="宋体"/>
          <w:b/>
          <w:color w:val="000000" w:themeColor="text1"/>
        </w:rPr>
        <w:t>十五、违约责任</w:t>
      </w:r>
    </w:p>
    <w:p>
      <w:pPr>
        <w:pStyle w:val="25"/>
        <w:snapToGrid w:val="0"/>
        <w:spacing w:before="120" w:after="120" w:line="240" w:lineRule="auto"/>
        <w:ind w:left="410" w:hanging="410" w:hangingChars="171"/>
        <w:rPr>
          <w:rFonts w:hAnsi="宋体"/>
          <w:color w:val="000000" w:themeColor="text1"/>
        </w:rPr>
      </w:pPr>
      <w:r>
        <w:rPr>
          <w:rFonts w:hAnsi="宋体"/>
          <w:color w:val="000000" w:themeColor="text1"/>
        </w:rPr>
        <w:t>1</w:t>
      </w:r>
      <w:r>
        <w:rPr>
          <w:rFonts w:hint="eastAsia" w:hAnsi="宋体"/>
          <w:color w:val="000000" w:themeColor="text1"/>
        </w:rPr>
        <w:t>.</w:t>
      </w:r>
      <w:r>
        <w:rPr>
          <w:rFonts w:hAnsi="宋体"/>
          <w:color w:val="000000" w:themeColor="text1"/>
        </w:rPr>
        <w:t xml:space="preserve"> 甲方无正当理由拒收货物的，甲方向乙方偿付拒收货款总值的百分之五违约金。</w:t>
      </w:r>
    </w:p>
    <w:p>
      <w:pPr>
        <w:pStyle w:val="25"/>
        <w:snapToGrid w:val="0"/>
        <w:spacing w:before="120" w:after="120" w:line="240" w:lineRule="auto"/>
        <w:ind w:left="410" w:hanging="410" w:hangingChars="171"/>
        <w:rPr>
          <w:rFonts w:hAnsi="宋体"/>
          <w:color w:val="000000" w:themeColor="text1"/>
        </w:rPr>
      </w:pPr>
      <w:r>
        <w:rPr>
          <w:rFonts w:hAnsi="宋体"/>
          <w:color w:val="000000" w:themeColor="text1"/>
        </w:rPr>
        <w:t>2</w:t>
      </w:r>
      <w:r>
        <w:rPr>
          <w:rFonts w:hint="eastAsia" w:hAnsi="宋体"/>
          <w:color w:val="000000" w:themeColor="text1"/>
        </w:rPr>
        <w:t>.</w:t>
      </w:r>
      <w:r>
        <w:rPr>
          <w:rFonts w:hAnsi="宋体"/>
          <w:color w:val="000000" w:themeColor="text1"/>
        </w:rPr>
        <w:t xml:space="preserve"> 甲方无故逾期验收和办理货款支付手续的,甲方应按逾期付款总额每日万分之五向乙方支付违约金。</w:t>
      </w:r>
    </w:p>
    <w:p>
      <w:pPr>
        <w:pStyle w:val="25"/>
        <w:snapToGrid w:val="0"/>
        <w:spacing w:before="120" w:after="120" w:line="240" w:lineRule="auto"/>
        <w:ind w:left="410" w:hanging="410" w:hangingChars="171"/>
        <w:rPr>
          <w:rFonts w:hAnsi="宋体"/>
          <w:color w:val="000000" w:themeColor="text1"/>
        </w:rPr>
      </w:pPr>
      <w:r>
        <w:rPr>
          <w:rFonts w:hAnsi="宋体"/>
          <w:color w:val="000000" w:themeColor="text1"/>
        </w:rPr>
        <w:t>3</w:t>
      </w:r>
      <w:r>
        <w:rPr>
          <w:rFonts w:hint="eastAsia" w:hAnsi="宋体"/>
          <w:color w:val="000000" w:themeColor="text1"/>
        </w:rPr>
        <w:t>.</w:t>
      </w:r>
      <w:r>
        <w:rPr>
          <w:rFonts w:hAnsi="宋体"/>
          <w:color w:val="000000" w:themeColor="text1"/>
        </w:rPr>
        <w:t xml:space="preserve"> 乙方逾期交付货物的，乙方应按逾期交货总额每日千分之六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 </w:t>
      </w:r>
    </w:p>
    <w:p>
      <w:pPr>
        <w:pStyle w:val="25"/>
        <w:snapToGrid w:val="0"/>
        <w:spacing w:before="120" w:after="120" w:line="240" w:lineRule="auto"/>
        <w:ind w:left="410" w:hanging="410" w:hangingChars="171"/>
        <w:rPr>
          <w:rFonts w:hAnsi="宋体"/>
          <w:color w:val="000000" w:themeColor="text1"/>
        </w:rPr>
      </w:pPr>
      <w:r>
        <w:rPr>
          <w:rFonts w:hAnsi="宋体"/>
          <w:color w:val="000000" w:themeColor="text1"/>
        </w:rPr>
        <w:t>4</w:t>
      </w:r>
      <w:r>
        <w:rPr>
          <w:rFonts w:hint="eastAsia" w:hAnsi="宋体"/>
          <w:color w:val="000000" w:themeColor="text1"/>
        </w:rPr>
        <w:t>.</w:t>
      </w:r>
      <w:r>
        <w:rPr>
          <w:rFonts w:hAnsi="宋体"/>
          <w:color w:val="000000" w:themeColor="text1"/>
        </w:rPr>
        <w:t xml:space="preserve"> 乙方所交的货物品种、型号、规格、技术参数、质量不符合合同规定及招标文件规定标准的，甲方有权拒收该货物，乙方愿意更换货物但逾期交货的，按乙方逾期交货处理。乙方拒绝更换货物的，甲方可单方面解除合同。</w:t>
      </w:r>
    </w:p>
    <w:p>
      <w:pPr>
        <w:pStyle w:val="25"/>
        <w:snapToGrid w:val="0"/>
        <w:spacing w:before="120" w:after="120" w:line="240" w:lineRule="auto"/>
        <w:rPr>
          <w:rFonts w:hAnsi="宋体"/>
          <w:b/>
          <w:color w:val="000000" w:themeColor="text1"/>
        </w:rPr>
      </w:pPr>
      <w:r>
        <w:rPr>
          <w:rFonts w:hAnsi="宋体"/>
          <w:b/>
          <w:color w:val="000000" w:themeColor="text1"/>
        </w:rPr>
        <w:t>十六、不可抗力事件处理</w:t>
      </w:r>
    </w:p>
    <w:p>
      <w:pPr>
        <w:pStyle w:val="25"/>
        <w:snapToGrid w:val="0"/>
        <w:spacing w:before="120" w:after="120" w:line="240" w:lineRule="auto"/>
        <w:rPr>
          <w:rFonts w:hAnsi="宋体"/>
          <w:color w:val="000000" w:themeColor="text1"/>
        </w:rPr>
      </w:pPr>
      <w:r>
        <w:rPr>
          <w:rFonts w:hAnsi="宋体"/>
          <w:color w:val="000000" w:themeColor="text1"/>
        </w:rPr>
        <w:t>1</w:t>
      </w:r>
      <w:r>
        <w:rPr>
          <w:rFonts w:hint="eastAsia" w:hAnsi="宋体"/>
          <w:color w:val="000000" w:themeColor="text1"/>
        </w:rPr>
        <w:t>.</w:t>
      </w:r>
      <w:r>
        <w:rPr>
          <w:rFonts w:hAnsi="宋体"/>
          <w:color w:val="000000" w:themeColor="text1"/>
        </w:rPr>
        <w:t xml:space="preserve"> 在合同有效期内，任何一方因不可抗力事件导致不能履行合同，则合同履行</w:t>
      </w:r>
    </w:p>
    <w:p>
      <w:pPr>
        <w:pStyle w:val="25"/>
        <w:snapToGrid w:val="0"/>
        <w:spacing w:before="120" w:after="120" w:line="240" w:lineRule="auto"/>
        <w:ind w:firstLine="360" w:firstLineChars="150"/>
        <w:rPr>
          <w:rFonts w:hAnsi="宋体"/>
          <w:color w:val="000000" w:themeColor="text1"/>
        </w:rPr>
      </w:pPr>
      <w:r>
        <w:rPr>
          <w:rFonts w:hAnsi="宋体"/>
          <w:color w:val="000000" w:themeColor="text1"/>
        </w:rPr>
        <w:t>期可延长，其延长期与不可抗力影响期相同。</w:t>
      </w:r>
    </w:p>
    <w:p>
      <w:pPr>
        <w:pStyle w:val="25"/>
        <w:snapToGrid w:val="0"/>
        <w:spacing w:before="120" w:after="120" w:line="240" w:lineRule="auto"/>
        <w:rPr>
          <w:rFonts w:hAnsi="宋体"/>
          <w:color w:val="000000" w:themeColor="text1"/>
        </w:rPr>
      </w:pPr>
      <w:r>
        <w:rPr>
          <w:rFonts w:hAnsi="宋体"/>
          <w:color w:val="000000" w:themeColor="text1"/>
        </w:rPr>
        <w:t>2</w:t>
      </w:r>
      <w:r>
        <w:rPr>
          <w:rFonts w:hint="eastAsia" w:hAnsi="宋体"/>
          <w:color w:val="000000" w:themeColor="text1"/>
        </w:rPr>
        <w:t>.</w:t>
      </w:r>
      <w:r>
        <w:rPr>
          <w:rFonts w:hAnsi="宋体"/>
          <w:color w:val="000000" w:themeColor="text1"/>
        </w:rPr>
        <w:t xml:space="preserve"> 不可抗力事件发生后，应立即通知对方，并寄送有关权威机构出具的证明。</w:t>
      </w:r>
    </w:p>
    <w:p>
      <w:pPr>
        <w:pStyle w:val="25"/>
        <w:snapToGrid w:val="0"/>
        <w:spacing w:before="120" w:after="120" w:line="240" w:lineRule="auto"/>
        <w:rPr>
          <w:rFonts w:hAnsi="宋体"/>
          <w:color w:val="000000" w:themeColor="text1"/>
        </w:rPr>
      </w:pPr>
      <w:r>
        <w:rPr>
          <w:rFonts w:hAnsi="宋体"/>
          <w:color w:val="000000" w:themeColor="text1"/>
        </w:rPr>
        <w:t>3</w:t>
      </w:r>
      <w:r>
        <w:rPr>
          <w:rFonts w:hint="eastAsia" w:hAnsi="宋体"/>
          <w:color w:val="000000" w:themeColor="text1"/>
        </w:rPr>
        <w:t>.</w:t>
      </w:r>
      <w:r>
        <w:rPr>
          <w:rFonts w:hAnsi="宋体"/>
          <w:color w:val="000000" w:themeColor="text1"/>
        </w:rPr>
        <w:t xml:space="preserve"> 不可抗力事件延续120天以上，双方应通过友好协商，确定是否继续履行合</w:t>
      </w:r>
    </w:p>
    <w:p>
      <w:pPr>
        <w:pStyle w:val="25"/>
        <w:snapToGrid w:val="0"/>
        <w:spacing w:before="120" w:after="120" w:line="240" w:lineRule="auto"/>
        <w:ind w:firstLine="360" w:firstLineChars="150"/>
        <w:rPr>
          <w:rFonts w:hAnsi="宋体"/>
          <w:color w:val="000000" w:themeColor="text1"/>
        </w:rPr>
      </w:pPr>
      <w:r>
        <w:rPr>
          <w:rFonts w:hAnsi="宋体"/>
          <w:color w:val="000000" w:themeColor="text1"/>
        </w:rPr>
        <w:t>同。</w:t>
      </w:r>
    </w:p>
    <w:p>
      <w:pPr>
        <w:pStyle w:val="25"/>
        <w:snapToGrid w:val="0"/>
        <w:spacing w:before="120" w:after="120" w:line="240" w:lineRule="auto"/>
        <w:rPr>
          <w:rFonts w:hAnsi="宋体"/>
          <w:b/>
          <w:color w:val="000000" w:themeColor="text1"/>
        </w:rPr>
      </w:pPr>
      <w:r>
        <w:rPr>
          <w:rFonts w:hAnsi="宋体"/>
          <w:b/>
          <w:color w:val="000000" w:themeColor="text1"/>
        </w:rPr>
        <w:t>十七、诉讼</w:t>
      </w:r>
    </w:p>
    <w:p>
      <w:pPr>
        <w:pStyle w:val="25"/>
        <w:snapToGrid w:val="0"/>
        <w:spacing w:before="120" w:after="120" w:line="240" w:lineRule="auto"/>
        <w:ind w:left="480" w:hanging="480" w:hangingChars="200"/>
        <w:rPr>
          <w:rFonts w:hAnsi="宋体"/>
          <w:color w:val="000000" w:themeColor="text1"/>
        </w:rPr>
      </w:pPr>
      <w:r>
        <w:rPr>
          <w:rFonts w:hAnsi="宋体"/>
          <w:color w:val="000000" w:themeColor="text1"/>
        </w:rPr>
        <w:t xml:space="preserve"> 双方在执行合同中所发生的一切争议，应通过协商解决。如协商不成，可向</w:t>
      </w:r>
      <w:r>
        <w:rPr>
          <w:rFonts w:hint="eastAsia" w:hAnsi="宋体"/>
          <w:color w:val="000000" w:themeColor="text1"/>
        </w:rPr>
        <w:t>甲</w:t>
      </w:r>
    </w:p>
    <w:p>
      <w:pPr>
        <w:pStyle w:val="25"/>
        <w:snapToGrid w:val="0"/>
        <w:spacing w:before="120" w:after="120" w:line="240" w:lineRule="auto"/>
        <w:ind w:left="480" w:leftChars="57" w:hanging="360" w:hangingChars="150"/>
        <w:rPr>
          <w:rFonts w:hAnsi="宋体"/>
          <w:color w:val="000000" w:themeColor="text1"/>
        </w:rPr>
      </w:pPr>
      <w:r>
        <w:rPr>
          <w:rFonts w:hint="eastAsia" w:hAnsi="宋体"/>
          <w:color w:val="000000" w:themeColor="text1"/>
        </w:rPr>
        <w:t>方所在</w:t>
      </w:r>
      <w:r>
        <w:rPr>
          <w:rFonts w:hAnsi="宋体"/>
          <w:color w:val="000000" w:themeColor="text1"/>
        </w:rPr>
        <w:t>地法院起诉。</w:t>
      </w:r>
    </w:p>
    <w:p>
      <w:pPr>
        <w:pStyle w:val="25"/>
        <w:snapToGrid w:val="0"/>
        <w:spacing w:before="120" w:after="120" w:line="240" w:lineRule="auto"/>
        <w:rPr>
          <w:rFonts w:hAnsi="宋体"/>
          <w:b/>
          <w:color w:val="000000" w:themeColor="text1"/>
        </w:rPr>
      </w:pPr>
      <w:r>
        <w:rPr>
          <w:rFonts w:hAnsi="宋体"/>
          <w:b/>
          <w:color w:val="000000" w:themeColor="text1"/>
        </w:rPr>
        <w:t>十八、合同生效及其它</w:t>
      </w:r>
    </w:p>
    <w:p>
      <w:pPr>
        <w:pStyle w:val="25"/>
        <w:snapToGrid w:val="0"/>
        <w:spacing w:before="120" w:after="120" w:line="240" w:lineRule="auto"/>
        <w:rPr>
          <w:rFonts w:hAnsi="宋体"/>
          <w:color w:val="000000" w:themeColor="text1"/>
        </w:rPr>
      </w:pPr>
      <w:r>
        <w:rPr>
          <w:rFonts w:hAnsi="宋体"/>
          <w:color w:val="000000" w:themeColor="text1"/>
        </w:rPr>
        <w:t>1</w:t>
      </w:r>
      <w:r>
        <w:rPr>
          <w:rFonts w:hint="eastAsia" w:hAnsi="宋体"/>
          <w:color w:val="000000" w:themeColor="text1"/>
        </w:rPr>
        <w:t>.</w:t>
      </w:r>
      <w:r>
        <w:rPr>
          <w:rFonts w:hAnsi="宋体"/>
          <w:color w:val="000000" w:themeColor="text1"/>
        </w:rPr>
        <w:t xml:space="preserve"> 合同经双方法定代表人或授权代表签字并加盖单位公章后生效。</w:t>
      </w:r>
    </w:p>
    <w:p>
      <w:pPr>
        <w:pStyle w:val="25"/>
        <w:snapToGrid w:val="0"/>
        <w:spacing w:before="120" w:after="120" w:line="240" w:lineRule="auto"/>
        <w:rPr>
          <w:rFonts w:hAnsi="宋体"/>
          <w:color w:val="000000" w:themeColor="text1"/>
        </w:rPr>
      </w:pPr>
      <w:r>
        <w:rPr>
          <w:rFonts w:hAnsi="宋体"/>
          <w:color w:val="000000" w:themeColor="text1"/>
        </w:rPr>
        <w:t>2</w:t>
      </w:r>
      <w:r>
        <w:rPr>
          <w:rFonts w:hint="eastAsia" w:hAnsi="宋体"/>
          <w:color w:val="000000" w:themeColor="text1"/>
        </w:rPr>
        <w:t>.</w:t>
      </w:r>
      <w:r>
        <w:rPr>
          <w:rFonts w:hAnsi="宋体"/>
          <w:color w:val="000000" w:themeColor="text1"/>
        </w:rPr>
        <w:t>合同执行中涉及采购资金和采购内容修改或补充的，须经财政部门审批，并签书面补充协议报政府采购监督管理部门备案，方可作为主合同不可分割的一部分。</w:t>
      </w:r>
    </w:p>
    <w:p>
      <w:pPr>
        <w:pStyle w:val="25"/>
        <w:snapToGrid w:val="0"/>
        <w:spacing w:before="120" w:after="120" w:line="240" w:lineRule="auto"/>
        <w:ind w:left="480" w:hanging="480" w:hangingChars="200"/>
        <w:rPr>
          <w:rFonts w:hAnsi="宋体"/>
          <w:color w:val="000000" w:themeColor="text1"/>
        </w:rPr>
      </w:pPr>
      <w:r>
        <w:rPr>
          <w:rFonts w:hAnsi="宋体"/>
          <w:color w:val="000000" w:themeColor="text1"/>
        </w:rPr>
        <w:t>3</w:t>
      </w:r>
      <w:r>
        <w:rPr>
          <w:rFonts w:hint="eastAsia" w:hAnsi="宋体"/>
          <w:color w:val="000000" w:themeColor="text1"/>
        </w:rPr>
        <w:t>.</w:t>
      </w:r>
      <w:r>
        <w:rPr>
          <w:rFonts w:hAnsi="宋体"/>
          <w:color w:val="000000" w:themeColor="text1"/>
        </w:rPr>
        <w:t>本合同未尽事宜，遵照《合同法》有关条文执行。</w:t>
      </w:r>
    </w:p>
    <w:p>
      <w:pPr>
        <w:pStyle w:val="25"/>
        <w:snapToGrid w:val="0"/>
        <w:spacing w:before="120" w:after="120" w:line="240" w:lineRule="auto"/>
        <w:ind w:left="480" w:hanging="480" w:hangingChars="200"/>
        <w:rPr>
          <w:rFonts w:hAnsi="宋体"/>
          <w:color w:val="000000" w:themeColor="text1"/>
        </w:rPr>
      </w:pPr>
      <w:r>
        <w:rPr>
          <w:rFonts w:hAnsi="宋体"/>
          <w:color w:val="000000" w:themeColor="text1"/>
        </w:rPr>
        <w:t>4</w:t>
      </w:r>
      <w:r>
        <w:rPr>
          <w:rFonts w:hint="eastAsia" w:hAnsi="宋体"/>
          <w:color w:val="000000" w:themeColor="text1"/>
        </w:rPr>
        <w:t>.</w:t>
      </w:r>
      <w:r>
        <w:rPr>
          <w:rFonts w:hAnsi="宋体"/>
          <w:color w:val="000000" w:themeColor="text1"/>
        </w:rPr>
        <w:t>本合同正本一式两份，具有同等法律效力，甲乙双方各执一份；副本</w:t>
      </w:r>
      <w:r>
        <w:rPr>
          <w:rFonts w:hAnsi="宋体"/>
          <w:b/>
          <w:color w:val="000000" w:themeColor="text1"/>
        </w:rPr>
        <w:t>△</w:t>
      </w:r>
      <w:r>
        <w:rPr>
          <w:rFonts w:hAnsi="宋体"/>
          <w:color w:val="000000" w:themeColor="text1"/>
        </w:rPr>
        <w:t>份，(用</w:t>
      </w:r>
    </w:p>
    <w:p>
      <w:pPr>
        <w:pStyle w:val="25"/>
        <w:snapToGrid w:val="0"/>
        <w:spacing w:before="120" w:after="120" w:line="240" w:lineRule="auto"/>
        <w:ind w:left="479" w:leftChars="114" w:hanging="240" w:hangingChars="100"/>
        <w:rPr>
          <w:rFonts w:hAnsi="宋体"/>
          <w:color w:val="000000" w:themeColor="text1"/>
        </w:rPr>
      </w:pPr>
      <w:r>
        <w:rPr>
          <w:rFonts w:hAnsi="宋体"/>
          <w:color w:val="000000" w:themeColor="text1"/>
        </w:rPr>
        <w:t>途)。</w:t>
      </w:r>
    </w:p>
    <w:p>
      <w:pPr>
        <w:pStyle w:val="25"/>
        <w:snapToGrid w:val="0"/>
        <w:spacing w:before="120" w:after="120" w:line="240" w:lineRule="auto"/>
        <w:ind w:left="480" w:hanging="480" w:hangingChars="200"/>
        <w:rPr>
          <w:rFonts w:hAnsi="宋体"/>
          <w:color w:val="000000" w:themeColor="text1"/>
        </w:rPr>
      </w:pPr>
      <w:r>
        <w:rPr>
          <w:rFonts w:hAnsi="宋体"/>
          <w:color w:val="000000" w:themeColor="text1"/>
        </w:rPr>
        <w:t xml:space="preserve">  甲方：                                 乙方： </w:t>
      </w:r>
    </w:p>
    <w:p>
      <w:pPr>
        <w:pStyle w:val="25"/>
        <w:snapToGrid w:val="0"/>
        <w:spacing w:before="120" w:after="120" w:line="240" w:lineRule="auto"/>
        <w:rPr>
          <w:rFonts w:hAnsi="宋体"/>
          <w:color w:val="000000" w:themeColor="text1"/>
        </w:rPr>
      </w:pPr>
      <w:r>
        <w:rPr>
          <w:rFonts w:hAnsi="宋体"/>
          <w:color w:val="000000" w:themeColor="text1"/>
        </w:rPr>
        <w:t xml:space="preserve">  地址：                                   地址： </w:t>
      </w:r>
    </w:p>
    <w:p>
      <w:pPr>
        <w:pStyle w:val="25"/>
        <w:snapToGrid w:val="0"/>
        <w:spacing w:before="120" w:after="120" w:line="240" w:lineRule="auto"/>
        <w:rPr>
          <w:rFonts w:hAnsi="宋体"/>
          <w:color w:val="000000" w:themeColor="text1"/>
        </w:rPr>
      </w:pPr>
      <w:r>
        <w:rPr>
          <w:rFonts w:hAnsi="宋体"/>
          <w:color w:val="000000" w:themeColor="text1"/>
        </w:rPr>
        <w:t xml:space="preserve">  法定</w:t>
      </w:r>
      <w:r>
        <w:rPr>
          <w:rFonts w:hint="eastAsia" w:hAnsi="宋体"/>
          <w:color w:val="000000" w:themeColor="text1"/>
        </w:rPr>
        <w:t>（授权）</w:t>
      </w:r>
      <w:r>
        <w:rPr>
          <w:rFonts w:hAnsi="宋体"/>
          <w:color w:val="000000" w:themeColor="text1"/>
        </w:rPr>
        <w:t>代表人：                     法定</w:t>
      </w:r>
      <w:r>
        <w:rPr>
          <w:rFonts w:hint="eastAsia" w:hAnsi="宋体"/>
          <w:color w:val="000000" w:themeColor="text1"/>
        </w:rPr>
        <w:t>（授权）</w:t>
      </w:r>
      <w:r>
        <w:rPr>
          <w:rFonts w:hAnsi="宋体"/>
          <w:color w:val="000000" w:themeColor="text1"/>
        </w:rPr>
        <w:t>代表人：</w:t>
      </w:r>
    </w:p>
    <w:p>
      <w:pPr>
        <w:pStyle w:val="25"/>
        <w:snapToGrid w:val="0"/>
        <w:spacing w:before="120" w:after="120" w:line="240" w:lineRule="auto"/>
        <w:rPr>
          <w:rFonts w:hAnsi="宋体"/>
          <w:color w:val="000000" w:themeColor="text1"/>
        </w:rPr>
      </w:pPr>
      <w:r>
        <w:rPr>
          <w:rFonts w:hAnsi="宋体"/>
          <w:color w:val="000000" w:themeColor="text1"/>
        </w:rPr>
        <w:t xml:space="preserve">  签</w:t>
      </w:r>
      <w:r>
        <w:rPr>
          <w:rFonts w:hint="eastAsia" w:hAnsi="宋体"/>
          <w:color w:val="000000" w:themeColor="text1"/>
        </w:rPr>
        <w:t>字日期</w:t>
      </w:r>
      <w:r>
        <w:rPr>
          <w:rFonts w:hAnsi="宋体"/>
          <w:color w:val="000000" w:themeColor="text1"/>
        </w:rPr>
        <w:t>：      年  月  日       签</w:t>
      </w:r>
      <w:r>
        <w:rPr>
          <w:rFonts w:hint="eastAsia" w:hAnsi="宋体"/>
          <w:color w:val="000000" w:themeColor="text1"/>
        </w:rPr>
        <w:t>字</w:t>
      </w:r>
      <w:r>
        <w:rPr>
          <w:rFonts w:hAnsi="宋体"/>
          <w:color w:val="000000" w:themeColor="text1"/>
        </w:rPr>
        <w:t>日期：      年  月  日</w:t>
      </w:r>
    </w:p>
    <w:p>
      <w:pPr>
        <w:pStyle w:val="25"/>
        <w:snapToGrid w:val="0"/>
        <w:spacing w:before="120" w:after="120" w:line="240" w:lineRule="auto"/>
        <w:rPr>
          <w:rFonts w:hAnsi="宋体"/>
          <w:color w:val="000000" w:themeColor="text1"/>
        </w:rPr>
      </w:pPr>
    </w:p>
    <w:p>
      <w:pPr>
        <w:pStyle w:val="25"/>
        <w:snapToGrid w:val="0"/>
        <w:spacing w:before="120" w:after="120" w:line="240" w:lineRule="auto"/>
        <w:rPr>
          <w:rFonts w:hAnsi="宋体"/>
          <w:color w:val="000000" w:themeColor="text1"/>
        </w:rPr>
      </w:pPr>
      <w:r>
        <w:rPr>
          <w:rFonts w:hint="eastAsia" w:hAnsi="宋体"/>
          <w:color w:val="000000" w:themeColor="text1"/>
        </w:rPr>
        <w:t xml:space="preserve"> 合同鉴证方:</w:t>
      </w:r>
    </w:p>
    <w:p>
      <w:pPr>
        <w:pStyle w:val="25"/>
        <w:snapToGrid w:val="0"/>
        <w:spacing w:before="120" w:after="120" w:line="240" w:lineRule="auto"/>
        <w:rPr>
          <w:rFonts w:hAnsi="宋体"/>
          <w:color w:val="000000" w:themeColor="text1"/>
        </w:rPr>
      </w:pPr>
      <w:r>
        <w:rPr>
          <w:rFonts w:hint="eastAsia" w:hAnsi="宋体"/>
          <w:color w:val="000000" w:themeColor="text1"/>
        </w:rPr>
        <w:t>法定代表人或主要负责人:</w:t>
      </w:r>
    </w:p>
    <w:p>
      <w:pPr>
        <w:pStyle w:val="25"/>
        <w:snapToGrid w:val="0"/>
        <w:spacing w:before="120" w:after="120" w:line="240" w:lineRule="auto"/>
        <w:rPr>
          <w:rFonts w:hAnsi="宋体"/>
          <w:color w:val="000000" w:themeColor="text1"/>
        </w:rPr>
      </w:pPr>
      <w:r>
        <w:rPr>
          <w:rFonts w:hint="eastAsia" w:hAnsi="宋体"/>
          <w:color w:val="000000" w:themeColor="text1"/>
        </w:rPr>
        <w:t>鉴证日期:</w:t>
      </w:r>
    </w:p>
    <w:p>
      <w:pPr>
        <w:snapToGrid w:val="0"/>
        <w:spacing w:beforeLines="50" w:afterLines="50"/>
        <w:ind w:firstLine="480" w:firstLineChars="200"/>
        <w:rPr>
          <w:rFonts w:ascii="宋体" w:hAnsi="宋体"/>
          <w:color w:val="000000" w:themeColor="text1"/>
          <w:sz w:val="24"/>
          <w:szCs w:val="20"/>
        </w:rPr>
      </w:pPr>
      <w:r>
        <w:rPr>
          <w:rFonts w:ascii="宋体" w:hAnsi="宋体"/>
          <w:color w:val="000000" w:themeColor="text1"/>
          <w:sz w:val="24"/>
        </w:rPr>
        <w:br w:type="page"/>
      </w:r>
    </w:p>
    <w:p>
      <w:pPr>
        <w:snapToGrid w:val="0"/>
        <w:spacing w:beforeLines="50" w:afterLines="50"/>
        <w:jc w:val="center"/>
        <w:rPr>
          <w:rFonts w:ascii="宋体" w:hAnsi="宋体"/>
          <w:b/>
          <w:bCs/>
          <w:color w:val="000000" w:themeColor="text1"/>
          <w:sz w:val="30"/>
          <w:szCs w:val="32"/>
        </w:rPr>
      </w:pPr>
      <w:r>
        <w:rPr>
          <w:rFonts w:hint="eastAsia" w:ascii="宋体" w:hAnsi="宋体"/>
          <w:b/>
          <w:color w:val="000000" w:themeColor="text1"/>
          <w:sz w:val="30"/>
          <w:szCs w:val="32"/>
        </w:rPr>
        <w:t>浙江省政府采购合同指引（服务）</w:t>
      </w:r>
    </w:p>
    <w:p>
      <w:pPr>
        <w:pStyle w:val="25"/>
        <w:snapToGrid w:val="0"/>
        <w:spacing w:before="120" w:after="120" w:line="240" w:lineRule="auto"/>
        <w:rPr>
          <w:rFonts w:hAnsi="宋体"/>
          <w:color w:val="000000" w:themeColor="text1"/>
        </w:rPr>
      </w:pPr>
      <w:r>
        <w:rPr>
          <w:rFonts w:hAnsi="宋体"/>
          <w:color w:val="000000" w:themeColor="text1"/>
        </w:rPr>
        <w:t>项目名称：                                     项目编号：</w:t>
      </w:r>
    </w:p>
    <w:p>
      <w:pPr>
        <w:pStyle w:val="25"/>
        <w:snapToGrid w:val="0"/>
        <w:spacing w:before="120" w:after="120" w:line="240" w:lineRule="auto"/>
        <w:rPr>
          <w:rFonts w:hAnsi="宋体"/>
          <w:color w:val="000000" w:themeColor="text1"/>
        </w:rPr>
      </w:pPr>
      <w:r>
        <w:rPr>
          <w:rFonts w:hAnsi="宋体"/>
          <w:color w:val="000000" w:themeColor="text1"/>
        </w:rPr>
        <w:t>甲方：（买方）</w:t>
      </w:r>
    </w:p>
    <w:p>
      <w:pPr>
        <w:pStyle w:val="25"/>
        <w:snapToGrid w:val="0"/>
        <w:spacing w:before="120" w:after="120" w:line="240" w:lineRule="auto"/>
        <w:rPr>
          <w:rFonts w:hAnsi="宋体"/>
          <w:color w:val="000000" w:themeColor="text1"/>
        </w:rPr>
      </w:pPr>
      <w:r>
        <w:rPr>
          <w:rFonts w:hAnsi="宋体"/>
          <w:color w:val="000000" w:themeColor="text1"/>
        </w:rPr>
        <w:t>乙方：（卖方）</w:t>
      </w:r>
    </w:p>
    <w:p>
      <w:pPr>
        <w:pStyle w:val="25"/>
        <w:snapToGrid w:val="0"/>
        <w:spacing w:before="120" w:after="120" w:line="240" w:lineRule="auto"/>
        <w:rPr>
          <w:rFonts w:hAnsi="宋体"/>
          <w:b/>
          <w:color w:val="000000" w:themeColor="text1"/>
        </w:rPr>
      </w:pPr>
      <w:r>
        <w:rPr>
          <w:rFonts w:hAnsi="宋体"/>
          <w:color w:val="000000" w:themeColor="text1"/>
        </w:rPr>
        <w:t xml:space="preserve">甲、乙双方根据 </w:t>
      </w:r>
      <w:r>
        <w:rPr>
          <w:rFonts w:hAnsi="宋体"/>
          <w:color w:val="000000" w:themeColor="text1"/>
          <w:u w:val="single"/>
        </w:rPr>
        <w:t>金华市政府采购中心关于  单位    项目公开招标</w:t>
      </w:r>
      <w:r>
        <w:rPr>
          <w:rFonts w:hAnsi="宋体"/>
          <w:color w:val="000000" w:themeColor="text1"/>
        </w:rPr>
        <w:t>的结果，签署本合同。</w:t>
      </w:r>
    </w:p>
    <w:p>
      <w:pPr>
        <w:pStyle w:val="25"/>
        <w:snapToGrid w:val="0"/>
        <w:spacing w:before="120" w:after="120" w:line="240" w:lineRule="auto"/>
        <w:rPr>
          <w:rFonts w:hAnsi="宋体"/>
          <w:b/>
          <w:color w:val="000000" w:themeColor="text1"/>
        </w:rPr>
      </w:pPr>
      <w:r>
        <w:rPr>
          <w:rFonts w:hAnsi="宋体"/>
          <w:b/>
          <w:color w:val="000000" w:themeColor="text1"/>
        </w:rPr>
        <w:t>一、服务内容</w:t>
      </w:r>
    </w:p>
    <w:p>
      <w:pPr>
        <w:pStyle w:val="25"/>
        <w:snapToGrid w:val="0"/>
        <w:spacing w:before="120" w:after="120" w:line="240" w:lineRule="auto"/>
        <w:rPr>
          <w:rFonts w:hAnsi="宋体"/>
          <w:b/>
          <w:color w:val="000000" w:themeColor="text1"/>
        </w:rPr>
      </w:pPr>
      <w:r>
        <w:rPr>
          <w:rFonts w:hAnsi="宋体"/>
          <w:b/>
          <w:color w:val="000000" w:themeColor="text1"/>
        </w:rPr>
        <w:t>二、合同金额</w:t>
      </w:r>
    </w:p>
    <w:p>
      <w:pPr>
        <w:pStyle w:val="25"/>
        <w:snapToGrid w:val="0"/>
        <w:spacing w:before="120" w:after="120" w:line="240" w:lineRule="auto"/>
        <w:ind w:left="410" w:hanging="410" w:hangingChars="171"/>
        <w:rPr>
          <w:rFonts w:hAnsi="宋体"/>
          <w:color w:val="000000" w:themeColor="text1"/>
        </w:rPr>
      </w:pPr>
      <w:r>
        <w:rPr>
          <w:rFonts w:hAnsi="宋体"/>
          <w:color w:val="000000" w:themeColor="text1"/>
        </w:rPr>
        <w:t>本合同金额为（大写）：____________________________________元（￥_______________元）人民币。</w:t>
      </w:r>
    </w:p>
    <w:p>
      <w:pPr>
        <w:pStyle w:val="25"/>
        <w:snapToGrid w:val="0"/>
        <w:spacing w:before="120" w:after="120" w:line="240" w:lineRule="auto"/>
        <w:rPr>
          <w:rFonts w:hAnsi="宋体"/>
          <w:b/>
          <w:color w:val="000000" w:themeColor="text1"/>
        </w:rPr>
      </w:pPr>
      <w:r>
        <w:rPr>
          <w:rFonts w:hAnsi="宋体"/>
          <w:b/>
          <w:color w:val="000000" w:themeColor="text1"/>
        </w:rPr>
        <w:t>三、技术资料</w:t>
      </w:r>
    </w:p>
    <w:p>
      <w:pPr>
        <w:pStyle w:val="25"/>
        <w:snapToGrid w:val="0"/>
        <w:spacing w:before="120" w:after="120" w:line="240" w:lineRule="auto"/>
        <w:ind w:left="410" w:hanging="410" w:hangingChars="171"/>
        <w:rPr>
          <w:rFonts w:hAnsi="宋体"/>
          <w:color w:val="000000" w:themeColor="text1"/>
        </w:rPr>
      </w:pPr>
      <w:r>
        <w:rPr>
          <w:rFonts w:hAnsi="宋体"/>
          <w:color w:val="000000" w:themeColor="text1"/>
        </w:rPr>
        <w:t>1</w:t>
      </w:r>
      <w:r>
        <w:rPr>
          <w:rFonts w:hint="eastAsia" w:hAnsi="宋体"/>
          <w:color w:val="000000" w:themeColor="text1"/>
        </w:rPr>
        <w:t>.</w:t>
      </w:r>
      <w:r>
        <w:rPr>
          <w:rFonts w:hAnsi="宋体"/>
          <w:color w:val="000000" w:themeColor="text1"/>
        </w:rPr>
        <w:t>乙方应按招标文件规定的时间向甲方提供有关技术资料。</w:t>
      </w:r>
    </w:p>
    <w:p>
      <w:pPr>
        <w:pStyle w:val="25"/>
        <w:snapToGrid w:val="0"/>
        <w:spacing w:before="120" w:after="120" w:line="240" w:lineRule="auto"/>
        <w:ind w:left="1"/>
        <w:rPr>
          <w:rFonts w:hAnsi="宋体"/>
          <w:color w:val="000000" w:themeColor="text1"/>
        </w:rPr>
      </w:pPr>
      <w:r>
        <w:rPr>
          <w:rFonts w:hAnsi="宋体"/>
          <w:color w:val="000000" w:themeColor="text1"/>
        </w:rPr>
        <w:t>2</w:t>
      </w:r>
      <w:r>
        <w:rPr>
          <w:rFonts w:hint="eastAsia" w:hAnsi="宋体"/>
          <w:color w:val="000000" w:themeColor="text1"/>
        </w:rPr>
        <w:t>.</w:t>
      </w:r>
      <w:r>
        <w:rPr>
          <w:rFonts w:hAnsi="宋体"/>
          <w:color w:val="000000" w:themeColor="text1"/>
        </w:rPr>
        <w:t xml:space="preserve">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25"/>
        <w:snapToGrid w:val="0"/>
        <w:spacing w:before="120" w:after="120" w:line="240" w:lineRule="auto"/>
        <w:ind w:left="412" w:hanging="412" w:hangingChars="171"/>
        <w:rPr>
          <w:rFonts w:hAnsi="宋体"/>
          <w:b/>
          <w:color w:val="000000" w:themeColor="text1"/>
        </w:rPr>
      </w:pPr>
      <w:r>
        <w:rPr>
          <w:rFonts w:hAnsi="宋体"/>
          <w:b/>
          <w:color w:val="000000" w:themeColor="text1"/>
        </w:rPr>
        <w:t>四、知识产权</w:t>
      </w:r>
    </w:p>
    <w:p>
      <w:pPr>
        <w:pStyle w:val="25"/>
        <w:snapToGrid w:val="0"/>
        <w:spacing w:before="120" w:after="120" w:line="240" w:lineRule="auto"/>
        <w:ind w:left="410" w:hanging="410" w:hangingChars="171"/>
        <w:rPr>
          <w:rFonts w:hAnsi="宋体"/>
          <w:b/>
          <w:bCs/>
          <w:color w:val="000000" w:themeColor="text1"/>
        </w:rPr>
      </w:pPr>
      <w:r>
        <w:rPr>
          <w:rFonts w:hAnsi="宋体"/>
          <w:color w:val="000000" w:themeColor="text1"/>
        </w:rPr>
        <w:t>乙方应保证提供服务过程中不会侵犯任何第三方的</w:t>
      </w:r>
      <w:r>
        <w:rPr>
          <w:rFonts w:hAnsi="宋体"/>
          <w:b/>
          <w:color w:val="000000" w:themeColor="text1"/>
        </w:rPr>
        <w:t>知识产权</w:t>
      </w:r>
      <w:r>
        <w:rPr>
          <w:rFonts w:hAnsi="宋体"/>
          <w:b/>
          <w:bCs/>
          <w:color w:val="000000" w:themeColor="text1"/>
        </w:rPr>
        <w:t>。</w:t>
      </w:r>
    </w:p>
    <w:p>
      <w:pPr>
        <w:pStyle w:val="25"/>
        <w:snapToGrid w:val="0"/>
        <w:spacing w:before="120" w:after="120" w:line="240" w:lineRule="auto"/>
        <w:ind w:left="410" w:hanging="410" w:hangingChars="170"/>
        <w:rPr>
          <w:rFonts w:hAnsi="宋体"/>
          <w:b/>
          <w:color w:val="000000" w:themeColor="text1"/>
        </w:rPr>
      </w:pPr>
      <w:r>
        <w:rPr>
          <w:rFonts w:hint="eastAsia" w:hAnsi="宋体"/>
          <w:b/>
          <w:color w:val="000000" w:themeColor="text1"/>
        </w:rPr>
        <w:t>五</w:t>
      </w:r>
      <w:r>
        <w:rPr>
          <w:rFonts w:hAnsi="宋体"/>
          <w:b/>
          <w:color w:val="000000" w:themeColor="text1"/>
        </w:rPr>
        <w:t>、履约保证金</w:t>
      </w:r>
    </w:p>
    <w:p>
      <w:pPr>
        <w:pStyle w:val="25"/>
        <w:snapToGrid w:val="0"/>
        <w:spacing w:before="120" w:after="120" w:line="240" w:lineRule="auto"/>
        <w:ind w:left="408" w:hanging="408" w:hangingChars="170"/>
        <w:rPr>
          <w:rFonts w:hAnsi="宋体"/>
          <w:color w:val="000000" w:themeColor="text1"/>
        </w:rPr>
      </w:pPr>
      <w:r>
        <w:rPr>
          <w:rFonts w:hAnsi="宋体"/>
          <w:color w:val="000000" w:themeColor="text1"/>
        </w:rPr>
        <w:t>乙方交纳人民币</w:t>
      </w:r>
      <w:r>
        <w:rPr>
          <w:rFonts w:hAnsi="宋体"/>
          <w:b/>
          <w:color w:val="000000" w:themeColor="text1"/>
        </w:rPr>
        <w:t>△</w:t>
      </w:r>
      <w:r>
        <w:rPr>
          <w:rFonts w:hAnsi="宋体"/>
          <w:color w:val="000000" w:themeColor="text1"/>
        </w:rPr>
        <w:t>元作为本合同的履约保证金。</w:t>
      </w:r>
    </w:p>
    <w:p>
      <w:pPr>
        <w:snapToGrid w:val="0"/>
        <w:spacing w:beforeLines="50" w:afterLines="50"/>
        <w:rPr>
          <w:rFonts w:ascii="宋体" w:hAnsi="宋体"/>
          <w:b/>
          <w:color w:val="000000" w:themeColor="text1"/>
          <w:sz w:val="24"/>
          <w:szCs w:val="20"/>
        </w:rPr>
      </w:pPr>
      <w:r>
        <w:rPr>
          <w:rFonts w:hint="eastAsia" w:ascii="宋体" w:hAnsi="宋体"/>
          <w:b/>
          <w:color w:val="000000" w:themeColor="text1"/>
          <w:sz w:val="24"/>
        </w:rPr>
        <w:t>六、转包或分包</w:t>
      </w:r>
    </w:p>
    <w:p>
      <w:pPr>
        <w:snapToGrid w:val="0"/>
        <w:spacing w:beforeLines="50" w:afterLines="50"/>
        <w:rPr>
          <w:rFonts w:ascii="宋体" w:hAnsi="宋体"/>
          <w:color w:val="000000" w:themeColor="text1"/>
          <w:sz w:val="24"/>
          <w:szCs w:val="20"/>
        </w:rPr>
      </w:pPr>
      <w:r>
        <w:rPr>
          <w:rFonts w:ascii="宋体" w:hAnsi="宋体"/>
          <w:color w:val="000000" w:themeColor="text1"/>
          <w:sz w:val="24"/>
        </w:rPr>
        <w:t>1</w:t>
      </w:r>
      <w:r>
        <w:rPr>
          <w:rFonts w:hint="eastAsia" w:ascii="宋体" w:hAnsi="宋体"/>
          <w:color w:val="000000" w:themeColor="text1"/>
          <w:sz w:val="24"/>
        </w:rPr>
        <w:t>.本合同范围的服务，应由</w:t>
      </w:r>
      <w:r>
        <w:rPr>
          <w:rFonts w:hAnsi="宋体"/>
          <w:color w:val="000000" w:themeColor="text1"/>
          <w:sz w:val="24"/>
        </w:rPr>
        <w:t>乙</w:t>
      </w:r>
      <w:r>
        <w:rPr>
          <w:rFonts w:hint="eastAsia" w:ascii="宋体" w:hAnsi="宋体"/>
          <w:color w:val="000000" w:themeColor="text1"/>
          <w:sz w:val="24"/>
        </w:rPr>
        <w:t>方直接供应，不得转让他人供应；</w:t>
      </w:r>
    </w:p>
    <w:p>
      <w:pPr>
        <w:snapToGrid w:val="0"/>
        <w:spacing w:beforeLines="50" w:afterLines="50"/>
        <w:rPr>
          <w:rFonts w:ascii="宋体" w:hAnsi="宋体"/>
          <w:color w:val="000000" w:themeColor="text1"/>
          <w:sz w:val="24"/>
        </w:rPr>
      </w:pPr>
      <w:r>
        <w:rPr>
          <w:rFonts w:ascii="宋体" w:hAnsi="宋体"/>
          <w:color w:val="000000" w:themeColor="text1"/>
          <w:sz w:val="24"/>
        </w:rPr>
        <w:t>2</w:t>
      </w:r>
      <w:r>
        <w:rPr>
          <w:rFonts w:hint="eastAsia" w:ascii="宋体" w:hAnsi="宋体"/>
          <w:color w:val="000000" w:themeColor="text1"/>
          <w:sz w:val="24"/>
        </w:rPr>
        <w:t>.除非得到甲方的书面同意，</w:t>
      </w:r>
      <w:r>
        <w:rPr>
          <w:rFonts w:hAnsi="宋体"/>
          <w:color w:val="000000" w:themeColor="text1"/>
          <w:sz w:val="24"/>
        </w:rPr>
        <w:t>乙</w:t>
      </w:r>
      <w:r>
        <w:rPr>
          <w:rFonts w:hint="eastAsia" w:ascii="宋体" w:hAnsi="宋体"/>
          <w:color w:val="000000" w:themeColor="text1"/>
          <w:sz w:val="24"/>
        </w:rPr>
        <w:t>方不得将本合同范围的服务全部或部分分包给他人供应；</w:t>
      </w:r>
    </w:p>
    <w:p>
      <w:pPr>
        <w:snapToGrid w:val="0"/>
        <w:spacing w:beforeLines="50" w:afterLines="50"/>
        <w:rPr>
          <w:rFonts w:ascii="宋体" w:hAnsi="宋体"/>
          <w:color w:val="000000" w:themeColor="text1"/>
          <w:sz w:val="24"/>
          <w:szCs w:val="20"/>
        </w:rPr>
      </w:pPr>
      <w:r>
        <w:rPr>
          <w:rFonts w:ascii="宋体" w:hAnsi="宋体"/>
          <w:color w:val="000000" w:themeColor="text1"/>
          <w:sz w:val="24"/>
        </w:rPr>
        <w:t>3</w:t>
      </w:r>
      <w:r>
        <w:rPr>
          <w:rFonts w:hint="eastAsia" w:ascii="宋体" w:hAnsi="宋体"/>
          <w:color w:val="000000" w:themeColor="text1"/>
          <w:sz w:val="24"/>
        </w:rPr>
        <w:t>.如有转让和未经甲方同意的分包行为，甲方有权解除合同，没收履约保证金并追究乙方的违约责任。</w:t>
      </w:r>
    </w:p>
    <w:p>
      <w:pPr>
        <w:pStyle w:val="25"/>
        <w:snapToGrid w:val="0"/>
        <w:spacing w:before="120" w:after="120" w:line="240" w:lineRule="auto"/>
        <w:rPr>
          <w:rFonts w:hAnsi="宋体"/>
          <w:color w:val="000000" w:themeColor="text1"/>
        </w:rPr>
      </w:pPr>
      <w:r>
        <w:rPr>
          <w:rFonts w:hint="eastAsia" w:hAnsi="宋体"/>
          <w:b/>
          <w:color w:val="000000" w:themeColor="text1"/>
        </w:rPr>
        <w:t>七</w:t>
      </w:r>
      <w:r>
        <w:rPr>
          <w:rFonts w:hAnsi="宋体"/>
          <w:b/>
          <w:color w:val="000000" w:themeColor="text1"/>
        </w:rPr>
        <w:t>、服务质量保证期和服务质量保证金(选用)</w:t>
      </w:r>
    </w:p>
    <w:p>
      <w:pPr>
        <w:pStyle w:val="25"/>
        <w:snapToGrid w:val="0"/>
        <w:spacing w:before="120" w:after="120" w:line="240" w:lineRule="auto"/>
        <w:ind w:left="410" w:hanging="410" w:hangingChars="171"/>
        <w:rPr>
          <w:rFonts w:hAnsi="宋体"/>
          <w:color w:val="000000" w:themeColor="text1"/>
        </w:rPr>
      </w:pPr>
      <w:r>
        <w:rPr>
          <w:rFonts w:hAnsi="宋体"/>
          <w:color w:val="000000" w:themeColor="text1"/>
        </w:rPr>
        <w:t>1</w:t>
      </w:r>
      <w:r>
        <w:rPr>
          <w:rFonts w:hint="eastAsia" w:hAnsi="宋体"/>
          <w:color w:val="000000" w:themeColor="text1"/>
        </w:rPr>
        <w:t>.</w:t>
      </w:r>
      <w:r>
        <w:rPr>
          <w:rFonts w:hAnsi="宋体"/>
          <w:color w:val="000000" w:themeColor="text1"/>
        </w:rPr>
        <w:t xml:space="preserve"> 服务质量保证期年。（自验收合格之日起计）</w:t>
      </w:r>
    </w:p>
    <w:p>
      <w:pPr>
        <w:pStyle w:val="25"/>
        <w:snapToGrid w:val="0"/>
        <w:spacing w:before="120" w:after="120" w:line="240" w:lineRule="auto"/>
        <w:ind w:left="410" w:hanging="410" w:hangingChars="171"/>
        <w:rPr>
          <w:rFonts w:hAnsi="宋体"/>
          <w:color w:val="000000" w:themeColor="text1"/>
        </w:rPr>
      </w:pPr>
      <w:r>
        <w:rPr>
          <w:rFonts w:hAnsi="宋体"/>
          <w:color w:val="000000" w:themeColor="text1"/>
        </w:rPr>
        <w:t>2</w:t>
      </w:r>
      <w:r>
        <w:rPr>
          <w:rFonts w:hint="eastAsia" w:hAnsi="宋体"/>
          <w:color w:val="000000" w:themeColor="text1"/>
        </w:rPr>
        <w:t>.</w:t>
      </w:r>
      <w:r>
        <w:rPr>
          <w:rFonts w:hAnsi="宋体"/>
          <w:color w:val="000000" w:themeColor="text1"/>
        </w:rPr>
        <w:t xml:space="preserve"> 服务质量保证金元。（履约保证金在中标投标人按合同约定验收合格后自行转为质保金）</w:t>
      </w:r>
    </w:p>
    <w:p>
      <w:pPr>
        <w:pStyle w:val="25"/>
        <w:snapToGrid w:val="0"/>
        <w:spacing w:before="120" w:after="120" w:line="240" w:lineRule="auto"/>
        <w:rPr>
          <w:rFonts w:hAnsi="宋体"/>
          <w:b/>
          <w:color w:val="000000" w:themeColor="text1"/>
        </w:rPr>
      </w:pPr>
      <w:r>
        <w:rPr>
          <w:rFonts w:hint="eastAsia" w:hAnsi="宋体"/>
          <w:b/>
          <w:color w:val="000000" w:themeColor="text1"/>
        </w:rPr>
        <w:t>八</w:t>
      </w:r>
      <w:r>
        <w:rPr>
          <w:rFonts w:hAnsi="宋体"/>
          <w:b/>
          <w:color w:val="000000" w:themeColor="text1"/>
        </w:rPr>
        <w:t>、合同履行时间、履行方式及履行地点</w:t>
      </w:r>
    </w:p>
    <w:p>
      <w:pPr>
        <w:pStyle w:val="25"/>
        <w:snapToGrid w:val="0"/>
        <w:spacing w:before="120" w:after="120" w:line="240" w:lineRule="auto"/>
        <w:rPr>
          <w:rFonts w:hAnsi="宋体"/>
          <w:bCs/>
          <w:color w:val="000000" w:themeColor="text1"/>
        </w:rPr>
      </w:pPr>
      <w:r>
        <w:rPr>
          <w:rFonts w:hAnsi="宋体"/>
          <w:bCs/>
          <w:color w:val="000000" w:themeColor="text1"/>
        </w:rPr>
        <w:t>1</w:t>
      </w:r>
      <w:r>
        <w:rPr>
          <w:rFonts w:hint="eastAsia" w:hAnsi="宋体"/>
          <w:bCs/>
          <w:color w:val="000000" w:themeColor="text1"/>
        </w:rPr>
        <w:t>.</w:t>
      </w:r>
      <w:r>
        <w:rPr>
          <w:rFonts w:hAnsi="宋体"/>
          <w:color w:val="000000" w:themeColor="text1"/>
        </w:rPr>
        <w:t>履行时间</w:t>
      </w:r>
      <w:r>
        <w:rPr>
          <w:rFonts w:hAnsi="宋体"/>
          <w:bCs/>
          <w:color w:val="000000" w:themeColor="text1"/>
        </w:rPr>
        <w:t>：</w:t>
      </w:r>
    </w:p>
    <w:p>
      <w:pPr>
        <w:pStyle w:val="25"/>
        <w:snapToGrid w:val="0"/>
        <w:spacing w:before="120" w:after="120" w:line="240" w:lineRule="auto"/>
        <w:rPr>
          <w:rFonts w:hAnsi="宋体"/>
          <w:bCs/>
          <w:color w:val="000000" w:themeColor="text1"/>
        </w:rPr>
      </w:pPr>
      <w:r>
        <w:rPr>
          <w:rFonts w:hAnsi="宋体"/>
          <w:bCs/>
          <w:color w:val="000000" w:themeColor="text1"/>
        </w:rPr>
        <w:t>2</w:t>
      </w:r>
      <w:r>
        <w:rPr>
          <w:rFonts w:hint="eastAsia" w:hAnsi="宋体"/>
          <w:bCs/>
          <w:color w:val="000000" w:themeColor="text1"/>
        </w:rPr>
        <w:t>.</w:t>
      </w:r>
      <w:r>
        <w:rPr>
          <w:rFonts w:hAnsi="宋体"/>
          <w:color w:val="000000" w:themeColor="text1"/>
        </w:rPr>
        <w:t>履行方式</w:t>
      </w:r>
      <w:r>
        <w:rPr>
          <w:rFonts w:hAnsi="宋体"/>
          <w:bCs/>
          <w:color w:val="000000" w:themeColor="text1"/>
        </w:rPr>
        <w:t>：</w:t>
      </w:r>
    </w:p>
    <w:p>
      <w:pPr>
        <w:pStyle w:val="25"/>
        <w:snapToGrid w:val="0"/>
        <w:spacing w:before="120" w:after="120" w:line="240" w:lineRule="auto"/>
        <w:rPr>
          <w:rFonts w:hAnsi="宋体"/>
          <w:color w:val="000000" w:themeColor="text1"/>
        </w:rPr>
      </w:pPr>
      <w:r>
        <w:rPr>
          <w:rFonts w:hAnsi="宋体"/>
          <w:bCs/>
          <w:color w:val="000000" w:themeColor="text1"/>
        </w:rPr>
        <w:t>3</w:t>
      </w:r>
      <w:r>
        <w:rPr>
          <w:rFonts w:hint="eastAsia" w:hAnsi="宋体"/>
          <w:bCs/>
          <w:color w:val="000000" w:themeColor="text1"/>
        </w:rPr>
        <w:t>.</w:t>
      </w:r>
      <w:r>
        <w:rPr>
          <w:rFonts w:hAnsi="宋体"/>
          <w:color w:val="000000" w:themeColor="text1"/>
        </w:rPr>
        <w:t>履行地点</w:t>
      </w:r>
      <w:r>
        <w:rPr>
          <w:rFonts w:hAnsi="宋体"/>
          <w:bCs/>
          <w:color w:val="000000" w:themeColor="text1"/>
        </w:rPr>
        <w:t>：</w:t>
      </w:r>
    </w:p>
    <w:p>
      <w:pPr>
        <w:pStyle w:val="25"/>
        <w:snapToGrid w:val="0"/>
        <w:spacing w:before="120" w:after="120" w:line="240" w:lineRule="auto"/>
        <w:rPr>
          <w:rFonts w:hAnsi="宋体"/>
          <w:color w:val="000000" w:themeColor="text1"/>
        </w:rPr>
      </w:pPr>
      <w:r>
        <w:rPr>
          <w:rFonts w:hint="eastAsia" w:hAnsi="宋体"/>
          <w:color w:val="000000" w:themeColor="text1"/>
        </w:rPr>
        <w:t>九</w:t>
      </w:r>
      <w:r>
        <w:rPr>
          <w:rFonts w:hAnsi="宋体"/>
          <w:color w:val="000000" w:themeColor="text1"/>
        </w:rPr>
        <w:t>、款项支付</w:t>
      </w:r>
    </w:p>
    <w:p>
      <w:pPr>
        <w:pStyle w:val="25"/>
        <w:snapToGrid w:val="0"/>
        <w:spacing w:before="120" w:after="120" w:line="240" w:lineRule="auto"/>
        <w:rPr>
          <w:rFonts w:hAnsi="宋体"/>
          <w:bCs/>
          <w:color w:val="000000" w:themeColor="text1"/>
        </w:rPr>
      </w:pPr>
      <w:r>
        <w:rPr>
          <w:rFonts w:hAnsi="宋体"/>
          <w:bCs/>
          <w:color w:val="000000" w:themeColor="text1"/>
        </w:rPr>
        <w:t xml:space="preserve"> 付款方式：</w:t>
      </w:r>
    </w:p>
    <w:p>
      <w:pPr>
        <w:snapToGrid w:val="0"/>
        <w:spacing w:beforeLines="50" w:afterLines="50"/>
        <w:rPr>
          <w:rFonts w:ascii="宋体" w:hAnsi="宋体"/>
          <w:b/>
          <w:color w:val="000000" w:themeColor="text1"/>
          <w:sz w:val="24"/>
          <w:szCs w:val="20"/>
        </w:rPr>
      </w:pPr>
      <w:r>
        <w:rPr>
          <w:rFonts w:hint="eastAsia" w:ascii="宋体" w:hAnsi="宋体"/>
          <w:b/>
          <w:color w:val="000000" w:themeColor="text1"/>
          <w:sz w:val="24"/>
        </w:rPr>
        <w:t>十、税费</w:t>
      </w:r>
    </w:p>
    <w:p>
      <w:pPr>
        <w:snapToGrid w:val="0"/>
        <w:spacing w:beforeLines="50" w:afterLines="50"/>
        <w:rPr>
          <w:rFonts w:ascii="宋体" w:hAnsi="宋体"/>
          <w:color w:val="000000" w:themeColor="text1"/>
          <w:sz w:val="24"/>
          <w:szCs w:val="20"/>
        </w:rPr>
      </w:pPr>
      <w:r>
        <w:rPr>
          <w:rFonts w:hint="eastAsia" w:ascii="宋体" w:hAnsi="宋体"/>
          <w:color w:val="000000" w:themeColor="text1"/>
          <w:sz w:val="24"/>
        </w:rPr>
        <w:t>本合同执行中相关的一切税费均由</w:t>
      </w:r>
      <w:r>
        <w:rPr>
          <w:rFonts w:hAnsi="宋体"/>
          <w:color w:val="000000" w:themeColor="text1"/>
          <w:sz w:val="24"/>
        </w:rPr>
        <w:t>乙</w:t>
      </w:r>
      <w:r>
        <w:rPr>
          <w:rFonts w:hint="eastAsia" w:ascii="宋体" w:hAnsi="宋体"/>
          <w:color w:val="000000" w:themeColor="text1"/>
          <w:sz w:val="24"/>
        </w:rPr>
        <w:t>方负担。</w:t>
      </w:r>
    </w:p>
    <w:p>
      <w:pPr>
        <w:pStyle w:val="25"/>
        <w:snapToGrid w:val="0"/>
        <w:spacing w:before="120" w:after="120" w:line="240" w:lineRule="auto"/>
        <w:ind w:left="412" w:hanging="412" w:hangingChars="171"/>
        <w:rPr>
          <w:rFonts w:hAnsi="宋体"/>
          <w:color w:val="000000" w:themeColor="text1"/>
        </w:rPr>
      </w:pPr>
      <w:r>
        <w:rPr>
          <w:rFonts w:hAnsi="宋体"/>
          <w:b/>
          <w:color w:val="000000" w:themeColor="text1"/>
        </w:rPr>
        <w:t>十</w:t>
      </w:r>
      <w:r>
        <w:rPr>
          <w:rFonts w:hint="eastAsia" w:hAnsi="宋体"/>
          <w:b/>
          <w:color w:val="000000" w:themeColor="text1"/>
        </w:rPr>
        <w:t>一</w:t>
      </w:r>
      <w:r>
        <w:rPr>
          <w:rFonts w:hAnsi="宋体"/>
          <w:b/>
          <w:color w:val="000000" w:themeColor="text1"/>
        </w:rPr>
        <w:t>、质量保证及后续服务</w:t>
      </w:r>
    </w:p>
    <w:p>
      <w:pPr>
        <w:pStyle w:val="25"/>
        <w:snapToGrid w:val="0"/>
        <w:spacing w:before="120" w:after="120" w:line="240" w:lineRule="auto"/>
        <w:ind w:left="410" w:hanging="410" w:hangingChars="171"/>
        <w:rPr>
          <w:rFonts w:hAnsi="宋体"/>
          <w:color w:val="000000" w:themeColor="text1"/>
        </w:rPr>
      </w:pPr>
      <w:r>
        <w:rPr>
          <w:rFonts w:hAnsi="宋体"/>
          <w:color w:val="000000" w:themeColor="text1"/>
        </w:rPr>
        <w:t>1</w:t>
      </w:r>
      <w:r>
        <w:rPr>
          <w:rFonts w:hint="eastAsia" w:hAnsi="宋体"/>
          <w:color w:val="000000" w:themeColor="text1"/>
        </w:rPr>
        <w:t>．</w:t>
      </w:r>
      <w:r>
        <w:rPr>
          <w:rFonts w:hAnsi="宋体"/>
          <w:color w:val="000000" w:themeColor="text1"/>
        </w:rPr>
        <w:t xml:space="preserve"> 乙方应按招标文件规定向甲方提供服务。</w:t>
      </w:r>
    </w:p>
    <w:p>
      <w:pPr>
        <w:pStyle w:val="25"/>
        <w:snapToGrid w:val="0"/>
        <w:spacing w:before="120" w:after="120" w:line="240" w:lineRule="auto"/>
        <w:ind w:left="480" w:hanging="480" w:hangingChars="200"/>
        <w:rPr>
          <w:rFonts w:hAnsi="宋体"/>
          <w:color w:val="000000" w:themeColor="text1"/>
        </w:rPr>
      </w:pPr>
      <w:r>
        <w:rPr>
          <w:rFonts w:hAnsi="宋体"/>
          <w:color w:val="000000" w:themeColor="text1"/>
        </w:rPr>
        <w:t>2</w:t>
      </w:r>
      <w:r>
        <w:rPr>
          <w:rFonts w:hint="eastAsia" w:hAnsi="宋体"/>
          <w:color w:val="000000" w:themeColor="text1"/>
        </w:rPr>
        <w:t>．</w:t>
      </w:r>
      <w:r>
        <w:rPr>
          <w:rFonts w:hAnsi="宋体"/>
          <w:color w:val="000000" w:themeColor="text1"/>
        </w:rPr>
        <w:t xml:space="preserve"> 乙方提供的服务成果在服务质量保证期内发生故障，乙方应负责免费提供后续服务。对达不到要求者，根据实际情况，经双方协商，可按以下办法处理：</w:t>
      </w:r>
    </w:p>
    <w:p>
      <w:pPr>
        <w:pStyle w:val="25"/>
        <w:snapToGrid w:val="0"/>
        <w:spacing w:before="120" w:after="120" w:line="240" w:lineRule="auto"/>
        <w:ind w:firstLine="420"/>
        <w:rPr>
          <w:rFonts w:hAnsi="宋体"/>
          <w:color w:val="000000" w:themeColor="text1"/>
        </w:rPr>
      </w:pPr>
      <w:r>
        <w:rPr>
          <w:rFonts w:hAnsi="宋体"/>
          <w:color w:val="000000" w:themeColor="text1"/>
        </w:rPr>
        <w:t>⑴重做：由乙方承担所发生的全部费用。</w:t>
      </w:r>
    </w:p>
    <w:p>
      <w:pPr>
        <w:pStyle w:val="25"/>
        <w:snapToGrid w:val="0"/>
        <w:spacing w:before="120" w:after="120" w:line="240" w:lineRule="auto"/>
        <w:ind w:firstLine="420"/>
        <w:rPr>
          <w:rFonts w:hAnsi="宋体"/>
          <w:color w:val="000000" w:themeColor="text1"/>
        </w:rPr>
      </w:pPr>
      <w:r>
        <w:rPr>
          <w:rFonts w:hAnsi="宋体"/>
          <w:color w:val="000000" w:themeColor="text1"/>
        </w:rPr>
        <w:t>⑵贬值处理：由甲乙双方合议定价。</w:t>
      </w:r>
    </w:p>
    <w:p>
      <w:pPr>
        <w:pStyle w:val="25"/>
        <w:snapToGrid w:val="0"/>
        <w:spacing w:before="120" w:after="120" w:line="240" w:lineRule="auto"/>
        <w:ind w:left="420" w:leftChars="200"/>
        <w:rPr>
          <w:rFonts w:hAnsi="宋体"/>
          <w:color w:val="000000" w:themeColor="text1"/>
        </w:rPr>
      </w:pPr>
      <w:r>
        <w:rPr>
          <w:rFonts w:hAnsi="宋体"/>
          <w:color w:val="000000" w:themeColor="text1"/>
        </w:rPr>
        <w:t>⑶解除合同。</w:t>
      </w:r>
    </w:p>
    <w:p>
      <w:pPr>
        <w:pStyle w:val="25"/>
        <w:snapToGrid w:val="0"/>
        <w:spacing w:before="120" w:after="120" w:line="240" w:lineRule="auto"/>
        <w:rPr>
          <w:rFonts w:hAnsi="宋体"/>
          <w:color w:val="000000" w:themeColor="text1"/>
        </w:rPr>
      </w:pPr>
      <w:r>
        <w:rPr>
          <w:rFonts w:hAnsi="宋体"/>
          <w:color w:val="000000" w:themeColor="text1"/>
        </w:rPr>
        <w:t>3</w:t>
      </w:r>
      <w:r>
        <w:rPr>
          <w:rFonts w:hint="eastAsia" w:hAnsi="宋体"/>
          <w:color w:val="000000" w:themeColor="text1"/>
        </w:rPr>
        <w:t>．</w:t>
      </w:r>
      <w:r>
        <w:rPr>
          <w:rFonts w:hAnsi="宋体"/>
          <w:color w:val="000000" w:themeColor="text1"/>
        </w:rPr>
        <w:t xml:space="preserve"> 如在使用过程中发生问题，乙方在接到甲方通知后在△小时内到达甲方现场。</w:t>
      </w:r>
    </w:p>
    <w:p>
      <w:pPr>
        <w:pStyle w:val="25"/>
        <w:snapToGrid w:val="0"/>
        <w:spacing w:before="120" w:after="120" w:line="240" w:lineRule="auto"/>
        <w:rPr>
          <w:rFonts w:hAnsi="宋体"/>
          <w:color w:val="000000" w:themeColor="text1"/>
        </w:rPr>
      </w:pPr>
      <w:r>
        <w:rPr>
          <w:rFonts w:hAnsi="宋体"/>
          <w:color w:val="000000" w:themeColor="text1"/>
        </w:rPr>
        <w:t>4</w:t>
      </w:r>
      <w:r>
        <w:rPr>
          <w:rFonts w:hint="eastAsia" w:hAnsi="宋体"/>
          <w:color w:val="000000" w:themeColor="text1"/>
        </w:rPr>
        <w:t>．</w:t>
      </w:r>
      <w:r>
        <w:rPr>
          <w:rFonts w:hAnsi="宋体"/>
          <w:color w:val="000000" w:themeColor="text1"/>
        </w:rPr>
        <w:t>在</w:t>
      </w:r>
      <w:r>
        <w:rPr>
          <w:rFonts w:hAnsi="宋体"/>
          <w:b/>
          <w:color w:val="000000" w:themeColor="text1"/>
        </w:rPr>
        <w:t>服务质量保证期</w:t>
      </w:r>
      <w:r>
        <w:rPr>
          <w:rFonts w:hAnsi="宋体"/>
          <w:color w:val="000000" w:themeColor="text1"/>
        </w:rPr>
        <w:t>内，乙方应对出现的质量及安全问题负责处理解决并承担</w:t>
      </w:r>
    </w:p>
    <w:p>
      <w:pPr>
        <w:pStyle w:val="25"/>
        <w:snapToGrid w:val="0"/>
        <w:spacing w:before="120" w:after="120" w:line="240" w:lineRule="auto"/>
        <w:ind w:firstLine="360" w:firstLineChars="150"/>
        <w:rPr>
          <w:rFonts w:hAnsi="宋体"/>
          <w:color w:val="000000" w:themeColor="text1"/>
        </w:rPr>
      </w:pPr>
      <w:r>
        <w:rPr>
          <w:rFonts w:hAnsi="宋体"/>
          <w:color w:val="000000" w:themeColor="text1"/>
        </w:rPr>
        <w:t>一切费用。</w:t>
      </w:r>
    </w:p>
    <w:p>
      <w:pPr>
        <w:pStyle w:val="25"/>
        <w:snapToGrid w:val="0"/>
        <w:spacing w:before="120" w:after="120" w:line="240" w:lineRule="auto"/>
        <w:rPr>
          <w:rFonts w:hAnsi="宋体"/>
          <w:b/>
          <w:color w:val="000000" w:themeColor="text1"/>
        </w:rPr>
      </w:pPr>
      <w:r>
        <w:rPr>
          <w:rFonts w:hAnsi="宋体"/>
          <w:b/>
          <w:color w:val="000000" w:themeColor="text1"/>
        </w:rPr>
        <w:t>十</w:t>
      </w:r>
      <w:r>
        <w:rPr>
          <w:rFonts w:hint="eastAsia" w:hAnsi="宋体"/>
          <w:b/>
          <w:color w:val="000000" w:themeColor="text1"/>
        </w:rPr>
        <w:t>二</w:t>
      </w:r>
      <w:r>
        <w:rPr>
          <w:rFonts w:hAnsi="宋体"/>
          <w:b/>
          <w:color w:val="000000" w:themeColor="text1"/>
        </w:rPr>
        <w:t>、违约责任</w:t>
      </w:r>
    </w:p>
    <w:p>
      <w:pPr>
        <w:pStyle w:val="25"/>
        <w:snapToGrid w:val="0"/>
        <w:spacing w:before="120" w:after="120" w:line="240" w:lineRule="auto"/>
        <w:ind w:left="410" w:hanging="410" w:hangingChars="171"/>
        <w:rPr>
          <w:rFonts w:hAnsi="宋体"/>
          <w:color w:val="000000" w:themeColor="text1"/>
        </w:rPr>
      </w:pPr>
      <w:r>
        <w:rPr>
          <w:rFonts w:hAnsi="宋体"/>
          <w:color w:val="000000" w:themeColor="text1"/>
        </w:rPr>
        <w:t>1</w:t>
      </w:r>
      <w:r>
        <w:rPr>
          <w:rFonts w:hint="eastAsia" w:hAnsi="宋体"/>
          <w:color w:val="000000" w:themeColor="text1"/>
        </w:rPr>
        <w:t>．</w:t>
      </w:r>
      <w:r>
        <w:rPr>
          <w:rFonts w:hAnsi="宋体"/>
          <w:color w:val="000000" w:themeColor="text1"/>
        </w:rPr>
        <w:t>甲方无正当理由拒收接受服务的，甲方向乙方偿付合同款项百分之五作为违约金。</w:t>
      </w:r>
    </w:p>
    <w:p>
      <w:pPr>
        <w:pStyle w:val="25"/>
        <w:snapToGrid w:val="0"/>
        <w:spacing w:before="120" w:after="120" w:line="240" w:lineRule="auto"/>
        <w:ind w:left="410" w:hanging="410" w:hangingChars="171"/>
        <w:rPr>
          <w:rFonts w:hAnsi="宋体"/>
          <w:color w:val="000000" w:themeColor="text1"/>
        </w:rPr>
      </w:pPr>
      <w:r>
        <w:rPr>
          <w:rFonts w:hAnsi="宋体"/>
          <w:color w:val="000000" w:themeColor="text1"/>
        </w:rPr>
        <w:t>2</w:t>
      </w:r>
      <w:r>
        <w:rPr>
          <w:rFonts w:hint="eastAsia" w:hAnsi="宋体"/>
          <w:color w:val="000000" w:themeColor="text1"/>
        </w:rPr>
        <w:t>．</w:t>
      </w:r>
      <w:r>
        <w:rPr>
          <w:rFonts w:hAnsi="宋体"/>
          <w:color w:val="000000" w:themeColor="text1"/>
        </w:rPr>
        <w:t>甲方无故逾期验收和办理款项支付手续的,甲方应按逾期付款总额每日万分之</w:t>
      </w:r>
    </w:p>
    <w:p>
      <w:pPr>
        <w:pStyle w:val="25"/>
        <w:snapToGrid w:val="0"/>
        <w:spacing w:before="120" w:after="120" w:line="240" w:lineRule="auto"/>
        <w:ind w:left="407" w:leftChars="114" w:hanging="168" w:hangingChars="70"/>
        <w:rPr>
          <w:rFonts w:hAnsi="宋体"/>
          <w:color w:val="000000" w:themeColor="text1"/>
        </w:rPr>
      </w:pPr>
      <w:r>
        <w:rPr>
          <w:rFonts w:hAnsi="宋体"/>
          <w:color w:val="000000" w:themeColor="text1"/>
        </w:rPr>
        <w:t>五向乙方支付违约金。</w:t>
      </w:r>
    </w:p>
    <w:p>
      <w:pPr>
        <w:pStyle w:val="25"/>
        <w:snapToGrid w:val="0"/>
        <w:spacing w:before="120" w:after="120" w:line="240" w:lineRule="auto"/>
        <w:ind w:left="1"/>
        <w:rPr>
          <w:rFonts w:hAnsi="宋体"/>
          <w:color w:val="000000" w:themeColor="text1"/>
        </w:rPr>
      </w:pPr>
      <w:r>
        <w:rPr>
          <w:rFonts w:hAnsi="宋体"/>
          <w:color w:val="000000" w:themeColor="text1"/>
        </w:rPr>
        <w:t>3</w:t>
      </w:r>
      <w:r>
        <w:rPr>
          <w:rFonts w:hint="eastAsia" w:hAnsi="宋体"/>
          <w:color w:val="000000" w:themeColor="text1"/>
        </w:rPr>
        <w:t>．</w:t>
      </w:r>
      <w:r>
        <w:rPr>
          <w:rFonts w:hAnsi="宋体"/>
          <w:color w:val="000000" w:themeColor="text1"/>
        </w:rPr>
        <w:t xml:space="preserve"> 乙方</w:t>
      </w:r>
      <w:r>
        <w:rPr>
          <w:rFonts w:hint="eastAsia" w:hAnsi="宋体"/>
          <w:color w:val="000000" w:themeColor="text1"/>
        </w:rPr>
        <w:t>未能如</w:t>
      </w:r>
      <w:r>
        <w:rPr>
          <w:rFonts w:hAnsi="宋体"/>
          <w:color w:val="000000" w:themeColor="text1"/>
        </w:rPr>
        <w:t>期提供服务的，每日向甲方支付</w:t>
      </w:r>
      <w:r>
        <w:rPr>
          <w:rFonts w:hint="eastAsia" w:hAnsi="宋体"/>
          <w:color w:val="000000" w:themeColor="text1"/>
        </w:rPr>
        <w:t>合同款项的</w:t>
      </w:r>
      <w:r>
        <w:rPr>
          <w:rFonts w:hAnsi="宋体"/>
          <w:color w:val="000000" w:themeColor="text1"/>
        </w:rPr>
        <w:t>千分之六</w:t>
      </w:r>
      <w:r>
        <w:rPr>
          <w:rFonts w:hint="eastAsia" w:hAnsi="宋体"/>
          <w:color w:val="000000" w:themeColor="text1"/>
        </w:rPr>
        <w:t>作为</w:t>
      </w:r>
      <w:r>
        <w:rPr>
          <w:rFonts w:hAnsi="宋体"/>
          <w:color w:val="000000" w:themeColor="text1"/>
        </w:rPr>
        <w:t>违约金。乙方超过约定日期10个工作日</w:t>
      </w:r>
      <w:r>
        <w:rPr>
          <w:rFonts w:hint="eastAsia" w:hAnsi="宋体"/>
          <w:color w:val="000000" w:themeColor="text1"/>
        </w:rPr>
        <w:t>仍</w:t>
      </w:r>
      <w:r>
        <w:rPr>
          <w:rFonts w:hAnsi="宋体"/>
          <w:color w:val="000000" w:themeColor="text1"/>
        </w:rPr>
        <w:t>不能</w:t>
      </w:r>
      <w:r>
        <w:rPr>
          <w:rFonts w:hint="eastAsia" w:hAnsi="宋体"/>
          <w:color w:val="000000" w:themeColor="text1"/>
        </w:rPr>
        <w:t>提供服务</w:t>
      </w:r>
      <w:r>
        <w:rPr>
          <w:rFonts w:hAnsi="宋体"/>
          <w:color w:val="000000" w:themeColor="text1"/>
        </w:rPr>
        <w:t>的，甲方可解除本合同。乙方因</w:t>
      </w:r>
      <w:r>
        <w:rPr>
          <w:rFonts w:hint="eastAsia" w:hAnsi="宋体"/>
          <w:color w:val="000000" w:themeColor="text1"/>
        </w:rPr>
        <w:t>未能如</w:t>
      </w:r>
      <w:r>
        <w:rPr>
          <w:rFonts w:hAnsi="宋体"/>
          <w:color w:val="000000" w:themeColor="text1"/>
        </w:rPr>
        <w:t xml:space="preserve">期提供服务或因其他违约行为导致甲方解除合同的，乙方应向甲方支付合同总值5%的违约金，如造成甲方损失超过违约金的，超出部分由乙方继续承担赔偿责任。 </w:t>
      </w:r>
    </w:p>
    <w:p>
      <w:pPr>
        <w:pStyle w:val="25"/>
        <w:snapToGrid w:val="0"/>
        <w:spacing w:before="120" w:after="120" w:line="240" w:lineRule="auto"/>
        <w:rPr>
          <w:rFonts w:hAnsi="宋体"/>
          <w:b/>
          <w:color w:val="000000" w:themeColor="text1"/>
        </w:rPr>
      </w:pPr>
      <w:r>
        <w:rPr>
          <w:rFonts w:hAnsi="宋体"/>
          <w:b/>
          <w:color w:val="000000" w:themeColor="text1"/>
        </w:rPr>
        <w:t>十</w:t>
      </w:r>
      <w:r>
        <w:rPr>
          <w:rFonts w:hint="eastAsia" w:hAnsi="宋体"/>
          <w:b/>
          <w:color w:val="000000" w:themeColor="text1"/>
        </w:rPr>
        <w:t>三</w:t>
      </w:r>
      <w:r>
        <w:rPr>
          <w:rFonts w:hAnsi="宋体"/>
          <w:b/>
          <w:color w:val="000000" w:themeColor="text1"/>
        </w:rPr>
        <w:t>、不可抗力事件处理</w:t>
      </w:r>
    </w:p>
    <w:p>
      <w:pPr>
        <w:pStyle w:val="25"/>
        <w:snapToGrid w:val="0"/>
        <w:spacing w:before="120" w:after="120" w:line="240" w:lineRule="auto"/>
        <w:ind w:left="480" w:hanging="480" w:hangingChars="200"/>
        <w:rPr>
          <w:rFonts w:hAnsi="宋体"/>
          <w:color w:val="000000" w:themeColor="text1"/>
        </w:rPr>
      </w:pPr>
      <w:r>
        <w:rPr>
          <w:rFonts w:hAnsi="宋体"/>
          <w:color w:val="000000" w:themeColor="text1"/>
        </w:rPr>
        <w:t>1</w:t>
      </w:r>
      <w:r>
        <w:rPr>
          <w:rFonts w:hint="eastAsia" w:hAnsi="宋体"/>
          <w:color w:val="000000" w:themeColor="text1"/>
        </w:rPr>
        <w:t>．</w:t>
      </w:r>
      <w:r>
        <w:rPr>
          <w:rFonts w:hAnsi="宋体"/>
          <w:color w:val="000000" w:themeColor="text1"/>
        </w:rPr>
        <w:t>在合同有效期内，任何一方因不可抗力事件导致不能履行合同，则合同履行</w:t>
      </w:r>
    </w:p>
    <w:p>
      <w:pPr>
        <w:pStyle w:val="25"/>
        <w:snapToGrid w:val="0"/>
        <w:spacing w:before="120" w:after="120" w:line="240" w:lineRule="auto"/>
        <w:ind w:firstLine="360" w:firstLineChars="150"/>
        <w:rPr>
          <w:rFonts w:hAnsi="宋体"/>
          <w:color w:val="000000" w:themeColor="text1"/>
        </w:rPr>
      </w:pPr>
      <w:r>
        <w:rPr>
          <w:rFonts w:hAnsi="宋体"/>
          <w:color w:val="000000" w:themeColor="text1"/>
        </w:rPr>
        <w:t>期可延长，其延长期与不可抗力影响期相同。</w:t>
      </w:r>
    </w:p>
    <w:p>
      <w:pPr>
        <w:pStyle w:val="25"/>
        <w:snapToGrid w:val="0"/>
        <w:spacing w:before="120" w:after="120" w:line="240" w:lineRule="auto"/>
        <w:rPr>
          <w:rFonts w:hAnsi="宋体"/>
          <w:color w:val="000000" w:themeColor="text1"/>
        </w:rPr>
      </w:pPr>
      <w:r>
        <w:rPr>
          <w:rFonts w:hAnsi="宋体"/>
          <w:color w:val="000000" w:themeColor="text1"/>
        </w:rPr>
        <w:t>2</w:t>
      </w:r>
      <w:r>
        <w:rPr>
          <w:rFonts w:hint="eastAsia" w:hAnsi="宋体"/>
          <w:color w:val="000000" w:themeColor="text1"/>
        </w:rPr>
        <w:t>．</w:t>
      </w:r>
      <w:r>
        <w:rPr>
          <w:rFonts w:hAnsi="宋体"/>
          <w:color w:val="000000" w:themeColor="text1"/>
        </w:rPr>
        <w:t>不可抗力事件发生后，应立即通知对方，并寄送有关权威机构出具的证明。</w:t>
      </w:r>
    </w:p>
    <w:p>
      <w:pPr>
        <w:pStyle w:val="25"/>
        <w:snapToGrid w:val="0"/>
        <w:spacing w:before="120" w:after="120" w:line="240" w:lineRule="auto"/>
        <w:rPr>
          <w:rFonts w:hAnsi="宋体"/>
          <w:color w:val="000000" w:themeColor="text1"/>
        </w:rPr>
      </w:pPr>
      <w:r>
        <w:rPr>
          <w:rFonts w:hAnsi="宋体"/>
          <w:color w:val="000000" w:themeColor="text1"/>
        </w:rPr>
        <w:t>3</w:t>
      </w:r>
      <w:r>
        <w:rPr>
          <w:rFonts w:hint="eastAsia" w:hAnsi="宋体"/>
          <w:color w:val="000000" w:themeColor="text1"/>
        </w:rPr>
        <w:t>．</w:t>
      </w:r>
      <w:r>
        <w:rPr>
          <w:rFonts w:hAnsi="宋体"/>
          <w:color w:val="000000" w:themeColor="text1"/>
        </w:rPr>
        <w:t>不可抗力事件延续120天以上，双方应通过友好协商，确定是否继续履行合</w:t>
      </w:r>
    </w:p>
    <w:p>
      <w:pPr>
        <w:pStyle w:val="25"/>
        <w:snapToGrid w:val="0"/>
        <w:spacing w:before="120" w:after="120" w:line="240" w:lineRule="auto"/>
        <w:ind w:firstLine="360" w:firstLineChars="150"/>
        <w:rPr>
          <w:rFonts w:hAnsi="宋体"/>
          <w:color w:val="000000" w:themeColor="text1"/>
        </w:rPr>
      </w:pPr>
      <w:r>
        <w:rPr>
          <w:rFonts w:hAnsi="宋体"/>
          <w:color w:val="000000" w:themeColor="text1"/>
        </w:rPr>
        <w:t>同。</w:t>
      </w:r>
    </w:p>
    <w:p>
      <w:pPr>
        <w:pStyle w:val="25"/>
        <w:snapToGrid w:val="0"/>
        <w:spacing w:before="120" w:after="120" w:line="240" w:lineRule="auto"/>
        <w:rPr>
          <w:rFonts w:hAnsi="宋体"/>
          <w:b/>
          <w:color w:val="000000" w:themeColor="text1"/>
        </w:rPr>
      </w:pPr>
      <w:r>
        <w:rPr>
          <w:rFonts w:hAnsi="宋体"/>
          <w:b/>
          <w:color w:val="000000" w:themeColor="text1"/>
        </w:rPr>
        <w:t>十</w:t>
      </w:r>
      <w:r>
        <w:rPr>
          <w:rFonts w:hint="eastAsia" w:hAnsi="宋体"/>
          <w:b/>
          <w:color w:val="000000" w:themeColor="text1"/>
        </w:rPr>
        <w:t>四</w:t>
      </w:r>
      <w:r>
        <w:rPr>
          <w:rFonts w:hAnsi="宋体"/>
          <w:b/>
          <w:color w:val="000000" w:themeColor="text1"/>
        </w:rPr>
        <w:t>、诉讼</w:t>
      </w:r>
    </w:p>
    <w:p>
      <w:pPr>
        <w:pStyle w:val="25"/>
        <w:snapToGrid w:val="0"/>
        <w:spacing w:before="120" w:after="120" w:line="240" w:lineRule="auto"/>
        <w:ind w:left="480" w:hanging="480" w:hangingChars="200"/>
        <w:rPr>
          <w:rFonts w:hAnsi="宋体"/>
          <w:color w:val="000000" w:themeColor="text1"/>
        </w:rPr>
      </w:pPr>
      <w:r>
        <w:rPr>
          <w:rFonts w:hAnsi="宋体"/>
          <w:color w:val="000000" w:themeColor="text1"/>
        </w:rPr>
        <w:t xml:space="preserve"> 双方在执行合同中所发生的一切争议，应通过协商解决。如协商不成，可向</w:t>
      </w:r>
      <w:r>
        <w:rPr>
          <w:rFonts w:hint="eastAsia" w:hAnsi="宋体"/>
          <w:color w:val="000000" w:themeColor="text1"/>
        </w:rPr>
        <w:t>甲</w:t>
      </w:r>
    </w:p>
    <w:p>
      <w:pPr>
        <w:pStyle w:val="25"/>
        <w:snapToGrid w:val="0"/>
        <w:spacing w:before="120" w:after="120" w:line="240" w:lineRule="auto"/>
        <w:ind w:left="480" w:leftChars="57" w:hanging="360" w:hangingChars="150"/>
        <w:rPr>
          <w:rFonts w:hAnsi="宋体"/>
          <w:color w:val="000000" w:themeColor="text1"/>
        </w:rPr>
      </w:pPr>
      <w:r>
        <w:rPr>
          <w:rFonts w:hint="eastAsia" w:hAnsi="宋体"/>
          <w:color w:val="000000" w:themeColor="text1"/>
        </w:rPr>
        <w:t>方所在</w:t>
      </w:r>
      <w:r>
        <w:rPr>
          <w:rFonts w:hAnsi="宋体"/>
          <w:color w:val="000000" w:themeColor="text1"/>
        </w:rPr>
        <w:t>地法院起诉。</w:t>
      </w:r>
    </w:p>
    <w:p>
      <w:pPr>
        <w:pStyle w:val="25"/>
        <w:snapToGrid w:val="0"/>
        <w:spacing w:before="120" w:after="120" w:line="240" w:lineRule="auto"/>
        <w:rPr>
          <w:rFonts w:hAnsi="宋体"/>
          <w:b/>
          <w:color w:val="000000" w:themeColor="text1"/>
        </w:rPr>
      </w:pPr>
      <w:r>
        <w:rPr>
          <w:rFonts w:hAnsi="宋体"/>
          <w:b/>
          <w:color w:val="000000" w:themeColor="text1"/>
        </w:rPr>
        <w:t>十</w:t>
      </w:r>
      <w:r>
        <w:rPr>
          <w:rFonts w:hint="eastAsia" w:hAnsi="宋体"/>
          <w:b/>
          <w:color w:val="000000" w:themeColor="text1"/>
        </w:rPr>
        <w:t>五</w:t>
      </w:r>
      <w:r>
        <w:rPr>
          <w:rFonts w:hAnsi="宋体"/>
          <w:b/>
          <w:color w:val="000000" w:themeColor="text1"/>
        </w:rPr>
        <w:t>、合同生效及其它</w:t>
      </w:r>
    </w:p>
    <w:p>
      <w:pPr>
        <w:pStyle w:val="25"/>
        <w:snapToGrid w:val="0"/>
        <w:spacing w:before="120" w:after="120" w:line="240" w:lineRule="auto"/>
        <w:rPr>
          <w:rFonts w:hAnsi="宋体"/>
          <w:color w:val="000000" w:themeColor="text1"/>
        </w:rPr>
      </w:pPr>
      <w:r>
        <w:rPr>
          <w:rFonts w:hAnsi="宋体"/>
          <w:color w:val="000000" w:themeColor="text1"/>
        </w:rPr>
        <w:t>1</w:t>
      </w:r>
      <w:r>
        <w:rPr>
          <w:rFonts w:hint="eastAsia" w:hAnsi="宋体"/>
          <w:color w:val="000000" w:themeColor="text1"/>
        </w:rPr>
        <w:t>．</w:t>
      </w:r>
      <w:r>
        <w:rPr>
          <w:rFonts w:hAnsi="宋体"/>
          <w:color w:val="000000" w:themeColor="text1"/>
        </w:rPr>
        <w:t>合同经双方法定代表人或授权代表签字并加盖单位公章后生效。</w:t>
      </w:r>
    </w:p>
    <w:p>
      <w:pPr>
        <w:pStyle w:val="25"/>
        <w:snapToGrid w:val="0"/>
        <w:spacing w:before="120" w:after="120" w:line="240" w:lineRule="auto"/>
        <w:rPr>
          <w:rFonts w:hAnsi="宋体"/>
          <w:color w:val="000000" w:themeColor="text1"/>
        </w:rPr>
      </w:pPr>
      <w:r>
        <w:rPr>
          <w:rFonts w:hAnsi="宋体"/>
          <w:color w:val="000000" w:themeColor="text1"/>
        </w:rPr>
        <w:t>2</w:t>
      </w:r>
      <w:r>
        <w:rPr>
          <w:rFonts w:hint="eastAsia" w:hAnsi="宋体"/>
          <w:color w:val="000000" w:themeColor="text1"/>
        </w:rPr>
        <w:t>．</w:t>
      </w:r>
      <w:r>
        <w:rPr>
          <w:rFonts w:hAnsi="宋体"/>
          <w:color w:val="000000" w:themeColor="text1"/>
        </w:rPr>
        <w:t>合同执行中涉及采购资金和采购内容修改或补充的，须经财政部门审批，并</w:t>
      </w:r>
    </w:p>
    <w:p>
      <w:pPr>
        <w:pStyle w:val="25"/>
        <w:snapToGrid w:val="0"/>
        <w:spacing w:before="120" w:after="120" w:line="240" w:lineRule="auto"/>
        <w:ind w:firstLine="360" w:firstLineChars="150"/>
        <w:rPr>
          <w:rFonts w:hAnsi="宋体"/>
          <w:color w:val="000000" w:themeColor="text1"/>
        </w:rPr>
      </w:pPr>
      <w:r>
        <w:rPr>
          <w:rFonts w:hAnsi="宋体"/>
          <w:color w:val="000000" w:themeColor="text1"/>
        </w:rPr>
        <w:t>签书面补充协议报政府采购监督管理部门备案，方可作为主合同不可分割的</w:t>
      </w:r>
    </w:p>
    <w:p>
      <w:pPr>
        <w:pStyle w:val="25"/>
        <w:snapToGrid w:val="0"/>
        <w:spacing w:before="120" w:after="120" w:line="240" w:lineRule="auto"/>
        <w:ind w:firstLine="360" w:firstLineChars="150"/>
        <w:rPr>
          <w:rFonts w:hAnsi="宋体"/>
          <w:color w:val="000000" w:themeColor="text1"/>
        </w:rPr>
      </w:pPr>
      <w:r>
        <w:rPr>
          <w:rFonts w:hAnsi="宋体"/>
          <w:color w:val="000000" w:themeColor="text1"/>
        </w:rPr>
        <w:t>一部分。</w:t>
      </w:r>
    </w:p>
    <w:p>
      <w:pPr>
        <w:pStyle w:val="25"/>
        <w:snapToGrid w:val="0"/>
        <w:spacing w:before="120" w:after="120" w:line="240" w:lineRule="auto"/>
        <w:ind w:left="480" w:hanging="480" w:hangingChars="200"/>
        <w:rPr>
          <w:rFonts w:hAnsi="宋体"/>
          <w:color w:val="000000" w:themeColor="text1"/>
        </w:rPr>
      </w:pPr>
      <w:r>
        <w:rPr>
          <w:rFonts w:hAnsi="宋体"/>
          <w:color w:val="000000" w:themeColor="text1"/>
        </w:rPr>
        <w:t>3</w:t>
      </w:r>
      <w:r>
        <w:rPr>
          <w:rFonts w:hint="eastAsia" w:hAnsi="宋体"/>
          <w:color w:val="000000" w:themeColor="text1"/>
        </w:rPr>
        <w:t>．</w:t>
      </w:r>
      <w:r>
        <w:rPr>
          <w:rFonts w:hAnsi="宋体"/>
          <w:color w:val="000000" w:themeColor="text1"/>
        </w:rPr>
        <w:t>本合同未尽事宜，遵照《合同法》有关条文执行。</w:t>
      </w:r>
    </w:p>
    <w:p>
      <w:pPr>
        <w:pStyle w:val="25"/>
        <w:snapToGrid w:val="0"/>
        <w:spacing w:before="120" w:after="120" w:line="240" w:lineRule="auto"/>
        <w:ind w:left="480" w:hanging="480" w:hangingChars="200"/>
        <w:rPr>
          <w:rFonts w:hAnsi="宋体"/>
          <w:color w:val="000000" w:themeColor="text1"/>
        </w:rPr>
      </w:pPr>
      <w:r>
        <w:rPr>
          <w:rFonts w:hAnsi="宋体"/>
          <w:color w:val="000000" w:themeColor="text1"/>
        </w:rPr>
        <w:t>4</w:t>
      </w:r>
      <w:r>
        <w:rPr>
          <w:rFonts w:hint="eastAsia" w:hAnsi="宋体"/>
          <w:color w:val="000000" w:themeColor="text1"/>
        </w:rPr>
        <w:t>．</w:t>
      </w:r>
      <w:r>
        <w:rPr>
          <w:rFonts w:hAnsi="宋体"/>
          <w:color w:val="000000" w:themeColor="text1"/>
        </w:rPr>
        <w:t>本合同正本一式两份，具有同等法律效力，甲乙双方各执一份；副本</w:t>
      </w:r>
      <w:r>
        <w:rPr>
          <w:rFonts w:hAnsi="宋体"/>
          <w:b/>
          <w:color w:val="000000" w:themeColor="text1"/>
        </w:rPr>
        <w:t>△</w:t>
      </w:r>
      <w:r>
        <w:rPr>
          <w:rFonts w:hAnsi="宋体"/>
          <w:color w:val="000000" w:themeColor="text1"/>
        </w:rPr>
        <w:t>份，(用</w:t>
      </w:r>
    </w:p>
    <w:p>
      <w:pPr>
        <w:pStyle w:val="25"/>
        <w:snapToGrid w:val="0"/>
        <w:spacing w:before="120" w:after="120" w:line="240" w:lineRule="auto"/>
        <w:ind w:left="479" w:leftChars="114" w:hanging="240" w:hangingChars="100"/>
        <w:rPr>
          <w:rFonts w:hAnsi="宋体"/>
          <w:color w:val="000000" w:themeColor="text1"/>
        </w:rPr>
      </w:pPr>
      <w:r>
        <w:rPr>
          <w:rFonts w:hAnsi="宋体"/>
          <w:color w:val="000000" w:themeColor="text1"/>
        </w:rPr>
        <w:t>途)。</w:t>
      </w:r>
    </w:p>
    <w:p>
      <w:pPr>
        <w:pStyle w:val="25"/>
        <w:snapToGrid w:val="0"/>
        <w:spacing w:before="120" w:after="120" w:line="240" w:lineRule="auto"/>
        <w:ind w:left="480" w:hanging="480" w:hangingChars="200"/>
        <w:rPr>
          <w:rFonts w:hAnsi="宋体"/>
          <w:color w:val="000000" w:themeColor="text1"/>
        </w:rPr>
      </w:pPr>
      <w:r>
        <w:rPr>
          <w:rFonts w:hAnsi="宋体"/>
          <w:color w:val="000000" w:themeColor="text1"/>
        </w:rPr>
        <w:t xml:space="preserve">  甲方：                                   乙方： </w:t>
      </w:r>
    </w:p>
    <w:p>
      <w:pPr>
        <w:pStyle w:val="25"/>
        <w:snapToGrid w:val="0"/>
        <w:spacing w:before="120" w:after="120" w:line="240" w:lineRule="auto"/>
        <w:rPr>
          <w:rFonts w:hAnsi="宋体"/>
          <w:color w:val="000000" w:themeColor="text1"/>
        </w:rPr>
      </w:pPr>
      <w:r>
        <w:rPr>
          <w:rFonts w:hAnsi="宋体"/>
          <w:color w:val="000000" w:themeColor="text1"/>
        </w:rPr>
        <w:t xml:space="preserve">  地址：                                   地址： </w:t>
      </w:r>
    </w:p>
    <w:p>
      <w:pPr>
        <w:pStyle w:val="25"/>
        <w:snapToGrid w:val="0"/>
        <w:spacing w:before="120" w:after="120" w:line="240" w:lineRule="auto"/>
        <w:rPr>
          <w:rFonts w:hAnsi="宋体"/>
          <w:color w:val="000000" w:themeColor="text1"/>
        </w:rPr>
      </w:pPr>
      <w:r>
        <w:rPr>
          <w:rFonts w:hAnsi="宋体"/>
          <w:color w:val="000000" w:themeColor="text1"/>
        </w:rPr>
        <w:t xml:space="preserve">  法定</w:t>
      </w:r>
      <w:r>
        <w:rPr>
          <w:rFonts w:hint="eastAsia" w:hAnsi="宋体"/>
          <w:color w:val="000000" w:themeColor="text1"/>
        </w:rPr>
        <w:t>（授权）</w:t>
      </w:r>
      <w:r>
        <w:rPr>
          <w:rFonts w:hAnsi="宋体"/>
          <w:color w:val="000000" w:themeColor="text1"/>
        </w:rPr>
        <w:t>代表人：                     法定</w:t>
      </w:r>
      <w:r>
        <w:rPr>
          <w:rFonts w:hint="eastAsia" w:hAnsi="宋体"/>
          <w:color w:val="000000" w:themeColor="text1"/>
        </w:rPr>
        <w:t>（授权）</w:t>
      </w:r>
      <w:r>
        <w:rPr>
          <w:rFonts w:hAnsi="宋体"/>
          <w:color w:val="000000" w:themeColor="text1"/>
        </w:rPr>
        <w:t>代表人：</w:t>
      </w:r>
    </w:p>
    <w:p>
      <w:pPr>
        <w:pStyle w:val="25"/>
        <w:snapToGrid w:val="0"/>
        <w:spacing w:before="120" w:after="120" w:line="240" w:lineRule="auto"/>
        <w:rPr>
          <w:rFonts w:hAnsi="宋体"/>
          <w:color w:val="000000" w:themeColor="text1"/>
        </w:rPr>
      </w:pPr>
      <w:r>
        <w:rPr>
          <w:rFonts w:hAnsi="宋体"/>
          <w:color w:val="000000" w:themeColor="text1"/>
        </w:rPr>
        <w:t xml:space="preserve">  签</w:t>
      </w:r>
      <w:r>
        <w:rPr>
          <w:rFonts w:hint="eastAsia" w:hAnsi="宋体"/>
          <w:color w:val="000000" w:themeColor="text1"/>
        </w:rPr>
        <w:t>字日期</w:t>
      </w:r>
      <w:r>
        <w:rPr>
          <w:rFonts w:hAnsi="宋体"/>
          <w:color w:val="000000" w:themeColor="text1"/>
        </w:rPr>
        <w:t>：      年  月  日       签</w:t>
      </w:r>
      <w:r>
        <w:rPr>
          <w:rFonts w:hint="eastAsia" w:hAnsi="宋体"/>
          <w:color w:val="000000" w:themeColor="text1"/>
        </w:rPr>
        <w:t>字</w:t>
      </w:r>
      <w:r>
        <w:rPr>
          <w:rFonts w:hAnsi="宋体"/>
          <w:color w:val="000000" w:themeColor="text1"/>
        </w:rPr>
        <w:t>日期：      年  月  日</w:t>
      </w:r>
    </w:p>
    <w:p>
      <w:pPr>
        <w:pStyle w:val="25"/>
        <w:snapToGrid w:val="0"/>
        <w:spacing w:before="120" w:after="120" w:line="240" w:lineRule="auto"/>
        <w:rPr>
          <w:rFonts w:hAnsi="宋体"/>
          <w:color w:val="000000" w:themeColor="text1"/>
        </w:rPr>
      </w:pPr>
    </w:p>
    <w:p>
      <w:pPr>
        <w:pStyle w:val="25"/>
        <w:snapToGrid w:val="0"/>
        <w:spacing w:before="120" w:after="120" w:line="240" w:lineRule="auto"/>
        <w:rPr>
          <w:rFonts w:hAnsi="宋体"/>
          <w:color w:val="000000" w:themeColor="text1"/>
        </w:rPr>
      </w:pPr>
      <w:r>
        <w:rPr>
          <w:rFonts w:hint="eastAsia" w:hAnsi="宋体"/>
          <w:color w:val="000000" w:themeColor="text1"/>
        </w:rPr>
        <w:t xml:space="preserve"> 合同鉴证方:</w:t>
      </w:r>
    </w:p>
    <w:p>
      <w:pPr>
        <w:pStyle w:val="25"/>
        <w:snapToGrid w:val="0"/>
        <w:spacing w:before="120" w:after="120" w:line="240" w:lineRule="auto"/>
        <w:ind w:firstLine="120" w:firstLineChars="50"/>
        <w:rPr>
          <w:rFonts w:hAnsi="宋体"/>
          <w:color w:val="000000" w:themeColor="text1"/>
        </w:rPr>
      </w:pPr>
      <w:r>
        <w:rPr>
          <w:rFonts w:hint="eastAsia" w:hAnsi="宋体"/>
          <w:color w:val="000000" w:themeColor="text1"/>
        </w:rPr>
        <w:t>法定（授权）代表人或主要负责人:</w:t>
      </w:r>
    </w:p>
    <w:p>
      <w:pPr>
        <w:pStyle w:val="25"/>
        <w:snapToGrid w:val="0"/>
        <w:spacing w:before="120" w:after="120" w:line="240" w:lineRule="auto"/>
        <w:ind w:firstLine="120" w:firstLineChars="50"/>
        <w:rPr>
          <w:rFonts w:hAnsi="宋体"/>
          <w:color w:val="000000" w:themeColor="text1"/>
        </w:rPr>
      </w:pPr>
      <w:r>
        <w:rPr>
          <w:rFonts w:hint="eastAsia" w:hAnsi="宋体"/>
          <w:color w:val="000000" w:themeColor="text1"/>
        </w:rPr>
        <w:t>鉴证日期:</w:t>
      </w:r>
    </w:p>
    <w:p>
      <w:pPr>
        <w:pStyle w:val="25"/>
        <w:snapToGrid w:val="0"/>
        <w:spacing w:before="120" w:after="120" w:line="240" w:lineRule="auto"/>
        <w:rPr>
          <w:rFonts w:hAnsi="宋体"/>
          <w:color w:val="000000" w:themeColor="text1"/>
        </w:rPr>
      </w:pPr>
    </w:p>
    <w:p>
      <w:pPr>
        <w:pStyle w:val="25"/>
        <w:snapToGrid w:val="0"/>
        <w:spacing w:before="120" w:after="120" w:line="240" w:lineRule="auto"/>
        <w:rPr>
          <w:rFonts w:hAnsi="宋体"/>
          <w:color w:val="000000" w:themeColor="text1"/>
        </w:rPr>
      </w:pPr>
    </w:p>
    <w:p>
      <w:pPr>
        <w:pStyle w:val="25"/>
        <w:snapToGrid w:val="0"/>
        <w:spacing w:before="120" w:after="120" w:line="240" w:lineRule="auto"/>
        <w:rPr>
          <w:rFonts w:hAnsi="宋体"/>
          <w:color w:val="000000" w:themeColor="text1"/>
        </w:rPr>
      </w:pPr>
    </w:p>
    <w:p>
      <w:pPr>
        <w:pStyle w:val="25"/>
        <w:snapToGrid w:val="0"/>
        <w:spacing w:before="120" w:after="120" w:line="240" w:lineRule="auto"/>
        <w:rPr>
          <w:rFonts w:hAnsi="宋体"/>
          <w:color w:val="000000" w:themeColor="text1"/>
        </w:rPr>
      </w:pPr>
    </w:p>
    <w:p>
      <w:pPr>
        <w:pStyle w:val="25"/>
        <w:snapToGrid w:val="0"/>
        <w:spacing w:before="120" w:after="120" w:line="240" w:lineRule="auto"/>
        <w:rPr>
          <w:rFonts w:hAnsi="宋体"/>
          <w:color w:val="000000" w:themeColor="text1"/>
        </w:rPr>
      </w:pPr>
    </w:p>
    <w:p>
      <w:pPr>
        <w:pStyle w:val="25"/>
        <w:snapToGrid w:val="0"/>
        <w:spacing w:before="120" w:after="120" w:line="240" w:lineRule="auto"/>
        <w:rPr>
          <w:rFonts w:hAnsi="宋体"/>
          <w:color w:val="000000" w:themeColor="text1"/>
        </w:rPr>
      </w:pPr>
    </w:p>
    <w:p>
      <w:pPr>
        <w:pStyle w:val="25"/>
        <w:snapToGrid w:val="0"/>
        <w:spacing w:before="120" w:after="120" w:line="240" w:lineRule="auto"/>
        <w:rPr>
          <w:rFonts w:hAnsi="宋体"/>
          <w:color w:val="000000" w:themeColor="text1"/>
        </w:rPr>
      </w:pPr>
    </w:p>
    <w:p>
      <w:pPr>
        <w:pStyle w:val="25"/>
        <w:snapToGrid w:val="0"/>
        <w:spacing w:before="120" w:after="120" w:line="240" w:lineRule="auto"/>
        <w:rPr>
          <w:rFonts w:hAnsi="宋体"/>
          <w:color w:val="000000" w:themeColor="text1"/>
        </w:rPr>
      </w:pPr>
    </w:p>
    <w:p>
      <w:pPr>
        <w:pStyle w:val="25"/>
        <w:tabs>
          <w:tab w:val="left" w:pos="2472"/>
        </w:tabs>
        <w:snapToGrid w:val="0"/>
        <w:spacing w:beforeLines="0" w:afterLines="0" w:line="240" w:lineRule="auto"/>
        <w:jc w:val="center"/>
        <w:rPr>
          <w:rFonts w:ascii="黑体" w:hAnsi="宋体" w:eastAsia="黑体"/>
          <w:color w:val="000000" w:themeColor="text1"/>
          <w:sz w:val="30"/>
          <w:szCs w:val="30"/>
        </w:rPr>
      </w:pPr>
      <w:r>
        <w:rPr>
          <w:rFonts w:hAnsi="宋体"/>
          <w:color w:val="000000" w:themeColor="text1"/>
        </w:rPr>
        <w:br w:type="page"/>
      </w:r>
      <w:r>
        <w:rPr>
          <w:rFonts w:hint="eastAsia" w:ascii="黑体" w:hAnsi="宋体" w:eastAsia="黑体"/>
          <w:color w:val="000000" w:themeColor="text1"/>
          <w:sz w:val="30"/>
          <w:szCs w:val="30"/>
        </w:rPr>
        <w:t>第六章　投标文件格式</w:t>
      </w:r>
    </w:p>
    <w:p>
      <w:pPr>
        <w:snapToGrid w:val="0"/>
        <w:spacing w:before="50" w:after="50"/>
        <w:outlineLvl w:val="1"/>
        <w:rPr>
          <w:rFonts w:ascii="宋体" w:hAnsi="宋体"/>
          <w:color w:val="000000" w:themeColor="text1"/>
          <w:sz w:val="32"/>
          <w:szCs w:val="20"/>
        </w:rPr>
      </w:pPr>
    </w:p>
    <w:p>
      <w:pPr>
        <w:jc w:val="center"/>
        <w:rPr>
          <w:rFonts w:ascii="宋体" w:hAnsi="宋体"/>
          <w:b/>
          <w:bCs/>
          <w:color w:val="000000" w:themeColor="text1"/>
          <w:sz w:val="24"/>
          <w:szCs w:val="20"/>
        </w:rPr>
      </w:pPr>
      <w:r>
        <w:rPr>
          <w:rFonts w:hint="eastAsia" w:ascii="宋体" w:hAnsi="宋体"/>
          <w:b/>
          <w:bCs/>
          <w:color w:val="000000" w:themeColor="text1"/>
          <w:sz w:val="24"/>
        </w:rPr>
        <w:t>一、投标文件外层包装封面格式</w:t>
      </w:r>
    </w:p>
    <w:p>
      <w:pPr>
        <w:snapToGrid w:val="0"/>
        <w:spacing w:beforeLines="50" w:after="50"/>
        <w:rPr>
          <w:rFonts w:ascii="宋体" w:hAnsi="宋体"/>
          <w:color w:val="000000" w:themeColor="text1"/>
          <w:sz w:val="24"/>
          <w:szCs w:val="20"/>
        </w:rPr>
      </w:pPr>
      <w:r>
        <w:rPr>
          <w:rFonts w:ascii="宋体" w:hAnsi="宋体"/>
          <w:color w:val="000000" w:themeColor="text1"/>
          <w:sz w:val="24"/>
        </w:rPr>
        <w:t>1</w:t>
      </w:r>
      <w:r>
        <w:rPr>
          <w:rFonts w:hint="eastAsia" w:ascii="宋体" w:hAnsi="宋体"/>
          <w:color w:val="000000" w:themeColor="text1"/>
          <w:sz w:val="24"/>
        </w:rPr>
        <w:t>.所有投标文件的外包装封面格式：</w:t>
      </w:r>
      <w:r>
        <w:rPr>
          <w:rFonts w:ascii="宋体" w:hAnsi="宋体"/>
          <w:color w:val="000000" w:themeColor="text1"/>
          <w:sz w:val="24"/>
        </w:rPr>
        <w:t>(</w:t>
      </w:r>
      <w:r>
        <w:rPr>
          <w:rFonts w:hint="eastAsia" w:ascii="宋体" w:hAnsi="宋体"/>
          <w:color w:val="000000" w:themeColor="text1"/>
          <w:sz w:val="24"/>
        </w:rPr>
        <w:t>可选用</w:t>
      </w:r>
      <w:r>
        <w:rPr>
          <w:rFonts w:ascii="宋体" w:hAnsi="宋体"/>
          <w:color w:val="000000" w:themeColor="text1"/>
          <w:sz w:val="24"/>
        </w:rPr>
        <w:t>)</w:t>
      </w:r>
    </w:p>
    <w:p>
      <w:pPr>
        <w:snapToGrid w:val="0"/>
        <w:spacing w:beforeLines="50" w:after="50"/>
        <w:rPr>
          <w:rFonts w:ascii="宋体" w:hAnsi="宋体"/>
          <w:color w:val="000000" w:themeColor="text1"/>
          <w:sz w:val="24"/>
          <w:szCs w:val="20"/>
        </w:rPr>
      </w:pPr>
    </w:p>
    <w:p>
      <w:pPr>
        <w:snapToGrid w:val="0"/>
        <w:spacing w:beforeLines="50" w:after="50"/>
        <w:jc w:val="center"/>
        <w:rPr>
          <w:rFonts w:ascii="宋体" w:hAnsi="宋体"/>
          <w:bCs/>
          <w:color w:val="000000" w:themeColor="text1"/>
          <w:sz w:val="24"/>
          <w:szCs w:val="20"/>
        </w:rPr>
      </w:pPr>
    </w:p>
    <w:p>
      <w:pPr>
        <w:snapToGrid w:val="0"/>
        <w:spacing w:beforeLines="50" w:after="50"/>
        <w:jc w:val="center"/>
        <w:rPr>
          <w:rFonts w:ascii="宋体" w:hAnsi="宋体"/>
          <w:bCs/>
          <w:color w:val="000000" w:themeColor="text1"/>
          <w:sz w:val="24"/>
          <w:szCs w:val="20"/>
        </w:rPr>
      </w:pPr>
      <w:r>
        <w:rPr>
          <w:rFonts w:hint="eastAsia" w:ascii="宋体" w:hAnsi="宋体"/>
          <w:bCs/>
          <w:color w:val="000000" w:themeColor="text1"/>
          <w:sz w:val="24"/>
        </w:rPr>
        <w:t>投标文件</w:t>
      </w:r>
    </w:p>
    <w:p>
      <w:pPr>
        <w:snapToGrid w:val="0"/>
        <w:spacing w:beforeLines="50" w:after="50"/>
        <w:rPr>
          <w:rFonts w:ascii="宋体" w:hAnsi="宋体"/>
          <w:bCs/>
          <w:color w:val="000000" w:themeColor="text1"/>
          <w:sz w:val="24"/>
          <w:szCs w:val="20"/>
        </w:rPr>
      </w:pPr>
    </w:p>
    <w:p>
      <w:pPr>
        <w:snapToGrid w:val="0"/>
        <w:spacing w:beforeLines="50" w:after="50"/>
        <w:ind w:firstLine="849" w:firstLineChars="354"/>
        <w:rPr>
          <w:rFonts w:ascii="宋体" w:hAnsi="宋体"/>
          <w:bCs/>
          <w:color w:val="000000" w:themeColor="text1"/>
          <w:sz w:val="24"/>
          <w:szCs w:val="20"/>
        </w:rPr>
      </w:pPr>
      <w:r>
        <w:rPr>
          <w:rFonts w:hint="eastAsia" w:ascii="宋体" w:hAnsi="宋体"/>
          <w:bCs/>
          <w:color w:val="000000" w:themeColor="text1"/>
          <w:sz w:val="24"/>
        </w:rPr>
        <w:t>项目名称：单位（货物</w:t>
      </w:r>
      <w:r>
        <w:rPr>
          <w:rFonts w:ascii="宋体" w:hAnsi="宋体"/>
          <w:bCs/>
          <w:color w:val="000000" w:themeColor="text1"/>
          <w:sz w:val="24"/>
        </w:rPr>
        <w:t>/</w:t>
      </w:r>
      <w:r>
        <w:rPr>
          <w:rFonts w:hint="eastAsia" w:ascii="宋体" w:hAnsi="宋体"/>
          <w:bCs/>
          <w:color w:val="000000" w:themeColor="text1"/>
          <w:sz w:val="24"/>
        </w:rPr>
        <w:t>服务）项目</w:t>
      </w:r>
    </w:p>
    <w:p>
      <w:pPr>
        <w:snapToGrid w:val="0"/>
        <w:spacing w:beforeLines="50" w:after="50"/>
        <w:ind w:firstLine="849" w:firstLineChars="354"/>
        <w:rPr>
          <w:rFonts w:ascii="宋体" w:hAnsi="宋体"/>
          <w:bCs/>
          <w:color w:val="000000" w:themeColor="text1"/>
          <w:sz w:val="24"/>
          <w:szCs w:val="20"/>
        </w:rPr>
      </w:pPr>
      <w:r>
        <w:rPr>
          <w:rFonts w:hint="eastAsia" w:ascii="宋体" w:hAnsi="宋体"/>
          <w:bCs/>
          <w:color w:val="000000" w:themeColor="text1"/>
          <w:sz w:val="24"/>
        </w:rPr>
        <w:t>项目编号：</w:t>
      </w:r>
    </w:p>
    <w:p>
      <w:pPr>
        <w:snapToGrid w:val="0"/>
        <w:spacing w:beforeLines="50" w:after="50"/>
        <w:ind w:firstLine="849" w:firstLineChars="354"/>
        <w:rPr>
          <w:rFonts w:ascii="宋体" w:hAnsi="宋体"/>
          <w:bCs/>
          <w:color w:val="000000" w:themeColor="text1"/>
          <w:sz w:val="24"/>
          <w:szCs w:val="20"/>
        </w:rPr>
      </w:pPr>
      <w:r>
        <w:rPr>
          <w:rFonts w:hint="eastAsia" w:ascii="宋体" w:hAnsi="宋体"/>
          <w:bCs/>
          <w:color w:val="000000" w:themeColor="text1"/>
          <w:sz w:val="24"/>
        </w:rPr>
        <w:t>标项</w:t>
      </w:r>
      <w:r>
        <w:rPr>
          <w:rFonts w:ascii="宋体" w:hAnsi="宋体"/>
          <w:bCs/>
          <w:color w:val="000000" w:themeColor="text1"/>
          <w:sz w:val="24"/>
        </w:rPr>
        <w:t>:</w:t>
      </w:r>
    </w:p>
    <w:p>
      <w:pPr>
        <w:pStyle w:val="15"/>
        <w:snapToGrid w:val="0"/>
        <w:spacing w:before="50" w:after="50"/>
        <w:ind w:firstLine="849" w:firstLineChars="354"/>
        <w:rPr>
          <w:rFonts w:ascii="宋体" w:hAnsi="宋体"/>
          <w:bCs/>
          <w:color w:val="000000" w:themeColor="text1"/>
          <w:sz w:val="24"/>
          <w:szCs w:val="24"/>
        </w:rPr>
      </w:pPr>
      <w:r>
        <w:rPr>
          <w:rFonts w:hint="eastAsia" w:ascii="宋体" w:hAnsi="宋体"/>
          <w:bCs/>
          <w:color w:val="000000" w:themeColor="text1"/>
          <w:sz w:val="24"/>
          <w:szCs w:val="24"/>
        </w:rPr>
        <w:t>投标文件名称：资信/商务文件、技术文件、报价文件</w:t>
      </w:r>
    </w:p>
    <w:p>
      <w:pPr>
        <w:pStyle w:val="15"/>
        <w:snapToGrid w:val="0"/>
        <w:spacing w:before="50" w:after="50"/>
        <w:ind w:firstLine="849" w:firstLineChars="354"/>
        <w:rPr>
          <w:rFonts w:ascii="宋体" w:hAnsi="宋体"/>
          <w:bCs/>
          <w:color w:val="000000" w:themeColor="text1"/>
          <w:sz w:val="24"/>
          <w:szCs w:val="24"/>
        </w:rPr>
      </w:pPr>
      <w:r>
        <w:rPr>
          <w:rFonts w:hint="eastAsia" w:ascii="宋体" w:hAnsi="宋体"/>
          <w:bCs/>
          <w:color w:val="000000" w:themeColor="text1"/>
          <w:sz w:val="24"/>
          <w:szCs w:val="24"/>
        </w:rPr>
        <w:t>投标人名称：</w:t>
      </w:r>
    </w:p>
    <w:p>
      <w:pPr>
        <w:pStyle w:val="15"/>
        <w:snapToGrid w:val="0"/>
        <w:spacing w:before="50" w:after="50"/>
        <w:ind w:firstLine="849" w:firstLineChars="354"/>
        <w:rPr>
          <w:rFonts w:ascii="宋体" w:hAnsi="宋体"/>
          <w:bCs/>
          <w:color w:val="000000" w:themeColor="text1"/>
          <w:sz w:val="24"/>
          <w:szCs w:val="24"/>
        </w:rPr>
      </w:pPr>
      <w:r>
        <w:rPr>
          <w:rFonts w:hint="eastAsia" w:ascii="宋体" w:hAnsi="宋体"/>
          <w:bCs/>
          <w:color w:val="000000" w:themeColor="text1"/>
          <w:sz w:val="24"/>
          <w:szCs w:val="24"/>
        </w:rPr>
        <w:t>投标人地址：</w:t>
      </w:r>
    </w:p>
    <w:p>
      <w:pPr>
        <w:pStyle w:val="15"/>
        <w:snapToGrid w:val="0"/>
        <w:spacing w:before="50" w:after="50"/>
        <w:ind w:firstLine="849" w:firstLineChars="354"/>
        <w:rPr>
          <w:rFonts w:ascii="宋体" w:hAnsi="宋体"/>
          <w:bCs/>
          <w:color w:val="000000" w:themeColor="text1"/>
          <w:sz w:val="24"/>
          <w:szCs w:val="24"/>
        </w:rPr>
      </w:pPr>
      <w:r>
        <w:rPr>
          <w:rFonts w:hint="eastAsia" w:ascii="宋体" w:hAnsi="宋体"/>
          <w:bCs/>
          <w:color w:val="000000" w:themeColor="text1"/>
          <w:sz w:val="24"/>
          <w:szCs w:val="24"/>
        </w:rPr>
        <w:t>在年月日时分之前不得启封</w:t>
      </w:r>
    </w:p>
    <w:p>
      <w:pPr>
        <w:snapToGrid w:val="0"/>
        <w:spacing w:beforeLines="50" w:after="50"/>
        <w:ind w:firstLine="4080" w:firstLineChars="1700"/>
        <w:rPr>
          <w:rFonts w:ascii="宋体" w:hAnsi="宋体"/>
          <w:bCs/>
          <w:color w:val="000000" w:themeColor="text1"/>
          <w:sz w:val="24"/>
          <w:szCs w:val="20"/>
        </w:rPr>
      </w:pPr>
    </w:p>
    <w:p>
      <w:pPr>
        <w:snapToGrid w:val="0"/>
        <w:spacing w:beforeLines="50" w:after="50"/>
        <w:ind w:firstLine="645"/>
        <w:jc w:val="center"/>
        <w:rPr>
          <w:rFonts w:ascii="宋体" w:hAnsi="宋体"/>
          <w:bCs/>
          <w:color w:val="000000" w:themeColor="text1"/>
          <w:sz w:val="24"/>
          <w:szCs w:val="20"/>
        </w:rPr>
      </w:pPr>
      <w:r>
        <w:rPr>
          <w:rFonts w:hint="eastAsia" w:ascii="宋体" w:hAnsi="宋体"/>
          <w:bCs/>
          <w:color w:val="000000" w:themeColor="text1"/>
          <w:sz w:val="24"/>
        </w:rPr>
        <w:t>年月日</w:t>
      </w:r>
    </w:p>
    <w:p>
      <w:pPr>
        <w:snapToGrid w:val="0"/>
        <w:spacing w:beforeLines="50" w:after="50"/>
        <w:jc w:val="center"/>
        <w:outlineLvl w:val="1"/>
        <w:rPr>
          <w:rFonts w:ascii="宋体" w:hAnsi="宋体"/>
          <w:color w:val="000000" w:themeColor="text1"/>
        </w:rPr>
      </w:pPr>
    </w:p>
    <w:p>
      <w:pPr>
        <w:snapToGrid w:val="0"/>
        <w:spacing w:beforeLines="50" w:after="50"/>
        <w:jc w:val="center"/>
        <w:outlineLvl w:val="1"/>
        <w:rPr>
          <w:rFonts w:ascii="宋体" w:hAnsi="宋体"/>
          <w:color w:val="000000" w:themeColor="text1"/>
        </w:rPr>
      </w:pPr>
    </w:p>
    <w:p>
      <w:pPr>
        <w:jc w:val="center"/>
        <w:rPr>
          <w:rFonts w:ascii="宋体" w:hAnsi="宋体"/>
          <w:b/>
          <w:bCs/>
          <w:color w:val="000000" w:themeColor="text1"/>
          <w:sz w:val="24"/>
        </w:rPr>
      </w:pPr>
      <w:r>
        <w:rPr>
          <w:rFonts w:hint="eastAsia" w:ascii="宋体" w:hAnsi="宋体"/>
          <w:b/>
          <w:bCs/>
          <w:color w:val="000000" w:themeColor="text1"/>
          <w:sz w:val="24"/>
        </w:rPr>
        <w:t>二、资信</w:t>
      </w:r>
      <w:r>
        <w:rPr>
          <w:rFonts w:ascii="宋体" w:hAnsi="宋体"/>
          <w:b/>
          <w:bCs/>
          <w:color w:val="000000" w:themeColor="text1"/>
          <w:sz w:val="24"/>
        </w:rPr>
        <w:t>/</w:t>
      </w:r>
      <w:r>
        <w:rPr>
          <w:rFonts w:hint="eastAsia" w:ascii="宋体" w:hAnsi="宋体"/>
          <w:b/>
          <w:bCs/>
          <w:color w:val="000000" w:themeColor="text1"/>
          <w:sz w:val="24"/>
        </w:rPr>
        <w:t>商务文件格式</w:t>
      </w:r>
    </w:p>
    <w:p>
      <w:pPr>
        <w:snapToGrid w:val="0"/>
        <w:spacing w:beforeLines="50" w:after="50"/>
        <w:jc w:val="center"/>
        <w:rPr>
          <w:rFonts w:ascii="宋体" w:hAnsi="宋体"/>
          <w:color w:val="000000" w:themeColor="text1"/>
          <w:sz w:val="24"/>
          <w:szCs w:val="20"/>
        </w:rPr>
      </w:pPr>
    </w:p>
    <w:p>
      <w:pPr>
        <w:snapToGrid w:val="0"/>
        <w:spacing w:beforeLines="50" w:after="50"/>
        <w:rPr>
          <w:rFonts w:ascii="宋体" w:hAnsi="宋体"/>
          <w:bCs/>
          <w:color w:val="000000" w:themeColor="text1"/>
          <w:sz w:val="24"/>
          <w:szCs w:val="20"/>
        </w:rPr>
      </w:pPr>
      <w:r>
        <w:rPr>
          <w:rFonts w:ascii="宋体" w:hAnsi="宋体"/>
          <w:color w:val="000000" w:themeColor="text1"/>
          <w:sz w:val="24"/>
        </w:rPr>
        <w:t>2</w:t>
      </w:r>
      <w:r>
        <w:rPr>
          <w:rFonts w:hint="eastAsia" w:ascii="宋体" w:hAnsi="宋体"/>
          <w:color w:val="000000" w:themeColor="text1"/>
          <w:sz w:val="24"/>
        </w:rPr>
        <w:t>.资信</w:t>
      </w:r>
      <w:r>
        <w:rPr>
          <w:rFonts w:ascii="宋体" w:hAnsi="宋体"/>
          <w:color w:val="000000" w:themeColor="text1"/>
          <w:sz w:val="24"/>
        </w:rPr>
        <w:t>/</w:t>
      </w:r>
      <w:r>
        <w:rPr>
          <w:rFonts w:hint="eastAsia" w:ascii="宋体" w:hAnsi="宋体"/>
          <w:color w:val="000000" w:themeColor="text1"/>
          <w:sz w:val="24"/>
        </w:rPr>
        <w:t>商务</w:t>
      </w:r>
      <w:r>
        <w:rPr>
          <w:rFonts w:hint="eastAsia" w:ascii="宋体" w:hAnsi="宋体"/>
          <w:bCs/>
          <w:color w:val="000000" w:themeColor="text1"/>
          <w:sz w:val="24"/>
        </w:rPr>
        <w:t>文件的外包装封面格式（不可缺）：</w:t>
      </w:r>
    </w:p>
    <w:p>
      <w:pPr>
        <w:snapToGrid w:val="0"/>
        <w:spacing w:beforeLines="50" w:after="50"/>
        <w:rPr>
          <w:rFonts w:ascii="宋体" w:hAnsi="宋体"/>
          <w:bCs/>
          <w:color w:val="000000" w:themeColor="text1"/>
          <w:sz w:val="24"/>
          <w:szCs w:val="20"/>
        </w:rPr>
      </w:pPr>
    </w:p>
    <w:p>
      <w:pPr>
        <w:snapToGrid w:val="0"/>
        <w:spacing w:beforeLines="50" w:after="50"/>
        <w:jc w:val="center"/>
        <w:rPr>
          <w:rFonts w:ascii="宋体" w:hAnsi="宋体"/>
          <w:bCs/>
          <w:color w:val="000000" w:themeColor="text1"/>
          <w:sz w:val="24"/>
          <w:szCs w:val="20"/>
        </w:rPr>
      </w:pPr>
    </w:p>
    <w:p>
      <w:pPr>
        <w:snapToGrid w:val="0"/>
        <w:spacing w:beforeLines="50" w:after="50"/>
        <w:jc w:val="center"/>
        <w:rPr>
          <w:rFonts w:ascii="宋体" w:hAnsi="宋体"/>
          <w:bCs/>
          <w:color w:val="000000" w:themeColor="text1"/>
          <w:sz w:val="24"/>
          <w:szCs w:val="20"/>
        </w:rPr>
      </w:pPr>
      <w:r>
        <w:rPr>
          <w:rFonts w:hint="eastAsia" w:ascii="宋体" w:hAnsi="宋体"/>
          <w:bCs/>
          <w:color w:val="000000" w:themeColor="text1"/>
          <w:sz w:val="24"/>
        </w:rPr>
        <w:t>资信/商务文件</w:t>
      </w:r>
    </w:p>
    <w:p>
      <w:pPr>
        <w:snapToGrid w:val="0"/>
        <w:spacing w:beforeLines="50" w:after="50"/>
        <w:rPr>
          <w:rFonts w:ascii="宋体" w:hAnsi="宋体"/>
          <w:bCs/>
          <w:color w:val="000000" w:themeColor="text1"/>
          <w:sz w:val="24"/>
          <w:szCs w:val="20"/>
        </w:rPr>
      </w:pPr>
    </w:p>
    <w:p>
      <w:pPr>
        <w:snapToGrid w:val="0"/>
        <w:spacing w:beforeLines="50" w:after="50"/>
        <w:ind w:firstLine="1440" w:firstLineChars="600"/>
        <w:rPr>
          <w:rFonts w:ascii="宋体" w:hAnsi="宋体"/>
          <w:bCs/>
          <w:color w:val="000000" w:themeColor="text1"/>
          <w:sz w:val="24"/>
          <w:szCs w:val="20"/>
        </w:rPr>
      </w:pPr>
      <w:r>
        <w:rPr>
          <w:rFonts w:hint="eastAsia" w:ascii="宋体" w:hAnsi="宋体"/>
          <w:bCs/>
          <w:color w:val="000000" w:themeColor="text1"/>
          <w:sz w:val="24"/>
        </w:rPr>
        <w:t>项目名称：单位（货物</w:t>
      </w:r>
      <w:r>
        <w:rPr>
          <w:rFonts w:ascii="宋体" w:hAnsi="宋体"/>
          <w:bCs/>
          <w:color w:val="000000" w:themeColor="text1"/>
          <w:sz w:val="24"/>
        </w:rPr>
        <w:t>/</w:t>
      </w:r>
      <w:r>
        <w:rPr>
          <w:rFonts w:hint="eastAsia" w:ascii="宋体" w:hAnsi="宋体"/>
          <w:bCs/>
          <w:color w:val="000000" w:themeColor="text1"/>
          <w:sz w:val="24"/>
        </w:rPr>
        <w:t>服务）项目</w:t>
      </w:r>
    </w:p>
    <w:p>
      <w:pPr>
        <w:snapToGrid w:val="0"/>
        <w:spacing w:beforeLines="50" w:after="50"/>
        <w:ind w:firstLine="1440" w:firstLineChars="600"/>
        <w:rPr>
          <w:rFonts w:ascii="宋体" w:hAnsi="宋体"/>
          <w:bCs/>
          <w:color w:val="000000" w:themeColor="text1"/>
          <w:sz w:val="24"/>
          <w:szCs w:val="20"/>
        </w:rPr>
      </w:pPr>
      <w:r>
        <w:rPr>
          <w:rFonts w:hint="eastAsia" w:ascii="宋体" w:hAnsi="宋体"/>
          <w:bCs/>
          <w:color w:val="000000" w:themeColor="text1"/>
          <w:sz w:val="24"/>
        </w:rPr>
        <w:t>项目编号：</w:t>
      </w:r>
    </w:p>
    <w:p>
      <w:pPr>
        <w:snapToGrid w:val="0"/>
        <w:spacing w:beforeLines="50" w:after="50"/>
        <w:ind w:firstLine="1440" w:firstLineChars="600"/>
        <w:rPr>
          <w:rFonts w:ascii="宋体" w:hAnsi="宋体"/>
          <w:bCs/>
          <w:color w:val="000000" w:themeColor="text1"/>
          <w:sz w:val="24"/>
          <w:szCs w:val="20"/>
        </w:rPr>
      </w:pPr>
      <w:r>
        <w:rPr>
          <w:rFonts w:hint="eastAsia" w:ascii="宋体" w:hAnsi="宋体"/>
          <w:bCs/>
          <w:color w:val="000000" w:themeColor="text1"/>
          <w:sz w:val="24"/>
        </w:rPr>
        <w:t>标项</w:t>
      </w:r>
      <w:r>
        <w:rPr>
          <w:rFonts w:ascii="宋体" w:hAnsi="宋体"/>
          <w:bCs/>
          <w:color w:val="000000" w:themeColor="text1"/>
          <w:sz w:val="24"/>
        </w:rPr>
        <w:t>:</w:t>
      </w:r>
    </w:p>
    <w:p>
      <w:pPr>
        <w:pStyle w:val="15"/>
        <w:snapToGrid w:val="0"/>
        <w:spacing w:before="50" w:after="50"/>
        <w:ind w:firstLine="1478" w:firstLineChars="616"/>
        <w:rPr>
          <w:rFonts w:ascii="宋体" w:hAnsi="宋体"/>
          <w:bCs/>
          <w:color w:val="000000" w:themeColor="text1"/>
          <w:sz w:val="24"/>
          <w:szCs w:val="24"/>
        </w:rPr>
      </w:pPr>
      <w:r>
        <w:rPr>
          <w:rFonts w:hint="eastAsia" w:ascii="宋体" w:hAnsi="宋体"/>
          <w:bCs/>
          <w:color w:val="000000" w:themeColor="text1"/>
          <w:sz w:val="24"/>
          <w:szCs w:val="24"/>
        </w:rPr>
        <w:t>投标人名称：</w:t>
      </w:r>
    </w:p>
    <w:p>
      <w:pPr>
        <w:pStyle w:val="15"/>
        <w:snapToGrid w:val="0"/>
        <w:spacing w:before="50" w:after="50"/>
        <w:ind w:firstLine="1478" w:firstLineChars="616"/>
        <w:rPr>
          <w:rFonts w:ascii="宋体" w:hAnsi="宋体"/>
          <w:bCs/>
          <w:color w:val="000000" w:themeColor="text1"/>
          <w:sz w:val="24"/>
          <w:szCs w:val="24"/>
        </w:rPr>
      </w:pPr>
      <w:r>
        <w:rPr>
          <w:rFonts w:hint="eastAsia" w:ascii="宋体" w:hAnsi="宋体"/>
          <w:bCs/>
          <w:color w:val="000000" w:themeColor="text1"/>
          <w:sz w:val="24"/>
          <w:szCs w:val="24"/>
        </w:rPr>
        <w:t>投标人地址：</w:t>
      </w:r>
    </w:p>
    <w:p>
      <w:pPr>
        <w:pStyle w:val="15"/>
        <w:snapToGrid w:val="0"/>
        <w:spacing w:before="50" w:after="50"/>
        <w:ind w:firstLine="1440" w:firstLineChars="600"/>
        <w:rPr>
          <w:rFonts w:ascii="宋体" w:hAnsi="宋体"/>
          <w:bCs/>
          <w:color w:val="000000" w:themeColor="text1"/>
          <w:sz w:val="24"/>
          <w:szCs w:val="24"/>
        </w:rPr>
      </w:pPr>
      <w:r>
        <w:rPr>
          <w:rFonts w:hint="eastAsia" w:ascii="宋体" w:hAnsi="宋体"/>
          <w:bCs/>
          <w:color w:val="000000" w:themeColor="text1"/>
          <w:sz w:val="24"/>
          <w:szCs w:val="24"/>
        </w:rPr>
        <w:t>在年月日时分之前不得启封</w:t>
      </w:r>
    </w:p>
    <w:p>
      <w:pPr>
        <w:pStyle w:val="15"/>
        <w:snapToGrid w:val="0"/>
        <w:spacing w:before="50" w:after="50"/>
        <w:ind w:firstLine="1497" w:firstLineChars="416"/>
        <w:rPr>
          <w:rFonts w:ascii="宋体" w:hAnsi="宋体"/>
          <w:color w:val="000000" w:themeColor="text1"/>
          <w:sz w:val="36"/>
        </w:rPr>
      </w:pPr>
    </w:p>
    <w:p>
      <w:pPr>
        <w:snapToGrid w:val="0"/>
        <w:spacing w:beforeLines="50" w:after="50"/>
        <w:ind w:firstLine="645"/>
        <w:jc w:val="center"/>
        <w:rPr>
          <w:rFonts w:ascii="宋体" w:hAnsi="宋体"/>
          <w:color w:val="000000" w:themeColor="text1"/>
          <w:sz w:val="24"/>
          <w:szCs w:val="20"/>
        </w:rPr>
      </w:pPr>
      <w:r>
        <w:rPr>
          <w:rFonts w:hint="eastAsia" w:ascii="宋体" w:hAnsi="宋体"/>
          <w:color w:val="000000" w:themeColor="text1"/>
          <w:sz w:val="24"/>
        </w:rPr>
        <w:t>年月日</w:t>
      </w:r>
    </w:p>
    <w:p>
      <w:pPr>
        <w:snapToGrid w:val="0"/>
        <w:spacing w:beforeLines="50" w:after="50"/>
        <w:jc w:val="center"/>
        <w:rPr>
          <w:rFonts w:ascii="宋体" w:hAnsi="宋体"/>
          <w:color w:val="000000" w:themeColor="text1"/>
          <w:sz w:val="24"/>
          <w:szCs w:val="20"/>
        </w:rPr>
      </w:pPr>
    </w:p>
    <w:p>
      <w:pPr>
        <w:snapToGrid w:val="0"/>
        <w:spacing w:beforeLines="50" w:after="50"/>
        <w:rPr>
          <w:rFonts w:ascii="宋体" w:hAnsi="宋体"/>
          <w:color w:val="000000" w:themeColor="text1"/>
          <w:sz w:val="24"/>
          <w:szCs w:val="20"/>
        </w:rPr>
      </w:pPr>
      <w:r>
        <w:rPr>
          <w:rFonts w:hint="eastAsia" w:ascii="宋体" w:hAnsi="宋体"/>
          <w:color w:val="000000" w:themeColor="text1"/>
          <w:sz w:val="24"/>
        </w:rPr>
        <w:t>3.资信</w:t>
      </w:r>
      <w:r>
        <w:rPr>
          <w:rFonts w:ascii="宋体" w:hAnsi="宋体"/>
          <w:color w:val="000000" w:themeColor="text1"/>
          <w:sz w:val="24"/>
        </w:rPr>
        <w:t>/</w:t>
      </w:r>
      <w:r>
        <w:rPr>
          <w:rFonts w:hint="eastAsia" w:ascii="宋体" w:hAnsi="宋体"/>
          <w:color w:val="000000" w:themeColor="text1"/>
          <w:sz w:val="24"/>
        </w:rPr>
        <w:t>商务文件封面格式：</w:t>
      </w:r>
    </w:p>
    <w:p>
      <w:pPr>
        <w:snapToGrid w:val="0"/>
        <w:spacing w:beforeLines="50" w:after="50"/>
        <w:rPr>
          <w:rFonts w:ascii="宋体" w:hAnsi="宋体"/>
          <w:b/>
          <w:bCs/>
          <w:color w:val="000000" w:themeColor="text1"/>
          <w:sz w:val="32"/>
          <w:szCs w:val="20"/>
        </w:rPr>
      </w:pPr>
      <w:r>
        <w:rPr>
          <w:rFonts w:hint="eastAsia" w:ascii="宋体" w:hAnsi="宋体"/>
          <w:b/>
          <w:bCs/>
          <w:color w:val="000000" w:themeColor="text1"/>
        </w:rPr>
        <w:t>正本</w:t>
      </w:r>
      <w:r>
        <w:rPr>
          <w:rFonts w:ascii="宋体" w:hAnsi="宋体"/>
          <w:b/>
          <w:bCs/>
          <w:color w:val="000000" w:themeColor="text1"/>
        </w:rPr>
        <w:t>/</w:t>
      </w:r>
      <w:r>
        <w:rPr>
          <w:rFonts w:hint="eastAsia" w:ascii="宋体" w:hAnsi="宋体"/>
          <w:b/>
          <w:bCs/>
          <w:color w:val="000000" w:themeColor="text1"/>
        </w:rPr>
        <w:t>或副本</w:t>
      </w:r>
    </w:p>
    <w:p>
      <w:pPr>
        <w:snapToGrid w:val="0"/>
        <w:spacing w:beforeLines="50" w:after="50"/>
        <w:rPr>
          <w:rFonts w:ascii="宋体" w:hAnsi="宋体"/>
          <w:color w:val="000000" w:themeColor="text1"/>
          <w:sz w:val="24"/>
          <w:szCs w:val="20"/>
        </w:rPr>
      </w:pPr>
    </w:p>
    <w:p>
      <w:pPr>
        <w:snapToGrid w:val="0"/>
        <w:spacing w:beforeLines="50" w:after="50"/>
        <w:jc w:val="center"/>
        <w:rPr>
          <w:rFonts w:ascii="宋体" w:hAnsi="宋体"/>
          <w:bCs/>
          <w:color w:val="000000" w:themeColor="text1"/>
          <w:sz w:val="24"/>
          <w:szCs w:val="20"/>
        </w:rPr>
      </w:pPr>
    </w:p>
    <w:p>
      <w:pPr>
        <w:snapToGrid w:val="0"/>
        <w:spacing w:beforeLines="50" w:after="50"/>
        <w:jc w:val="center"/>
        <w:rPr>
          <w:rFonts w:ascii="宋体" w:hAnsi="宋体"/>
          <w:bCs/>
          <w:color w:val="000000" w:themeColor="text1"/>
          <w:sz w:val="24"/>
          <w:szCs w:val="20"/>
        </w:rPr>
      </w:pPr>
      <w:r>
        <w:rPr>
          <w:rFonts w:hint="eastAsia" w:ascii="宋体" w:hAnsi="宋体"/>
          <w:bCs/>
          <w:color w:val="000000" w:themeColor="text1"/>
          <w:sz w:val="24"/>
        </w:rPr>
        <w:t>资信</w:t>
      </w:r>
      <w:r>
        <w:rPr>
          <w:rFonts w:ascii="宋体" w:hAnsi="宋体"/>
          <w:bCs/>
          <w:color w:val="000000" w:themeColor="text1"/>
          <w:sz w:val="24"/>
        </w:rPr>
        <w:t>/</w:t>
      </w:r>
      <w:r>
        <w:rPr>
          <w:rFonts w:hint="eastAsia" w:ascii="宋体" w:hAnsi="宋体"/>
          <w:bCs/>
          <w:color w:val="000000" w:themeColor="text1"/>
          <w:sz w:val="24"/>
        </w:rPr>
        <w:t>商务文件</w:t>
      </w:r>
    </w:p>
    <w:p>
      <w:pPr>
        <w:snapToGrid w:val="0"/>
        <w:spacing w:beforeLines="50" w:after="50"/>
        <w:rPr>
          <w:rFonts w:ascii="宋体" w:hAnsi="宋体"/>
          <w:bCs/>
          <w:color w:val="000000" w:themeColor="text1"/>
          <w:sz w:val="24"/>
          <w:szCs w:val="20"/>
        </w:rPr>
      </w:pPr>
    </w:p>
    <w:p>
      <w:pPr>
        <w:snapToGrid w:val="0"/>
        <w:spacing w:beforeLines="50" w:after="50"/>
        <w:ind w:firstLine="1068" w:firstLineChars="445"/>
        <w:rPr>
          <w:rFonts w:ascii="宋体" w:hAnsi="宋体"/>
          <w:bCs/>
          <w:color w:val="000000" w:themeColor="text1"/>
          <w:sz w:val="24"/>
          <w:szCs w:val="20"/>
        </w:rPr>
      </w:pPr>
      <w:r>
        <w:rPr>
          <w:rFonts w:hint="eastAsia" w:ascii="宋体" w:hAnsi="宋体"/>
          <w:bCs/>
          <w:color w:val="000000" w:themeColor="text1"/>
          <w:sz w:val="24"/>
        </w:rPr>
        <w:t>项目名称：单位（货物</w:t>
      </w:r>
      <w:r>
        <w:rPr>
          <w:rFonts w:ascii="宋体" w:hAnsi="宋体"/>
          <w:bCs/>
          <w:color w:val="000000" w:themeColor="text1"/>
          <w:sz w:val="24"/>
        </w:rPr>
        <w:t>/</w:t>
      </w:r>
      <w:r>
        <w:rPr>
          <w:rFonts w:hint="eastAsia" w:ascii="宋体" w:hAnsi="宋体"/>
          <w:bCs/>
          <w:color w:val="000000" w:themeColor="text1"/>
          <w:sz w:val="24"/>
        </w:rPr>
        <w:t>服务）项目</w:t>
      </w:r>
    </w:p>
    <w:p>
      <w:pPr>
        <w:snapToGrid w:val="0"/>
        <w:spacing w:beforeLines="50" w:after="50"/>
        <w:ind w:firstLine="480" w:firstLineChars="200"/>
        <w:rPr>
          <w:rFonts w:ascii="宋体" w:hAnsi="宋体"/>
          <w:bCs/>
          <w:color w:val="000000" w:themeColor="text1"/>
          <w:sz w:val="24"/>
          <w:szCs w:val="20"/>
        </w:rPr>
      </w:pPr>
      <w:r>
        <w:rPr>
          <w:rFonts w:hint="eastAsia" w:ascii="宋体" w:hAnsi="宋体"/>
          <w:bCs/>
          <w:color w:val="000000" w:themeColor="text1"/>
          <w:sz w:val="24"/>
        </w:rPr>
        <w:t>项目编号：</w:t>
      </w:r>
    </w:p>
    <w:p>
      <w:pPr>
        <w:snapToGrid w:val="0"/>
        <w:spacing w:beforeLines="50" w:after="50"/>
        <w:ind w:firstLine="480" w:firstLineChars="200"/>
        <w:rPr>
          <w:rFonts w:ascii="宋体" w:hAnsi="宋体"/>
          <w:bCs/>
          <w:color w:val="000000" w:themeColor="text1"/>
          <w:sz w:val="24"/>
          <w:szCs w:val="20"/>
        </w:rPr>
      </w:pPr>
      <w:r>
        <w:rPr>
          <w:rFonts w:hint="eastAsia" w:ascii="宋体" w:hAnsi="宋体"/>
          <w:bCs/>
          <w:color w:val="000000" w:themeColor="text1"/>
          <w:sz w:val="24"/>
        </w:rPr>
        <w:t>标项</w:t>
      </w:r>
      <w:r>
        <w:rPr>
          <w:rFonts w:ascii="宋体" w:hAnsi="宋体"/>
          <w:bCs/>
          <w:color w:val="000000" w:themeColor="text1"/>
          <w:sz w:val="24"/>
        </w:rPr>
        <w:t>:</w:t>
      </w:r>
    </w:p>
    <w:p>
      <w:pPr>
        <w:pStyle w:val="15"/>
        <w:snapToGrid w:val="0"/>
        <w:spacing w:before="50" w:after="50"/>
        <w:ind w:firstLine="998" w:firstLineChars="416"/>
        <w:rPr>
          <w:rFonts w:ascii="宋体" w:hAnsi="宋体"/>
          <w:bCs/>
          <w:color w:val="000000" w:themeColor="text1"/>
          <w:sz w:val="24"/>
          <w:szCs w:val="24"/>
        </w:rPr>
      </w:pPr>
      <w:r>
        <w:rPr>
          <w:rFonts w:hint="eastAsia" w:ascii="宋体" w:hAnsi="宋体"/>
          <w:bCs/>
          <w:color w:val="000000" w:themeColor="text1"/>
          <w:sz w:val="24"/>
          <w:szCs w:val="24"/>
        </w:rPr>
        <w:t>投标人名称：</w:t>
      </w:r>
    </w:p>
    <w:p>
      <w:pPr>
        <w:pStyle w:val="15"/>
        <w:snapToGrid w:val="0"/>
        <w:spacing w:before="50" w:after="50"/>
        <w:ind w:firstLine="998" w:firstLineChars="416"/>
        <w:rPr>
          <w:rFonts w:ascii="宋体" w:hAnsi="宋体"/>
          <w:bCs/>
          <w:color w:val="000000" w:themeColor="text1"/>
          <w:sz w:val="24"/>
          <w:szCs w:val="24"/>
        </w:rPr>
      </w:pPr>
      <w:r>
        <w:rPr>
          <w:rFonts w:hint="eastAsia" w:ascii="宋体" w:hAnsi="宋体"/>
          <w:bCs/>
          <w:color w:val="000000" w:themeColor="text1"/>
          <w:sz w:val="24"/>
          <w:szCs w:val="24"/>
        </w:rPr>
        <w:t>投标人地址：</w:t>
      </w:r>
    </w:p>
    <w:p>
      <w:pPr>
        <w:pStyle w:val="15"/>
        <w:snapToGrid w:val="0"/>
        <w:spacing w:before="50" w:after="50"/>
        <w:ind w:firstLine="960" w:firstLineChars="400"/>
        <w:rPr>
          <w:rFonts w:ascii="宋体" w:hAnsi="宋体"/>
          <w:bCs/>
          <w:color w:val="000000" w:themeColor="text1"/>
          <w:sz w:val="24"/>
          <w:szCs w:val="24"/>
        </w:rPr>
      </w:pPr>
    </w:p>
    <w:p>
      <w:pPr>
        <w:pStyle w:val="15"/>
        <w:snapToGrid w:val="0"/>
        <w:spacing w:before="50" w:after="50"/>
        <w:ind w:firstLine="1497" w:firstLineChars="416"/>
        <w:rPr>
          <w:rFonts w:ascii="宋体" w:hAnsi="宋体"/>
          <w:color w:val="000000" w:themeColor="text1"/>
          <w:sz w:val="36"/>
        </w:rPr>
      </w:pPr>
    </w:p>
    <w:p>
      <w:pPr>
        <w:snapToGrid w:val="0"/>
        <w:spacing w:beforeLines="50" w:after="50"/>
        <w:ind w:firstLine="4080" w:firstLineChars="1700"/>
        <w:rPr>
          <w:rFonts w:ascii="宋体" w:hAnsi="宋体"/>
          <w:color w:val="000000" w:themeColor="text1"/>
          <w:sz w:val="24"/>
          <w:szCs w:val="20"/>
        </w:rPr>
      </w:pPr>
    </w:p>
    <w:p>
      <w:pPr>
        <w:snapToGrid w:val="0"/>
        <w:spacing w:beforeLines="50" w:after="50"/>
        <w:ind w:firstLine="645"/>
        <w:jc w:val="center"/>
        <w:rPr>
          <w:rFonts w:ascii="宋体" w:hAnsi="宋体"/>
          <w:color w:val="000000" w:themeColor="text1"/>
          <w:sz w:val="24"/>
          <w:szCs w:val="20"/>
        </w:rPr>
      </w:pPr>
      <w:r>
        <w:rPr>
          <w:rFonts w:hint="eastAsia" w:ascii="宋体" w:hAnsi="宋体"/>
          <w:color w:val="000000" w:themeColor="text1"/>
          <w:sz w:val="24"/>
        </w:rPr>
        <w:t>年月日</w:t>
      </w:r>
    </w:p>
    <w:p>
      <w:pPr>
        <w:snapToGrid w:val="0"/>
        <w:spacing w:beforeLines="50" w:after="50"/>
        <w:rPr>
          <w:rFonts w:ascii="宋体" w:hAnsi="宋体"/>
          <w:color w:val="000000" w:themeColor="text1"/>
          <w:sz w:val="24"/>
          <w:szCs w:val="20"/>
        </w:rPr>
      </w:pPr>
    </w:p>
    <w:p>
      <w:pPr>
        <w:snapToGrid w:val="0"/>
        <w:spacing w:beforeLines="50" w:after="50"/>
        <w:rPr>
          <w:rFonts w:ascii="宋体" w:hAnsi="宋体"/>
          <w:color w:val="000000" w:themeColor="text1"/>
          <w:sz w:val="24"/>
          <w:szCs w:val="20"/>
        </w:rPr>
      </w:pPr>
    </w:p>
    <w:p>
      <w:pPr>
        <w:snapToGrid w:val="0"/>
        <w:spacing w:before="50" w:after="50"/>
        <w:rPr>
          <w:rFonts w:ascii="宋体" w:hAnsi="宋体"/>
          <w:color w:val="000000" w:themeColor="text1"/>
          <w:sz w:val="32"/>
          <w:szCs w:val="20"/>
        </w:rPr>
      </w:pPr>
    </w:p>
    <w:p>
      <w:pPr>
        <w:pStyle w:val="25"/>
        <w:snapToGrid w:val="0"/>
        <w:spacing w:before="120" w:after="120" w:line="240" w:lineRule="auto"/>
        <w:rPr>
          <w:rFonts w:hAnsi="宋体"/>
          <w:color w:val="000000" w:themeColor="text1"/>
        </w:rPr>
      </w:pPr>
    </w:p>
    <w:p>
      <w:pPr>
        <w:snapToGrid w:val="0"/>
        <w:spacing w:before="50" w:after="50"/>
        <w:rPr>
          <w:rFonts w:ascii="宋体" w:hAnsi="宋体"/>
          <w:color w:val="000000" w:themeColor="text1"/>
          <w:sz w:val="24"/>
          <w:szCs w:val="20"/>
        </w:rPr>
      </w:pPr>
      <w:r>
        <w:rPr>
          <w:rFonts w:ascii="宋体" w:hAnsi="宋体"/>
          <w:color w:val="000000" w:themeColor="text1"/>
        </w:rPr>
        <w:br w:type="page"/>
      </w:r>
      <w:r>
        <w:rPr>
          <w:rFonts w:ascii="宋体" w:hAnsi="宋体"/>
          <w:color w:val="000000" w:themeColor="text1"/>
          <w:sz w:val="24"/>
        </w:rPr>
        <w:t>4</w:t>
      </w:r>
      <w:r>
        <w:rPr>
          <w:rFonts w:hint="eastAsia" w:ascii="宋体" w:hAnsi="宋体"/>
          <w:color w:val="000000" w:themeColor="text1"/>
          <w:sz w:val="24"/>
        </w:rPr>
        <w:t>.</w:t>
      </w:r>
      <w:r>
        <w:rPr>
          <w:rFonts w:hint="eastAsia" w:ascii="宋体" w:hAnsi="宋体"/>
          <w:b/>
          <w:bCs/>
          <w:color w:val="000000" w:themeColor="text1"/>
          <w:sz w:val="24"/>
        </w:rPr>
        <w:t>资信</w:t>
      </w:r>
      <w:r>
        <w:rPr>
          <w:rFonts w:ascii="宋体" w:hAnsi="宋体"/>
          <w:b/>
          <w:bCs/>
          <w:color w:val="000000" w:themeColor="text1"/>
          <w:sz w:val="24"/>
        </w:rPr>
        <w:t>/</w:t>
      </w:r>
      <w:r>
        <w:rPr>
          <w:rFonts w:hint="eastAsia" w:ascii="宋体" w:hAnsi="宋体"/>
          <w:b/>
          <w:bCs/>
          <w:color w:val="000000" w:themeColor="text1"/>
          <w:sz w:val="24"/>
        </w:rPr>
        <w:t>商务文件目录</w:t>
      </w:r>
    </w:p>
    <w:p>
      <w:pPr>
        <w:snapToGrid w:val="0"/>
        <w:spacing w:before="50" w:afterLines="50"/>
        <w:jc w:val="left"/>
        <w:rPr>
          <w:rFonts w:ascii="宋体" w:hAnsi="宋体"/>
          <w:color w:val="000000" w:themeColor="text1"/>
          <w:sz w:val="24"/>
        </w:rPr>
      </w:pPr>
    </w:p>
    <w:p>
      <w:pPr>
        <w:snapToGrid w:val="0"/>
        <w:spacing w:before="50" w:afterLines="50"/>
        <w:jc w:val="left"/>
        <w:rPr>
          <w:rFonts w:ascii="宋体" w:hAnsi="宋体"/>
          <w:color w:val="000000" w:themeColor="text1"/>
          <w:sz w:val="24"/>
          <w:szCs w:val="20"/>
        </w:rPr>
      </w:pPr>
      <w:r>
        <w:rPr>
          <w:rFonts w:hint="eastAsia" w:ascii="宋体" w:hAnsi="宋体"/>
          <w:color w:val="000000" w:themeColor="text1"/>
          <w:sz w:val="24"/>
        </w:rPr>
        <w:t>（1）投标声明书————————（页码）</w:t>
      </w:r>
    </w:p>
    <w:p>
      <w:pPr>
        <w:snapToGrid w:val="0"/>
        <w:spacing w:before="50" w:afterLines="50"/>
        <w:jc w:val="left"/>
        <w:rPr>
          <w:rFonts w:ascii="宋体" w:hAnsi="宋体"/>
          <w:color w:val="000000" w:themeColor="text1"/>
          <w:sz w:val="24"/>
          <w:szCs w:val="20"/>
        </w:rPr>
      </w:pPr>
      <w:r>
        <w:rPr>
          <w:rFonts w:hint="eastAsia" w:ascii="宋体" w:hAnsi="宋体"/>
          <w:color w:val="000000" w:themeColor="text1"/>
          <w:sz w:val="24"/>
        </w:rPr>
        <w:t>（2）法定代表人授权委托书————————</w:t>
      </w:r>
    </w:p>
    <w:p>
      <w:pPr>
        <w:snapToGrid w:val="0"/>
        <w:spacing w:before="50" w:afterLines="50"/>
        <w:jc w:val="left"/>
        <w:rPr>
          <w:rFonts w:ascii="宋体" w:hAnsi="宋体"/>
          <w:color w:val="000000" w:themeColor="text1"/>
          <w:sz w:val="24"/>
          <w:szCs w:val="20"/>
        </w:rPr>
      </w:pPr>
      <w:r>
        <w:rPr>
          <w:rFonts w:hint="eastAsia" w:ascii="宋体" w:hAnsi="宋体"/>
          <w:color w:val="000000" w:themeColor="text1"/>
          <w:sz w:val="24"/>
        </w:rPr>
        <w:t>（3）最近一个季度依法缴纳税收和社保费的证明（税费凭证复印件）或者《依法纳税或依法免税证明》</w:t>
      </w:r>
    </w:p>
    <w:p>
      <w:pPr>
        <w:snapToGrid w:val="0"/>
        <w:spacing w:before="50" w:afterLines="50"/>
        <w:jc w:val="left"/>
        <w:rPr>
          <w:rFonts w:ascii="宋体" w:hAnsi="宋体"/>
          <w:color w:val="000000" w:themeColor="text1"/>
          <w:sz w:val="24"/>
          <w:szCs w:val="20"/>
        </w:rPr>
      </w:pPr>
      <w:r>
        <w:rPr>
          <w:rFonts w:hint="eastAsia" w:ascii="宋体" w:hAnsi="宋体"/>
          <w:color w:val="000000" w:themeColor="text1"/>
          <w:sz w:val="24"/>
        </w:rPr>
        <w:t>（4）年检后的营业执照副本复印件————————</w:t>
      </w:r>
    </w:p>
    <w:p>
      <w:pPr>
        <w:snapToGrid w:val="0"/>
        <w:spacing w:before="50" w:afterLines="50"/>
        <w:jc w:val="left"/>
        <w:rPr>
          <w:rFonts w:ascii="宋体" w:hAnsi="宋体"/>
          <w:color w:val="000000" w:themeColor="text1"/>
          <w:sz w:val="24"/>
        </w:rPr>
      </w:pPr>
      <w:r>
        <w:rPr>
          <w:rFonts w:hint="eastAsia" w:ascii="宋体" w:hAnsi="宋体"/>
          <w:color w:val="000000" w:themeColor="text1"/>
          <w:sz w:val="24"/>
        </w:rPr>
        <w:t>（5）年检后的税务登记证副本复印件————————</w:t>
      </w:r>
    </w:p>
    <w:p>
      <w:pPr>
        <w:snapToGrid w:val="0"/>
        <w:spacing w:before="50" w:afterLines="50"/>
        <w:jc w:val="left"/>
        <w:rPr>
          <w:rFonts w:ascii="宋体" w:hAnsi="宋体"/>
          <w:color w:val="000000" w:themeColor="text1"/>
          <w:sz w:val="24"/>
          <w:szCs w:val="20"/>
        </w:rPr>
      </w:pPr>
      <w:r>
        <w:rPr>
          <w:rFonts w:hint="eastAsia" w:ascii="宋体" w:hAnsi="宋体"/>
          <w:color w:val="000000" w:themeColor="text1"/>
          <w:sz w:val="24"/>
        </w:rPr>
        <w:t>（6）产品销售许可证（如有</w:t>
      </w:r>
      <w:r>
        <w:rPr>
          <w:rFonts w:ascii="宋体" w:hAnsi="宋体"/>
          <w:color w:val="000000" w:themeColor="text1"/>
          <w:sz w:val="24"/>
        </w:rPr>
        <w:t>）</w:t>
      </w:r>
      <w:r>
        <w:rPr>
          <w:rFonts w:hint="eastAsia" w:ascii="宋体" w:hAnsi="宋体"/>
          <w:color w:val="000000" w:themeColor="text1"/>
          <w:sz w:val="24"/>
        </w:rPr>
        <w:t>————————</w:t>
      </w:r>
    </w:p>
    <w:p>
      <w:pPr>
        <w:snapToGrid w:val="0"/>
        <w:spacing w:before="50" w:afterLines="50"/>
        <w:jc w:val="left"/>
        <w:rPr>
          <w:rFonts w:ascii="宋体" w:hAnsi="宋体"/>
          <w:color w:val="000000" w:themeColor="text1"/>
          <w:sz w:val="24"/>
          <w:szCs w:val="20"/>
        </w:rPr>
      </w:pPr>
      <w:r>
        <w:rPr>
          <w:rFonts w:hint="eastAsia" w:ascii="宋体" w:hAnsi="宋体"/>
          <w:color w:val="000000" w:themeColor="text1"/>
          <w:sz w:val="24"/>
        </w:rPr>
        <w:t>（7）安全生产许可证或者产品代理资格证明文件————————</w:t>
      </w:r>
    </w:p>
    <w:p>
      <w:pPr>
        <w:snapToGrid w:val="0"/>
        <w:spacing w:before="50" w:afterLines="50"/>
        <w:jc w:val="left"/>
        <w:rPr>
          <w:rFonts w:ascii="宋体" w:hAnsi="宋体"/>
          <w:color w:val="000000" w:themeColor="text1"/>
          <w:sz w:val="24"/>
        </w:rPr>
      </w:pPr>
      <w:r>
        <w:rPr>
          <w:rFonts w:hint="eastAsia" w:ascii="宋体" w:hAnsi="宋体"/>
          <w:color w:val="000000" w:themeColor="text1"/>
          <w:sz w:val="24"/>
        </w:rPr>
        <w:t>（8）类似成功案例的业绩证明（投标人同类项目实施情况一览表、合同复印件、用户验收报告、用户评价意见）————————</w:t>
      </w:r>
    </w:p>
    <w:p>
      <w:pPr>
        <w:snapToGrid w:val="0"/>
        <w:spacing w:before="50" w:afterLines="50"/>
        <w:jc w:val="left"/>
        <w:rPr>
          <w:rFonts w:ascii="宋体" w:hAnsi="宋体"/>
          <w:color w:val="000000" w:themeColor="text1"/>
          <w:sz w:val="24"/>
        </w:rPr>
      </w:pPr>
      <w:r>
        <w:rPr>
          <w:rFonts w:hint="eastAsia" w:ascii="宋体" w:hAnsi="宋体"/>
          <w:color w:val="000000" w:themeColor="text1"/>
          <w:sz w:val="24"/>
        </w:rPr>
        <w:t>（9）招标文件列明的影响投标人资格的其他证明文件：</w:t>
      </w:r>
    </w:p>
    <w:p>
      <w:pPr>
        <w:snapToGrid w:val="0"/>
        <w:spacing w:before="50" w:afterLines="50"/>
        <w:ind w:firstLine="480" w:firstLineChars="200"/>
        <w:jc w:val="left"/>
        <w:rPr>
          <w:rFonts w:ascii="宋体" w:hAnsi="宋体"/>
          <w:color w:val="000000" w:themeColor="text1"/>
          <w:sz w:val="24"/>
        </w:rPr>
      </w:pPr>
      <w:r>
        <w:rPr>
          <w:rFonts w:hint="eastAsia" w:ascii="宋体" w:hAnsi="宋体"/>
          <w:color w:val="000000" w:themeColor="text1"/>
          <w:sz w:val="24"/>
        </w:rPr>
        <w:t>之一：主要设备材料的原厂商对本项目的售后服务承诺—————</w:t>
      </w:r>
    </w:p>
    <w:p>
      <w:pPr>
        <w:snapToGrid w:val="0"/>
        <w:spacing w:before="50" w:afterLines="50"/>
        <w:ind w:firstLine="480" w:firstLineChars="200"/>
        <w:jc w:val="left"/>
        <w:rPr>
          <w:rFonts w:ascii="宋体" w:hAnsi="宋体"/>
          <w:color w:val="000000" w:themeColor="text1"/>
          <w:sz w:val="24"/>
        </w:rPr>
      </w:pPr>
      <w:r>
        <w:rPr>
          <w:rFonts w:hint="eastAsia" w:ascii="宋体" w:hAnsi="宋体"/>
          <w:color w:val="000000" w:themeColor="text1"/>
          <w:sz w:val="24"/>
        </w:rPr>
        <w:t>之二：本地化服务能力证明（距采购人最近的服务网点情况表）———</w:t>
      </w:r>
    </w:p>
    <w:p>
      <w:pPr>
        <w:snapToGrid w:val="0"/>
        <w:spacing w:before="50" w:afterLines="50"/>
        <w:ind w:firstLine="480" w:firstLineChars="200"/>
        <w:jc w:val="left"/>
        <w:rPr>
          <w:rFonts w:ascii="宋体" w:hAnsi="宋体"/>
          <w:color w:val="000000" w:themeColor="text1"/>
          <w:sz w:val="24"/>
          <w:szCs w:val="20"/>
        </w:rPr>
      </w:pPr>
      <w:r>
        <w:rPr>
          <w:rFonts w:hint="eastAsia" w:ascii="宋体" w:hAnsi="宋体"/>
          <w:color w:val="000000" w:themeColor="text1"/>
          <w:sz w:val="24"/>
        </w:rPr>
        <w:t>其他：——————————</w:t>
      </w:r>
    </w:p>
    <w:p>
      <w:pPr>
        <w:snapToGrid w:val="0"/>
        <w:spacing w:before="50" w:afterLines="50"/>
        <w:jc w:val="left"/>
        <w:rPr>
          <w:rFonts w:ascii="宋体" w:hAnsi="宋体"/>
          <w:color w:val="000000" w:themeColor="text1"/>
          <w:sz w:val="24"/>
          <w:szCs w:val="20"/>
        </w:rPr>
      </w:pPr>
      <w:r>
        <w:rPr>
          <w:rFonts w:hint="eastAsia" w:ascii="宋体" w:hAnsi="宋体"/>
          <w:color w:val="000000" w:themeColor="text1"/>
          <w:sz w:val="24"/>
        </w:rPr>
        <w:t>（10）自主创新、节能环保等方面的资质证书或文件————————</w:t>
      </w:r>
    </w:p>
    <w:p>
      <w:pPr>
        <w:snapToGrid w:val="0"/>
        <w:spacing w:before="50" w:afterLines="50"/>
        <w:jc w:val="left"/>
        <w:rPr>
          <w:rFonts w:ascii="宋体" w:hAnsi="宋体"/>
          <w:color w:val="000000" w:themeColor="text1"/>
          <w:sz w:val="24"/>
          <w:szCs w:val="20"/>
        </w:rPr>
      </w:pPr>
      <w:r>
        <w:rPr>
          <w:rFonts w:hint="eastAsia" w:ascii="宋体" w:hAnsi="宋体"/>
          <w:color w:val="000000" w:themeColor="text1"/>
          <w:sz w:val="24"/>
        </w:rPr>
        <w:t>（11）自主品牌投标人的信誉、荣誉证书或文件————————</w:t>
      </w:r>
    </w:p>
    <w:p>
      <w:pPr>
        <w:snapToGrid w:val="0"/>
        <w:spacing w:before="50" w:afterLines="50"/>
        <w:jc w:val="left"/>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1</w:t>
      </w:r>
      <w:r>
        <w:rPr>
          <w:rFonts w:hint="eastAsia" w:ascii="宋体" w:hAnsi="宋体"/>
          <w:color w:val="000000" w:themeColor="text1"/>
          <w:sz w:val="24"/>
        </w:rPr>
        <w:t>2）投标人质量管理和质量保证体系等方面的认证证书————————</w:t>
      </w:r>
    </w:p>
    <w:p>
      <w:pPr>
        <w:snapToGrid w:val="0"/>
        <w:spacing w:before="50" w:afterLines="50"/>
        <w:jc w:val="left"/>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1</w:t>
      </w:r>
      <w:r>
        <w:rPr>
          <w:rFonts w:hint="eastAsia" w:ascii="宋体" w:hAnsi="宋体"/>
          <w:color w:val="000000" w:themeColor="text1"/>
          <w:sz w:val="24"/>
        </w:rPr>
        <w:t>3）投标人认为可以证明其能力或业绩的其他材料————————</w:t>
      </w:r>
    </w:p>
    <w:p>
      <w:pPr>
        <w:snapToGrid w:val="0"/>
        <w:spacing w:before="50" w:afterLines="50"/>
        <w:jc w:val="left"/>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1</w:t>
      </w:r>
      <w:r>
        <w:rPr>
          <w:rFonts w:hint="eastAsia" w:ascii="宋体" w:hAnsi="宋体"/>
          <w:color w:val="000000" w:themeColor="text1"/>
          <w:sz w:val="24"/>
        </w:rPr>
        <w:t>4）投标人情况介绍————————</w:t>
      </w:r>
    </w:p>
    <w:p>
      <w:pPr>
        <w:snapToGrid w:val="0"/>
        <w:spacing w:before="50" w:afterLines="50"/>
        <w:jc w:val="left"/>
        <w:rPr>
          <w:rFonts w:ascii="宋体" w:hAnsi="宋体"/>
          <w:color w:val="000000" w:themeColor="text1"/>
          <w:sz w:val="24"/>
          <w:szCs w:val="20"/>
        </w:rPr>
      </w:pPr>
      <w:r>
        <w:rPr>
          <w:rFonts w:hint="eastAsia" w:ascii="宋体" w:hAnsi="宋体"/>
          <w:color w:val="000000" w:themeColor="text1"/>
          <w:sz w:val="24"/>
        </w:rPr>
        <w:t>（15）商务响应表————————</w:t>
      </w:r>
    </w:p>
    <w:p>
      <w:pPr>
        <w:snapToGrid w:val="0"/>
        <w:spacing w:before="50" w:afterLines="50"/>
        <w:jc w:val="left"/>
        <w:rPr>
          <w:rFonts w:ascii="宋体" w:hAnsi="宋体"/>
          <w:color w:val="000000" w:themeColor="text1"/>
          <w:sz w:val="32"/>
          <w:szCs w:val="20"/>
        </w:rPr>
      </w:pPr>
    </w:p>
    <w:p>
      <w:pPr>
        <w:pStyle w:val="25"/>
        <w:snapToGrid w:val="0"/>
        <w:spacing w:before="120" w:after="120" w:line="240" w:lineRule="auto"/>
        <w:rPr>
          <w:rFonts w:hAnsi="宋体"/>
          <w:color w:val="000000" w:themeColor="text1"/>
        </w:rPr>
      </w:pPr>
    </w:p>
    <w:p>
      <w:pPr>
        <w:snapToGrid w:val="0"/>
        <w:spacing w:before="50" w:afterLines="50"/>
        <w:jc w:val="left"/>
        <w:rPr>
          <w:rFonts w:ascii="宋体" w:hAnsi="宋体"/>
          <w:color w:val="000000" w:themeColor="text1"/>
        </w:rPr>
      </w:pPr>
      <w:r>
        <w:rPr>
          <w:rFonts w:ascii="宋体" w:hAnsi="宋体"/>
          <w:color w:val="000000" w:themeColor="text1"/>
        </w:rPr>
        <w:br w:type="page"/>
      </w:r>
    </w:p>
    <w:p>
      <w:pPr>
        <w:snapToGrid w:val="0"/>
        <w:spacing w:before="50" w:afterLines="50"/>
        <w:jc w:val="left"/>
        <w:rPr>
          <w:rFonts w:ascii="宋体" w:hAnsi="宋体"/>
          <w:color w:val="000000" w:themeColor="text1"/>
        </w:rPr>
      </w:pPr>
    </w:p>
    <w:p>
      <w:pPr>
        <w:snapToGrid w:val="0"/>
        <w:spacing w:before="50" w:afterLines="50"/>
        <w:jc w:val="left"/>
        <w:rPr>
          <w:rFonts w:ascii="宋体" w:hAnsi="宋体"/>
          <w:color w:val="000000" w:themeColor="text1"/>
          <w:sz w:val="24"/>
          <w:szCs w:val="20"/>
        </w:rPr>
      </w:pPr>
      <w:r>
        <w:rPr>
          <w:rFonts w:hint="eastAsia" w:ascii="宋体" w:hAnsi="宋体"/>
          <w:color w:val="000000" w:themeColor="text1"/>
          <w:sz w:val="24"/>
        </w:rPr>
        <w:t>5.投标声明书格式：</w:t>
      </w:r>
    </w:p>
    <w:p>
      <w:pPr>
        <w:snapToGrid w:val="0"/>
        <w:spacing w:beforeLines="50" w:after="50"/>
        <w:jc w:val="center"/>
        <w:rPr>
          <w:rFonts w:ascii="宋体" w:hAnsi="宋体"/>
          <w:color w:val="000000" w:themeColor="text1"/>
          <w:sz w:val="24"/>
          <w:szCs w:val="20"/>
        </w:rPr>
      </w:pPr>
      <w:r>
        <w:rPr>
          <w:rFonts w:hint="eastAsia" w:ascii="宋体" w:hAnsi="宋体"/>
          <w:color w:val="000000" w:themeColor="text1"/>
          <w:sz w:val="30"/>
        </w:rPr>
        <w:t>投标声明书</w:t>
      </w:r>
    </w:p>
    <w:p>
      <w:pPr>
        <w:snapToGrid w:val="0"/>
        <w:spacing w:beforeLines="50" w:after="50"/>
        <w:rPr>
          <w:rFonts w:ascii="宋体" w:hAnsi="宋体"/>
          <w:color w:val="000000" w:themeColor="text1"/>
          <w:sz w:val="24"/>
          <w:szCs w:val="20"/>
        </w:rPr>
      </w:pPr>
      <w:r>
        <w:rPr>
          <w:rFonts w:hint="eastAsia" w:ascii="宋体" w:hAnsi="宋体"/>
          <w:color w:val="000000" w:themeColor="text1"/>
          <w:sz w:val="24"/>
        </w:rPr>
        <w:t>致：</w:t>
      </w:r>
      <w:r>
        <w:rPr>
          <w:rFonts w:ascii="宋体" w:hAnsi="宋体"/>
          <w:color w:val="000000" w:themeColor="text1"/>
          <w:sz w:val="24"/>
        </w:rPr>
        <w:t>______</w:t>
      </w:r>
      <w:r>
        <w:rPr>
          <w:rFonts w:ascii="宋体" w:hAnsi="宋体"/>
          <w:color w:val="000000" w:themeColor="text1"/>
          <w:sz w:val="24"/>
          <w:u w:val="single"/>
        </w:rPr>
        <w:t>_     _</w:t>
      </w:r>
      <w:r>
        <w:rPr>
          <w:rFonts w:ascii="宋体" w:hAnsi="宋体"/>
          <w:color w:val="000000" w:themeColor="text1"/>
          <w:sz w:val="24"/>
        </w:rPr>
        <w:t>_</w:t>
      </w:r>
      <w:r>
        <w:rPr>
          <w:rFonts w:hint="eastAsia" w:ascii="宋体" w:hAnsi="宋体"/>
          <w:color w:val="000000" w:themeColor="text1"/>
          <w:sz w:val="24"/>
        </w:rPr>
        <w:t>（招标采购单位名称）：</w:t>
      </w:r>
    </w:p>
    <w:p>
      <w:pPr>
        <w:snapToGrid w:val="0"/>
        <w:spacing w:beforeLines="50" w:after="50"/>
        <w:ind w:firstLine="720" w:firstLineChars="300"/>
        <w:rPr>
          <w:rFonts w:ascii="宋体" w:hAnsi="宋体"/>
          <w:color w:val="000000" w:themeColor="text1"/>
          <w:sz w:val="24"/>
          <w:szCs w:val="20"/>
        </w:rPr>
      </w:pPr>
      <w:r>
        <w:rPr>
          <w:rFonts w:ascii="宋体" w:hAnsi="宋体"/>
          <w:color w:val="000000" w:themeColor="text1"/>
          <w:sz w:val="24"/>
        </w:rPr>
        <w:t>______</w:t>
      </w:r>
      <w:r>
        <w:rPr>
          <w:rFonts w:ascii="宋体" w:hAnsi="宋体"/>
          <w:color w:val="000000" w:themeColor="text1"/>
          <w:sz w:val="24"/>
          <w:u w:val="single"/>
        </w:rPr>
        <w:t>_     _</w:t>
      </w:r>
      <w:r>
        <w:rPr>
          <w:rFonts w:ascii="宋体" w:hAnsi="宋体"/>
          <w:color w:val="000000" w:themeColor="text1"/>
          <w:sz w:val="24"/>
        </w:rPr>
        <w:t>_</w:t>
      </w:r>
      <w:r>
        <w:rPr>
          <w:rFonts w:hint="eastAsia" w:ascii="宋体" w:hAnsi="宋体"/>
          <w:color w:val="000000" w:themeColor="text1"/>
          <w:sz w:val="24"/>
        </w:rPr>
        <w:t>（投标人名称）系中华人民共和国合法企业，经营地址。</w:t>
      </w:r>
    </w:p>
    <w:p>
      <w:pPr>
        <w:snapToGrid w:val="0"/>
        <w:spacing w:beforeLines="50" w:after="50"/>
        <w:ind w:firstLine="645"/>
        <w:rPr>
          <w:rFonts w:ascii="宋体" w:hAnsi="宋体"/>
          <w:color w:val="000000" w:themeColor="text1"/>
          <w:sz w:val="24"/>
          <w:szCs w:val="20"/>
        </w:rPr>
      </w:pPr>
      <w:r>
        <w:rPr>
          <w:rFonts w:hint="eastAsia" w:ascii="宋体" w:hAnsi="宋体"/>
          <w:color w:val="000000" w:themeColor="text1"/>
          <w:sz w:val="24"/>
        </w:rPr>
        <w:t>我</w:t>
      </w:r>
      <w:r>
        <w:rPr>
          <w:rFonts w:ascii="宋体" w:hAnsi="宋体"/>
          <w:color w:val="000000" w:themeColor="text1"/>
          <w:sz w:val="24"/>
        </w:rPr>
        <w:t>___</w:t>
      </w:r>
      <w:r>
        <w:rPr>
          <w:rFonts w:ascii="宋体" w:hAnsi="宋体"/>
          <w:color w:val="000000" w:themeColor="text1"/>
          <w:sz w:val="24"/>
          <w:u w:val="single"/>
        </w:rPr>
        <w:t xml:space="preserve">    _</w:t>
      </w:r>
      <w:r>
        <w:rPr>
          <w:rFonts w:ascii="宋体" w:hAnsi="宋体"/>
          <w:color w:val="000000" w:themeColor="text1"/>
          <w:sz w:val="24"/>
        </w:rPr>
        <w:t>_</w:t>
      </w:r>
      <w:r>
        <w:rPr>
          <w:rFonts w:hint="eastAsia" w:ascii="宋体" w:hAnsi="宋体"/>
          <w:color w:val="000000" w:themeColor="text1"/>
          <w:sz w:val="24"/>
        </w:rPr>
        <w:t>（姓名）系</w:t>
      </w:r>
      <w:r>
        <w:rPr>
          <w:rFonts w:ascii="宋体" w:hAnsi="宋体"/>
          <w:color w:val="000000" w:themeColor="text1"/>
          <w:sz w:val="24"/>
        </w:rPr>
        <w:t>______</w:t>
      </w:r>
      <w:r>
        <w:rPr>
          <w:rFonts w:ascii="宋体" w:hAnsi="宋体"/>
          <w:color w:val="000000" w:themeColor="text1"/>
          <w:sz w:val="24"/>
          <w:u w:val="single"/>
        </w:rPr>
        <w:t>_     _</w:t>
      </w:r>
      <w:r>
        <w:rPr>
          <w:rFonts w:ascii="宋体" w:hAnsi="宋体"/>
          <w:color w:val="000000" w:themeColor="text1"/>
          <w:sz w:val="24"/>
        </w:rPr>
        <w:t>_</w:t>
      </w:r>
      <w:r>
        <w:rPr>
          <w:rFonts w:hint="eastAsia" w:ascii="宋体" w:hAnsi="宋体"/>
          <w:color w:val="000000" w:themeColor="text1"/>
          <w:sz w:val="24"/>
        </w:rPr>
        <w:t>（投标人名称）的法定代表人，我方愿意参加贵方组织的</w:t>
      </w:r>
      <w:r>
        <w:rPr>
          <w:rFonts w:ascii="宋体" w:hAnsi="宋体"/>
          <w:color w:val="000000" w:themeColor="text1"/>
          <w:sz w:val="24"/>
        </w:rPr>
        <w:t>_____</w:t>
      </w:r>
      <w:r>
        <w:rPr>
          <w:rFonts w:ascii="宋体" w:hAnsi="宋体"/>
          <w:color w:val="000000" w:themeColor="text1"/>
          <w:sz w:val="24"/>
          <w:u w:val="single"/>
        </w:rPr>
        <w:t>_              _     _</w:t>
      </w:r>
      <w:r>
        <w:rPr>
          <w:rFonts w:ascii="宋体" w:hAnsi="宋体"/>
          <w:color w:val="000000" w:themeColor="text1"/>
          <w:sz w:val="24"/>
        </w:rPr>
        <w:t>_</w:t>
      </w:r>
      <w:r>
        <w:rPr>
          <w:rFonts w:hint="eastAsia" w:ascii="宋体" w:hAnsi="宋体"/>
          <w:color w:val="000000" w:themeColor="text1"/>
          <w:sz w:val="24"/>
        </w:rPr>
        <w:t>项目的投标，为便于贵方公正、择优地确定中标人及其投标产品和服务，我方就本次投标有关事项郑重声明如下：</w:t>
      </w:r>
    </w:p>
    <w:p>
      <w:pPr>
        <w:snapToGrid w:val="0"/>
        <w:ind w:firstLine="480" w:firstLineChars="200"/>
        <w:rPr>
          <w:rFonts w:ascii="宋体" w:hAnsi="宋体"/>
          <w:color w:val="000000" w:themeColor="text1"/>
          <w:sz w:val="24"/>
          <w:szCs w:val="20"/>
        </w:rPr>
      </w:pPr>
      <w:r>
        <w:rPr>
          <w:rFonts w:ascii="宋体" w:hAnsi="宋体"/>
          <w:color w:val="000000" w:themeColor="text1"/>
          <w:sz w:val="24"/>
        </w:rPr>
        <w:t>1</w:t>
      </w:r>
      <w:r>
        <w:rPr>
          <w:rFonts w:hint="eastAsia" w:ascii="宋体" w:hAnsi="宋体"/>
          <w:color w:val="000000" w:themeColor="text1"/>
          <w:sz w:val="24"/>
        </w:rPr>
        <w:t>.</w:t>
      </w:r>
      <w:r>
        <w:rPr>
          <w:rFonts w:ascii="宋体" w:hAnsi="宋体"/>
          <w:color w:val="000000" w:themeColor="text1"/>
          <w:sz w:val="24"/>
        </w:rPr>
        <w:t>我方向贵方提交的所有投标文件、资料都是准确的和真实的</w:t>
      </w:r>
      <w:r>
        <w:rPr>
          <w:rFonts w:hint="eastAsia" w:ascii="宋体" w:hAnsi="宋体"/>
          <w:color w:val="000000" w:themeColor="text1"/>
          <w:sz w:val="24"/>
        </w:rPr>
        <w:t>。</w:t>
      </w:r>
    </w:p>
    <w:p>
      <w:pPr>
        <w:snapToGrid w:val="0"/>
        <w:spacing w:beforeLines="50"/>
        <w:ind w:firstLine="480" w:firstLineChars="200"/>
        <w:rPr>
          <w:rFonts w:ascii="宋体" w:hAnsi="宋体"/>
          <w:color w:val="000000" w:themeColor="text1"/>
          <w:sz w:val="24"/>
          <w:szCs w:val="20"/>
        </w:rPr>
      </w:pPr>
      <w:r>
        <w:rPr>
          <w:rFonts w:ascii="宋体" w:hAnsi="宋体"/>
          <w:color w:val="000000" w:themeColor="text1"/>
          <w:sz w:val="24"/>
        </w:rPr>
        <w:t>2</w:t>
      </w:r>
      <w:r>
        <w:rPr>
          <w:rFonts w:hint="eastAsia" w:ascii="宋体" w:hAnsi="宋体"/>
          <w:color w:val="000000" w:themeColor="text1"/>
          <w:sz w:val="24"/>
        </w:rPr>
        <w:t>.</w:t>
      </w:r>
      <w:r>
        <w:rPr>
          <w:rFonts w:ascii="宋体" w:hAnsi="宋体"/>
          <w:color w:val="000000" w:themeColor="text1"/>
          <w:sz w:val="24"/>
        </w:rPr>
        <w:t>我方不是采购人的附属机构；在获知本项目采购信息后，与采购人聘请的为此项目提供咨询服务的公司及其附属机构没有任何联系。</w:t>
      </w:r>
    </w:p>
    <w:p>
      <w:pPr>
        <w:snapToGrid w:val="0"/>
        <w:spacing w:beforeLines="50"/>
        <w:ind w:firstLine="480" w:firstLineChars="200"/>
        <w:rPr>
          <w:rFonts w:ascii="宋体" w:hAnsi="宋体"/>
          <w:color w:val="000000" w:themeColor="text1"/>
          <w:sz w:val="24"/>
          <w:szCs w:val="20"/>
        </w:rPr>
      </w:pPr>
      <w:r>
        <w:rPr>
          <w:rFonts w:ascii="宋体" w:hAnsi="宋体"/>
          <w:color w:val="000000" w:themeColor="text1"/>
          <w:sz w:val="24"/>
        </w:rPr>
        <w:t>3</w:t>
      </w:r>
      <w:r>
        <w:rPr>
          <w:rFonts w:hint="eastAsia" w:ascii="宋体" w:hAnsi="宋体"/>
          <w:color w:val="000000" w:themeColor="text1"/>
          <w:sz w:val="24"/>
        </w:rPr>
        <w:t>.</w:t>
      </w:r>
      <w:r>
        <w:rPr>
          <w:rFonts w:ascii="宋体" w:hAnsi="宋体"/>
          <w:color w:val="000000" w:themeColor="text1"/>
          <w:sz w:val="24"/>
        </w:rPr>
        <w:t>我方此次向贵方提供的产品名称为：</w:t>
      </w:r>
      <w:r>
        <w:rPr>
          <w:rFonts w:hint="eastAsia" w:ascii="宋体" w:hAnsi="宋体"/>
          <w:color w:val="000000" w:themeColor="text1"/>
          <w:sz w:val="24"/>
        </w:rPr>
        <w:t>；规格型号：；该型号产品我方有现货可供，并已于年月生产完工或向</w:t>
      </w:r>
      <w:r>
        <w:rPr>
          <w:rFonts w:hint="eastAsia" w:ascii="宋体" w:hAnsi="宋体"/>
          <w:color w:val="000000" w:themeColor="text1"/>
          <w:sz w:val="24"/>
          <w:u w:val="single"/>
        </w:rPr>
        <w:t>　　</w:t>
      </w:r>
      <w:r>
        <w:rPr>
          <w:rFonts w:hint="eastAsia" w:ascii="宋体" w:hAnsi="宋体"/>
          <w:color w:val="000000" w:themeColor="text1"/>
          <w:sz w:val="24"/>
        </w:rPr>
        <w:t>（原厂商名称）购进［</w:t>
      </w:r>
      <w:r>
        <w:rPr>
          <w:rFonts w:hint="eastAsia" w:ascii="宋体" w:hAnsi="宋体"/>
          <w:b/>
          <w:bCs/>
          <w:color w:val="000000" w:themeColor="text1"/>
          <w:sz w:val="24"/>
        </w:rPr>
        <w:t>或</w:t>
      </w:r>
      <w:r>
        <w:rPr>
          <w:rFonts w:hint="eastAsia" w:ascii="宋体" w:hAnsi="宋体"/>
          <w:color w:val="000000" w:themeColor="text1"/>
          <w:sz w:val="24"/>
        </w:rPr>
        <w:t>需在中标后向订购］。</w:t>
      </w:r>
    </w:p>
    <w:p>
      <w:pPr>
        <w:snapToGrid w:val="0"/>
        <w:spacing w:beforeLines="50"/>
        <w:ind w:firstLine="480" w:firstLineChars="200"/>
        <w:rPr>
          <w:rFonts w:ascii="宋体" w:hAnsi="宋体"/>
          <w:color w:val="000000" w:themeColor="text1"/>
          <w:sz w:val="24"/>
          <w:szCs w:val="20"/>
        </w:rPr>
      </w:pPr>
      <w:r>
        <w:rPr>
          <w:rFonts w:ascii="宋体" w:hAnsi="宋体"/>
          <w:color w:val="000000" w:themeColor="text1"/>
          <w:sz w:val="24"/>
        </w:rPr>
        <w:t>4</w:t>
      </w:r>
      <w:r>
        <w:rPr>
          <w:rFonts w:hint="eastAsia" w:ascii="宋体" w:hAnsi="宋体"/>
          <w:color w:val="000000" w:themeColor="text1"/>
          <w:sz w:val="24"/>
        </w:rPr>
        <w:t>.</w:t>
      </w:r>
      <w:r>
        <w:rPr>
          <w:rFonts w:ascii="宋体" w:hAnsi="宋体"/>
          <w:color w:val="000000" w:themeColor="text1"/>
          <w:sz w:val="24"/>
        </w:rPr>
        <w:t>我方诚意提请贵方关注：</w:t>
      </w:r>
      <w:r>
        <w:rPr>
          <w:rFonts w:hint="eastAsia" w:ascii="宋体" w:hAnsi="宋体"/>
          <w:color w:val="000000" w:themeColor="text1"/>
          <w:sz w:val="24"/>
        </w:rPr>
        <w:t>近期</w:t>
      </w:r>
      <w:r>
        <w:rPr>
          <w:rFonts w:ascii="宋体" w:hAnsi="宋体"/>
          <w:color w:val="000000" w:themeColor="text1"/>
          <w:sz w:val="24"/>
        </w:rPr>
        <w:t>有关该型号产品的</w:t>
      </w:r>
      <w:r>
        <w:rPr>
          <w:rFonts w:hint="eastAsia" w:ascii="宋体" w:hAnsi="宋体"/>
          <w:color w:val="000000" w:themeColor="text1"/>
          <w:sz w:val="24"/>
        </w:rPr>
        <w:t>生产、供货、售后服务以及性能等方面的重大决策和事项有：</w:t>
      </w:r>
    </w:p>
    <w:p>
      <w:pPr>
        <w:snapToGrid w:val="0"/>
        <w:spacing w:beforeLines="50"/>
        <w:ind w:firstLine="480" w:firstLineChars="200"/>
        <w:rPr>
          <w:rFonts w:ascii="宋体" w:hAnsi="宋体"/>
          <w:color w:val="000000" w:themeColor="text1"/>
          <w:sz w:val="24"/>
          <w:szCs w:val="20"/>
          <w:u w:val="single"/>
        </w:rPr>
      </w:pPr>
      <w:r>
        <w:rPr>
          <w:rFonts w:hint="eastAsia" w:ascii="宋体" w:hAnsi="宋体"/>
          <w:color w:val="000000" w:themeColor="text1"/>
          <w:sz w:val="24"/>
          <w:u w:val="single"/>
        </w:rPr>
        <w:t>　　　　　　　　　　　　　　　　　　　　　　　　　　　</w:t>
      </w:r>
    </w:p>
    <w:p>
      <w:pPr>
        <w:snapToGrid w:val="0"/>
        <w:spacing w:beforeLines="50"/>
        <w:ind w:firstLine="480" w:firstLineChars="200"/>
        <w:rPr>
          <w:rFonts w:ascii="宋体" w:hAnsi="宋体"/>
          <w:color w:val="000000" w:themeColor="text1"/>
          <w:sz w:val="24"/>
          <w:szCs w:val="20"/>
        </w:rPr>
      </w:pPr>
      <w:r>
        <w:rPr>
          <w:rFonts w:hint="eastAsia" w:ascii="宋体" w:hAnsi="宋体"/>
          <w:color w:val="000000" w:themeColor="text1"/>
          <w:sz w:val="24"/>
          <w:u w:val="single"/>
        </w:rPr>
        <w:t>　　　　　　　　　　　　　　　　　　　　　　　　　　　</w:t>
      </w:r>
    </w:p>
    <w:p>
      <w:pPr>
        <w:pStyle w:val="20"/>
        <w:snapToGrid w:val="0"/>
        <w:spacing w:line="240" w:lineRule="auto"/>
        <w:ind w:firstLine="464" w:firstLineChars="200"/>
        <w:rPr>
          <w:rFonts w:hAnsi="宋体"/>
          <w:color w:val="000000" w:themeColor="text1"/>
          <w:sz w:val="24"/>
        </w:rPr>
      </w:pPr>
      <w:r>
        <w:rPr>
          <w:rFonts w:hAnsi="宋体"/>
          <w:color w:val="000000" w:themeColor="text1"/>
          <w:sz w:val="24"/>
        </w:rPr>
        <w:t>5</w:t>
      </w:r>
      <w:r>
        <w:rPr>
          <w:rFonts w:hint="eastAsia" w:hAnsi="宋体"/>
          <w:color w:val="000000" w:themeColor="text1"/>
          <w:sz w:val="24"/>
        </w:rPr>
        <w:t>.我方及由本人担任法定代表人的其他机构</w:t>
      </w:r>
      <w:r>
        <w:rPr>
          <w:rFonts w:hAnsi="宋体"/>
          <w:color w:val="000000" w:themeColor="text1"/>
          <w:sz w:val="24"/>
        </w:rPr>
        <w:t>最近三年内被</w:t>
      </w:r>
      <w:r>
        <w:rPr>
          <w:rFonts w:hint="eastAsia" w:hAnsi="宋体"/>
          <w:color w:val="000000" w:themeColor="text1"/>
          <w:sz w:val="24"/>
        </w:rPr>
        <w:t>通报或者被处罚的</w:t>
      </w:r>
      <w:r>
        <w:rPr>
          <w:rFonts w:hAnsi="宋体"/>
          <w:color w:val="000000" w:themeColor="text1"/>
          <w:sz w:val="24"/>
        </w:rPr>
        <w:t>违法行为有：</w:t>
      </w:r>
    </w:p>
    <w:p>
      <w:pPr>
        <w:snapToGrid w:val="0"/>
        <w:spacing w:beforeLines="50"/>
        <w:ind w:firstLine="480" w:firstLineChars="200"/>
        <w:rPr>
          <w:rFonts w:ascii="宋体" w:hAnsi="宋体"/>
          <w:color w:val="000000" w:themeColor="text1"/>
          <w:sz w:val="24"/>
          <w:szCs w:val="20"/>
          <w:u w:val="single"/>
        </w:rPr>
      </w:pPr>
      <w:r>
        <w:rPr>
          <w:rFonts w:hint="eastAsia" w:ascii="宋体" w:hAnsi="宋体"/>
          <w:color w:val="000000" w:themeColor="text1"/>
          <w:sz w:val="24"/>
          <w:u w:val="single"/>
        </w:rPr>
        <w:t>　　　　　　　　　　　　　　　　　　　　　　　　　　　</w:t>
      </w:r>
    </w:p>
    <w:p>
      <w:pPr>
        <w:snapToGrid w:val="0"/>
        <w:spacing w:beforeLines="50"/>
        <w:ind w:firstLine="480" w:firstLineChars="200"/>
        <w:rPr>
          <w:rFonts w:ascii="宋体" w:hAnsi="宋体"/>
          <w:color w:val="000000" w:themeColor="text1"/>
          <w:sz w:val="24"/>
          <w:szCs w:val="20"/>
          <w:u w:val="single"/>
        </w:rPr>
      </w:pPr>
      <w:r>
        <w:rPr>
          <w:rFonts w:hint="eastAsia" w:ascii="宋体" w:hAnsi="宋体"/>
          <w:color w:val="000000" w:themeColor="text1"/>
          <w:sz w:val="24"/>
          <w:u w:val="single"/>
        </w:rPr>
        <w:t>　　　　　　　　　　　　　　　　　　　　　　　　　　　</w:t>
      </w:r>
    </w:p>
    <w:p>
      <w:pPr>
        <w:snapToGrid w:val="0"/>
        <w:ind w:firstLine="480" w:firstLineChars="200"/>
        <w:rPr>
          <w:rFonts w:ascii="宋体" w:hAnsi="宋体"/>
          <w:color w:val="000000" w:themeColor="text1"/>
          <w:sz w:val="24"/>
          <w:szCs w:val="20"/>
        </w:rPr>
      </w:pPr>
      <w:r>
        <w:rPr>
          <w:rFonts w:hint="eastAsia" w:ascii="宋体" w:hAnsi="宋体"/>
          <w:color w:val="000000" w:themeColor="text1"/>
          <w:sz w:val="24"/>
        </w:rPr>
        <w:t>6.以上事项如有虚假或隐瞒，我方愿意承担一切后果，并不再寻求任何旨在减轻或免除法律责任的辩解。</w:t>
      </w:r>
    </w:p>
    <w:p>
      <w:pPr>
        <w:pStyle w:val="22"/>
        <w:tabs>
          <w:tab w:val="left" w:pos="939"/>
        </w:tabs>
        <w:snapToGrid w:val="0"/>
        <w:ind w:left="773" w:leftChars="150" w:hanging="458" w:hangingChars="191"/>
        <w:rPr>
          <w:rFonts w:ascii="宋体" w:hAnsi="宋体"/>
          <w:color w:val="000000" w:themeColor="text1"/>
          <w:sz w:val="24"/>
        </w:rPr>
      </w:pPr>
    </w:p>
    <w:p>
      <w:pPr>
        <w:pStyle w:val="78"/>
        <w:snapToGrid w:val="0"/>
        <w:spacing w:beforeLines="50"/>
        <w:ind w:firstLine="200"/>
        <w:rPr>
          <w:rFonts w:ascii="宋体" w:hAnsi="宋体"/>
          <w:color w:val="000000" w:themeColor="text1"/>
        </w:rPr>
      </w:pPr>
    </w:p>
    <w:p>
      <w:pPr>
        <w:snapToGrid w:val="0"/>
        <w:spacing w:beforeLines="50"/>
        <w:ind w:firstLine="200"/>
        <w:rPr>
          <w:rFonts w:ascii="宋体" w:hAnsi="宋体"/>
          <w:color w:val="000000" w:themeColor="text1"/>
          <w:sz w:val="24"/>
          <w:szCs w:val="20"/>
          <w:u w:val="single"/>
        </w:rPr>
      </w:pPr>
      <w:r>
        <w:rPr>
          <w:rFonts w:hint="eastAsia" w:ascii="宋体" w:hAnsi="宋体"/>
          <w:color w:val="000000" w:themeColor="text1"/>
          <w:sz w:val="24"/>
        </w:rPr>
        <w:t>法定代表人签字：</w:t>
      </w:r>
    </w:p>
    <w:p>
      <w:pPr>
        <w:snapToGrid w:val="0"/>
        <w:spacing w:beforeLines="50" w:after="50"/>
        <w:ind w:firstLine="240" w:firstLineChars="100"/>
        <w:rPr>
          <w:rFonts w:ascii="宋体" w:hAnsi="宋体"/>
          <w:color w:val="000000" w:themeColor="text1"/>
          <w:sz w:val="24"/>
          <w:szCs w:val="20"/>
        </w:rPr>
      </w:pPr>
      <w:r>
        <w:rPr>
          <w:rFonts w:hint="eastAsia" w:ascii="宋体" w:hAnsi="宋体"/>
          <w:color w:val="000000" w:themeColor="text1"/>
          <w:sz w:val="24"/>
        </w:rPr>
        <w:t>投标人公章：</w:t>
      </w:r>
      <w:r>
        <w:rPr>
          <w:rFonts w:ascii="宋体" w:hAnsi="宋体"/>
          <w:color w:val="000000" w:themeColor="text1"/>
          <w:sz w:val="24"/>
        </w:rPr>
        <w:t xml:space="preserve">                      年    月    日</w:t>
      </w:r>
    </w:p>
    <w:p>
      <w:pPr>
        <w:snapToGrid w:val="0"/>
        <w:spacing w:beforeLines="50" w:after="50"/>
        <w:ind w:firstLine="4800" w:firstLineChars="2000"/>
        <w:rPr>
          <w:rFonts w:ascii="宋体" w:hAnsi="宋体"/>
          <w:color w:val="000000" w:themeColor="text1"/>
          <w:sz w:val="24"/>
          <w:szCs w:val="20"/>
        </w:rPr>
      </w:pPr>
    </w:p>
    <w:p>
      <w:pPr>
        <w:pStyle w:val="25"/>
        <w:snapToGrid w:val="0"/>
        <w:spacing w:before="120" w:after="120" w:line="240" w:lineRule="auto"/>
        <w:rPr>
          <w:rFonts w:hAnsi="宋体"/>
          <w:color w:val="000000" w:themeColor="text1"/>
        </w:rPr>
      </w:pPr>
    </w:p>
    <w:p>
      <w:pPr>
        <w:snapToGrid w:val="0"/>
        <w:spacing w:beforeLines="50" w:after="50"/>
        <w:ind w:firstLine="4200" w:firstLineChars="2000"/>
        <w:rPr>
          <w:rFonts w:ascii="宋体" w:hAnsi="宋体"/>
          <w:color w:val="000000" w:themeColor="text1"/>
          <w:sz w:val="24"/>
          <w:szCs w:val="20"/>
        </w:rPr>
      </w:pPr>
      <w:r>
        <w:rPr>
          <w:rFonts w:ascii="宋体" w:hAnsi="宋体"/>
          <w:color w:val="000000" w:themeColor="text1"/>
        </w:rPr>
        <w:br w:type="page"/>
      </w:r>
    </w:p>
    <w:p>
      <w:pPr>
        <w:snapToGrid w:val="0"/>
        <w:spacing w:before="50" w:afterLines="50"/>
        <w:jc w:val="left"/>
        <w:rPr>
          <w:rFonts w:ascii="宋体" w:hAnsi="宋体"/>
          <w:color w:val="000000" w:themeColor="text1"/>
          <w:sz w:val="24"/>
          <w:szCs w:val="20"/>
        </w:rPr>
      </w:pPr>
      <w:r>
        <w:rPr>
          <w:rFonts w:hint="eastAsia" w:ascii="宋体" w:hAnsi="宋体"/>
          <w:color w:val="000000" w:themeColor="text1"/>
          <w:sz w:val="24"/>
        </w:rPr>
        <w:t>6.法定代表人授权委托书格式：</w:t>
      </w:r>
    </w:p>
    <w:p>
      <w:pPr>
        <w:snapToGrid w:val="0"/>
        <w:spacing w:beforeLines="50" w:after="50"/>
        <w:jc w:val="center"/>
        <w:rPr>
          <w:rFonts w:ascii="宋体" w:hAnsi="宋体"/>
          <w:color w:val="000000" w:themeColor="text1"/>
          <w:sz w:val="30"/>
          <w:szCs w:val="20"/>
        </w:rPr>
      </w:pPr>
    </w:p>
    <w:p>
      <w:pPr>
        <w:snapToGrid w:val="0"/>
        <w:spacing w:beforeLines="50" w:after="50"/>
        <w:jc w:val="center"/>
        <w:rPr>
          <w:rFonts w:ascii="宋体" w:hAnsi="宋体"/>
          <w:b/>
          <w:color w:val="000000" w:themeColor="text1"/>
          <w:sz w:val="24"/>
          <w:szCs w:val="20"/>
        </w:rPr>
      </w:pPr>
      <w:r>
        <w:rPr>
          <w:rFonts w:hint="eastAsia" w:ascii="宋体" w:hAnsi="宋体"/>
          <w:b/>
          <w:color w:val="000000" w:themeColor="text1"/>
          <w:sz w:val="24"/>
        </w:rPr>
        <w:t>法定代表人授权委托书</w:t>
      </w:r>
    </w:p>
    <w:p>
      <w:pPr>
        <w:snapToGrid w:val="0"/>
        <w:spacing w:beforeLines="50" w:after="50"/>
        <w:rPr>
          <w:rFonts w:ascii="宋体" w:hAnsi="宋体"/>
          <w:b/>
          <w:bCs/>
          <w:color w:val="000000" w:themeColor="text1"/>
          <w:sz w:val="24"/>
          <w:szCs w:val="20"/>
        </w:rPr>
      </w:pPr>
      <w:r>
        <w:rPr>
          <w:rFonts w:hint="eastAsia" w:ascii="宋体" w:hAnsi="宋体"/>
          <w:bCs/>
          <w:color w:val="000000" w:themeColor="text1"/>
          <w:sz w:val="24"/>
        </w:rPr>
        <w:t>致：</w:t>
      </w:r>
      <w:r>
        <w:rPr>
          <w:rFonts w:ascii="宋体" w:hAnsi="宋体"/>
          <w:color w:val="000000" w:themeColor="text1"/>
          <w:sz w:val="24"/>
        </w:rPr>
        <w:t>______</w:t>
      </w:r>
      <w:r>
        <w:rPr>
          <w:rFonts w:ascii="宋体" w:hAnsi="宋体"/>
          <w:color w:val="000000" w:themeColor="text1"/>
          <w:sz w:val="24"/>
          <w:u w:val="single"/>
        </w:rPr>
        <w:t>_     _</w:t>
      </w:r>
      <w:r>
        <w:rPr>
          <w:rFonts w:ascii="宋体" w:hAnsi="宋体"/>
          <w:color w:val="000000" w:themeColor="text1"/>
          <w:sz w:val="24"/>
        </w:rPr>
        <w:t>_</w:t>
      </w:r>
      <w:r>
        <w:rPr>
          <w:rFonts w:hint="eastAsia" w:ascii="宋体" w:hAnsi="宋体"/>
          <w:color w:val="000000" w:themeColor="text1"/>
          <w:sz w:val="24"/>
        </w:rPr>
        <w:t>（招标采购单位名称）：</w:t>
      </w:r>
    </w:p>
    <w:p>
      <w:pPr>
        <w:snapToGrid w:val="0"/>
        <w:spacing w:beforeLines="50" w:after="50"/>
        <w:ind w:firstLine="720" w:firstLineChars="300"/>
        <w:rPr>
          <w:rFonts w:ascii="宋体" w:hAnsi="宋体"/>
          <w:color w:val="000000" w:themeColor="text1"/>
          <w:sz w:val="24"/>
          <w:u w:val="single"/>
        </w:rPr>
      </w:pPr>
      <w:r>
        <w:rPr>
          <w:rFonts w:hint="eastAsia" w:ascii="宋体" w:hAnsi="宋体"/>
          <w:color w:val="000000" w:themeColor="text1"/>
          <w:sz w:val="24"/>
        </w:rPr>
        <w:t>我</w:t>
      </w:r>
      <w:r>
        <w:rPr>
          <w:rFonts w:ascii="宋体" w:hAnsi="宋体"/>
          <w:color w:val="000000" w:themeColor="text1"/>
          <w:sz w:val="24"/>
        </w:rPr>
        <w:t>______</w:t>
      </w:r>
      <w:r>
        <w:rPr>
          <w:rFonts w:ascii="宋体" w:hAnsi="宋体"/>
          <w:color w:val="000000" w:themeColor="text1"/>
          <w:sz w:val="24"/>
          <w:u w:val="single"/>
        </w:rPr>
        <w:t>_     _</w:t>
      </w:r>
      <w:r>
        <w:rPr>
          <w:rFonts w:ascii="宋体" w:hAnsi="宋体"/>
          <w:color w:val="000000" w:themeColor="text1"/>
          <w:sz w:val="24"/>
        </w:rPr>
        <w:t>_</w:t>
      </w:r>
      <w:r>
        <w:rPr>
          <w:rFonts w:hint="eastAsia" w:ascii="宋体" w:hAnsi="宋体"/>
          <w:color w:val="000000" w:themeColor="text1"/>
          <w:sz w:val="24"/>
        </w:rPr>
        <w:t>（姓名）系</w:t>
      </w:r>
      <w:r>
        <w:rPr>
          <w:rFonts w:ascii="宋体" w:hAnsi="宋体"/>
          <w:color w:val="000000" w:themeColor="text1"/>
          <w:sz w:val="24"/>
        </w:rPr>
        <w:t>______</w:t>
      </w:r>
      <w:r>
        <w:rPr>
          <w:rFonts w:ascii="宋体" w:hAnsi="宋体"/>
          <w:color w:val="000000" w:themeColor="text1"/>
          <w:sz w:val="24"/>
          <w:u w:val="single"/>
        </w:rPr>
        <w:t>_     _</w:t>
      </w:r>
      <w:r>
        <w:rPr>
          <w:rFonts w:ascii="宋体" w:hAnsi="宋体"/>
          <w:color w:val="000000" w:themeColor="text1"/>
          <w:sz w:val="24"/>
        </w:rPr>
        <w:t>_</w:t>
      </w:r>
      <w:r>
        <w:rPr>
          <w:rFonts w:hint="eastAsia" w:ascii="宋体" w:hAnsi="宋体"/>
          <w:color w:val="000000" w:themeColor="text1"/>
          <w:sz w:val="24"/>
        </w:rPr>
        <w:t>（投标人名称）的法定代表人，现授权委托本单位在职职工（姓名）以我方的名义参加</w:t>
      </w:r>
    </w:p>
    <w:p>
      <w:pPr>
        <w:snapToGrid w:val="0"/>
        <w:spacing w:beforeLines="50" w:after="50"/>
        <w:rPr>
          <w:rFonts w:ascii="宋体" w:hAnsi="宋体"/>
          <w:color w:val="000000" w:themeColor="text1"/>
          <w:sz w:val="24"/>
          <w:szCs w:val="20"/>
        </w:rPr>
      </w:pPr>
      <w:r>
        <w:rPr>
          <w:rFonts w:hint="eastAsia" w:ascii="宋体" w:hAnsi="宋体"/>
          <w:color w:val="000000" w:themeColor="text1"/>
          <w:sz w:val="24"/>
          <w:u w:val="single"/>
        </w:rPr>
        <w:t xml:space="preserve">            （采购</w:t>
      </w:r>
      <w:r>
        <w:rPr>
          <w:rFonts w:ascii="宋体" w:hAnsi="宋体"/>
          <w:color w:val="000000" w:themeColor="text1"/>
          <w:sz w:val="24"/>
          <w:u w:val="single"/>
        </w:rPr>
        <w:t>单位）</w:t>
      </w:r>
      <w:r>
        <w:rPr>
          <w:rFonts w:hint="eastAsia" w:ascii="宋体" w:hAnsi="宋体"/>
          <w:color w:val="000000" w:themeColor="text1"/>
          <w:sz w:val="24"/>
          <w:u w:val="single"/>
        </w:rPr>
        <w:t>单位</w:t>
      </w:r>
      <w:r>
        <w:rPr>
          <w:rFonts w:ascii="宋体" w:hAnsi="宋体"/>
          <w:color w:val="000000" w:themeColor="text1"/>
          <w:sz w:val="24"/>
          <w:u w:val="single"/>
        </w:rPr>
        <w:t xml:space="preserve">          （项目名称）</w:t>
      </w:r>
      <w:r>
        <w:rPr>
          <w:rFonts w:hint="eastAsia" w:ascii="宋体" w:hAnsi="宋体"/>
          <w:color w:val="000000" w:themeColor="text1"/>
          <w:sz w:val="24"/>
        </w:rPr>
        <w:t>项目的投标活动，并代表我方全权办理针对上述项目的投标、开标、评标、签约等具体事务和签署相关文件。</w:t>
      </w:r>
    </w:p>
    <w:p>
      <w:pPr>
        <w:snapToGrid w:val="0"/>
        <w:spacing w:beforeLines="50" w:after="50"/>
        <w:rPr>
          <w:rFonts w:ascii="宋体" w:hAnsi="宋体"/>
          <w:color w:val="000000" w:themeColor="text1"/>
          <w:sz w:val="24"/>
          <w:szCs w:val="20"/>
        </w:rPr>
      </w:pPr>
      <w:r>
        <w:rPr>
          <w:rFonts w:hint="eastAsia" w:ascii="宋体" w:hAnsi="宋体"/>
          <w:color w:val="000000" w:themeColor="text1"/>
          <w:sz w:val="24"/>
        </w:rPr>
        <w:t>我方对被授权人的签名事项负全部责任。</w:t>
      </w:r>
    </w:p>
    <w:p>
      <w:pPr>
        <w:snapToGrid w:val="0"/>
        <w:spacing w:beforeLines="50" w:after="50"/>
        <w:ind w:firstLine="480"/>
        <w:rPr>
          <w:rFonts w:ascii="宋体" w:hAnsi="宋体"/>
          <w:color w:val="000000" w:themeColor="text1"/>
          <w:sz w:val="24"/>
          <w:szCs w:val="20"/>
        </w:rPr>
      </w:pPr>
      <w:r>
        <w:rPr>
          <w:rFonts w:hint="eastAsia" w:ascii="宋体" w:hAnsi="宋体"/>
          <w:color w:val="000000" w:themeColor="text1"/>
          <w:sz w:val="24"/>
          <w:u w:val="single"/>
        </w:rPr>
        <w:t>在撤销授权的书面通知以前，本授权书一直有效。</w:t>
      </w:r>
      <w:r>
        <w:rPr>
          <w:rFonts w:hint="eastAsia" w:ascii="宋体" w:hAnsi="宋体"/>
          <w:color w:val="000000" w:themeColor="text1"/>
          <w:sz w:val="24"/>
        </w:rPr>
        <w:t>被授权人在授权书有效期内签署的所有文件不因授权的撤销而失效。</w:t>
      </w:r>
    </w:p>
    <w:p>
      <w:pPr>
        <w:snapToGrid w:val="0"/>
        <w:spacing w:beforeLines="50" w:after="50"/>
        <w:ind w:firstLine="480"/>
        <w:rPr>
          <w:rFonts w:ascii="宋体" w:hAnsi="宋体"/>
          <w:color w:val="000000" w:themeColor="text1"/>
          <w:sz w:val="24"/>
          <w:szCs w:val="20"/>
        </w:rPr>
      </w:pPr>
      <w:r>
        <w:rPr>
          <w:rFonts w:hint="eastAsia" w:ascii="宋体" w:hAnsi="宋体"/>
          <w:color w:val="000000" w:themeColor="text1"/>
          <w:sz w:val="24"/>
        </w:rPr>
        <w:t>被授权人无转委托权，特此委托。</w:t>
      </w:r>
    </w:p>
    <w:p>
      <w:pPr>
        <w:snapToGrid w:val="0"/>
        <w:spacing w:beforeLines="50" w:after="50"/>
        <w:rPr>
          <w:rFonts w:ascii="宋体" w:hAnsi="宋体"/>
          <w:color w:val="000000" w:themeColor="text1"/>
          <w:sz w:val="24"/>
          <w:szCs w:val="20"/>
        </w:rPr>
      </w:pPr>
    </w:p>
    <w:p>
      <w:pPr>
        <w:snapToGrid w:val="0"/>
        <w:spacing w:beforeLines="50" w:after="50"/>
        <w:rPr>
          <w:rFonts w:ascii="宋体" w:hAnsi="宋体"/>
          <w:color w:val="000000" w:themeColor="text1"/>
          <w:sz w:val="24"/>
          <w:szCs w:val="20"/>
          <w:u w:val="single"/>
        </w:rPr>
      </w:pPr>
      <w:r>
        <w:rPr>
          <w:rFonts w:hint="eastAsia" w:ascii="宋体" w:hAnsi="宋体"/>
          <w:color w:val="000000" w:themeColor="text1"/>
          <w:sz w:val="24"/>
        </w:rPr>
        <w:t>被授权人签名：法定代表人签名：</w:t>
      </w:r>
    </w:p>
    <w:p>
      <w:pPr>
        <w:snapToGrid w:val="0"/>
        <w:spacing w:beforeLines="50" w:after="50"/>
        <w:ind w:firstLine="960" w:firstLineChars="400"/>
        <w:rPr>
          <w:rFonts w:ascii="宋体" w:hAnsi="宋体"/>
          <w:color w:val="000000" w:themeColor="text1"/>
          <w:sz w:val="24"/>
          <w:szCs w:val="20"/>
        </w:rPr>
      </w:pPr>
      <w:r>
        <w:rPr>
          <w:rFonts w:hint="eastAsia" w:ascii="宋体" w:hAnsi="宋体"/>
          <w:color w:val="000000" w:themeColor="text1"/>
          <w:sz w:val="24"/>
        </w:rPr>
        <w:t>职务：职务：</w:t>
      </w:r>
    </w:p>
    <w:p>
      <w:pPr>
        <w:snapToGrid w:val="0"/>
        <w:spacing w:beforeLines="50" w:after="50"/>
        <w:rPr>
          <w:rFonts w:ascii="宋体" w:hAnsi="宋体"/>
          <w:color w:val="000000" w:themeColor="text1"/>
          <w:sz w:val="24"/>
          <w:szCs w:val="20"/>
        </w:rPr>
      </w:pPr>
      <w:r>
        <w:rPr>
          <w:rFonts w:hint="eastAsia" w:ascii="宋体" w:hAnsi="宋体"/>
          <w:color w:val="000000" w:themeColor="text1"/>
          <w:sz w:val="24"/>
        </w:rPr>
        <w:t>被授权人身份证号码：</w:t>
      </w:r>
    </w:p>
    <w:p>
      <w:pPr>
        <w:snapToGrid w:val="0"/>
        <w:spacing w:beforeLines="50" w:after="50"/>
        <w:rPr>
          <w:rFonts w:ascii="宋体" w:hAnsi="宋体"/>
          <w:color w:val="000000" w:themeColor="text1"/>
          <w:sz w:val="24"/>
          <w:szCs w:val="20"/>
        </w:rPr>
      </w:pPr>
      <w:r>
        <w:rPr>
          <w:rFonts w:hint="eastAsia" w:ascii="宋体" w:hAnsi="宋体"/>
          <w:color w:val="000000" w:themeColor="text1"/>
          <w:sz w:val="24"/>
        </w:rPr>
        <w:t>投标人公章：</w:t>
      </w:r>
    </w:p>
    <w:p>
      <w:pPr>
        <w:snapToGrid w:val="0"/>
        <w:spacing w:beforeLines="50" w:after="50"/>
        <w:jc w:val="center"/>
        <w:rPr>
          <w:rFonts w:ascii="宋体" w:hAnsi="宋体"/>
          <w:color w:val="000000" w:themeColor="text1"/>
          <w:sz w:val="24"/>
          <w:szCs w:val="20"/>
        </w:rPr>
      </w:pPr>
      <w:r>
        <w:rPr>
          <w:rFonts w:hint="eastAsia" w:ascii="宋体" w:hAnsi="宋体"/>
          <w:color w:val="000000" w:themeColor="text1"/>
          <w:sz w:val="24"/>
        </w:rPr>
        <w:t>年月日</w:t>
      </w:r>
    </w:p>
    <w:p>
      <w:pPr>
        <w:snapToGrid w:val="0"/>
        <w:spacing w:beforeLines="50" w:after="50"/>
        <w:ind w:firstLine="3600" w:firstLineChars="1500"/>
        <w:rPr>
          <w:rFonts w:ascii="宋体" w:hAnsi="宋体"/>
          <w:color w:val="000000" w:themeColor="text1"/>
          <w:sz w:val="24"/>
          <w:szCs w:val="20"/>
        </w:rPr>
      </w:pPr>
    </w:p>
    <w:p>
      <w:pPr>
        <w:snapToGrid w:val="0"/>
        <w:spacing w:beforeLines="50" w:after="50"/>
        <w:rPr>
          <w:rFonts w:ascii="宋体" w:hAnsi="宋体"/>
          <w:color w:val="000000" w:themeColor="text1"/>
        </w:rPr>
      </w:pPr>
    </w:p>
    <w:p>
      <w:pPr>
        <w:snapToGrid w:val="0"/>
        <w:spacing w:beforeLines="50" w:after="50"/>
        <w:rPr>
          <w:rFonts w:ascii="宋体" w:hAnsi="宋体"/>
          <w:color w:val="000000" w:themeColor="text1"/>
          <w:sz w:val="24"/>
          <w:szCs w:val="20"/>
        </w:rPr>
      </w:pPr>
      <w:r>
        <w:rPr>
          <w:rFonts w:hint="eastAsia" w:ascii="宋体" w:hAnsi="宋体"/>
          <w:color w:val="000000" w:themeColor="text1"/>
          <w:sz w:val="24"/>
        </w:rPr>
        <w:t>7.投标人最近一个季度依法纳税的完税凭证（复印件，格式略），</w:t>
      </w:r>
      <w:r>
        <w:rPr>
          <w:rFonts w:hint="eastAsia" w:ascii="宋体" w:hAnsi="宋体"/>
          <w:color w:val="000000" w:themeColor="text1"/>
          <w:sz w:val="24"/>
          <w:szCs w:val="20"/>
        </w:rPr>
        <w:t>无纳税记录的，应提供由投标人所在地主管国税、地税部门出具的《依法纳税或依法免税证明》（格式自拟，复印件，原件备查），《依法纳税或依法免税证明》原件一年内均保持有效。</w:t>
      </w:r>
    </w:p>
    <w:p>
      <w:pPr>
        <w:snapToGrid w:val="0"/>
        <w:spacing w:beforeLines="50" w:after="50"/>
        <w:rPr>
          <w:rFonts w:ascii="宋体" w:hAnsi="宋体"/>
          <w:color w:val="000000" w:themeColor="text1"/>
        </w:rPr>
      </w:pPr>
    </w:p>
    <w:p>
      <w:pPr>
        <w:snapToGrid w:val="0"/>
        <w:spacing w:beforeLines="50" w:after="50"/>
        <w:rPr>
          <w:rFonts w:ascii="宋体" w:hAnsi="宋体"/>
          <w:color w:val="000000" w:themeColor="text1"/>
          <w:sz w:val="24"/>
          <w:szCs w:val="20"/>
        </w:rPr>
      </w:pPr>
      <w:r>
        <w:rPr>
          <w:rFonts w:hint="eastAsia" w:ascii="宋体" w:hAnsi="宋体"/>
          <w:color w:val="000000" w:themeColor="text1"/>
          <w:sz w:val="24"/>
        </w:rPr>
        <w:t>8.投标人最近一个季度依法缴纳社保费的凭证（复印件，格式略），</w:t>
      </w:r>
      <w:r>
        <w:rPr>
          <w:rFonts w:hint="eastAsia" w:ascii="宋体" w:hAnsi="宋体"/>
          <w:color w:val="000000" w:themeColor="text1"/>
          <w:sz w:val="24"/>
          <w:szCs w:val="20"/>
        </w:rPr>
        <w:t>无缴费记录的，应提供由投标人所在地社保部门出具的《依法缴纳或依法免缴社保费证明》（格式自拟，复印件，原件备查），《依法缴纳或依法免缴社保费证明》原件一年内均保持有效。</w:t>
      </w: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r>
        <w:rPr>
          <w:rFonts w:hint="eastAsia" w:ascii="宋体" w:hAnsi="宋体"/>
          <w:color w:val="000000" w:themeColor="text1"/>
          <w:sz w:val="24"/>
        </w:rPr>
        <w:t>9.营业执照复印件（副本，带有经年检合格的标志）</w:t>
      </w: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r>
        <w:rPr>
          <w:rFonts w:ascii="宋体" w:hAnsi="宋体"/>
          <w:color w:val="000000" w:themeColor="text1"/>
          <w:sz w:val="24"/>
        </w:rPr>
        <w:t>1</w:t>
      </w:r>
      <w:r>
        <w:rPr>
          <w:rFonts w:hint="eastAsia" w:ascii="宋体" w:hAnsi="宋体"/>
          <w:color w:val="000000" w:themeColor="text1"/>
          <w:sz w:val="24"/>
        </w:rPr>
        <w:t>0.税务登记证复印件（副本，带有经年检合格的标志）</w:t>
      </w: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r>
        <w:rPr>
          <w:rFonts w:ascii="宋体" w:hAnsi="宋体"/>
          <w:color w:val="000000" w:themeColor="text1"/>
          <w:sz w:val="24"/>
        </w:rPr>
        <w:t>1</w:t>
      </w:r>
      <w:r>
        <w:rPr>
          <w:rFonts w:hint="eastAsia" w:ascii="宋体" w:hAnsi="宋体"/>
          <w:color w:val="000000" w:themeColor="text1"/>
          <w:sz w:val="24"/>
        </w:rPr>
        <w:t>1.产品销售许可证复印件（如有</w:t>
      </w:r>
      <w:r>
        <w:rPr>
          <w:rFonts w:ascii="宋体" w:hAnsi="宋体"/>
          <w:color w:val="000000" w:themeColor="text1"/>
          <w:sz w:val="24"/>
        </w:rPr>
        <w:t>）</w:t>
      </w: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r>
        <w:rPr>
          <w:rFonts w:ascii="宋体" w:hAnsi="宋体"/>
          <w:color w:val="000000" w:themeColor="text1"/>
          <w:sz w:val="24"/>
        </w:rPr>
        <w:t>1</w:t>
      </w:r>
      <w:r>
        <w:rPr>
          <w:rFonts w:hint="eastAsia" w:ascii="宋体" w:hAnsi="宋体"/>
          <w:color w:val="000000" w:themeColor="text1"/>
          <w:sz w:val="24"/>
        </w:rPr>
        <w:t>2.安全生产许可证复印件、产品代理资格证明文件复印件（代理商投标必备）</w:t>
      </w: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rPr>
        <w:sectPr>
          <w:pgSz w:w="11906" w:h="16838"/>
          <w:pgMar w:top="1474" w:right="1797" w:bottom="1247" w:left="1797" w:header="851" w:footer="851" w:gutter="0"/>
          <w:cols w:space="720" w:num="1"/>
          <w:docGrid w:linePitch="312" w:charSpace="0"/>
        </w:sectPr>
      </w:pPr>
    </w:p>
    <w:p>
      <w:pPr>
        <w:snapToGrid w:val="0"/>
        <w:spacing w:before="50" w:afterLines="50"/>
        <w:jc w:val="left"/>
        <w:rPr>
          <w:rFonts w:ascii="宋体" w:hAnsi="宋体"/>
          <w:color w:val="000000" w:themeColor="text1"/>
          <w:sz w:val="24"/>
        </w:rPr>
      </w:pPr>
      <w:r>
        <w:rPr>
          <w:rFonts w:ascii="宋体" w:hAnsi="宋体"/>
          <w:color w:val="000000" w:themeColor="text1"/>
          <w:sz w:val="24"/>
        </w:rPr>
        <w:t>1</w:t>
      </w:r>
      <w:r>
        <w:rPr>
          <w:rFonts w:hint="eastAsia" w:ascii="宋体" w:hAnsi="宋体"/>
          <w:color w:val="000000" w:themeColor="text1"/>
          <w:sz w:val="24"/>
        </w:rPr>
        <w:t>3.投标人的类似成功案例的业绩证明文件：</w:t>
      </w:r>
    </w:p>
    <w:p>
      <w:pPr>
        <w:pStyle w:val="36"/>
        <w:snapToGrid w:val="0"/>
        <w:ind w:left="480" w:hanging="480"/>
        <w:rPr>
          <w:rFonts w:ascii="宋体" w:hAnsi="宋体"/>
          <w:color w:val="000000" w:themeColor="text1"/>
          <w:sz w:val="24"/>
        </w:rPr>
      </w:pPr>
      <w:r>
        <w:rPr>
          <w:rFonts w:ascii="宋体" w:hAnsi="宋体"/>
          <w:color w:val="000000" w:themeColor="text1"/>
          <w:sz w:val="24"/>
        </w:rPr>
        <w:t>投标人同类项目实施情况一览表格式：（投标人同类项目合同复印件、用户验收报告、用户评价意见格式自拟）</w:t>
      </w:r>
    </w:p>
    <w:tbl>
      <w:tblPr>
        <w:tblStyle w:val="53"/>
        <w:tblW w:w="1396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8"/>
        <w:gridCol w:w="3420"/>
        <w:gridCol w:w="1080"/>
        <w:gridCol w:w="1080"/>
        <w:gridCol w:w="1440"/>
        <w:gridCol w:w="720"/>
        <w:gridCol w:w="720"/>
        <w:gridCol w:w="720"/>
        <w:gridCol w:w="21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87" w:hRule="atLeast"/>
        </w:trPr>
        <w:tc>
          <w:tcPr>
            <w:tcW w:w="262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000000" w:themeColor="text1"/>
                <w:sz w:val="18"/>
                <w:szCs w:val="20"/>
              </w:rPr>
            </w:pPr>
            <w:r>
              <w:rPr>
                <w:rFonts w:hint="eastAsia" w:ascii="宋体" w:hAnsi="宋体"/>
                <w:color w:val="000000" w:themeColor="text1"/>
                <w:sz w:val="18"/>
              </w:rPr>
              <w:t>采购单位名称</w:t>
            </w:r>
          </w:p>
        </w:tc>
        <w:tc>
          <w:tcPr>
            <w:tcW w:w="342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000000" w:themeColor="text1"/>
                <w:sz w:val="18"/>
                <w:szCs w:val="20"/>
              </w:rPr>
            </w:pPr>
            <w:r>
              <w:rPr>
                <w:rFonts w:hint="eastAsia" w:ascii="宋体" w:hAnsi="宋体"/>
                <w:color w:val="000000" w:themeColor="text1"/>
                <w:sz w:val="18"/>
              </w:rPr>
              <w:t>设备或项目名称</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000000" w:themeColor="text1"/>
                <w:sz w:val="18"/>
                <w:szCs w:val="20"/>
              </w:rPr>
            </w:pPr>
            <w:r>
              <w:rPr>
                <w:rFonts w:hint="eastAsia" w:ascii="宋体" w:hAnsi="宋体"/>
                <w:color w:val="000000" w:themeColor="text1"/>
                <w:sz w:val="18"/>
              </w:rPr>
              <w:t>采购</w:t>
            </w:r>
          </w:p>
          <w:p>
            <w:pPr>
              <w:snapToGrid w:val="0"/>
              <w:spacing w:line="240" w:lineRule="exact"/>
              <w:jc w:val="center"/>
              <w:rPr>
                <w:rFonts w:ascii="宋体" w:hAnsi="宋体"/>
                <w:color w:val="000000" w:themeColor="text1"/>
                <w:sz w:val="18"/>
                <w:szCs w:val="20"/>
              </w:rPr>
            </w:pPr>
            <w:r>
              <w:rPr>
                <w:rFonts w:hint="eastAsia" w:ascii="宋体" w:hAnsi="宋体"/>
                <w:color w:val="000000" w:themeColor="text1"/>
                <w:sz w:val="18"/>
              </w:rPr>
              <w:t>数量</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000000" w:themeColor="text1"/>
                <w:sz w:val="18"/>
                <w:szCs w:val="20"/>
              </w:rPr>
            </w:pPr>
            <w:r>
              <w:rPr>
                <w:rFonts w:hint="eastAsia" w:ascii="宋体" w:hAnsi="宋体"/>
                <w:color w:val="000000" w:themeColor="text1"/>
                <w:sz w:val="18"/>
              </w:rPr>
              <w:t>单价</w:t>
            </w:r>
          </w:p>
        </w:tc>
        <w:tc>
          <w:tcPr>
            <w:tcW w:w="144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000000" w:themeColor="text1"/>
                <w:sz w:val="18"/>
                <w:szCs w:val="20"/>
              </w:rPr>
            </w:pPr>
            <w:r>
              <w:rPr>
                <w:rFonts w:hint="eastAsia" w:ascii="宋体" w:hAnsi="宋体"/>
                <w:color w:val="000000" w:themeColor="text1"/>
                <w:sz w:val="18"/>
              </w:rPr>
              <w:t>合同</w:t>
            </w:r>
          </w:p>
          <w:p>
            <w:pPr>
              <w:snapToGrid w:val="0"/>
              <w:spacing w:line="240" w:lineRule="exact"/>
              <w:jc w:val="center"/>
              <w:rPr>
                <w:rFonts w:ascii="宋体" w:hAnsi="宋体"/>
                <w:color w:val="000000" w:themeColor="text1"/>
                <w:sz w:val="18"/>
                <w:szCs w:val="20"/>
              </w:rPr>
            </w:pPr>
            <w:r>
              <w:rPr>
                <w:rFonts w:hint="eastAsia" w:ascii="宋体" w:hAnsi="宋体"/>
                <w:color w:val="000000" w:themeColor="text1"/>
                <w:sz w:val="18"/>
              </w:rPr>
              <w:t>金额</w:t>
            </w:r>
          </w:p>
          <w:p>
            <w:pPr>
              <w:snapToGrid w:val="0"/>
              <w:spacing w:line="240" w:lineRule="exact"/>
              <w:jc w:val="center"/>
              <w:rPr>
                <w:rFonts w:ascii="宋体" w:hAnsi="宋体"/>
                <w:color w:val="000000" w:themeColor="text1"/>
                <w:sz w:val="18"/>
                <w:szCs w:val="20"/>
              </w:rPr>
            </w:pPr>
            <w:r>
              <w:rPr>
                <w:rFonts w:hint="eastAsia" w:ascii="宋体" w:hAnsi="宋体"/>
                <w:color w:val="000000" w:themeColor="text1"/>
                <w:sz w:val="18"/>
              </w:rPr>
              <w:t>（万元）</w:t>
            </w:r>
          </w:p>
        </w:tc>
        <w:tc>
          <w:tcPr>
            <w:tcW w:w="2160" w:type="dxa"/>
            <w:gridSpan w:val="3"/>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000000" w:themeColor="text1"/>
                <w:sz w:val="18"/>
                <w:szCs w:val="20"/>
              </w:rPr>
            </w:pPr>
            <w:r>
              <w:rPr>
                <w:rFonts w:hint="eastAsia" w:ascii="宋体" w:hAnsi="宋体"/>
                <w:color w:val="000000" w:themeColor="text1"/>
                <w:sz w:val="18"/>
              </w:rPr>
              <w:t>附件页码</w:t>
            </w:r>
          </w:p>
        </w:tc>
        <w:tc>
          <w:tcPr>
            <w:tcW w:w="216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000000" w:themeColor="text1"/>
                <w:sz w:val="18"/>
                <w:szCs w:val="20"/>
              </w:rPr>
            </w:pPr>
            <w:r>
              <w:rPr>
                <w:rFonts w:hint="eastAsia" w:ascii="宋体" w:hAnsi="宋体"/>
                <w:color w:val="000000" w:themeColor="text1"/>
                <w:sz w:val="18"/>
              </w:rPr>
              <w:t>采购单位联系人及</w:t>
            </w:r>
          </w:p>
          <w:p>
            <w:pPr>
              <w:snapToGrid w:val="0"/>
              <w:spacing w:line="240" w:lineRule="exact"/>
              <w:jc w:val="center"/>
              <w:rPr>
                <w:rFonts w:ascii="宋体" w:hAnsi="宋体"/>
                <w:color w:val="000000" w:themeColor="text1"/>
                <w:sz w:val="18"/>
                <w:szCs w:val="20"/>
              </w:rPr>
            </w:pPr>
            <w:r>
              <w:rPr>
                <w:rFonts w:hint="eastAsia" w:ascii="宋体" w:hAnsi="宋体"/>
                <w:color w:val="000000" w:themeColor="text1"/>
                <w:sz w:val="18"/>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836" w:hRule="atLeast"/>
        </w:trPr>
        <w:tc>
          <w:tcPr>
            <w:tcW w:w="2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sz w:val="18"/>
              </w:rPr>
            </w:pPr>
          </w:p>
        </w:tc>
        <w:tc>
          <w:tcPr>
            <w:tcW w:w="34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sz w:val="18"/>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sz w:val="18"/>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sz w:val="18"/>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sz w:val="18"/>
              </w:rPr>
            </w:pPr>
          </w:p>
        </w:tc>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000000" w:themeColor="text1"/>
                <w:sz w:val="18"/>
                <w:szCs w:val="20"/>
              </w:rPr>
            </w:pPr>
            <w:r>
              <w:rPr>
                <w:rFonts w:hint="eastAsia" w:ascii="宋体" w:hAnsi="宋体"/>
                <w:color w:val="000000" w:themeColor="text1"/>
                <w:sz w:val="18"/>
              </w:rPr>
              <w:t>合同</w:t>
            </w:r>
          </w:p>
        </w:tc>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000000" w:themeColor="text1"/>
                <w:sz w:val="18"/>
                <w:szCs w:val="20"/>
              </w:rPr>
            </w:pPr>
            <w:r>
              <w:rPr>
                <w:rFonts w:hint="eastAsia" w:ascii="宋体" w:hAnsi="宋体"/>
                <w:color w:val="000000" w:themeColor="text1"/>
                <w:sz w:val="18"/>
              </w:rPr>
              <w:t>验收报告</w:t>
            </w:r>
          </w:p>
        </w:tc>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000000" w:themeColor="text1"/>
                <w:sz w:val="18"/>
                <w:szCs w:val="20"/>
              </w:rPr>
            </w:pPr>
            <w:r>
              <w:rPr>
                <w:rFonts w:hint="eastAsia" w:ascii="宋体" w:hAnsi="宋体"/>
                <w:color w:val="000000" w:themeColor="text1"/>
                <w:sz w:val="18"/>
              </w:rPr>
              <w:t>用户评价</w:t>
            </w:r>
          </w:p>
        </w:tc>
        <w:tc>
          <w:tcPr>
            <w:tcW w:w="21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sz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9" w:hRule="atLeast"/>
        </w:trPr>
        <w:tc>
          <w:tcPr>
            <w:tcW w:w="2628"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color w:val="000000" w:themeColor="text1"/>
                <w:sz w:val="18"/>
                <w:szCs w:val="20"/>
              </w:rPr>
            </w:pPr>
          </w:p>
        </w:tc>
        <w:tc>
          <w:tcPr>
            <w:tcW w:w="3420"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color w:val="000000" w:themeColor="text1"/>
                <w:sz w:val="18"/>
                <w:szCs w:val="20"/>
              </w:rPr>
            </w:pPr>
          </w:p>
        </w:tc>
        <w:tc>
          <w:tcPr>
            <w:tcW w:w="1080"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color w:val="000000" w:themeColor="text1"/>
                <w:sz w:val="18"/>
                <w:szCs w:val="20"/>
              </w:rPr>
            </w:pPr>
          </w:p>
        </w:tc>
        <w:tc>
          <w:tcPr>
            <w:tcW w:w="1080"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color w:val="000000" w:themeColor="text1"/>
                <w:sz w:val="18"/>
                <w:szCs w:val="20"/>
              </w:rPr>
            </w:pPr>
          </w:p>
        </w:tc>
        <w:tc>
          <w:tcPr>
            <w:tcW w:w="1440"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color w:val="000000" w:themeColor="text1"/>
                <w:sz w:val="18"/>
                <w:szCs w:val="20"/>
              </w:rPr>
            </w:pPr>
          </w:p>
        </w:tc>
        <w:tc>
          <w:tcPr>
            <w:tcW w:w="720"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color w:val="000000" w:themeColor="text1"/>
                <w:sz w:val="18"/>
                <w:szCs w:val="20"/>
              </w:rPr>
            </w:pPr>
          </w:p>
        </w:tc>
        <w:tc>
          <w:tcPr>
            <w:tcW w:w="720"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color w:val="000000" w:themeColor="text1"/>
                <w:sz w:val="18"/>
                <w:szCs w:val="20"/>
              </w:rPr>
            </w:pPr>
          </w:p>
        </w:tc>
        <w:tc>
          <w:tcPr>
            <w:tcW w:w="720"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color w:val="000000" w:themeColor="text1"/>
                <w:sz w:val="18"/>
                <w:szCs w:val="20"/>
              </w:rPr>
            </w:pPr>
          </w:p>
        </w:tc>
        <w:tc>
          <w:tcPr>
            <w:tcW w:w="2160"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color w:val="000000" w:themeColor="text1"/>
                <w:sz w:val="18"/>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c>
          <w:tcPr>
            <w:tcW w:w="216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10" w:hRule="atLeast"/>
        </w:trPr>
        <w:tc>
          <w:tcPr>
            <w:tcW w:w="2628"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c>
          <w:tcPr>
            <w:tcW w:w="216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c>
          <w:tcPr>
            <w:tcW w:w="216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c>
          <w:tcPr>
            <w:tcW w:w="216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r>
    </w:tbl>
    <w:p>
      <w:pPr>
        <w:pStyle w:val="16"/>
        <w:snapToGrid w:val="0"/>
        <w:rPr>
          <w:rFonts w:ascii="宋体" w:hAnsi="宋体" w:eastAsia="宋体"/>
          <w:color w:val="000000" w:themeColor="text1"/>
          <w:sz w:val="24"/>
        </w:rPr>
      </w:pPr>
    </w:p>
    <w:p>
      <w:pPr>
        <w:pStyle w:val="16"/>
        <w:snapToGrid w:val="0"/>
        <w:rPr>
          <w:rFonts w:ascii="宋体" w:hAnsi="宋体" w:eastAsia="宋体"/>
          <w:color w:val="000000" w:themeColor="text1"/>
          <w:sz w:val="24"/>
          <w:u w:val="single"/>
        </w:rPr>
      </w:pPr>
      <w:r>
        <w:rPr>
          <w:rFonts w:hint="eastAsia" w:ascii="宋体" w:hAnsi="宋体" w:eastAsia="宋体"/>
          <w:color w:val="000000" w:themeColor="text1"/>
          <w:sz w:val="24"/>
        </w:rPr>
        <w:t>法定代表人签字：</w:t>
      </w:r>
      <w:r>
        <w:rPr>
          <w:rFonts w:hint="eastAsia" w:ascii="宋体" w:hAnsi="宋体" w:eastAsia="宋体"/>
          <w:color w:val="000000" w:themeColor="text1"/>
          <w:sz w:val="24"/>
          <w:u w:val="single"/>
        </w:rPr>
        <w:t>　　　　　</w:t>
      </w:r>
    </w:p>
    <w:p>
      <w:pPr>
        <w:snapToGrid w:val="0"/>
        <w:spacing w:before="50"/>
        <w:ind w:firstLine="480" w:firstLineChars="200"/>
        <w:jc w:val="left"/>
        <w:rPr>
          <w:rFonts w:ascii="宋体" w:hAnsi="宋体"/>
          <w:color w:val="000000" w:themeColor="text1"/>
          <w:sz w:val="24"/>
          <w:szCs w:val="20"/>
        </w:rPr>
      </w:pPr>
      <w:r>
        <w:rPr>
          <w:rFonts w:hint="eastAsia" w:ascii="宋体" w:hAnsi="宋体"/>
          <w:color w:val="000000" w:themeColor="text1"/>
          <w:sz w:val="24"/>
        </w:rPr>
        <w:t>投标人公章：年月日</w:t>
      </w:r>
    </w:p>
    <w:p>
      <w:pPr>
        <w:snapToGrid w:val="0"/>
        <w:spacing w:before="50"/>
        <w:ind w:firstLine="480" w:firstLineChars="20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rPr>
        <w:sectPr>
          <w:pgSz w:w="16838" w:h="11906" w:orient="landscape"/>
          <w:pgMar w:top="1797" w:right="1474" w:bottom="1797" w:left="1247" w:header="851" w:footer="851" w:gutter="0"/>
          <w:cols w:space="720" w:num="1"/>
          <w:docGrid w:linePitch="312" w:charSpace="0"/>
        </w:sectPr>
      </w:pPr>
    </w:p>
    <w:p>
      <w:pPr>
        <w:snapToGrid w:val="0"/>
        <w:spacing w:before="50"/>
        <w:jc w:val="left"/>
        <w:rPr>
          <w:rFonts w:ascii="宋体" w:hAnsi="宋体"/>
          <w:color w:val="000000" w:themeColor="text1"/>
          <w:sz w:val="24"/>
          <w:szCs w:val="20"/>
        </w:rPr>
      </w:pPr>
      <w:r>
        <w:rPr>
          <w:rFonts w:hint="eastAsia" w:ascii="宋体" w:hAnsi="宋体"/>
          <w:color w:val="000000" w:themeColor="text1"/>
          <w:sz w:val="24"/>
        </w:rPr>
        <w:t>14.主要设备材料的原厂商对本项目的授权书格式：</w:t>
      </w:r>
    </w:p>
    <w:p>
      <w:pPr>
        <w:snapToGrid w:val="0"/>
        <w:spacing w:before="50"/>
        <w:jc w:val="left"/>
        <w:rPr>
          <w:rFonts w:ascii="宋体" w:hAnsi="宋体"/>
          <w:color w:val="000000" w:themeColor="text1"/>
          <w:sz w:val="24"/>
          <w:szCs w:val="20"/>
        </w:rPr>
      </w:pPr>
    </w:p>
    <w:p>
      <w:pPr>
        <w:snapToGrid w:val="0"/>
        <w:spacing w:before="50"/>
        <w:jc w:val="center"/>
        <w:rPr>
          <w:rFonts w:ascii="宋体" w:hAnsi="宋体"/>
          <w:color w:val="000000" w:themeColor="text1"/>
          <w:sz w:val="24"/>
          <w:szCs w:val="20"/>
        </w:rPr>
      </w:pPr>
      <w:r>
        <w:rPr>
          <w:rFonts w:hint="eastAsia" w:ascii="宋体" w:hAnsi="宋体"/>
          <w:color w:val="000000" w:themeColor="text1"/>
          <w:sz w:val="24"/>
        </w:rPr>
        <w:t>原厂商售后服务承诺书</w:t>
      </w:r>
    </w:p>
    <w:p>
      <w:pPr>
        <w:snapToGrid w:val="0"/>
        <w:spacing w:before="50"/>
        <w:jc w:val="center"/>
        <w:rPr>
          <w:rFonts w:ascii="宋体" w:hAnsi="宋体"/>
          <w:color w:val="000000" w:themeColor="text1"/>
          <w:sz w:val="24"/>
          <w:szCs w:val="20"/>
        </w:rPr>
      </w:pPr>
    </w:p>
    <w:p>
      <w:pPr>
        <w:snapToGrid w:val="0"/>
        <w:spacing w:before="50"/>
        <w:rPr>
          <w:rFonts w:ascii="宋体" w:hAnsi="宋体"/>
          <w:color w:val="000000" w:themeColor="text1"/>
          <w:sz w:val="24"/>
          <w:szCs w:val="20"/>
        </w:rPr>
      </w:pPr>
      <w:r>
        <w:rPr>
          <w:rFonts w:hint="eastAsia" w:ascii="宋体" w:hAnsi="宋体"/>
          <w:color w:val="000000" w:themeColor="text1"/>
          <w:sz w:val="24"/>
        </w:rPr>
        <w:t>致：（招标采购单位名称）：</w:t>
      </w:r>
    </w:p>
    <w:p>
      <w:pPr>
        <w:snapToGrid w:val="0"/>
        <w:spacing w:before="50"/>
        <w:ind w:firstLine="480"/>
        <w:jc w:val="left"/>
        <w:rPr>
          <w:rFonts w:ascii="宋体" w:hAnsi="宋体"/>
          <w:color w:val="000000" w:themeColor="text1"/>
          <w:sz w:val="24"/>
          <w:szCs w:val="20"/>
        </w:rPr>
      </w:pPr>
      <w:r>
        <w:rPr>
          <w:rFonts w:hint="eastAsia" w:ascii="宋体" w:hAnsi="宋体"/>
          <w:color w:val="000000" w:themeColor="text1"/>
          <w:sz w:val="24"/>
        </w:rPr>
        <w:t>我们（制造商或者进口机电产品的国内总代理商名称）是按（国家名称）法律成立的一家公司，主要营业地址设</w:t>
      </w:r>
    </w:p>
    <w:p>
      <w:pPr>
        <w:snapToGrid w:val="0"/>
        <w:spacing w:before="50"/>
        <w:jc w:val="left"/>
        <w:rPr>
          <w:rFonts w:ascii="宋体" w:hAnsi="宋体"/>
          <w:color w:val="000000" w:themeColor="text1"/>
          <w:sz w:val="24"/>
          <w:szCs w:val="20"/>
        </w:rPr>
      </w:pPr>
      <w:r>
        <w:rPr>
          <w:rFonts w:hint="eastAsia" w:ascii="宋体" w:hAnsi="宋体"/>
          <w:color w:val="000000" w:themeColor="text1"/>
          <w:sz w:val="24"/>
        </w:rPr>
        <w:t>在。兹指派按（国家名称）法律成立的、主要营业地址在的（投标人名称）作为我方真正的和合法的代理人进行下列有效活动：</w:t>
      </w:r>
    </w:p>
    <w:p>
      <w:pPr>
        <w:snapToGrid w:val="0"/>
        <w:spacing w:before="50"/>
        <w:ind w:firstLine="480"/>
        <w:jc w:val="left"/>
        <w:rPr>
          <w:rFonts w:ascii="宋体" w:hAnsi="宋体"/>
          <w:color w:val="000000" w:themeColor="text1"/>
          <w:sz w:val="24"/>
          <w:szCs w:val="20"/>
        </w:rPr>
      </w:pPr>
      <w:r>
        <w:rPr>
          <w:rFonts w:ascii="宋体" w:hAnsi="宋体"/>
          <w:color w:val="000000" w:themeColor="text1"/>
          <w:sz w:val="24"/>
        </w:rPr>
        <w:t>1</w:t>
      </w:r>
      <w:r>
        <w:rPr>
          <w:rFonts w:hint="eastAsia" w:ascii="宋体" w:hAnsi="宋体"/>
          <w:color w:val="000000" w:themeColor="text1"/>
          <w:sz w:val="24"/>
        </w:rPr>
        <w:t>.</w:t>
      </w:r>
      <w:r>
        <w:rPr>
          <w:rFonts w:ascii="宋体" w:hAnsi="宋体"/>
          <w:color w:val="000000" w:themeColor="text1"/>
          <w:sz w:val="24"/>
        </w:rPr>
        <w:t>代</w:t>
      </w:r>
      <w:r>
        <w:rPr>
          <w:rFonts w:hint="eastAsia" w:ascii="宋体" w:hAnsi="宋体"/>
          <w:color w:val="000000" w:themeColor="text1"/>
          <w:sz w:val="24"/>
        </w:rPr>
        <w:t>表我方办理贵方关于项目（招标编号：）要求采购的由我方制造</w:t>
      </w:r>
      <w:r>
        <w:rPr>
          <w:rFonts w:ascii="宋体" w:hAnsi="宋体"/>
          <w:color w:val="000000" w:themeColor="text1"/>
          <w:sz w:val="24"/>
        </w:rPr>
        <w:t>/或进口的货物的有关事宜，并对我方具有约束力。</w:t>
      </w:r>
    </w:p>
    <w:p>
      <w:pPr>
        <w:pStyle w:val="19"/>
        <w:snapToGrid w:val="0"/>
        <w:spacing w:after="0"/>
        <w:ind w:firstLine="480" w:firstLineChars="200"/>
        <w:rPr>
          <w:rFonts w:ascii="宋体" w:hAnsi="宋体"/>
          <w:color w:val="000000" w:themeColor="text1"/>
          <w:sz w:val="24"/>
        </w:rPr>
      </w:pPr>
      <w:r>
        <w:rPr>
          <w:rFonts w:ascii="宋体" w:hAnsi="宋体"/>
          <w:color w:val="000000" w:themeColor="text1"/>
          <w:sz w:val="24"/>
        </w:rPr>
        <w:t>2</w:t>
      </w:r>
      <w:r>
        <w:rPr>
          <w:rFonts w:hint="eastAsia" w:ascii="宋体" w:hAnsi="宋体"/>
          <w:color w:val="000000" w:themeColor="text1"/>
          <w:sz w:val="24"/>
        </w:rPr>
        <w:t>.</w:t>
      </w:r>
      <w:r>
        <w:rPr>
          <w:rFonts w:ascii="宋体" w:hAnsi="宋体"/>
          <w:color w:val="000000" w:themeColor="text1"/>
          <w:sz w:val="24"/>
        </w:rPr>
        <w:t>作为原厂商，我方保证为本项目的组织实施、售后服务提供纯正的、专业化的技术支持</w:t>
      </w:r>
      <w:r>
        <w:rPr>
          <w:rFonts w:hint="eastAsia" w:ascii="宋体" w:hAnsi="宋体"/>
          <w:color w:val="000000" w:themeColor="text1"/>
          <w:sz w:val="24"/>
        </w:rPr>
        <w:t>。</w:t>
      </w:r>
    </w:p>
    <w:p>
      <w:pPr>
        <w:snapToGrid w:val="0"/>
        <w:spacing w:beforeLines="50"/>
        <w:ind w:firstLine="480" w:firstLineChars="200"/>
        <w:rPr>
          <w:rFonts w:ascii="宋体" w:hAnsi="宋体"/>
          <w:color w:val="000000" w:themeColor="text1"/>
          <w:sz w:val="24"/>
        </w:rPr>
      </w:pPr>
      <w:r>
        <w:rPr>
          <w:rFonts w:ascii="宋体" w:hAnsi="宋体"/>
          <w:color w:val="000000" w:themeColor="text1"/>
          <w:sz w:val="24"/>
        </w:rPr>
        <w:t>3</w:t>
      </w:r>
      <w:r>
        <w:rPr>
          <w:rFonts w:hint="eastAsia" w:ascii="宋体" w:hAnsi="宋体"/>
          <w:color w:val="000000" w:themeColor="text1"/>
          <w:sz w:val="24"/>
        </w:rPr>
        <w:t>.我方此次向贵方提供的产品名称为：；规格型号：；我方保证：该产品既非试验产品也非积压产品，而是于年达产的成熟产品，且生产（完工）日期不早于</w:t>
      </w:r>
    </w:p>
    <w:p>
      <w:pPr>
        <w:snapToGrid w:val="0"/>
        <w:spacing w:beforeLines="50"/>
        <w:rPr>
          <w:rFonts w:ascii="宋体" w:hAnsi="宋体"/>
          <w:color w:val="000000" w:themeColor="text1"/>
          <w:sz w:val="24"/>
          <w:szCs w:val="20"/>
        </w:rPr>
      </w:pPr>
      <w:r>
        <w:rPr>
          <w:rFonts w:hint="eastAsia" w:ascii="宋体" w:hAnsi="宋体"/>
          <w:color w:val="000000" w:themeColor="text1"/>
          <w:sz w:val="24"/>
        </w:rPr>
        <w:t>年月；在可以预见的（天）内，我方没有对该型号产品进行升级、停产、淘汰的计划。</w:t>
      </w:r>
    </w:p>
    <w:p>
      <w:pPr>
        <w:snapToGrid w:val="0"/>
        <w:spacing w:before="50"/>
        <w:ind w:firstLine="480"/>
        <w:jc w:val="left"/>
        <w:rPr>
          <w:rFonts w:ascii="宋体" w:hAnsi="宋体"/>
          <w:color w:val="000000" w:themeColor="text1"/>
          <w:sz w:val="24"/>
          <w:szCs w:val="20"/>
        </w:rPr>
      </w:pPr>
      <w:r>
        <w:rPr>
          <w:rFonts w:ascii="宋体" w:hAnsi="宋体"/>
          <w:color w:val="000000" w:themeColor="text1"/>
          <w:sz w:val="24"/>
        </w:rPr>
        <w:t>4</w:t>
      </w:r>
      <w:r>
        <w:rPr>
          <w:rFonts w:hint="eastAsia" w:ascii="宋体" w:hAnsi="宋体"/>
          <w:color w:val="000000" w:themeColor="text1"/>
          <w:sz w:val="24"/>
        </w:rPr>
        <w:t>.</w:t>
      </w:r>
      <w:r>
        <w:rPr>
          <w:rFonts w:ascii="宋体" w:hAnsi="宋体"/>
          <w:color w:val="000000" w:themeColor="text1"/>
          <w:sz w:val="24"/>
        </w:rPr>
        <w:t>我方该型号产品的市场销售情况良好，最近实施（完工）的同类项目有：</w:t>
      </w:r>
    </w:p>
    <w:tbl>
      <w:tblPr>
        <w:tblStyle w:val="53"/>
        <w:tblW w:w="856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48"/>
        <w:gridCol w:w="900"/>
        <w:gridCol w:w="720"/>
        <w:gridCol w:w="1440"/>
        <w:gridCol w:w="1260"/>
        <w:gridCol w:w="900"/>
        <w:gridCol w:w="180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56" w:hRule="atLeast"/>
        </w:trPr>
        <w:tc>
          <w:tcPr>
            <w:tcW w:w="154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before="50"/>
              <w:jc w:val="center"/>
              <w:rPr>
                <w:rFonts w:ascii="宋体" w:hAnsi="宋体"/>
                <w:color w:val="000000" w:themeColor="text1"/>
                <w:sz w:val="24"/>
                <w:szCs w:val="20"/>
              </w:rPr>
            </w:pPr>
            <w:r>
              <w:rPr>
                <w:rFonts w:hint="eastAsia" w:ascii="宋体" w:hAnsi="宋体"/>
                <w:color w:val="000000" w:themeColor="text1"/>
                <w:sz w:val="24"/>
              </w:rPr>
              <w:t>采购单位</w:t>
            </w:r>
          </w:p>
          <w:p>
            <w:pPr>
              <w:snapToGrid w:val="0"/>
              <w:spacing w:before="50"/>
              <w:jc w:val="center"/>
              <w:rPr>
                <w:rFonts w:ascii="宋体" w:hAnsi="宋体"/>
                <w:color w:val="000000" w:themeColor="text1"/>
                <w:sz w:val="24"/>
                <w:szCs w:val="20"/>
              </w:rPr>
            </w:pPr>
            <w:r>
              <w:rPr>
                <w:rFonts w:hint="eastAsia" w:ascii="宋体" w:hAnsi="宋体"/>
                <w:color w:val="000000" w:themeColor="text1"/>
                <w:sz w:val="24"/>
              </w:rPr>
              <w:t>名称</w:t>
            </w:r>
          </w:p>
        </w:tc>
        <w:tc>
          <w:tcPr>
            <w:tcW w:w="90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before="50"/>
              <w:jc w:val="center"/>
              <w:rPr>
                <w:rFonts w:ascii="宋体" w:hAnsi="宋体"/>
                <w:color w:val="000000" w:themeColor="text1"/>
                <w:sz w:val="24"/>
                <w:szCs w:val="20"/>
              </w:rPr>
            </w:pPr>
            <w:r>
              <w:rPr>
                <w:rFonts w:hint="eastAsia" w:ascii="宋体" w:hAnsi="宋体"/>
                <w:color w:val="000000" w:themeColor="text1"/>
                <w:sz w:val="24"/>
              </w:rPr>
              <w:t>采购</w:t>
            </w:r>
          </w:p>
          <w:p>
            <w:pPr>
              <w:snapToGrid w:val="0"/>
              <w:spacing w:before="50"/>
              <w:jc w:val="center"/>
              <w:rPr>
                <w:rFonts w:ascii="宋体" w:hAnsi="宋体"/>
                <w:color w:val="000000" w:themeColor="text1"/>
                <w:sz w:val="24"/>
                <w:szCs w:val="20"/>
              </w:rPr>
            </w:pPr>
            <w:r>
              <w:rPr>
                <w:rFonts w:hint="eastAsia" w:ascii="宋体" w:hAnsi="宋体"/>
                <w:color w:val="000000" w:themeColor="text1"/>
                <w:sz w:val="24"/>
              </w:rPr>
              <w:t>数量</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before="50"/>
              <w:jc w:val="center"/>
              <w:rPr>
                <w:rFonts w:ascii="宋体" w:hAnsi="宋体"/>
                <w:color w:val="000000" w:themeColor="text1"/>
                <w:sz w:val="24"/>
                <w:szCs w:val="20"/>
              </w:rPr>
            </w:pPr>
            <w:r>
              <w:rPr>
                <w:rFonts w:hint="eastAsia" w:ascii="宋体" w:hAnsi="宋体"/>
                <w:color w:val="000000" w:themeColor="text1"/>
                <w:sz w:val="24"/>
              </w:rPr>
              <w:t>单价</w:t>
            </w:r>
          </w:p>
          <w:p>
            <w:pPr>
              <w:snapToGrid w:val="0"/>
              <w:spacing w:before="50"/>
              <w:jc w:val="center"/>
              <w:rPr>
                <w:rFonts w:ascii="宋体" w:hAnsi="宋体"/>
                <w:color w:val="000000" w:themeColor="text1"/>
                <w:sz w:val="24"/>
                <w:szCs w:val="20"/>
              </w:rPr>
            </w:pPr>
          </w:p>
        </w:tc>
        <w:tc>
          <w:tcPr>
            <w:tcW w:w="144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before="50"/>
              <w:jc w:val="center"/>
              <w:rPr>
                <w:rFonts w:ascii="宋体" w:hAnsi="宋体"/>
                <w:color w:val="000000" w:themeColor="text1"/>
                <w:sz w:val="24"/>
                <w:szCs w:val="20"/>
              </w:rPr>
            </w:pPr>
            <w:r>
              <w:rPr>
                <w:rFonts w:hint="eastAsia" w:ascii="宋体" w:hAnsi="宋体"/>
                <w:color w:val="000000" w:themeColor="text1"/>
                <w:sz w:val="24"/>
              </w:rPr>
              <w:t>合同金额</w:t>
            </w:r>
          </w:p>
          <w:p>
            <w:pPr>
              <w:snapToGrid w:val="0"/>
              <w:spacing w:before="50"/>
              <w:jc w:val="center"/>
              <w:rPr>
                <w:rFonts w:ascii="宋体" w:hAnsi="宋体"/>
                <w:color w:val="000000" w:themeColor="text1"/>
                <w:sz w:val="24"/>
                <w:szCs w:val="20"/>
              </w:rPr>
            </w:pPr>
            <w:r>
              <w:rPr>
                <w:rFonts w:hint="eastAsia" w:ascii="宋体" w:hAnsi="宋体"/>
                <w:color w:val="000000" w:themeColor="text1"/>
                <w:sz w:val="24"/>
              </w:rPr>
              <w:t>（万元）</w:t>
            </w:r>
          </w:p>
        </w:tc>
        <w:tc>
          <w:tcPr>
            <w:tcW w:w="126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before="50"/>
              <w:jc w:val="center"/>
              <w:rPr>
                <w:rFonts w:ascii="宋体" w:hAnsi="宋体"/>
                <w:color w:val="000000" w:themeColor="text1"/>
                <w:sz w:val="24"/>
                <w:szCs w:val="20"/>
              </w:rPr>
            </w:pPr>
            <w:r>
              <w:rPr>
                <w:rFonts w:hint="eastAsia" w:ascii="宋体" w:hAnsi="宋体"/>
                <w:color w:val="000000" w:themeColor="text1"/>
                <w:sz w:val="24"/>
              </w:rPr>
              <w:t>合同签订</w:t>
            </w:r>
          </w:p>
          <w:p>
            <w:pPr>
              <w:snapToGrid w:val="0"/>
              <w:spacing w:before="50"/>
              <w:jc w:val="center"/>
              <w:rPr>
                <w:rFonts w:ascii="宋体" w:hAnsi="宋体"/>
                <w:color w:val="000000" w:themeColor="text1"/>
                <w:sz w:val="24"/>
                <w:szCs w:val="20"/>
              </w:rPr>
            </w:pPr>
            <w:r>
              <w:rPr>
                <w:rFonts w:hint="eastAsia" w:ascii="宋体" w:hAnsi="宋体"/>
                <w:color w:val="000000" w:themeColor="text1"/>
                <w:sz w:val="24"/>
              </w:rPr>
              <w:t>日期</w:t>
            </w:r>
          </w:p>
        </w:tc>
        <w:tc>
          <w:tcPr>
            <w:tcW w:w="90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before="50"/>
              <w:jc w:val="center"/>
              <w:rPr>
                <w:rFonts w:ascii="宋体" w:hAnsi="宋体"/>
                <w:color w:val="000000" w:themeColor="text1"/>
                <w:sz w:val="24"/>
                <w:szCs w:val="20"/>
              </w:rPr>
            </w:pPr>
            <w:r>
              <w:rPr>
                <w:rFonts w:hint="eastAsia" w:ascii="宋体" w:hAnsi="宋体"/>
                <w:color w:val="000000" w:themeColor="text1"/>
                <w:sz w:val="24"/>
              </w:rPr>
              <w:t>验收</w:t>
            </w:r>
          </w:p>
          <w:p>
            <w:pPr>
              <w:snapToGrid w:val="0"/>
              <w:spacing w:before="50"/>
              <w:jc w:val="center"/>
              <w:rPr>
                <w:rFonts w:ascii="宋体" w:hAnsi="宋体"/>
                <w:color w:val="000000" w:themeColor="text1"/>
                <w:sz w:val="24"/>
                <w:szCs w:val="20"/>
              </w:rPr>
            </w:pPr>
            <w:r>
              <w:rPr>
                <w:rFonts w:hint="eastAsia" w:ascii="宋体" w:hAnsi="宋体"/>
                <w:color w:val="000000" w:themeColor="text1"/>
                <w:sz w:val="24"/>
              </w:rPr>
              <w:t>日期</w:t>
            </w:r>
          </w:p>
        </w:tc>
        <w:tc>
          <w:tcPr>
            <w:tcW w:w="180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before="50"/>
              <w:jc w:val="center"/>
              <w:rPr>
                <w:rFonts w:ascii="宋体" w:hAnsi="宋体"/>
                <w:color w:val="000000" w:themeColor="text1"/>
                <w:sz w:val="24"/>
                <w:szCs w:val="20"/>
              </w:rPr>
            </w:pPr>
            <w:r>
              <w:rPr>
                <w:rFonts w:hint="eastAsia" w:ascii="宋体" w:hAnsi="宋体"/>
                <w:color w:val="000000" w:themeColor="text1"/>
                <w:sz w:val="24"/>
              </w:rPr>
              <w:t>联系人及</w:t>
            </w:r>
          </w:p>
          <w:p>
            <w:pPr>
              <w:snapToGrid w:val="0"/>
              <w:spacing w:before="50"/>
              <w:jc w:val="center"/>
              <w:rPr>
                <w:rFonts w:ascii="宋体" w:hAnsi="宋体"/>
                <w:color w:val="000000" w:themeColor="text1"/>
                <w:sz w:val="24"/>
                <w:szCs w:val="20"/>
              </w:rPr>
            </w:pPr>
            <w:r>
              <w:rPr>
                <w:rFonts w:hint="eastAsia" w:ascii="宋体" w:hAnsi="宋体"/>
                <w:color w:val="000000" w:themeColor="text1"/>
                <w:sz w:val="24"/>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62" w:hRule="atLeast"/>
        </w:trPr>
        <w:tc>
          <w:tcPr>
            <w:tcW w:w="154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sz w:val="24"/>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sz w:val="24"/>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sz w:val="24"/>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sz w:val="24"/>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sz w:val="24"/>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sz w:val="24"/>
              </w:rPr>
            </w:pPr>
          </w:p>
        </w:tc>
        <w:tc>
          <w:tcPr>
            <w:tcW w:w="18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tcPr>
          <w:p>
            <w:pPr>
              <w:snapToGrid w:val="0"/>
              <w:spacing w:before="50"/>
              <w:jc w:val="left"/>
              <w:rPr>
                <w:rFonts w:ascii="宋体" w:hAnsi="宋体"/>
                <w:color w:val="000000" w:themeColor="text1"/>
                <w:sz w:val="24"/>
                <w:szCs w:val="20"/>
              </w:rPr>
            </w:pPr>
          </w:p>
          <w:p>
            <w:pPr>
              <w:snapToGrid w:val="0"/>
              <w:spacing w:before="50"/>
              <w:jc w:val="left"/>
              <w:rPr>
                <w:rFonts w:ascii="宋体" w:hAnsi="宋体"/>
                <w:color w:val="000000" w:themeColor="text1"/>
                <w:sz w:val="24"/>
                <w:szCs w:val="20"/>
              </w:rPr>
            </w:pPr>
          </w:p>
        </w:tc>
        <w:tc>
          <w:tcPr>
            <w:tcW w:w="900" w:type="dxa"/>
            <w:tcBorders>
              <w:top w:val="single" w:color="auto" w:sz="4" w:space="0"/>
              <w:left w:val="single" w:color="auto" w:sz="4" w:space="0"/>
              <w:bottom w:val="single" w:color="auto" w:sz="4" w:space="0"/>
              <w:right w:val="single" w:color="auto" w:sz="4" w:space="0"/>
            </w:tcBorders>
          </w:tcPr>
          <w:p>
            <w:pPr>
              <w:snapToGrid w:val="0"/>
              <w:spacing w:before="50"/>
              <w:jc w:val="left"/>
              <w:rPr>
                <w:rFonts w:ascii="宋体" w:hAnsi="宋体"/>
                <w:color w:val="000000" w:themeColor="text1"/>
                <w:sz w:val="24"/>
                <w:szCs w:val="20"/>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jc w:val="left"/>
              <w:rPr>
                <w:rFonts w:ascii="宋体" w:hAnsi="宋体"/>
                <w:color w:val="000000" w:themeColor="text1"/>
                <w:sz w:val="24"/>
                <w:szCs w:val="20"/>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50"/>
              <w:jc w:val="left"/>
              <w:rPr>
                <w:rFonts w:ascii="宋体" w:hAnsi="宋体"/>
                <w:color w:val="000000" w:themeColor="text1"/>
                <w:sz w:val="24"/>
                <w:szCs w:val="2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50"/>
              <w:jc w:val="left"/>
              <w:rPr>
                <w:rFonts w:ascii="宋体" w:hAnsi="宋体"/>
                <w:color w:val="000000" w:themeColor="text1"/>
                <w:sz w:val="24"/>
                <w:szCs w:val="20"/>
              </w:rPr>
            </w:pPr>
          </w:p>
        </w:tc>
        <w:tc>
          <w:tcPr>
            <w:tcW w:w="900" w:type="dxa"/>
            <w:tcBorders>
              <w:top w:val="single" w:color="auto" w:sz="4" w:space="0"/>
              <w:left w:val="single" w:color="auto" w:sz="4" w:space="0"/>
              <w:bottom w:val="single" w:color="auto" w:sz="4" w:space="0"/>
              <w:right w:val="single" w:color="auto" w:sz="4" w:space="0"/>
            </w:tcBorders>
          </w:tcPr>
          <w:p>
            <w:pPr>
              <w:snapToGrid w:val="0"/>
              <w:spacing w:before="50"/>
              <w:jc w:val="left"/>
              <w:rPr>
                <w:rFonts w:ascii="宋体" w:hAnsi="宋体"/>
                <w:color w:val="000000" w:themeColor="text1"/>
                <w:sz w:val="24"/>
                <w:szCs w:val="20"/>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50"/>
              <w:jc w:val="left"/>
              <w:rPr>
                <w:rFonts w:ascii="宋体" w:hAnsi="宋体"/>
                <w:color w:val="000000" w:themeColor="text1"/>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tcPr>
          <w:p>
            <w:pPr>
              <w:snapToGrid w:val="0"/>
              <w:spacing w:before="50"/>
              <w:jc w:val="left"/>
              <w:rPr>
                <w:rFonts w:ascii="宋体" w:hAnsi="宋体"/>
                <w:color w:val="000000" w:themeColor="text1"/>
                <w:sz w:val="24"/>
                <w:szCs w:val="20"/>
              </w:rPr>
            </w:pPr>
          </w:p>
          <w:p>
            <w:pPr>
              <w:snapToGrid w:val="0"/>
              <w:spacing w:before="50"/>
              <w:jc w:val="left"/>
              <w:rPr>
                <w:rFonts w:ascii="宋体" w:hAnsi="宋体"/>
                <w:color w:val="000000" w:themeColor="text1"/>
                <w:sz w:val="24"/>
                <w:szCs w:val="20"/>
              </w:rPr>
            </w:pPr>
          </w:p>
        </w:tc>
        <w:tc>
          <w:tcPr>
            <w:tcW w:w="900" w:type="dxa"/>
            <w:tcBorders>
              <w:top w:val="single" w:color="auto" w:sz="4" w:space="0"/>
              <w:left w:val="single" w:color="auto" w:sz="4" w:space="0"/>
              <w:bottom w:val="single" w:color="auto" w:sz="4" w:space="0"/>
              <w:right w:val="single" w:color="auto" w:sz="4" w:space="0"/>
            </w:tcBorders>
          </w:tcPr>
          <w:p>
            <w:pPr>
              <w:snapToGrid w:val="0"/>
              <w:spacing w:before="50"/>
              <w:jc w:val="left"/>
              <w:rPr>
                <w:rFonts w:ascii="宋体" w:hAnsi="宋体"/>
                <w:color w:val="000000" w:themeColor="text1"/>
                <w:sz w:val="24"/>
                <w:szCs w:val="20"/>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jc w:val="left"/>
              <w:rPr>
                <w:rFonts w:ascii="宋体" w:hAnsi="宋体"/>
                <w:color w:val="000000" w:themeColor="text1"/>
                <w:sz w:val="24"/>
                <w:szCs w:val="20"/>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50"/>
              <w:jc w:val="left"/>
              <w:rPr>
                <w:rFonts w:ascii="宋体" w:hAnsi="宋体"/>
                <w:color w:val="000000" w:themeColor="text1"/>
                <w:sz w:val="24"/>
                <w:szCs w:val="2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50"/>
              <w:jc w:val="left"/>
              <w:rPr>
                <w:rFonts w:ascii="宋体" w:hAnsi="宋体"/>
                <w:color w:val="000000" w:themeColor="text1"/>
                <w:sz w:val="24"/>
                <w:szCs w:val="20"/>
              </w:rPr>
            </w:pPr>
          </w:p>
        </w:tc>
        <w:tc>
          <w:tcPr>
            <w:tcW w:w="900" w:type="dxa"/>
            <w:tcBorders>
              <w:top w:val="single" w:color="auto" w:sz="4" w:space="0"/>
              <w:left w:val="single" w:color="auto" w:sz="4" w:space="0"/>
              <w:bottom w:val="single" w:color="auto" w:sz="4" w:space="0"/>
              <w:right w:val="single" w:color="auto" w:sz="4" w:space="0"/>
            </w:tcBorders>
          </w:tcPr>
          <w:p>
            <w:pPr>
              <w:snapToGrid w:val="0"/>
              <w:spacing w:before="50"/>
              <w:jc w:val="left"/>
              <w:rPr>
                <w:rFonts w:ascii="宋体" w:hAnsi="宋体"/>
                <w:color w:val="000000" w:themeColor="text1"/>
                <w:sz w:val="24"/>
                <w:szCs w:val="20"/>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50"/>
              <w:jc w:val="left"/>
              <w:rPr>
                <w:rFonts w:ascii="宋体" w:hAnsi="宋体"/>
                <w:color w:val="000000" w:themeColor="text1"/>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tcPr>
          <w:p>
            <w:pPr>
              <w:snapToGrid w:val="0"/>
              <w:spacing w:before="50"/>
              <w:jc w:val="left"/>
              <w:rPr>
                <w:rFonts w:ascii="宋体" w:hAnsi="宋体"/>
                <w:color w:val="000000" w:themeColor="text1"/>
                <w:sz w:val="24"/>
                <w:szCs w:val="20"/>
              </w:rPr>
            </w:pPr>
          </w:p>
          <w:p>
            <w:pPr>
              <w:snapToGrid w:val="0"/>
              <w:spacing w:before="50"/>
              <w:jc w:val="left"/>
              <w:rPr>
                <w:rFonts w:ascii="宋体" w:hAnsi="宋体"/>
                <w:color w:val="000000" w:themeColor="text1"/>
                <w:sz w:val="24"/>
                <w:szCs w:val="20"/>
              </w:rPr>
            </w:pPr>
          </w:p>
        </w:tc>
        <w:tc>
          <w:tcPr>
            <w:tcW w:w="900" w:type="dxa"/>
            <w:tcBorders>
              <w:top w:val="single" w:color="auto" w:sz="4" w:space="0"/>
              <w:left w:val="single" w:color="auto" w:sz="4" w:space="0"/>
              <w:bottom w:val="single" w:color="auto" w:sz="4" w:space="0"/>
              <w:right w:val="single" w:color="auto" w:sz="4" w:space="0"/>
            </w:tcBorders>
          </w:tcPr>
          <w:p>
            <w:pPr>
              <w:snapToGrid w:val="0"/>
              <w:spacing w:before="50"/>
              <w:jc w:val="left"/>
              <w:rPr>
                <w:rFonts w:ascii="宋体" w:hAnsi="宋体"/>
                <w:color w:val="000000" w:themeColor="text1"/>
                <w:sz w:val="24"/>
                <w:szCs w:val="20"/>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jc w:val="left"/>
              <w:rPr>
                <w:rFonts w:ascii="宋体" w:hAnsi="宋体"/>
                <w:color w:val="000000" w:themeColor="text1"/>
                <w:sz w:val="24"/>
                <w:szCs w:val="20"/>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50"/>
              <w:jc w:val="left"/>
              <w:rPr>
                <w:rFonts w:ascii="宋体" w:hAnsi="宋体"/>
                <w:color w:val="000000" w:themeColor="text1"/>
                <w:sz w:val="24"/>
                <w:szCs w:val="2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50"/>
              <w:jc w:val="left"/>
              <w:rPr>
                <w:rFonts w:ascii="宋体" w:hAnsi="宋体"/>
                <w:color w:val="000000" w:themeColor="text1"/>
                <w:sz w:val="24"/>
                <w:szCs w:val="20"/>
              </w:rPr>
            </w:pPr>
          </w:p>
        </w:tc>
        <w:tc>
          <w:tcPr>
            <w:tcW w:w="900" w:type="dxa"/>
            <w:tcBorders>
              <w:top w:val="single" w:color="auto" w:sz="4" w:space="0"/>
              <w:left w:val="single" w:color="auto" w:sz="4" w:space="0"/>
              <w:bottom w:val="single" w:color="auto" w:sz="4" w:space="0"/>
              <w:right w:val="single" w:color="auto" w:sz="4" w:space="0"/>
            </w:tcBorders>
          </w:tcPr>
          <w:p>
            <w:pPr>
              <w:snapToGrid w:val="0"/>
              <w:spacing w:before="50"/>
              <w:jc w:val="left"/>
              <w:rPr>
                <w:rFonts w:ascii="宋体" w:hAnsi="宋体"/>
                <w:color w:val="000000" w:themeColor="text1"/>
                <w:sz w:val="24"/>
                <w:szCs w:val="20"/>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50"/>
              <w:jc w:val="left"/>
              <w:rPr>
                <w:rFonts w:ascii="宋体" w:hAnsi="宋体"/>
                <w:color w:val="000000" w:themeColor="text1"/>
                <w:sz w:val="24"/>
                <w:szCs w:val="20"/>
              </w:rPr>
            </w:pPr>
          </w:p>
        </w:tc>
      </w:tr>
    </w:tbl>
    <w:p>
      <w:pPr>
        <w:snapToGrid w:val="0"/>
        <w:spacing w:before="50"/>
        <w:ind w:firstLine="480" w:firstLineChars="200"/>
        <w:jc w:val="left"/>
        <w:rPr>
          <w:rFonts w:ascii="宋体" w:hAnsi="宋体"/>
          <w:color w:val="000000" w:themeColor="text1"/>
          <w:sz w:val="24"/>
          <w:szCs w:val="20"/>
        </w:rPr>
      </w:pPr>
      <w:r>
        <w:rPr>
          <w:rFonts w:ascii="宋体" w:hAnsi="宋体"/>
          <w:color w:val="000000" w:themeColor="text1"/>
          <w:sz w:val="24"/>
        </w:rPr>
        <w:t>5</w:t>
      </w:r>
      <w:r>
        <w:rPr>
          <w:rFonts w:hint="eastAsia" w:ascii="宋体" w:hAnsi="宋体"/>
          <w:color w:val="000000" w:themeColor="text1"/>
          <w:sz w:val="24"/>
        </w:rPr>
        <w:t>.</w:t>
      </w:r>
      <w:r>
        <w:rPr>
          <w:rFonts w:ascii="宋体" w:hAnsi="宋体"/>
          <w:color w:val="000000" w:themeColor="text1"/>
          <w:sz w:val="24"/>
        </w:rPr>
        <w:t>我方诚意提请贵方关注：有关该型号产品的</w:t>
      </w:r>
      <w:r>
        <w:rPr>
          <w:rFonts w:hint="eastAsia" w:ascii="宋体" w:hAnsi="宋体"/>
          <w:color w:val="000000" w:themeColor="text1"/>
          <w:sz w:val="24"/>
        </w:rPr>
        <w:t>生产、供货、售后服务以及性能等方面的重大决策和事项有：</w:t>
      </w:r>
    </w:p>
    <w:p>
      <w:pPr>
        <w:snapToGrid w:val="0"/>
        <w:spacing w:beforeLines="50"/>
        <w:ind w:firstLine="480" w:firstLineChars="200"/>
        <w:rPr>
          <w:rFonts w:ascii="宋体" w:hAnsi="宋体"/>
          <w:color w:val="000000" w:themeColor="text1"/>
          <w:sz w:val="24"/>
          <w:szCs w:val="20"/>
          <w:u w:val="single"/>
        </w:rPr>
      </w:pPr>
      <w:r>
        <w:rPr>
          <w:rFonts w:hint="eastAsia" w:ascii="宋体" w:hAnsi="宋体"/>
          <w:color w:val="000000" w:themeColor="text1"/>
          <w:sz w:val="24"/>
          <w:u w:val="single"/>
        </w:rPr>
        <w:t>　　　　　　　　　　　　　　　　　　　　　　　　　　　</w:t>
      </w:r>
    </w:p>
    <w:p>
      <w:pPr>
        <w:snapToGrid w:val="0"/>
        <w:spacing w:beforeLines="50"/>
        <w:ind w:firstLine="480" w:firstLineChars="200"/>
        <w:rPr>
          <w:rFonts w:ascii="宋体" w:hAnsi="宋体"/>
          <w:color w:val="000000" w:themeColor="text1"/>
          <w:sz w:val="24"/>
          <w:szCs w:val="20"/>
          <w:u w:val="single"/>
        </w:rPr>
      </w:pPr>
      <w:r>
        <w:rPr>
          <w:rFonts w:hint="eastAsia" w:ascii="宋体" w:hAnsi="宋体"/>
          <w:color w:val="000000" w:themeColor="text1"/>
          <w:sz w:val="24"/>
          <w:u w:val="single"/>
        </w:rPr>
        <w:t>　　　　　　　　　　　　　　　　　　　　　　　　　　　</w:t>
      </w:r>
    </w:p>
    <w:p>
      <w:pPr>
        <w:snapToGrid w:val="0"/>
        <w:spacing w:before="50"/>
        <w:ind w:firstLine="480" w:firstLineChars="200"/>
        <w:jc w:val="left"/>
        <w:rPr>
          <w:rFonts w:ascii="宋体" w:hAnsi="宋体"/>
          <w:color w:val="000000" w:themeColor="text1"/>
          <w:sz w:val="24"/>
          <w:szCs w:val="20"/>
        </w:rPr>
      </w:pPr>
      <w:r>
        <w:rPr>
          <w:rFonts w:hint="eastAsia" w:ascii="宋体" w:hAnsi="宋体"/>
          <w:color w:val="000000" w:themeColor="text1"/>
          <w:sz w:val="24"/>
        </w:rPr>
        <w:t>6.我方同意按照贵方要求提供与投标有关的一切数据或资料。</w:t>
      </w:r>
    </w:p>
    <w:p>
      <w:pPr>
        <w:snapToGrid w:val="0"/>
        <w:spacing w:before="50"/>
        <w:ind w:left="480"/>
        <w:jc w:val="left"/>
        <w:rPr>
          <w:rFonts w:ascii="宋体" w:hAnsi="宋体"/>
          <w:color w:val="000000" w:themeColor="text1"/>
          <w:sz w:val="24"/>
          <w:szCs w:val="20"/>
        </w:rPr>
      </w:pPr>
    </w:p>
    <w:p>
      <w:pPr>
        <w:pStyle w:val="36"/>
        <w:snapToGrid w:val="0"/>
        <w:ind w:left="315" w:leftChars="150" w:firstLine="0" w:firstLineChars="0"/>
        <w:rPr>
          <w:rFonts w:ascii="宋体" w:hAnsi="宋体"/>
          <w:color w:val="000000" w:themeColor="text1"/>
          <w:sz w:val="24"/>
        </w:rPr>
      </w:pPr>
      <w:r>
        <w:rPr>
          <w:rFonts w:hint="eastAsia" w:ascii="宋体" w:hAnsi="宋体"/>
          <w:color w:val="000000" w:themeColor="text1"/>
          <w:sz w:val="24"/>
        </w:rPr>
        <w:t>法定代表人签字：</w:t>
      </w:r>
    </w:p>
    <w:p>
      <w:pPr>
        <w:snapToGrid w:val="0"/>
        <w:spacing w:before="50"/>
        <w:ind w:firstLine="480" w:firstLineChars="200"/>
        <w:jc w:val="left"/>
        <w:rPr>
          <w:rFonts w:ascii="宋体" w:hAnsi="宋体"/>
          <w:color w:val="000000" w:themeColor="text1"/>
          <w:sz w:val="24"/>
          <w:szCs w:val="20"/>
        </w:rPr>
      </w:pPr>
      <w:r>
        <w:rPr>
          <w:rFonts w:hint="eastAsia" w:ascii="宋体" w:hAnsi="宋体"/>
          <w:color w:val="000000" w:themeColor="text1"/>
          <w:sz w:val="24"/>
        </w:rPr>
        <w:t>单位公章：年月日</w:t>
      </w:r>
    </w:p>
    <w:p>
      <w:pPr>
        <w:widowControl/>
        <w:jc w:val="left"/>
        <w:rPr>
          <w:rFonts w:ascii="宋体" w:hAnsi="宋体"/>
          <w:color w:val="000000" w:themeColor="text1"/>
          <w:sz w:val="24"/>
        </w:rPr>
        <w:sectPr>
          <w:pgSz w:w="11906" w:h="16838"/>
          <w:pgMar w:top="1474" w:right="1797" w:bottom="1247" w:left="1797" w:header="851" w:footer="851" w:gutter="0"/>
          <w:cols w:space="720" w:num="1"/>
          <w:docGrid w:linePitch="312" w:charSpace="0"/>
        </w:sectPr>
      </w:pPr>
    </w:p>
    <w:p>
      <w:pPr>
        <w:snapToGrid w:val="0"/>
        <w:spacing w:before="50" w:afterLines="50"/>
        <w:jc w:val="left"/>
        <w:rPr>
          <w:rFonts w:ascii="宋体" w:hAnsi="宋体"/>
          <w:color w:val="000000" w:themeColor="text1"/>
          <w:sz w:val="24"/>
          <w:szCs w:val="20"/>
        </w:rPr>
      </w:pPr>
      <w:r>
        <w:rPr>
          <w:rFonts w:hint="eastAsia" w:ascii="宋体" w:hAnsi="宋体"/>
          <w:color w:val="000000" w:themeColor="text1"/>
          <w:sz w:val="24"/>
        </w:rPr>
        <w:t>15.距采购人最近或者能为本项目提供最优服务的网点情况表</w:t>
      </w:r>
    </w:p>
    <w:p>
      <w:pPr>
        <w:pStyle w:val="36"/>
        <w:snapToGrid w:val="0"/>
        <w:ind w:left="480" w:hanging="480"/>
        <w:rPr>
          <w:rFonts w:ascii="宋体" w:hAnsi="宋体"/>
          <w:color w:val="000000" w:themeColor="text1"/>
          <w:sz w:val="24"/>
        </w:rPr>
      </w:pPr>
    </w:p>
    <w:tbl>
      <w:tblPr>
        <w:tblStyle w:val="53"/>
        <w:tblW w:w="852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27"/>
        <w:gridCol w:w="1622"/>
        <w:gridCol w:w="191"/>
        <w:gridCol w:w="1439"/>
        <w:gridCol w:w="888"/>
        <w:gridCol w:w="1434"/>
        <w:gridCol w:w="122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Pr>
        <w:tc>
          <w:tcPr>
            <w:tcW w:w="1727"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r>
              <w:rPr>
                <w:rFonts w:hint="eastAsia" w:ascii="宋体" w:hAnsi="宋体"/>
                <w:color w:val="000000" w:themeColor="text1"/>
                <w:sz w:val="24"/>
              </w:rPr>
              <w:t>服务网点名称</w:t>
            </w:r>
          </w:p>
        </w:tc>
        <w:tc>
          <w:tcPr>
            <w:tcW w:w="5574" w:type="dxa"/>
            <w:gridSpan w:val="5"/>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c>
          <w:tcPr>
            <w:tcW w:w="1227" w:type="dxa"/>
            <w:vMerge w:val="restart"/>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r>
              <w:rPr>
                <w:rFonts w:hint="eastAsia" w:ascii="宋体" w:hAnsi="宋体"/>
                <w:color w:val="000000" w:themeColor="text1"/>
                <w:sz w:val="24"/>
              </w:rPr>
              <w:t>投标文件</w:t>
            </w:r>
          </w:p>
          <w:p>
            <w:pPr>
              <w:snapToGrid w:val="0"/>
              <w:spacing w:before="50" w:afterLines="50" w:line="400" w:lineRule="exact"/>
              <w:jc w:val="center"/>
              <w:rPr>
                <w:rFonts w:ascii="宋体" w:hAnsi="宋体"/>
                <w:color w:val="000000" w:themeColor="text1"/>
                <w:sz w:val="24"/>
                <w:szCs w:val="20"/>
              </w:rPr>
            </w:pPr>
            <w:r>
              <w:rPr>
                <w:rFonts w:hint="eastAsia" w:ascii="宋体" w:hAnsi="宋体"/>
                <w:color w:val="000000" w:themeColor="text1"/>
                <w:sz w:val="24"/>
              </w:rPr>
              <w:t>页码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Pr>
        <w:tc>
          <w:tcPr>
            <w:tcW w:w="1727"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r>
              <w:rPr>
                <w:rFonts w:hint="eastAsia" w:ascii="宋体" w:hAnsi="宋体"/>
                <w:color w:val="000000" w:themeColor="text1"/>
                <w:sz w:val="24"/>
              </w:rPr>
              <w:t>地址</w:t>
            </w:r>
          </w:p>
        </w:tc>
        <w:tc>
          <w:tcPr>
            <w:tcW w:w="5574" w:type="dxa"/>
            <w:gridSpan w:val="5"/>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c>
          <w:tcPr>
            <w:tcW w:w="122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727"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r>
              <w:rPr>
                <w:rFonts w:hint="eastAsia" w:ascii="宋体" w:hAnsi="宋体"/>
                <w:color w:val="000000" w:themeColor="text1"/>
                <w:sz w:val="24"/>
              </w:rPr>
              <w:t>注册资本金</w:t>
            </w:r>
          </w:p>
        </w:tc>
        <w:tc>
          <w:tcPr>
            <w:tcW w:w="1622"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c>
          <w:tcPr>
            <w:tcW w:w="2518" w:type="dxa"/>
            <w:gridSpan w:val="3"/>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r>
              <w:rPr>
                <w:rFonts w:hint="eastAsia" w:ascii="宋体" w:hAnsi="宋体"/>
                <w:color w:val="000000" w:themeColor="text1"/>
                <w:sz w:val="24"/>
              </w:rPr>
              <w:t>其中：投标人出资比例</w:t>
            </w:r>
          </w:p>
        </w:tc>
        <w:tc>
          <w:tcPr>
            <w:tcW w:w="1434"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c>
          <w:tcPr>
            <w:tcW w:w="1227"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727"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r>
              <w:rPr>
                <w:rFonts w:hint="eastAsia" w:ascii="宋体" w:hAnsi="宋体"/>
                <w:color w:val="000000" w:themeColor="text1"/>
                <w:sz w:val="24"/>
              </w:rPr>
              <w:t>员工总人数</w:t>
            </w:r>
          </w:p>
        </w:tc>
        <w:tc>
          <w:tcPr>
            <w:tcW w:w="1622"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c>
          <w:tcPr>
            <w:tcW w:w="2518" w:type="dxa"/>
            <w:gridSpan w:val="3"/>
            <w:tcBorders>
              <w:top w:val="single" w:color="auto" w:sz="4" w:space="0"/>
              <w:left w:val="single" w:color="auto" w:sz="4" w:space="0"/>
              <w:bottom w:val="single" w:color="auto" w:sz="4" w:space="0"/>
              <w:right w:val="single" w:color="auto" w:sz="4" w:space="0"/>
            </w:tcBorders>
          </w:tcPr>
          <w:p>
            <w:pPr>
              <w:snapToGrid w:val="0"/>
              <w:spacing w:before="50" w:afterLines="50" w:line="400" w:lineRule="exact"/>
              <w:ind w:left="60"/>
              <w:jc w:val="left"/>
              <w:rPr>
                <w:rFonts w:ascii="宋体" w:hAnsi="宋体"/>
                <w:color w:val="000000" w:themeColor="text1"/>
                <w:sz w:val="24"/>
                <w:szCs w:val="20"/>
              </w:rPr>
            </w:pPr>
            <w:r>
              <w:rPr>
                <w:rFonts w:hint="eastAsia" w:ascii="宋体" w:hAnsi="宋体"/>
                <w:color w:val="000000" w:themeColor="text1"/>
                <w:sz w:val="24"/>
              </w:rPr>
              <w:t>其中：技术人员数</w:t>
            </w:r>
          </w:p>
        </w:tc>
        <w:tc>
          <w:tcPr>
            <w:tcW w:w="1434"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c>
          <w:tcPr>
            <w:tcW w:w="1227"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727"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r>
              <w:rPr>
                <w:rFonts w:hint="eastAsia" w:ascii="宋体" w:hAnsi="宋体"/>
                <w:color w:val="000000" w:themeColor="text1"/>
                <w:sz w:val="24"/>
              </w:rPr>
              <w:t>经营期限</w:t>
            </w:r>
          </w:p>
        </w:tc>
        <w:tc>
          <w:tcPr>
            <w:tcW w:w="5574" w:type="dxa"/>
            <w:gridSpan w:val="5"/>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c>
          <w:tcPr>
            <w:tcW w:w="1227"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727"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r>
              <w:rPr>
                <w:rFonts w:hint="eastAsia" w:ascii="宋体" w:hAnsi="宋体"/>
                <w:color w:val="000000" w:themeColor="text1"/>
                <w:sz w:val="24"/>
              </w:rPr>
              <w:t>售后服务协议</w:t>
            </w:r>
          </w:p>
        </w:tc>
        <w:tc>
          <w:tcPr>
            <w:tcW w:w="5574" w:type="dxa"/>
            <w:gridSpan w:val="5"/>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c>
          <w:tcPr>
            <w:tcW w:w="1227"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727"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r>
              <w:rPr>
                <w:rFonts w:hint="eastAsia" w:ascii="宋体" w:hAnsi="宋体"/>
                <w:color w:val="000000" w:themeColor="text1"/>
                <w:sz w:val="24"/>
              </w:rPr>
              <w:t>售后服务内容</w:t>
            </w:r>
          </w:p>
        </w:tc>
        <w:tc>
          <w:tcPr>
            <w:tcW w:w="5574" w:type="dxa"/>
            <w:gridSpan w:val="5"/>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c>
          <w:tcPr>
            <w:tcW w:w="1227"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727"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r>
              <w:rPr>
                <w:rFonts w:hint="eastAsia" w:ascii="宋体" w:hAnsi="宋体"/>
                <w:color w:val="000000" w:themeColor="text1"/>
                <w:sz w:val="24"/>
              </w:rPr>
              <w:t>工作业绩</w:t>
            </w:r>
          </w:p>
        </w:tc>
        <w:tc>
          <w:tcPr>
            <w:tcW w:w="5574" w:type="dxa"/>
            <w:gridSpan w:val="5"/>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c>
          <w:tcPr>
            <w:tcW w:w="1227"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727"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r>
              <w:rPr>
                <w:rFonts w:hint="eastAsia" w:ascii="宋体" w:hAnsi="宋体"/>
                <w:color w:val="000000" w:themeColor="text1"/>
                <w:sz w:val="24"/>
              </w:rPr>
              <w:t>服务承诺</w:t>
            </w:r>
          </w:p>
        </w:tc>
        <w:tc>
          <w:tcPr>
            <w:tcW w:w="5574" w:type="dxa"/>
            <w:gridSpan w:val="5"/>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c>
          <w:tcPr>
            <w:tcW w:w="1227"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727"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r>
              <w:rPr>
                <w:rFonts w:hint="eastAsia" w:ascii="宋体" w:hAnsi="宋体"/>
                <w:color w:val="000000" w:themeColor="text1"/>
                <w:sz w:val="24"/>
              </w:rPr>
              <w:t>业务咨询电话</w:t>
            </w:r>
          </w:p>
        </w:tc>
        <w:tc>
          <w:tcPr>
            <w:tcW w:w="1813" w:type="dxa"/>
            <w:gridSpan w:val="2"/>
            <w:tcBorders>
              <w:top w:val="single" w:color="auto" w:sz="4" w:space="0"/>
              <w:left w:val="single" w:color="auto" w:sz="4" w:space="0"/>
              <w:bottom w:val="single" w:color="auto" w:sz="4" w:space="0"/>
              <w:right w:val="single" w:color="auto" w:sz="2" w:space="0"/>
            </w:tcBorders>
          </w:tcPr>
          <w:p>
            <w:pPr>
              <w:snapToGrid w:val="0"/>
              <w:spacing w:before="50" w:afterLines="50" w:line="400" w:lineRule="exact"/>
              <w:jc w:val="left"/>
              <w:rPr>
                <w:rFonts w:ascii="宋体" w:hAnsi="宋体"/>
                <w:color w:val="000000" w:themeColor="text1"/>
                <w:sz w:val="24"/>
                <w:szCs w:val="20"/>
              </w:rPr>
            </w:pPr>
          </w:p>
        </w:tc>
        <w:tc>
          <w:tcPr>
            <w:tcW w:w="1439" w:type="dxa"/>
            <w:tcBorders>
              <w:top w:val="single" w:color="auto" w:sz="4" w:space="0"/>
              <w:left w:val="single" w:color="auto" w:sz="2" w:space="0"/>
              <w:bottom w:val="single" w:color="auto" w:sz="4" w:space="0"/>
              <w:right w:val="single" w:color="auto" w:sz="2" w:space="0"/>
            </w:tcBorders>
          </w:tcPr>
          <w:p>
            <w:pPr>
              <w:snapToGrid w:val="0"/>
              <w:spacing w:before="50" w:afterLines="50" w:line="400" w:lineRule="exact"/>
              <w:ind w:firstLine="240" w:firstLineChars="100"/>
              <w:jc w:val="left"/>
              <w:rPr>
                <w:rFonts w:ascii="宋体" w:hAnsi="宋体"/>
                <w:color w:val="000000" w:themeColor="text1"/>
                <w:sz w:val="24"/>
                <w:szCs w:val="20"/>
              </w:rPr>
            </w:pPr>
            <w:r>
              <w:rPr>
                <w:rFonts w:hint="eastAsia" w:ascii="宋体" w:hAnsi="宋体"/>
                <w:color w:val="000000" w:themeColor="text1"/>
                <w:sz w:val="24"/>
              </w:rPr>
              <w:t>传</w:t>
            </w:r>
            <w:r>
              <w:rPr>
                <w:rFonts w:ascii="宋体" w:hAnsi="宋体"/>
                <w:color w:val="000000" w:themeColor="text1"/>
                <w:sz w:val="24"/>
              </w:rPr>
              <w:t xml:space="preserve"> 真</w:t>
            </w:r>
          </w:p>
        </w:tc>
        <w:tc>
          <w:tcPr>
            <w:tcW w:w="2322" w:type="dxa"/>
            <w:gridSpan w:val="2"/>
            <w:tcBorders>
              <w:top w:val="single" w:color="auto" w:sz="4" w:space="0"/>
              <w:left w:val="single" w:color="auto" w:sz="2" w:space="0"/>
              <w:bottom w:val="single" w:color="auto" w:sz="4" w:space="0"/>
              <w:right w:val="single" w:color="auto" w:sz="2" w:space="0"/>
            </w:tcBorders>
          </w:tcPr>
          <w:p>
            <w:pPr>
              <w:snapToGrid w:val="0"/>
              <w:spacing w:before="50" w:afterLines="50" w:line="400" w:lineRule="exact"/>
              <w:jc w:val="left"/>
              <w:rPr>
                <w:rFonts w:ascii="宋体" w:hAnsi="宋体"/>
                <w:color w:val="000000" w:themeColor="text1"/>
                <w:sz w:val="24"/>
                <w:szCs w:val="20"/>
              </w:rPr>
            </w:pPr>
          </w:p>
        </w:tc>
        <w:tc>
          <w:tcPr>
            <w:tcW w:w="1227" w:type="dxa"/>
            <w:tcBorders>
              <w:top w:val="single" w:color="auto" w:sz="4" w:space="0"/>
              <w:left w:val="single" w:color="auto" w:sz="2"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727"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r>
              <w:rPr>
                <w:rFonts w:hint="eastAsia" w:ascii="宋体" w:hAnsi="宋体"/>
                <w:color w:val="000000" w:themeColor="text1"/>
                <w:sz w:val="24"/>
              </w:rPr>
              <w:t>负责人</w:t>
            </w:r>
          </w:p>
        </w:tc>
        <w:tc>
          <w:tcPr>
            <w:tcW w:w="1813" w:type="dxa"/>
            <w:gridSpan w:val="2"/>
            <w:tcBorders>
              <w:top w:val="single" w:color="auto" w:sz="4" w:space="0"/>
              <w:left w:val="single" w:color="auto" w:sz="4" w:space="0"/>
              <w:bottom w:val="single" w:color="auto" w:sz="4" w:space="0"/>
              <w:right w:val="single" w:color="auto" w:sz="2" w:space="0"/>
            </w:tcBorders>
          </w:tcPr>
          <w:p>
            <w:pPr>
              <w:snapToGrid w:val="0"/>
              <w:spacing w:before="50" w:afterLines="50" w:line="400" w:lineRule="exact"/>
              <w:jc w:val="left"/>
              <w:rPr>
                <w:rFonts w:ascii="宋体" w:hAnsi="宋体"/>
                <w:color w:val="000000" w:themeColor="text1"/>
                <w:sz w:val="24"/>
                <w:szCs w:val="20"/>
              </w:rPr>
            </w:pPr>
          </w:p>
        </w:tc>
        <w:tc>
          <w:tcPr>
            <w:tcW w:w="1439" w:type="dxa"/>
            <w:tcBorders>
              <w:top w:val="single" w:color="auto" w:sz="4" w:space="0"/>
              <w:left w:val="single" w:color="auto" w:sz="2" w:space="0"/>
              <w:bottom w:val="single" w:color="auto" w:sz="4" w:space="0"/>
              <w:right w:val="single" w:color="auto" w:sz="2" w:space="0"/>
            </w:tcBorders>
          </w:tcPr>
          <w:p>
            <w:pPr>
              <w:snapToGrid w:val="0"/>
              <w:spacing w:before="50" w:afterLines="50" w:line="400" w:lineRule="exact"/>
              <w:jc w:val="left"/>
              <w:rPr>
                <w:rFonts w:ascii="宋体" w:hAnsi="宋体"/>
                <w:color w:val="000000" w:themeColor="text1"/>
                <w:sz w:val="24"/>
                <w:szCs w:val="20"/>
              </w:rPr>
            </w:pPr>
            <w:r>
              <w:rPr>
                <w:rFonts w:hint="eastAsia" w:ascii="宋体" w:hAnsi="宋体"/>
                <w:color w:val="000000" w:themeColor="text1"/>
                <w:sz w:val="24"/>
              </w:rPr>
              <w:t>联系电话</w:t>
            </w:r>
          </w:p>
        </w:tc>
        <w:tc>
          <w:tcPr>
            <w:tcW w:w="2322" w:type="dxa"/>
            <w:gridSpan w:val="2"/>
            <w:tcBorders>
              <w:top w:val="single" w:color="auto" w:sz="4" w:space="0"/>
              <w:left w:val="single" w:color="auto" w:sz="2"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c>
          <w:tcPr>
            <w:tcW w:w="1227"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宋体" w:hAnsi="宋体"/>
                <w:color w:val="000000" w:themeColor="text1"/>
                <w:sz w:val="24"/>
                <w:szCs w:val="20"/>
              </w:rPr>
            </w:pPr>
          </w:p>
        </w:tc>
      </w:tr>
    </w:tbl>
    <w:p>
      <w:pPr>
        <w:pStyle w:val="16"/>
        <w:snapToGrid w:val="0"/>
        <w:rPr>
          <w:rFonts w:ascii="宋体" w:hAnsi="宋体" w:eastAsia="宋体"/>
          <w:color w:val="000000" w:themeColor="text1"/>
          <w:sz w:val="24"/>
          <w:u w:val="single"/>
        </w:rPr>
      </w:pPr>
      <w:r>
        <w:rPr>
          <w:rFonts w:hint="eastAsia" w:ascii="宋体" w:hAnsi="宋体" w:eastAsia="宋体"/>
          <w:color w:val="000000" w:themeColor="text1"/>
          <w:sz w:val="24"/>
        </w:rPr>
        <w:t>授权代表签字：</w:t>
      </w:r>
      <w:r>
        <w:rPr>
          <w:rFonts w:hint="eastAsia" w:ascii="宋体" w:hAnsi="宋体" w:eastAsia="宋体"/>
          <w:color w:val="000000" w:themeColor="text1"/>
          <w:sz w:val="24"/>
          <w:u w:val="single"/>
        </w:rPr>
        <w:t>　　　　　</w:t>
      </w:r>
    </w:p>
    <w:p>
      <w:pPr>
        <w:pStyle w:val="19"/>
        <w:snapToGrid w:val="0"/>
        <w:rPr>
          <w:rFonts w:ascii="宋体" w:hAnsi="宋体"/>
          <w:color w:val="000000" w:themeColor="text1"/>
          <w:sz w:val="24"/>
        </w:rPr>
      </w:pPr>
      <w:r>
        <w:rPr>
          <w:rFonts w:hint="eastAsia" w:ascii="宋体" w:hAnsi="宋体"/>
          <w:color w:val="000000" w:themeColor="text1"/>
          <w:sz w:val="24"/>
        </w:rPr>
        <w:t>投标人公章：　 年月　 日</w:t>
      </w:r>
    </w:p>
    <w:p>
      <w:pPr>
        <w:snapToGrid w:val="0"/>
        <w:spacing w:before="50" w:afterLines="50"/>
        <w:jc w:val="left"/>
        <w:rPr>
          <w:rFonts w:ascii="宋体" w:hAnsi="宋体"/>
          <w:color w:val="000000" w:themeColor="text1"/>
          <w:sz w:val="24"/>
          <w:szCs w:val="20"/>
        </w:rPr>
      </w:pPr>
    </w:p>
    <w:p>
      <w:pPr>
        <w:snapToGrid w:val="0"/>
        <w:spacing w:before="50"/>
        <w:ind w:firstLine="480" w:firstLineChars="200"/>
        <w:jc w:val="left"/>
        <w:rPr>
          <w:rFonts w:ascii="宋体" w:hAnsi="宋体"/>
          <w:color w:val="000000" w:themeColor="text1"/>
          <w:sz w:val="24"/>
          <w:szCs w:val="20"/>
        </w:rPr>
      </w:pPr>
    </w:p>
    <w:p>
      <w:pPr>
        <w:widowControl/>
        <w:jc w:val="left"/>
        <w:rPr>
          <w:rFonts w:ascii="宋体" w:hAnsi="宋体"/>
          <w:color w:val="000000" w:themeColor="text1"/>
          <w:sz w:val="24"/>
        </w:rPr>
        <w:sectPr>
          <w:pgSz w:w="11906" w:h="16838"/>
          <w:pgMar w:top="1474" w:right="1797" w:bottom="1247" w:left="1797" w:header="851" w:footer="851" w:gutter="0"/>
          <w:cols w:space="720" w:num="1"/>
          <w:docGrid w:linePitch="312" w:charSpace="0"/>
        </w:sectPr>
      </w:pPr>
    </w:p>
    <w:p>
      <w:pPr>
        <w:snapToGrid w:val="0"/>
        <w:spacing w:before="50" w:afterLines="50"/>
        <w:jc w:val="left"/>
        <w:rPr>
          <w:rFonts w:ascii="宋体" w:hAnsi="宋体"/>
          <w:color w:val="000000" w:themeColor="text1"/>
          <w:sz w:val="24"/>
          <w:szCs w:val="20"/>
        </w:rPr>
      </w:pPr>
      <w:r>
        <w:rPr>
          <w:rFonts w:hint="eastAsia" w:ascii="宋体" w:hAnsi="宋体"/>
          <w:color w:val="000000" w:themeColor="text1"/>
          <w:sz w:val="24"/>
        </w:rPr>
        <w:t>16.其他证明文件（招标文件有规定的，据实提供）</w:t>
      </w: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r>
        <w:rPr>
          <w:rFonts w:ascii="宋体" w:hAnsi="宋体"/>
          <w:color w:val="000000" w:themeColor="text1"/>
          <w:sz w:val="24"/>
        </w:rPr>
        <w:t>1</w:t>
      </w:r>
      <w:r>
        <w:rPr>
          <w:rFonts w:hint="eastAsia" w:ascii="宋体" w:hAnsi="宋体"/>
          <w:color w:val="000000" w:themeColor="text1"/>
          <w:sz w:val="24"/>
        </w:rPr>
        <w:t>7.自主创新、节能环保、中小企业等可予评分优惠的资质证书或文件复印件</w:t>
      </w: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r>
        <w:rPr>
          <w:rFonts w:ascii="宋体" w:hAnsi="宋体"/>
          <w:color w:val="000000" w:themeColor="text1"/>
          <w:sz w:val="24"/>
        </w:rPr>
        <w:t>1</w:t>
      </w:r>
      <w:r>
        <w:rPr>
          <w:rFonts w:hint="eastAsia" w:ascii="宋体" w:hAnsi="宋体"/>
          <w:color w:val="000000" w:themeColor="text1"/>
          <w:sz w:val="24"/>
        </w:rPr>
        <w:t>8.自主品牌投标人的信誉、荣誉证书或文件复印件</w:t>
      </w: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r>
        <w:rPr>
          <w:rFonts w:hint="eastAsia" w:ascii="宋体" w:hAnsi="宋体"/>
          <w:color w:val="000000" w:themeColor="text1"/>
          <w:sz w:val="24"/>
        </w:rPr>
        <w:t>19.投标人质量管理和环境认证体系等方面的资质证书或文件复印件</w:t>
      </w: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r>
        <w:rPr>
          <w:rFonts w:ascii="宋体" w:hAnsi="宋体"/>
          <w:color w:val="000000" w:themeColor="text1"/>
          <w:sz w:val="24"/>
        </w:rPr>
        <w:t>2</w:t>
      </w:r>
      <w:r>
        <w:rPr>
          <w:rFonts w:hint="eastAsia" w:ascii="宋体" w:hAnsi="宋体"/>
          <w:color w:val="000000" w:themeColor="text1"/>
          <w:sz w:val="24"/>
        </w:rPr>
        <w:t>0.投标人认为可以证明其能力或业绩的其他材料（格式自拟）</w:t>
      </w: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r>
        <w:rPr>
          <w:rFonts w:ascii="宋体" w:hAnsi="宋体"/>
          <w:color w:val="000000" w:themeColor="text1"/>
          <w:sz w:val="24"/>
        </w:rPr>
        <w:t>2</w:t>
      </w:r>
      <w:r>
        <w:rPr>
          <w:rFonts w:hint="eastAsia" w:ascii="宋体" w:hAnsi="宋体"/>
          <w:color w:val="000000" w:themeColor="text1"/>
          <w:sz w:val="24"/>
        </w:rPr>
        <w:t>1.投标人情况介绍（主要产品、技术力量、生产规模、经营业绩等，格式自拟）</w:t>
      </w: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p>
    <w:p>
      <w:pPr>
        <w:snapToGrid w:val="0"/>
        <w:spacing w:before="50"/>
        <w:ind w:firstLine="480" w:firstLineChars="200"/>
        <w:jc w:val="left"/>
        <w:rPr>
          <w:rFonts w:ascii="宋体" w:hAnsi="宋体"/>
          <w:color w:val="000000" w:themeColor="text1"/>
          <w:sz w:val="24"/>
          <w:szCs w:val="20"/>
        </w:rPr>
      </w:pPr>
    </w:p>
    <w:p>
      <w:pPr>
        <w:widowControl/>
        <w:jc w:val="left"/>
        <w:rPr>
          <w:rFonts w:ascii="宋体" w:hAnsi="宋体"/>
          <w:color w:val="000000" w:themeColor="text1"/>
          <w:sz w:val="24"/>
        </w:rPr>
        <w:sectPr>
          <w:pgSz w:w="11906" w:h="16838"/>
          <w:pgMar w:top="1474" w:right="1797" w:bottom="1247" w:left="1797" w:header="851" w:footer="851" w:gutter="0"/>
          <w:cols w:space="720" w:num="1"/>
          <w:docGrid w:linePitch="312" w:charSpace="0"/>
        </w:sectPr>
      </w:pPr>
    </w:p>
    <w:p>
      <w:pPr>
        <w:snapToGrid w:val="0"/>
        <w:spacing w:before="50"/>
        <w:jc w:val="left"/>
        <w:rPr>
          <w:rFonts w:ascii="宋体" w:hAnsi="宋体"/>
          <w:color w:val="000000" w:themeColor="text1"/>
          <w:sz w:val="24"/>
          <w:szCs w:val="20"/>
        </w:rPr>
      </w:pPr>
      <w:r>
        <w:rPr>
          <w:rFonts w:hint="eastAsia" w:ascii="宋体" w:hAnsi="宋体"/>
          <w:color w:val="000000" w:themeColor="text1"/>
          <w:sz w:val="24"/>
        </w:rPr>
        <w:t>22.商务响应表格式：</w:t>
      </w:r>
    </w:p>
    <w:p>
      <w:pPr>
        <w:snapToGrid w:val="0"/>
        <w:spacing w:before="50"/>
        <w:jc w:val="left"/>
        <w:rPr>
          <w:rFonts w:ascii="宋体" w:hAnsi="宋体"/>
          <w:color w:val="000000" w:themeColor="text1"/>
          <w:sz w:val="24"/>
          <w:szCs w:val="20"/>
          <w:u w:val="single"/>
        </w:rPr>
      </w:pPr>
      <w:r>
        <w:rPr>
          <w:rFonts w:hint="eastAsia" w:ascii="宋体" w:hAnsi="宋体"/>
          <w:color w:val="000000" w:themeColor="text1"/>
          <w:sz w:val="24"/>
        </w:rPr>
        <w:t>标项：</w:t>
      </w:r>
    </w:p>
    <w:tbl>
      <w:tblPr>
        <w:tblStyle w:val="53"/>
        <w:tblW w:w="852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48"/>
        <w:gridCol w:w="2700"/>
        <w:gridCol w:w="1260"/>
        <w:gridCol w:w="302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2" w:hRule="atLeast"/>
        </w:trPr>
        <w:tc>
          <w:tcPr>
            <w:tcW w:w="1548"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hAnsi="宋体"/>
                <w:color w:val="000000" w:themeColor="text1"/>
                <w:sz w:val="24"/>
                <w:szCs w:val="20"/>
              </w:rPr>
            </w:pPr>
            <w:r>
              <w:rPr>
                <w:rFonts w:hint="eastAsia" w:ascii="宋体" w:hAnsi="宋体"/>
                <w:color w:val="000000" w:themeColor="text1"/>
                <w:sz w:val="24"/>
              </w:rPr>
              <w:t>项目</w:t>
            </w:r>
          </w:p>
        </w:tc>
        <w:tc>
          <w:tcPr>
            <w:tcW w:w="2700"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hAnsi="宋体"/>
                <w:color w:val="000000" w:themeColor="text1"/>
                <w:sz w:val="24"/>
                <w:szCs w:val="20"/>
              </w:rPr>
            </w:pPr>
            <w:r>
              <w:rPr>
                <w:rFonts w:hint="eastAsia" w:ascii="宋体" w:hAnsi="宋体"/>
                <w:color w:val="000000" w:themeColor="text1"/>
                <w:sz w:val="24"/>
              </w:rPr>
              <w:t>招标文件要求</w:t>
            </w:r>
          </w:p>
        </w:tc>
        <w:tc>
          <w:tcPr>
            <w:tcW w:w="1260"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hAnsi="宋体"/>
                <w:color w:val="000000" w:themeColor="text1"/>
                <w:sz w:val="24"/>
                <w:szCs w:val="20"/>
              </w:rPr>
            </w:pPr>
            <w:r>
              <w:rPr>
                <w:rFonts w:hint="eastAsia" w:ascii="宋体" w:hAnsi="宋体"/>
                <w:color w:val="000000" w:themeColor="text1"/>
                <w:sz w:val="24"/>
              </w:rPr>
              <w:t>是否响应</w:t>
            </w:r>
          </w:p>
        </w:tc>
        <w:tc>
          <w:tcPr>
            <w:tcW w:w="3020"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hAnsi="宋体"/>
                <w:color w:val="000000" w:themeColor="text1"/>
                <w:sz w:val="24"/>
                <w:szCs w:val="20"/>
              </w:rPr>
            </w:pPr>
            <w:r>
              <w:rPr>
                <w:rFonts w:hint="eastAsia" w:ascii="宋体" w:hAnsi="宋体"/>
                <w:color w:val="000000" w:themeColor="text1"/>
                <w:sz w:val="24"/>
              </w:rPr>
              <w:t>投标人的承诺或说明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PrEx>
        <w:trPr>
          <w:trHeight w:val="469" w:hRule="atLeast"/>
        </w:trPr>
        <w:tc>
          <w:tcPr>
            <w:tcW w:w="1548"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hAnsi="宋体"/>
                <w:color w:val="000000" w:themeColor="text1"/>
                <w:sz w:val="24"/>
                <w:szCs w:val="20"/>
              </w:rPr>
            </w:pPr>
            <w:r>
              <w:rPr>
                <w:rFonts w:hint="eastAsia" w:ascii="宋体" w:hAnsi="宋体"/>
                <w:color w:val="000000" w:themeColor="text1"/>
                <w:sz w:val="24"/>
              </w:rPr>
              <w:t>质保期</w:t>
            </w:r>
          </w:p>
        </w:tc>
        <w:tc>
          <w:tcPr>
            <w:tcW w:w="2700"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hAnsi="宋体"/>
                <w:color w:val="000000" w:themeColor="text1"/>
                <w:sz w:val="24"/>
                <w:szCs w:val="2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hAnsi="宋体"/>
                <w:color w:val="000000" w:themeColor="text1"/>
                <w:sz w:val="24"/>
                <w:szCs w:val="20"/>
              </w:rPr>
            </w:pPr>
          </w:p>
        </w:tc>
        <w:tc>
          <w:tcPr>
            <w:tcW w:w="3020"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hAnsi="宋体"/>
                <w:color w:val="000000" w:themeColor="text1"/>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19" w:hRule="atLeast"/>
        </w:trPr>
        <w:tc>
          <w:tcPr>
            <w:tcW w:w="1548"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hAnsi="宋体"/>
                <w:color w:val="000000" w:themeColor="text1"/>
                <w:sz w:val="24"/>
                <w:szCs w:val="20"/>
              </w:rPr>
            </w:pPr>
            <w:r>
              <w:rPr>
                <w:rFonts w:hint="eastAsia" w:ascii="宋体" w:hAnsi="宋体"/>
                <w:color w:val="000000" w:themeColor="text1"/>
                <w:sz w:val="24"/>
              </w:rPr>
              <w:t>售后技术服务要求</w:t>
            </w:r>
          </w:p>
        </w:tc>
        <w:tc>
          <w:tcPr>
            <w:tcW w:w="2700"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hAnsi="宋体"/>
                <w:color w:val="000000" w:themeColor="text1"/>
                <w:sz w:val="24"/>
                <w:szCs w:val="2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hAnsi="宋体"/>
                <w:color w:val="000000" w:themeColor="text1"/>
                <w:sz w:val="24"/>
                <w:szCs w:val="20"/>
              </w:rPr>
            </w:pPr>
          </w:p>
        </w:tc>
        <w:tc>
          <w:tcPr>
            <w:tcW w:w="3020"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hAnsi="宋体"/>
                <w:color w:val="000000" w:themeColor="text1"/>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38" w:hRule="atLeast"/>
        </w:trPr>
        <w:tc>
          <w:tcPr>
            <w:tcW w:w="1548"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hAnsi="宋体"/>
                <w:color w:val="000000" w:themeColor="text1"/>
                <w:sz w:val="24"/>
                <w:szCs w:val="20"/>
              </w:rPr>
            </w:pPr>
            <w:r>
              <w:rPr>
                <w:rFonts w:hint="eastAsia" w:ascii="宋体" w:hAnsi="宋体"/>
                <w:color w:val="000000" w:themeColor="text1"/>
                <w:sz w:val="24"/>
              </w:rPr>
              <w:t>交货时间及地点</w:t>
            </w:r>
          </w:p>
        </w:tc>
        <w:tc>
          <w:tcPr>
            <w:tcW w:w="2700"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hAnsi="宋体"/>
                <w:color w:val="000000" w:themeColor="text1"/>
                <w:sz w:val="24"/>
                <w:szCs w:val="2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Lines="50"/>
              <w:ind w:left="43"/>
              <w:rPr>
                <w:rFonts w:ascii="宋体" w:hAnsi="宋体"/>
                <w:color w:val="000000" w:themeColor="text1"/>
                <w:sz w:val="24"/>
                <w:szCs w:val="20"/>
              </w:rPr>
            </w:pPr>
          </w:p>
        </w:tc>
        <w:tc>
          <w:tcPr>
            <w:tcW w:w="3020" w:type="dxa"/>
            <w:tcBorders>
              <w:top w:val="single" w:color="auto" w:sz="4" w:space="0"/>
              <w:left w:val="single" w:color="auto" w:sz="4" w:space="0"/>
              <w:bottom w:val="single" w:color="auto" w:sz="4" w:space="0"/>
              <w:right w:val="single" w:color="auto" w:sz="4" w:space="0"/>
            </w:tcBorders>
          </w:tcPr>
          <w:p>
            <w:pPr>
              <w:snapToGrid w:val="0"/>
              <w:spacing w:beforeLines="50"/>
              <w:ind w:left="43"/>
              <w:rPr>
                <w:rFonts w:ascii="宋体" w:hAnsi="宋体"/>
                <w:color w:val="000000" w:themeColor="text1"/>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20" w:hRule="atLeast"/>
        </w:trPr>
        <w:tc>
          <w:tcPr>
            <w:tcW w:w="1548"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hAnsi="宋体"/>
                <w:color w:val="000000" w:themeColor="text1"/>
                <w:sz w:val="24"/>
                <w:szCs w:val="20"/>
              </w:rPr>
            </w:pPr>
            <w:r>
              <w:rPr>
                <w:rFonts w:hint="eastAsia" w:ascii="宋体" w:hAnsi="宋体"/>
                <w:color w:val="000000" w:themeColor="text1"/>
                <w:sz w:val="24"/>
              </w:rPr>
              <w:t>付款条件</w:t>
            </w:r>
          </w:p>
        </w:tc>
        <w:tc>
          <w:tcPr>
            <w:tcW w:w="2700"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hAnsi="宋体"/>
                <w:color w:val="000000" w:themeColor="text1"/>
                <w:sz w:val="24"/>
                <w:szCs w:val="2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hAnsi="宋体"/>
                <w:color w:val="000000" w:themeColor="text1"/>
                <w:sz w:val="24"/>
                <w:szCs w:val="20"/>
              </w:rPr>
            </w:pPr>
          </w:p>
        </w:tc>
        <w:tc>
          <w:tcPr>
            <w:tcW w:w="3020"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hAnsi="宋体"/>
                <w:color w:val="000000" w:themeColor="text1"/>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hAnsi="宋体"/>
                <w:color w:val="000000" w:themeColor="text1"/>
                <w:sz w:val="24"/>
                <w:szCs w:val="20"/>
              </w:rPr>
            </w:pPr>
            <w:r>
              <w:rPr>
                <w:rFonts w:hint="eastAsia" w:ascii="宋体" w:hAnsi="宋体"/>
                <w:color w:val="000000" w:themeColor="text1"/>
                <w:sz w:val="24"/>
              </w:rPr>
              <w:t>备品备件及耗材等要求</w:t>
            </w:r>
          </w:p>
        </w:tc>
        <w:tc>
          <w:tcPr>
            <w:tcW w:w="2700"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hAnsi="宋体"/>
                <w:color w:val="000000" w:themeColor="text1"/>
                <w:sz w:val="24"/>
                <w:szCs w:val="2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hAnsi="宋体"/>
                <w:color w:val="000000" w:themeColor="text1"/>
                <w:sz w:val="24"/>
                <w:szCs w:val="20"/>
              </w:rPr>
            </w:pPr>
          </w:p>
        </w:tc>
        <w:tc>
          <w:tcPr>
            <w:tcW w:w="3020"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hAnsi="宋体"/>
                <w:color w:val="000000" w:themeColor="text1"/>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hAnsi="宋体"/>
                <w:color w:val="000000" w:themeColor="text1"/>
                <w:sz w:val="24"/>
                <w:szCs w:val="20"/>
              </w:rPr>
            </w:pPr>
            <w:r>
              <w:rPr>
                <w:rFonts w:hint="eastAsia" w:ascii="宋体" w:hAnsi="宋体"/>
                <w:color w:val="000000" w:themeColor="text1"/>
                <w:sz w:val="24"/>
              </w:rPr>
              <w:t>…</w:t>
            </w:r>
          </w:p>
        </w:tc>
        <w:tc>
          <w:tcPr>
            <w:tcW w:w="2700"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hAnsi="宋体"/>
                <w:color w:val="000000" w:themeColor="text1"/>
                <w:sz w:val="24"/>
                <w:szCs w:val="2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hAnsi="宋体"/>
                <w:color w:val="000000" w:themeColor="text1"/>
                <w:sz w:val="24"/>
                <w:szCs w:val="20"/>
              </w:rPr>
            </w:pPr>
          </w:p>
        </w:tc>
        <w:tc>
          <w:tcPr>
            <w:tcW w:w="3020"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hAnsi="宋体"/>
                <w:color w:val="000000" w:themeColor="text1"/>
                <w:sz w:val="24"/>
                <w:szCs w:val="20"/>
              </w:rPr>
            </w:pPr>
          </w:p>
        </w:tc>
      </w:tr>
    </w:tbl>
    <w:p>
      <w:pPr>
        <w:snapToGrid w:val="0"/>
        <w:spacing w:beforeLines="50"/>
        <w:rPr>
          <w:rFonts w:ascii="宋体" w:hAnsi="宋体"/>
          <w:color w:val="000000" w:themeColor="text1"/>
          <w:sz w:val="24"/>
          <w:szCs w:val="20"/>
        </w:rPr>
      </w:pPr>
    </w:p>
    <w:p>
      <w:pPr>
        <w:snapToGrid w:val="0"/>
        <w:spacing w:before="50" w:afterLines="50"/>
        <w:jc w:val="left"/>
        <w:rPr>
          <w:rFonts w:ascii="宋体" w:hAnsi="宋体"/>
          <w:color w:val="000000" w:themeColor="text1"/>
          <w:sz w:val="32"/>
          <w:szCs w:val="20"/>
        </w:rPr>
      </w:pPr>
    </w:p>
    <w:p>
      <w:pPr>
        <w:pStyle w:val="25"/>
        <w:snapToGrid w:val="0"/>
        <w:spacing w:before="120" w:after="120" w:line="240" w:lineRule="auto"/>
        <w:ind w:firstLine="420"/>
        <w:rPr>
          <w:rFonts w:hAnsi="宋体"/>
          <w:color w:val="000000" w:themeColor="text1"/>
        </w:rPr>
      </w:pPr>
    </w:p>
    <w:p>
      <w:pPr>
        <w:pStyle w:val="25"/>
        <w:snapToGrid w:val="0"/>
        <w:spacing w:before="120" w:after="120" w:line="240" w:lineRule="auto"/>
        <w:rPr>
          <w:rFonts w:hAnsi="宋体"/>
          <w:color w:val="000000" w:themeColor="text1"/>
        </w:rPr>
      </w:pPr>
    </w:p>
    <w:p>
      <w:pPr>
        <w:snapToGrid w:val="0"/>
        <w:spacing w:beforeLines="50" w:after="50"/>
        <w:jc w:val="center"/>
        <w:rPr>
          <w:rFonts w:ascii="宋体" w:hAnsi="宋体"/>
          <w:color w:val="000000" w:themeColor="text1"/>
          <w:sz w:val="30"/>
          <w:szCs w:val="20"/>
        </w:rPr>
      </w:pPr>
      <w:r>
        <w:rPr>
          <w:rFonts w:ascii="宋体" w:hAnsi="宋体"/>
          <w:color w:val="000000" w:themeColor="text1"/>
          <w:sz w:val="30"/>
        </w:rPr>
        <w:br w:type="page"/>
      </w:r>
      <w:r>
        <w:rPr>
          <w:rFonts w:hint="eastAsia" w:ascii="宋体" w:hAnsi="宋体"/>
          <w:color w:val="000000" w:themeColor="text1"/>
          <w:sz w:val="24"/>
        </w:rPr>
        <w:t>三、技术文件格式</w:t>
      </w:r>
    </w:p>
    <w:p>
      <w:pPr>
        <w:snapToGrid w:val="0"/>
        <w:spacing w:beforeLines="50" w:after="50"/>
        <w:rPr>
          <w:rFonts w:ascii="宋体" w:hAnsi="宋体"/>
          <w:bCs/>
          <w:color w:val="000000" w:themeColor="text1"/>
          <w:sz w:val="24"/>
          <w:szCs w:val="20"/>
        </w:rPr>
      </w:pPr>
      <w:r>
        <w:rPr>
          <w:rFonts w:ascii="宋体" w:hAnsi="宋体"/>
          <w:bCs/>
          <w:color w:val="000000" w:themeColor="text1"/>
          <w:sz w:val="24"/>
        </w:rPr>
        <w:t>2</w:t>
      </w:r>
      <w:r>
        <w:rPr>
          <w:rFonts w:hint="eastAsia" w:ascii="宋体" w:hAnsi="宋体"/>
          <w:bCs/>
          <w:color w:val="000000" w:themeColor="text1"/>
          <w:sz w:val="24"/>
        </w:rPr>
        <w:t>3.技术文件的外包装封面格式（不可缺）：</w:t>
      </w:r>
    </w:p>
    <w:p>
      <w:pPr>
        <w:snapToGrid w:val="0"/>
        <w:spacing w:beforeLines="50" w:after="50"/>
        <w:rPr>
          <w:rFonts w:ascii="宋体" w:hAnsi="宋体"/>
          <w:bCs/>
          <w:color w:val="000000" w:themeColor="text1"/>
          <w:sz w:val="24"/>
          <w:szCs w:val="20"/>
        </w:rPr>
      </w:pPr>
    </w:p>
    <w:p>
      <w:pPr>
        <w:snapToGrid w:val="0"/>
        <w:spacing w:beforeLines="50" w:after="50"/>
        <w:jc w:val="center"/>
        <w:rPr>
          <w:rFonts w:ascii="宋体" w:hAnsi="宋体"/>
          <w:bCs/>
          <w:color w:val="000000" w:themeColor="text1"/>
          <w:sz w:val="24"/>
          <w:szCs w:val="20"/>
        </w:rPr>
      </w:pPr>
    </w:p>
    <w:p>
      <w:pPr>
        <w:snapToGrid w:val="0"/>
        <w:spacing w:beforeLines="50" w:after="50"/>
        <w:jc w:val="center"/>
        <w:rPr>
          <w:rFonts w:ascii="宋体" w:hAnsi="宋体"/>
          <w:bCs/>
          <w:color w:val="000000" w:themeColor="text1"/>
          <w:sz w:val="24"/>
          <w:szCs w:val="20"/>
        </w:rPr>
      </w:pPr>
      <w:r>
        <w:rPr>
          <w:rFonts w:hint="eastAsia" w:ascii="宋体" w:hAnsi="宋体"/>
          <w:bCs/>
          <w:color w:val="000000" w:themeColor="text1"/>
          <w:sz w:val="24"/>
        </w:rPr>
        <w:t>技术文件</w:t>
      </w:r>
    </w:p>
    <w:p>
      <w:pPr>
        <w:snapToGrid w:val="0"/>
        <w:spacing w:beforeLines="50" w:after="50"/>
        <w:rPr>
          <w:rFonts w:ascii="宋体" w:hAnsi="宋体"/>
          <w:bCs/>
          <w:color w:val="000000" w:themeColor="text1"/>
          <w:sz w:val="24"/>
          <w:szCs w:val="20"/>
        </w:rPr>
      </w:pPr>
    </w:p>
    <w:p>
      <w:pPr>
        <w:snapToGrid w:val="0"/>
        <w:spacing w:beforeLines="50" w:after="50"/>
        <w:ind w:firstLine="960" w:firstLineChars="400"/>
        <w:rPr>
          <w:rFonts w:ascii="宋体" w:hAnsi="宋体"/>
          <w:bCs/>
          <w:color w:val="000000" w:themeColor="text1"/>
          <w:sz w:val="24"/>
          <w:szCs w:val="20"/>
        </w:rPr>
      </w:pPr>
      <w:r>
        <w:rPr>
          <w:rFonts w:hint="eastAsia" w:ascii="宋体" w:hAnsi="宋体"/>
          <w:bCs/>
          <w:color w:val="000000" w:themeColor="text1"/>
          <w:sz w:val="24"/>
        </w:rPr>
        <w:t>项目名称：单位（货物</w:t>
      </w:r>
      <w:r>
        <w:rPr>
          <w:rFonts w:ascii="宋体" w:hAnsi="宋体"/>
          <w:bCs/>
          <w:color w:val="000000" w:themeColor="text1"/>
          <w:sz w:val="24"/>
        </w:rPr>
        <w:t>/</w:t>
      </w:r>
      <w:r>
        <w:rPr>
          <w:rFonts w:hint="eastAsia" w:ascii="宋体" w:hAnsi="宋体"/>
          <w:bCs/>
          <w:color w:val="000000" w:themeColor="text1"/>
          <w:sz w:val="24"/>
        </w:rPr>
        <w:t>服务）项目</w:t>
      </w:r>
    </w:p>
    <w:p>
      <w:pPr>
        <w:snapToGrid w:val="0"/>
        <w:spacing w:beforeLines="50" w:after="50"/>
        <w:ind w:firstLine="480" w:firstLineChars="200"/>
        <w:rPr>
          <w:rFonts w:ascii="宋体" w:hAnsi="宋体"/>
          <w:bCs/>
          <w:color w:val="000000" w:themeColor="text1"/>
          <w:sz w:val="24"/>
          <w:szCs w:val="20"/>
        </w:rPr>
      </w:pPr>
      <w:r>
        <w:rPr>
          <w:rFonts w:hint="eastAsia" w:ascii="宋体" w:hAnsi="宋体"/>
          <w:bCs/>
          <w:color w:val="000000" w:themeColor="text1"/>
          <w:sz w:val="24"/>
        </w:rPr>
        <w:t>项目编号：</w:t>
      </w:r>
    </w:p>
    <w:p>
      <w:pPr>
        <w:snapToGrid w:val="0"/>
        <w:spacing w:beforeLines="50" w:after="50"/>
        <w:ind w:firstLine="480" w:firstLineChars="200"/>
        <w:rPr>
          <w:rFonts w:ascii="宋体" w:hAnsi="宋体"/>
          <w:bCs/>
          <w:color w:val="000000" w:themeColor="text1"/>
          <w:sz w:val="24"/>
          <w:szCs w:val="20"/>
        </w:rPr>
      </w:pPr>
      <w:r>
        <w:rPr>
          <w:rFonts w:hint="eastAsia" w:ascii="宋体" w:hAnsi="宋体"/>
          <w:bCs/>
          <w:color w:val="000000" w:themeColor="text1"/>
          <w:sz w:val="24"/>
        </w:rPr>
        <w:t>标项</w:t>
      </w:r>
      <w:r>
        <w:rPr>
          <w:rFonts w:ascii="宋体" w:hAnsi="宋体"/>
          <w:bCs/>
          <w:color w:val="000000" w:themeColor="text1"/>
          <w:sz w:val="24"/>
        </w:rPr>
        <w:t>:</w:t>
      </w:r>
    </w:p>
    <w:p>
      <w:pPr>
        <w:pStyle w:val="15"/>
        <w:snapToGrid w:val="0"/>
        <w:spacing w:before="50" w:after="50"/>
        <w:ind w:firstLine="1020" w:firstLineChars="425"/>
        <w:rPr>
          <w:rFonts w:ascii="宋体" w:hAnsi="宋体"/>
          <w:bCs/>
          <w:color w:val="000000" w:themeColor="text1"/>
          <w:sz w:val="24"/>
          <w:szCs w:val="24"/>
        </w:rPr>
      </w:pPr>
      <w:r>
        <w:rPr>
          <w:rFonts w:hint="eastAsia" w:ascii="宋体" w:hAnsi="宋体"/>
          <w:bCs/>
          <w:color w:val="000000" w:themeColor="text1"/>
          <w:sz w:val="24"/>
          <w:szCs w:val="24"/>
        </w:rPr>
        <w:t>投标人名称：</w:t>
      </w:r>
    </w:p>
    <w:p>
      <w:pPr>
        <w:pStyle w:val="15"/>
        <w:snapToGrid w:val="0"/>
        <w:spacing w:before="50" w:after="50"/>
        <w:ind w:firstLine="1020" w:firstLineChars="425"/>
        <w:rPr>
          <w:rFonts w:ascii="宋体" w:hAnsi="宋体"/>
          <w:bCs/>
          <w:color w:val="000000" w:themeColor="text1"/>
          <w:sz w:val="24"/>
          <w:szCs w:val="24"/>
        </w:rPr>
      </w:pPr>
      <w:r>
        <w:rPr>
          <w:rFonts w:hint="eastAsia" w:ascii="宋体" w:hAnsi="宋体"/>
          <w:bCs/>
          <w:color w:val="000000" w:themeColor="text1"/>
          <w:sz w:val="24"/>
          <w:szCs w:val="24"/>
        </w:rPr>
        <w:t>投标人地址：</w:t>
      </w:r>
    </w:p>
    <w:p>
      <w:pPr>
        <w:pStyle w:val="15"/>
        <w:snapToGrid w:val="0"/>
        <w:spacing w:before="50" w:after="50"/>
        <w:ind w:firstLine="1080" w:firstLineChars="450"/>
        <w:rPr>
          <w:rFonts w:ascii="宋体" w:hAnsi="宋体"/>
          <w:bCs/>
          <w:color w:val="000000" w:themeColor="text1"/>
          <w:sz w:val="24"/>
          <w:szCs w:val="24"/>
        </w:rPr>
      </w:pPr>
      <w:r>
        <w:rPr>
          <w:rFonts w:hint="eastAsia" w:ascii="宋体" w:hAnsi="宋体"/>
          <w:bCs/>
          <w:color w:val="000000" w:themeColor="text1"/>
          <w:sz w:val="24"/>
          <w:szCs w:val="24"/>
        </w:rPr>
        <w:t>在年月日时分之前不得启封</w:t>
      </w:r>
    </w:p>
    <w:p>
      <w:pPr>
        <w:pStyle w:val="15"/>
        <w:snapToGrid w:val="0"/>
        <w:spacing w:before="50" w:after="50"/>
        <w:ind w:firstLine="1497" w:firstLineChars="416"/>
        <w:rPr>
          <w:rFonts w:ascii="宋体" w:hAnsi="宋体"/>
          <w:color w:val="000000" w:themeColor="text1"/>
          <w:sz w:val="36"/>
        </w:rPr>
      </w:pPr>
    </w:p>
    <w:p>
      <w:pPr>
        <w:snapToGrid w:val="0"/>
        <w:spacing w:beforeLines="50" w:after="50"/>
        <w:ind w:firstLine="4080" w:firstLineChars="1700"/>
        <w:rPr>
          <w:rFonts w:ascii="宋体" w:hAnsi="宋体"/>
          <w:color w:val="000000" w:themeColor="text1"/>
          <w:sz w:val="24"/>
          <w:szCs w:val="20"/>
        </w:rPr>
      </w:pPr>
    </w:p>
    <w:p>
      <w:pPr>
        <w:snapToGrid w:val="0"/>
        <w:spacing w:beforeLines="50" w:after="50"/>
        <w:ind w:firstLine="645"/>
        <w:jc w:val="center"/>
        <w:rPr>
          <w:rFonts w:ascii="宋体" w:hAnsi="宋体"/>
          <w:color w:val="000000" w:themeColor="text1"/>
          <w:sz w:val="24"/>
          <w:szCs w:val="20"/>
        </w:rPr>
      </w:pPr>
      <w:r>
        <w:rPr>
          <w:rFonts w:hint="eastAsia" w:ascii="宋体" w:hAnsi="宋体"/>
          <w:color w:val="000000" w:themeColor="text1"/>
          <w:sz w:val="24"/>
        </w:rPr>
        <w:t>年月日</w:t>
      </w:r>
    </w:p>
    <w:p>
      <w:pPr>
        <w:snapToGrid w:val="0"/>
        <w:spacing w:beforeLines="50" w:after="50"/>
        <w:rPr>
          <w:rFonts w:ascii="宋体" w:hAnsi="宋体"/>
          <w:color w:val="000000" w:themeColor="text1"/>
          <w:sz w:val="24"/>
          <w:szCs w:val="20"/>
        </w:rPr>
      </w:pPr>
    </w:p>
    <w:p>
      <w:pPr>
        <w:snapToGrid w:val="0"/>
        <w:spacing w:beforeLines="50" w:after="50"/>
        <w:rPr>
          <w:rFonts w:ascii="宋体" w:hAnsi="宋体"/>
          <w:color w:val="000000" w:themeColor="text1"/>
          <w:sz w:val="24"/>
          <w:szCs w:val="20"/>
        </w:rPr>
      </w:pPr>
    </w:p>
    <w:p>
      <w:pPr>
        <w:snapToGrid w:val="0"/>
        <w:spacing w:beforeLines="50" w:after="50"/>
        <w:rPr>
          <w:rFonts w:ascii="宋体" w:hAnsi="宋体"/>
          <w:color w:val="000000" w:themeColor="text1"/>
        </w:rPr>
      </w:pPr>
    </w:p>
    <w:p>
      <w:pPr>
        <w:snapToGrid w:val="0"/>
        <w:spacing w:beforeLines="50" w:after="50"/>
        <w:rPr>
          <w:rFonts w:ascii="宋体" w:hAnsi="宋体"/>
          <w:color w:val="000000" w:themeColor="text1"/>
          <w:sz w:val="24"/>
          <w:szCs w:val="20"/>
        </w:rPr>
      </w:pPr>
      <w:r>
        <w:rPr>
          <w:rFonts w:ascii="宋体" w:hAnsi="宋体"/>
          <w:color w:val="000000" w:themeColor="text1"/>
          <w:sz w:val="24"/>
        </w:rPr>
        <w:t>2</w:t>
      </w:r>
      <w:r>
        <w:rPr>
          <w:rFonts w:hint="eastAsia" w:ascii="宋体" w:hAnsi="宋体"/>
          <w:color w:val="000000" w:themeColor="text1"/>
          <w:sz w:val="24"/>
        </w:rPr>
        <w:t>4.技术文件封面格式：</w:t>
      </w:r>
    </w:p>
    <w:p>
      <w:pPr>
        <w:snapToGrid w:val="0"/>
        <w:spacing w:beforeLines="50" w:after="50"/>
        <w:rPr>
          <w:rFonts w:ascii="宋体" w:hAnsi="宋体"/>
          <w:b/>
          <w:bCs/>
          <w:color w:val="000000" w:themeColor="text1"/>
          <w:sz w:val="32"/>
          <w:szCs w:val="20"/>
        </w:rPr>
      </w:pPr>
      <w:r>
        <w:rPr>
          <w:rFonts w:hint="eastAsia" w:ascii="宋体" w:hAnsi="宋体"/>
          <w:b/>
          <w:bCs/>
          <w:color w:val="000000" w:themeColor="text1"/>
        </w:rPr>
        <w:t>正本</w:t>
      </w:r>
      <w:r>
        <w:rPr>
          <w:rFonts w:ascii="宋体" w:hAnsi="宋体"/>
          <w:b/>
          <w:bCs/>
          <w:color w:val="000000" w:themeColor="text1"/>
        </w:rPr>
        <w:t>/</w:t>
      </w:r>
      <w:r>
        <w:rPr>
          <w:rFonts w:hint="eastAsia" w:ascii="宋体" w:hAnsi="宋体"/>
          <w:b/>
          <w:bCs/>
          <w:color w:val="000000" w:themeColor="text1"/>
        </w:rPr>
        <w:t>或副本</w:t>
      </w:r>
    </w:p>
    <w:p>
      <w:pPr>
        <w:snapToGrid w:val="0"/>
        <w:spacing w:beforeLines="50" w:after="50"/>
        <w:rPr>
          <w:rFonts w:ascii="宋体" w:hAnsi="宋体"/>
          <w:color w:val="000000" w:themeColor="text1"/>
          <w:sz w:val="24"/>
          <w:szCs w:val="20"/>
        </w:rPr>
      </w:pPr>
    </w:p>
    <w:p>
      <w:pPr>
        <w:snapToGrid w:val="0"/>
        <w:spacing w:beforeLines="50" w:after="50"/>
        <w:jc w:val="center"/>
        <w:rPr>
          <w:rFonts w:ascii="宋体" w:hAnsi="宋体"/>
          <w:bCs/>
          <w:color w:val="000000" w:themeColor="text1"/>
          <w:sz w:val="24"/>
          <w:szCs w:val="20"/>
        </w:rPr>
      </w:pPr>
    </w:p>
    <w:p>
      <w:pPr>
        <w:snapToGrid w:val="0"/>
        <w:spacing w:beforeLines="50" w:after="50"/>
        <w:jc w:val="center"/>
        <w:rPr>
          <w:rFonts w:ascii="宋体" w:hAnsi="宋体"/>
          <w:bCs/>
          <w:color w:val="000000" w:themeColor="text1"/>
          <w:sz w:val="24"/>
          <w:szCs w:val="20"/>
        </w:rPr>
      </w:pPr>
      <w:r>
        <w:rPr>
          <w:rFonts w:hint="eastAsia" w:ascii="宋体" w:hAnsi="宋体"/>
          <w:bCs/>
          <w:color w:val="000000" w:themeColor="text1"/>
          <w:sz w:val="24"/>
        </w:rPr>
        <w:t>技术文件</w:t>
      </w:r>
    </w:p>
    <w:p>
      <w:pPr>
        <w:snapToGrid w:val="0"/>
        <w:spacing w:beforeLines="50" w:after="50"/>
        <w:rPr>
          <w:rFonts w:ascii="宋体" w:hAnsi="宋体"/>
          <w:bCs/>
          <w:color w:val="000000" w:themeColor="text1"/>
          <w:sz w:val="24"/>
          <w:szCs w:val="20"/>
        </w:rPr>
      </w:pPr>
    </w:p>
    <w:p>
      <w:pPr>
        <w:snapToGrid w:val="0"/>
        <w:spacing w:beforeLines="50" w:after="50"/>
        <w:ind w:firstLine="1068" w:firstLineChars="445"/>
        <w:rPr>
          <w:rFonts w:ascii="宋体" w:hAnsi="宋体"/>
          <w:bCs/>
          <w:color w:val="000000" w:themeColor="text1"/>
          <w:sz w:val="24"/>
          <w:szCs w:val="20"/>
        </w:rPr>
      </w:pPr>
      <w:r>
        <w:rPr>
          <w:rFonts w:hint="eastAsia" w:ascii="宋体" w:hAnsi="宋体"/>
          <w:bCs/>
          <w:color w:val="000000" w:themeColor="text1"/>
          <w:sz w:val="24"/>
        </w:rPr>
        <w:t>项目名称：单位（货物</w:t>
      </w:r>
      <w:r>
        <w:rPr>
          <w:rFonts w:ascii="宋体" w:hAnsi="宋体"/>
          <w:bCs/>
          <w:color w:val="000000" w:themeColor="text1"/>
          <w:sz w:val="24"/>
        </w:rPr>
        <w:t>/</w:t>
      </w:r>
      <w:r>
        <w:rPr>
          <w:rFonts w:hint="eastAsia" w:ascii="宋体" w:hAnsi="宋体"/>
          <w:bCs/>
          <w:color w:val="000000" w:themeColor="text1"/>
          <w:sz w:val="24"/>
        </w:rPr>
        <w:t>服务）项目</w:t>
      </w:r>
    </w:p>
    <w:p>
      <w:pPr>
        <w:snapToGrid w:val="0"/>
        <w:spacing w:beforeLines="50" w:after="50"/>
        <w:ind w:firstLine="480" w:firstLineChars="200"/>
        <w:rPr>
          <w:rFonts w:ascii="宋体" w:hAnsi="宋体"/>
          <w:bCs/>
          <w:color w:val="000000" w:themeColor="text1"/>
          <w:sz w:val="24"/>
          <w:szCs w:val="20"/>
        </w:rPr>
      </w:pPr>
      <w:r>
        <w:rPr>
          <w:rFonts w:hint="eastAsia" w:ascii="宋体" w:hAnsi="宋体"/>
          <w:bCs/>
          <w:color w:val="000000" w:themeColor="text1"/>
          <w:sz w:val="24"/>
        </w:rPr>
        <w:t>项目编号：</w:t>
      </w:r>
    </w:p>
    <w:p>
      <w:pPr>
        <w:snapToGrid w:val="0"/>
        <w:spacing w:beforeLines="50" w:after="50"/>
        <w:ind w:firstLine="480" w:firstLineChars="200"/>
        <w:rPr>
          <w:rFonts w:ascii="宋体" w:hAnsi="宋体"/>
          <w:bCs/>
          <w:color w:val="000000" w:themeColor="text1"/>
          <w:sz w:val="24"/>
          <w:szCs w:val="20"/>
        </w:rPr>
      </w:pPr>
      <w:r>
        <w:rPr>
          <w:rFonts w:hint="eastAsia" w:ascii="宋体" w:hAnsi="宋体"/>
          <w:bCs/>
          <w:color w:val="000000" w:themeColor="text1"/>
          <w:sz w:val="24"/>
        </w:rPr>
        <w:t>标项</w:t>
      </w:r>
      <w:r>
        <w:rPr>
          <w:rFonts w:ascii="宋体" w:hAnsi="宋体"/>
          <w:bCs/>
          <w:color w:val="000000" w:themeColor="text1"/>
          <w:sz w:val="24"/>
        </w:rPr>
        <w:t>:</w:t>
      </w:r>
    </w:p>
    <w:p>
      <w:pPr>
        <w:pStyle w:val="15"/>
        <w:snapToGrid w:val="0"/>
        <w:spacing w:before="50" w:after="50"/>
        <w:ind w:firstLine="998" w:firstLineChars="416"/>
        <w:rPr>
          <w:rFonts w:ascii="宋体" w:hAnsi="宋体"/>
          <w:bCs/>
          <w:color w:val="000000" w:themeColor="text1"/>
          <w:sz w:val="24"/>
          <w:szCs w:val="24"/>
        </w:rPr>
      </w:pPr>
      <w:r>
        <w:rPr>
          <w:rFonts w:hint="eastAsia" w:ascii="宋体" w:hAnsi="宋体"/>
          <w:bCs/>
          <w:color w:val="000000" w:themeColor="text1"/>
          <w:sz w:val="24"/>
          <w:szCs w:val="24"/>
        </w:rPr>
        <w:t>投标人名称：</w:t>
      </w:r>
    </w:p>
    <w:p>
      <w:pPr>
        <w:pStyle w:val="15"/>
        <w:snapToGrid w:val="0"/>
        <w:spacing w:before="50" w:after="50"/>
        <w:ind w:firstLine="998" w:firstLineChars="416"/>
        <w:rPr>
          <w:rFonts w:ascii="宋体" w:hAnsi="宋体"/>
          <w:bCs/>
          <w:color w:val="000000" w:themeColor="text1"/>
          <w:sz w:val="24"/>
          <w:szCs w:val="24"/>
        </w:rPr>
      </w:pPr>
      <w:r>
        <w:rPr>
          <w:rFonts w:hint="eastAsia" w:ascii="宋体" w:hAnsi="宋体"/>
          <w:bCs/>
          <w:color w:val="000000" w:themeColor="text1"/>
          <w:sz w:val="24"/>
          <w:szCs w:val="24"/>
        </w:rPr>
        <w:t>投标人地址：</w:t>
      </w:r>
    </w:p>
    <w:p>
      <w:pPr>
        <w:pStyle w:val="15"/>
        <w:snapToGrid w:val="0"/>
        <w:spacing w:before="50" w:after="50"/>
        <w:ind w:firstLine="960" w:firstLineChars="400"/>
        <w:rPr>
          <w:rFonts w:ascii="宋体" w:hAnsi="宋体"/>
          <w:bCs/>
          <w:color w:val="000000" w:themeColor="text1"/>
          <w:sz w:val="24"/>
          <w:szCs w:val="24"/>
        </w:rPr>
      </w:pPr>
    </w:p>
    <w:p>
      <w:pPr>
        <w:pStyle w:val="15"/>
        <w:snapToGrid w:val="0"/>
        <w:spacing w:before="50" w:after="50"/>
        <w:ind w:firstLine="1497" w:firstLineChars="416"/>
        <w:rPr>
          <w:rFonts w:ascii="宋体" w:hAnsi="宋体"/>
          <w:color w:val="000000" w:themeColor="text1"/>
          <w:sz w:val="36"/>
        </w:rPr>
      </w:pPr>
    </w:p>
    <w:p>
      <w:pPr>
        <w:snapToGrid w:val="0"/>
        <w:spacing w:beforeLines="50" w:after="50"/>
        <w:ind w:firstLine="4080" w:firstLineChars="1700"/>
        <w:rPr>
          <w:rFonts w:ascii="宋体" w:hAnsi="宋体"/>
          <w:color w:val="000000" w:themeColor="text1"/>
          <w:sz w:val="24"/>
          <w:szCs w:val="20"/>
        </w:rPr>
      </w:pPr>
    </w:p>
    <w:p>
      <w:pPr>
        <w:snapToGrid w:val="0"/>
        <w:spacing w:beforeLines="50" w:after="50"/>
        <w:ind w:firstLine="645"/>
        <w:jc w:val="center"/>
        <w:rPr>
          <w:rFonts w:ascii="宋体" w:hAnsi="宋体"/>
          <w:color w:val="000000" w:themeColor="text1"/>
          <w:sz w:val="24"/>
          <w:szCs w:val="20"/>
        </w:rPr>
      </w:pPr>
      <w:r>
        <w:rPr>
          <w:rFonts w:hint="eastAsia" w:ascii="宋体" w:hAnsi="宋体"/>
          <w:color w:val="000000" w:themeColor="text1"/>
          <w:sz w:val="24"/>
        </w:rPr>
        <w:t>年月日</w:t>
      </w:r>
    </w:p>
    <w:p>
      <w:pPr>
        <w:snapToGrid w:val="0"/>
        <w:spacing w:before="50" w:after="50"/>
        <w:rPr>
          <w:rFonts w:ascii="宋体" w:hAnsi="宋体"/>
          <w:color w:val="000000" w:themeColor="text1"/>
          <w:sz w:val="24"/>
        </w:rPr>
      </w:pPr>
    </w:p>
    <w:p>
      <w:pPr>
        <w:snapToGrid w:val="0"/>
        <w:spacing w:before="50" w:after="50"/>
        <w:rPr>
          <w:rFonts w:ascii="宋体" w:hAnsi="宋体"/>
          <w:color w:val="000000" w:themeColor="text1"/>
          <w:sz w:val="24"/>
        </w:rPr>
      </w:pPr>
    </w:p>
    <w:p>
      <w:pPr>
        <w:snapToGrid w:val="0"/>
        <w:spacing w:before="50" w:after="50"/>
        <w:rPr>
          <w:rFonts w:ascii="宋体" w:hAnsi="宋体"/>
          <w:color w:val="000000" w:themeColor="text1"/>
          <w:sz w:val="24"/>
          <w:szCs w:val="20"/>
        </w:rPr>
      </w:pPr>
      <w:r>
        <w:rPr>
          <w:rFonts w:ascii="宋体" w:hAnsi="宋体"/>
          <w:color w:val="000000" w:themeColor="text1"/>
          <w:sz w:val="24"/>
        </w:rPr>
        <w:t>2</w:t>
      </w:r>
      <w:r>
        <w:rPr>
          <w:rFonts w:hint="eastAsia" w:ascii="宋体" w:hAnsi="宋体"/>
          <w:color w:val="000000" w:themeColor="text1"/>
          <w:sz w:val="24"/>
        </w:rPr>
        <w:t>5.</w:t>
      </w:r>
      <w:r>
        <w:rPr>
          <w:rFonts w:hint="eastAsia" w:ascii="宋体" w:hAnsi="宋体"/>
          <w:b/>
          <w:bCs/>
          <w:color w:val="000000" w:themeColor="text1"/>
          <w:sz w:val="24"/>
        </w:rPr>
        <w:t>技术文件目录</w:t>
      </w:r>
    </w:p>
    <w:p>
      <w:pPr>
        <w:snapToGrid w:val="0"/>
        <w:spacing w:before="50" w:after="50"/>
        <w:rPr>
          <w:rFonts w:ascii="宋体" w:hAnsi="宋体"/>
          <w:color w:val="000000" w:themeColor="text1"/>
          <w:sz w:val="24"/>
          <w:szCs w:val="20"/>
        </w:rPr>
      </w:pPr>
    </w:p>
    <w:p>
      <w:pPr>
        <w:snapToGrid w:val="0"/>
        <w:spacing w:before="50" w:afterLines="50"/>
        <w:jc w:val="left"/>
        <w:rPr>
          <w:rFonts w:ascii="宋体" w:hAnsi="宋体"/>
          <w:b/>
          <w:bCs/>
          <w:color w:val="000000" w:themeColor="text1"/>
          <w:sz w:val="24"/>
          <w:szCs w:val="20"/>
        </w:rPr>
      </w:pPr>
      <w:r>
        <w:rPr>
          <w:rFonts w:hint="eastAsia" w:ascii="宋体" w:hAnsi="宋体"/>
          <w:b/>
          <w:bCs/>
          <w:color w:val="000000" w:themeColor="text1"/>
          <w:sz w:val="24"/>
        </w:rPr>
        <w:t>（</w:t>
      </w:r>
      <w:r>
        <w:rPr>
          <w:rFonts w:ascii="宋体" w:hAnsi="宋体"/>
          <w:b/>
          <w:bCs/>
          <w:color w:val="000000" w:themeColor="text1"/>
          <w:sz w:val="24"/>
        </w:rPr>
        <w:t>A</w:t>
      </w:r>
      <w:r>
        <w:rPr>
          <w:rFonts w:hint="eastAsia" w:ascii="宋体" w:hAnsi="宋体"/>
          <w:b/>
          <w:bCs/>
          <w:color w:val="000000" w:themeColor="text1"/>
          <w:sz w:val="24"/>
        </w:rPr>
        <w:t>以下适用于工程、技术服务类项目的投标技术文件）</w:t>
      </w:r>
    </w:p>
    <w:p>
      <w:pPr>
        <w:snapToGrid w:val="0"/>
        <w:spacing w:before="50" w:afterLines="50"/>
        <w:jc w:val="left"/>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1</w:t>
      </w:r>
      <w:r>
        <w:rPr>
          <w:rFonts w:hint="eastAsia" w:ascii="宋体" w:hAnsi="宋体"/>
          <w:color w:val="000000" w:themeColor="text1"/>
          <w:sz w:val="24"/>
        </w:rPr>
        <w:t>）对本项目系统总体要求的理解————————（页码）</w:t>
      </w:r>
    </w:p>
    <w:p>
      <w:pPr>
        <w:snapToGrid w:val="0"/>
        <w:spacing w:before="50" w:afterLines="50"/>
        <w:jc w:val="left"/>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2</w:t>
      </w:r>
      <w:r>
        <w:rPr>
          <w:rFonts w:hint="eastAsia" w:ascii="宋体" w:hAnsi="宋体"/>
          <w:color w:val="000000" w:themeColor="text1"/>
          <w:sz w:val="24"/>
        </w:rPr>
        <w:t>）项目总体架构及技术解决方案————————</w:t>
      </w:r>
    </w:p>
    <w:p>
      <w:pPr>
        <w:snapToGrid w:val="0"/>
        <w:spacing w:before="50" w:afterLines="50"/>
        <w:jc w:val="left"/>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3</w:t>
      </w:r>
      <w:r>
        <w:rPr>
          <w:rFonts w:hint="eastAsia" w:ascii="宋体" w:hAnsi="宋体"/>
          <w:color w:val="000000" w:themeColor="text1"/>
          <w:sz w:val="24"/>
        </w:rPr>
        <w:t>）保证工程质量的技术力量及技术措施————————</w:t>
      </w:r>
    </w:p>
    <w:p>
      <w:pPr>
        <w:snapToGrid w:val="0"/>
        <w:spacing w:before="50" w:afterLines="50"/>
        <w:jc w:val="left"/>
        <w:rPr>
          <w:rFonts w:ascii="宋体" w:hAnsi="宋体"/>
          <w:color w:val="000000" w:themeColor="text1"/>
          <w:sz w:val="24"/>
        </w:rPr>
      </w:pPr>
      <w:r>
        <w:rPr>
          <w:rFonts w:hint="eastAsia" w:ascii="宋体" w:hAnsi="宋体"/>
          <w:color w:val="000000" w:themeColor="text1"/>
          <w:sz w:val="24"/>
        </w:rPr>
        <w:t>（</w:t>
      </w:r>
      <w:r>
        <w:rPr>
          <w:rFonts w:ascii="宋体" w:hAnsi="宋体"/>
          <w:color w:val="000000" w:themeColor="text1"/>
          <w:sz w:val="24"/>
        </w:rPr>
        <w:t>4</w:t>
      </w:r>
      <w:r>
        <w:rPr>
          <w:rFonts w:hint="eastAsia" w:ascii="宋体" w:hAnsi="宋体"/>
          <w:color w:val="000000" w:themeColor="text1"/>
          <w:sz w:val="24"/>
        </w:rPr>
        <w:t>）保证工期的施工组织方案及人力资源安排————————</w:t>
      </w:r>
    </w:p>
    <w:p>
      <w:pPr>
        <w:snapToGrid w:val="0"/>
        <w:spacing w:before="50" w:afterLines="50"/>
        <w:jc w:val="left"/>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5</w:t>
      </w:r>
      <w:r>
        <w:rPr>
          <w:rFonts w:hint="eastAsia" w:ascii="宋体" w:hAnsi="宋体"/>
          <w:color w:val="000000" w:themeColor="text1"/>
          <w:sz w:val="24"/>
        </w:rPr>
        <w:t>）项目实施人员一览表————————</w:t>
      </w:r>
    </w:p>
    <w:p>
      <w:pPr>
        <w:snapToGrid w:val="0"/>
        <w:spacing w:before="50" w:afterLines="50"/>
        <w:jc w:val="left"/>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6</w:t>
      </w:r>
      <w:r>
        <w:rPr>
          <w:rFonts w:hint="eastAsia" w:ascii="宋体" w:hAnsi="宋体"/>
          <w:color w:val="000000" w:themeColor="text1"/>
          <w:sz w:val="24"/>
        </w:rPr>
        <w:t>）工程量</w:t>
      </w:r>
      <w:r>
        <w:rPr>
          <w:rFonts w:ascii="宋体" w:hAnsi="宋体"/>
          <w:color w:val="000000" w:themeColor="text1"/>
          <w:sz w:val="24"/>
        </w:rPr>
        <w:t>/</w:t>
      </w:r>
      <w:r>
        <w:rPr>
          <w:rFonts w:hint="eastAsia" w:ascii="宋体" w:hAnsi="宋体"/>
          <w:color w:val="000000" w:themeColor="text1"/>
          <w:sz w:val="24"/>
        </w:rPr>
        <w:t>原材料、人工费清单（均不含报价）————————</w:t>
      </w:r>
    </w:p>
    <w:p>
      <w:pPr>
        <w:snapToGrid w:val="0"/>
        <w:spacing w:before="50" w:afterLines="50"/>
        <w:jc w:val="left"/>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7</w:t>
      </w:r>
      <w:r>
        <w:rPr>
          <w:rFonts w:hint="eastAsia" w:ascii="宋体" w:hAnsi="宋体"/>
          <w:color w:val="000000" w:themeColor="text1"/>
          <w:sz w:val="24"/>
        </w:rPr>
        <w:t>）技术服务、技术培训、售后服务的内容和措施————————</w:t>
      </w:r>
    </w:p>
    <w:p>
      <w:pPr>
        <w:snapToGrid w:val="0"/>
        <w:spacing w:before="50" w:afterLines="50"/>
        <w:jc w:val="left"/>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8</w:t>
      </w:r>
      <w:r>
        <w:rPr>
          <w:rFonts w:hint="eastAsia" w:ascii="宋体" w:hAnsi="宋体"/>
          <w:color w:val="000000" w:themeColor="text1"/>
          <w:sz w:val="24"/>
        </w:rPr>
        <w:t>）投标人对本项目的合理化建议和改进措施————————</w:t>
      </w:r>
    </w:p>
    <w:p>
      <w:pPr>
        <w:snapToGrid w:val="0"/>
        <w:spacing w:before="50" w:afterLines="50"/>
        <w:jc w:val="left"/>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9</w:t>
      </w:r>
      <w:r>
        <w:rPr>
          <w:rFonts w:hint="eastAsia" w:ascii="宋体" w:hAnsi="宋体"/>
          <w:color w:val="000000" w:themeColor="text1"/>
          <w:sz w:val="24"/>
        </w:rPr>
        <w:t>）投标人需要说明的其他文件和说明（格式略）。</w:t>
      </w:r>
    </w:p>
    <w:p>
      <w:pPr>
        <w:snapToGrid w:val="0"/>
        <w:spacing w:before="50" w:afterLines="50"/>
        <w:jc w:val="left"/>
        <w:rPr>
          <w:rFonts w:ascii="宋体" w:hAnsi="宋体"/>
          <w:b/>
          <w:bCs/>
          <w:color w:val="000000" w:themeColor="text1"/>
          <w:sz w:val="24"/>
          <w:szCs w:val="20"/>
        </w:rPr>
      </w:pPr>
      <w:r>
        <w:rPr>
          <w:rFonts w:hint="eastAsia" w:ascii="宋体" w:hAnsi="宋体"/>
          <w:b/>
          <w:bCs/>
          <w:color w:val="000000" w:themeColor="text1"/>
          <w:sz w:val="24"/>
        </w:rPr>
        <w:t>（</w:t>
      </w:r>
      <w:r>
        <w:rPr>
          <w:rFonts w:ascii="宋体" w:hAnsi="宋体"/>
          <w:b/>
          <w:bCs/>
          <w:color w:val="000000" w:themeColor="text1"/>
          <w:sz w:val="24"/>
        </w:rPr>
        <w:t>B</w:t>
      </w:r>
      <w:r>
        <w:rPr>
          <w:rFonts w:hint="eastAsia" w:ascii="宋体" w:hAnsi="宋体"/>
          <w:b/>
          <w:bCs/>
          <w:color w:val="000000" w:themeColor="text1"/>
          <w:sz w:val="24"/>
        </w:rPr>
        <w:t>以下适用于货物类项目的投标技术文件）</w:t>
      </w:r>
    </w:p>
    <w:p>
      <w:pPr>
        <w:snapToGrid w:val="0"/>
        <w:spacing w:before="50" w:afterLines="50"/>
        <w:jc w:val="left"/>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1</w:t>
      </w:r>
      <w:r>
        <w:rPr>
          <w:rFonts w:hint="eastAsia" w:ascii="宋体" w:hAnsi="宋体"/>
          <w:color w:val="000000" w:themeColor="text1"/>
          <w:sz w:val="24"/>
        </w:rPr>
        <w:t>）对本项目系统总体要求的理解。包括：功能说明、性能指标及设备选型说明（质量、性能、价格、外观、体积等方面进行比较和选择的理由和过程）————————</w:t>
      </w:r>
    </w:p>
    <w:p>
      <w:pPr>
        <w:snapToGrid w:val="0"/>
        <w:spacing w:before="50" w:afterLines="50"/>
        <w:jc w:val="left"/>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2</w:t>
      </w:r>
      <w:r>
        <w:rPr>
          <w:rFonts w:hint="eastAsia" w:ascii="宋体" w:hAnsi="宋体"/>
          <w:color w:val="000000" w:themeColor="text1"/>
          <w:sz w:val="24"/>
        </w:rPr>
        <w:t>）投标人拥有主要装备和检测设施的情况和现状————————</w:t>
      </w:r>
    </w:p>
    <w:p>
      <w:pPr>
        <w:snapToGrid w:val="0"/>
        <w:spacing w:before="50" w:afterLines="50"/>
        <w:jc w:val="left"/>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3</w:t>
      </w:r>
      <w:r>
        <w:rPr>
          <w:rFonts w:hint="eastAsia" w:ascii="宋体" w:hAnsi="宋体"/>
          <w:color w:val="000000" w:themeColor="text1"/>
          <w:sz w:val="24"/>
        </w:rPr>
        <w:t>）产品出厂标准、质量检测报告（其中有精度要求的仪器设备类政府采购项目，应当要求投标人提供由第三方精度检测报告或由采购人在投标前组织的精度实测数据）————————</w:t>
      </w:r>
    </w:p>
    <w:p>
      <w:pPr>
        <w:snapToGrid w:val="0"/>
        <w:spacing w:before="50" w:afterLines="50"/>
        <w:jc w:val="left"/>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4</w:t>
      </w:r>
      <w:r>
        <w:rPr>
          <w:rFonts w:hint="eastAsia" w:ascii="宋体" w:hAnsi="宋体"/>
          <w:color w:val="000000" w:themeColor="text1"/>
          <w:sz w:val="24"/>
        </w:rPr>
        <w:t>）原厂出厂配置表及原厂中文使用说明书————————</w:t>
      </w:r>
    </w:p>
    <w:p>
      <w:pPr>
        <w:snapToGrid w:val="0"/>
        <w:spacing w:before="50" w:afterLines="50"/>
        <w:jc w:val="left"/>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5</w:t>
      </w:r>
      <w:r>
        <w:rPr>
          <w:rFonts w:hint="eastAsia" w:ascii="宋体" w:hAnsi="宋体"/>
          <w:color w:val="000000" w:themeColor="text1"/>
          <w:sz w:val="24"/>
        </w:rPr>
        <w:t>）设备配置清单（均不含报价）————————</w:t>
      </w:r>
    </w:p>
    <w:p>
      <w:pPr>
        <w:snapToGrid w:val="0"/>
        <w:spacing w:before="50" w:afterLines="50"/>
        <w:jc w:val="left"/>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6</w:t>
      </w:r>
      <w:r>
        <w:rPr>
          <w:rFonts w:hint="eastAsia" w:ascii="宋体" w:hAnsi="宋体"/>
          <w:color w:val="000000" w:themeColor="text1"/>
          <w:sz w:val="24"/>
        </w:rPr>
        <w:t>）技术响应表————————</w:t>
      </w:r>
    </w:p>
    <w:p>
      <w:pPr>
        <w:snapToGrid w:val="0"/>
        <w:spacing w:before="50" w:afterLines="50"/>
        <w:jc w:val="left"/>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7</w:t>
      </w:r>
      <w:r>
        <w:rPr>
          <w:rFonts w:hint="eastAsia" w:ascii="宋体" w:hAnsi="宋体"/>
          <w:color w:val="000000" w:themeColor="text1"/>
          <w:sz w:val="24"/>
        </w:rPr>
        <w:t>）投标人建议的安装、调试、验收方法或方案————————</w:t>
      </w:r>
    </w:p>
    <w:p>
      <w:pPr>
        <w:snapToGrid w:val="0"/>
        <w:spacing w:before="50" w:afterLines="50"/>
        <w:jc w:val="left"/>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8</w:t>
      </w:r>
      <w:r>
        <w:rPr>
          <w:rFonts w:hint="eastAsia" w:ascii="宋体" w:hAnsi="宋体"/>
          <w:color w:val="000000" w:themeColor="text1"/>
          <w:sz w:val="24"/>
        </w:rPr>
        <w:t>）技术服务、技术培训、售后服务的内容和措施————————</w:t>
      </w:r>
    </w:p>
    <w:p>
      <w:pPr>
        <w:snapToGrid w:val="0"/>
        <w:spacing w:before="50" w:afterLines="50"/>
        <w:jc w:val="left"/>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9</w:t>
      </w:r>
      <w:r>
        <w:rPr>
          <w:rFonts w:hint="eastAsia" w:ascii="宋体" w:hAnsi="宋体"/>
          <w:color w:val="000000" w:themeColor="text1"/>
          <w:sz w:val="24"/>
        </w:rPr>
        <w:t>）项目实施人员一览表————————</w:t>
      </w:r>
    </w:p>
    <w:p>
      <w:pPr>
        <w:snapToGrid w:val="0"/>
        <w:spacing w:before="50" w:afterLines="50"/>
        <w:jc w:val="left"/>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10</w:t>
      </w:r>
      <w:r>
        <w:rPr>
          <w:rFonts w:hint="eastAsia" w:ascii="宋体" w:hAnsi="宋体"/>
          <w:color w:val="000000" w:themeColor="text1"/>
          <w:sz w:val="24"/>
        </w:rPr>
        <w:t>）优惠条件：投标人承诺给予采购人的各种优惠条件，包括售后服务、备品备件、专用耗材等方面的优惠————————</w:t>
      </w:r>
    </w:p>
    <w:p>
      <w:pPr>
        <w:snapToGrid w:val="0"/>
        <w:spacing w:before="50" w:afterLines="50"/>
        <w:jc w:val="left"/>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11</w:t>
      </w:r>
      <w:r>
        <w:rPr>
          <w:rFonts w:hint="eastAsia" w:ascii="宋体" w:hAnsi="宋体"/>
          <w:color w:val="000000" w:themeColor="text1"/>
          <w:sz w:val="24"/>
        </w:rPr>
        <w:t>）投标人对本项目的合理化建议和改进措施————————</w:t>
      </w:r>
    </w:p>
    <w:p>
      <w:pPr>
        <w:snapToGrid w:val="0"/>
        <w:spacing w:before="50" w:afterLines="50"/>
        <w:jc w:val="left"/>
        <w:rPr>
          <w:rFonts w:ascii="宋体" w:hAnsi="宋体"/>
          <w:color w:val="000000" w:themeColor="text1"/>
          <w:sz w:val="24"/>
          <w:szCs w:val="20"/>
        </w:rPr>
      </w:pPr>
      <w:r>
        <w:rPr>
          <w:rFonts w:hint="eastAsia" w:ascii="宋体" w:hAnsi="宋体"/>
          <w:color w:val="000000" w:themeColor="text1"/>
          <w:sz w:val="24"/>
        </w:rPr>
        <w:t>（</w:t>
      </w:r>
      <w:r>
        <w:rPr>
          <w:rFonts w:ascii="宋体" w:hAnsi="宋体"/>
          <w:color w:val="000000" w:themeColor="text1"/>
          <w:sz w:val="24"/>
        </w:rPr>
        <w:t>12</w:t>
      </w:r>
      <w:r>
        <w:rPr>
          <w:rFonts w:hint="eastAsia" w:ascii="宋体" w:hAnsi="宋体"/>
          <w:color w:val="000000" w:themeColor="text1"/>
          <w:sz w:val="24"/>
        </w:rPr>
        <w:t>）投标人需要说明的其他文件和说明————————</w:t>
      </w:r>
    </w:p>
    <w:p>
      <w:pPr>
        <w:snapToGrid w:val="0"/>
        <w:spacing w:before="50" w:afterLines="50"/>
        <w:jc w:val="left"/>
        <w:rPr>
          <w:rFonts w:ascii="宋体" w:hAnsi="宋体"/>
          <w:color w:val="000000" w:themeColor="text1"/>
          <w:sz w:val="24"/>
          <w:szCs w:val="20"/>
        </w:rPr>
      </w:pPr>
      <w:r>
        <w:rPr>
          <w:rFonts w:ascii="宋体" w:hAnsi="宋体"/>
          <w:color w:val="000000" w:themeColor="text1"/>
        </w:rPr>
        <w:br w:type="page"/>
      </w:r>
      <w:r>
        <w:rPr>
          <w:rFonts w:ascii="宋体" w:hAnsi="宋体"/>
          <w:color w:val="000000" w:themeColor="text1"/>
          <w:sz w:val="24"/>
        </w:rPr>
        <w:t>2</w:t>
      </w:r>
      <w:r>
        <w:rPr>
          <w:rFonts w:hint="eastAsia" w:ascii="宋体" w:hAnsi="宋体"/>
          <w:color w:val="000000" w:themeColor="text1"/>
          <w:sz w:val="24"/>
        </w:rPr>
        <w:t>6.对本项目系统总体要求的理解</w:t>
      </w:r>
      <w:r>
        <w:rPr>
          <w:rFonts w:ascii="宋体" w:hAnsi="宋体"/>
          <w:color w:val="000000" w:themeColor="text1"/>
          <w:sz w:val="24"/>
        </w:rPr>
        <w:t>(</w:t>
      </w:r>
      <w:r>
        <w:rPr>
          <w:rFonts w:hint="eastAsia" w:ascii="宋体" w:hAnsi="宋体"/>
          <w:color w:val="000000" w:themeColor="text1"/>
          <w:sz w:val="24"/>
        </w:rPr>
        <w:t>格式自拟</w:t>
      </w:r>
      <w:r>
        <w:rPr>
          <w:rFonts w:ascii="宋体" w:hAnsi="宋体"/>
          <w:color w:val="000000" w:themeColor="text1"/>
          <w:sz w:val="24"/>
        </w:rPr>
        <w:t>)</w:t>
      </w: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r>
        <w:rPr>
          <w:rFonts w:ascii="宋体" w:hAnsi="宋体"/>
          <w:color w:val="000000" w:themeColor="text1"/>
          <w:sz w:val="24"/>
        </w:rPr>
        <w:t>2</w:t>
      </w:r>
      <w:r>
        <w:rPr>
          <w:rFonts w:hint="eastAsia" w:ascii="宋体" w:hAnsi="宋体"/>
          <w:color w:val="000000" w:themeColor="text1"/>
          <w:sz w:val="24"/>
        </w:rPr>
        <w:t>7.项目总体架构及技术解决方案</w:t>
      </w:r>
      <w:r>
        <w:rPr>
          <w:rFonts w:ascii="宋体" w:hAnsi="宋体"/>
          <w:color w:val="000000" w:themeColor="text1"/>
          <w:sz w:val="24"/>
        </w:rPr>
        <w:t>(</w:t>
      </w:r>
      <w:r>
        <w:rPr>
          <w:rFonts w:hint="eastAsia" w:ascii="宋体" w:hAnsi="宋体"/>
          <w:color w:val="000000" w:themeColor="text1"/>
          <w:sz w:val="24"/>
        </w:rPr>
        <w:t>格式自拟</w:t>
      </w:r>
      <w:r>
        <w:rPr>
          <w:rFonts w:ascii="宋体" w:hAnsi="宋体"/>
          <w:color w:val="000000" w:themeColor="text1"/>
          <w:sz w:val="24"/>
        </w:rPr>
        <w:t>)</w:t>
      </w: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r>
        <w:rPr>
          <w:rFonts w:ascii="宋体" w:hAnsi="宋体"/>
          <w:color w:val="000000" w:themeColor="text1"/>
          <w:sz w:val="24"/>
        </w:rPr>
        <w:t>2</w:t>
      </w:r>
      <w:r>
        <w:rPr>
          <w:rFonts w:hint="eastAsia" w:ascii="宋体" w:hAnsi="宋体"/>
          <w:color w:val="000000" w:themeColor="text1"/>
          <w:sz w:val="24"/>
        </w:rPr>
        <w:t>8.保证工程质量的技术力量及技术措施</w:t>
      </w:r>
      <w:r>
        <w:rPr>
          <w:rFonts w:ascii="宋体" w:hAnsi="宋体"/>
          <w:color w:val="000000" w:themeColor="text1"/>
          <w:sz w:val="24"/>
        </w:rPr>
        <w:t>(</w:t>
      </w:r>
      <w:r>
        <w:rPr>
          <w:rFonts w:hint="eastAsia" w:ascii="宋体" w:hAnsi="宋体"/>
          <w:color w:val="000000" w:themeColor="text1"/>
          <w:sz w:val="24"/>
        </w:rPr>
        <w:t>格式自拟</w:t>
      </w:r>
      <w:r>
        <w:rPr>
          <w:rFonts w:ascii="宋体" w:hAnsi="宋体"/>
          <w:color w:val="000000" w:themeColor="text1"/>
          <w:sz w:val="24"/>
        </w:rPr>
        <w:t>)</w:t>
      </w: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r>
        <w:rPr>
          <w:rFonts w:hint="eastAsia" w:ascii="宋体" w:hAnsi="宋体"/>
          <w:color w:val="000000" w:themeColor="text1"/>
          <w:sz w:val="24"/>
        </w:rPr>
        <w:t>29.保证工期的施工组织方案及人力资源安排</w:t>
      </w:r>
      <w:r>
        <w:rPr>
          <w:rFonts w:ascii="宋体" w:hAnsi="宋体"/>
          <w:color w:val="000000" w:themeColor="text1"/>
          <w:sz w:val="24"/>
        </w:rPr>
        <w:t>(</w:t>
      </w:r>
      <w:r>
        <w:rPr>
          <w:rFonts w:hint="eastAsia" w:ascii="宋体" w:hAnsi="宋体"/>
          <w:color w:val="000000" w:themeColor="text1"/>
          <w:sz w:val="24"/>
        </w:rPr>
        <w:t>格式自拟</w:t>
      </w:r>
      <w:r>
        <w:rPr>
          <w:rFonts w:ascii="宋体" w:hAnsi="宋体"/>
          <w:color w:val="000000" w:themeColor="text1"/>
          <w:sz w:val="24"/>
        </w:rPr>
        <w:t>)</w:t>
      </w: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r>
        <w:rPr>
          <w:rFonts w:ascii="宋体" w:hAnsi="宋体"/>
          <w:color w:val="000000" w:themeColor="text1"/>
          <w:sz w:val="24"/>
        </w:rPr>
        <w:t>3</w:t>
      </w:r>
      <w:r>
        <w:rPr>
          <w:rFonts w:hint="eastAsia" w:ascii="宋体" w:hAnsi="宋体"/>
          <w:color w:val="000000" w:themeColor="text1"/>
          <w:sz w:val="24"/>
        </w:rPr>
        <w:t>0.项目实施人员一览表格式：</w:t>
      </w:r>
    </w:p>
    <w:p>
      <w:pPr>
        <w:snapToGrid w:val="0"/>
        <w:spacing w:beforeLines="50" w:after="50"/>
        <w:jc w:val="center"/>
        <w:rPr>
          <w:rFonts w:ascii="宋体" w:hAnsi="宋体"/>
          <w:b/>
          <w:color w:val="000000" w:themeColor="text1"/>
          <w:sz w:val="24"/>
          <w:szCs w:val="20"/>
        </w:rPr>
      </w:pPr>
      <w:r>
        <w:rPr>
          <w:rFonts w:hint="eastAsia" w:ascii="宋体" w:hAnsi="宋体"/>
          <w:b/>
          <w:color w:val="000000" w:themeColor="text1"/>
          <w:sz w:val="24"/>
        </w:rPr>
        <w:t>项目实施人员（主要从业人员及其技术资格）一览表</w:t>
      </w:r>
    </w:p>
    <w:p>
      <w:pPr>
        <w:snapToGrid w:val="0"/>
        <w:spacing w:beforeLines="50" w:after="50"/>
        <w:rPr>
          <w:rFonts w:ascii="宋体" w:hAnsi="宋体"/>
          <w:color w:val="000000" w:themeColor="text1"/>
          <w:sz w:val="24"/>
          <w:szCs w:val="20"/>
        </w:rPr>
      </w:pPr>
      <w:r>
        <w:rPr>
          <w:rFonts w:hint="eastAsia" w:ascii="宋体" w:hAnsi="宋体"/>
          <w:color w:val="000000" w:themeColor="text1"/>
        </w:rPr>
        <w:t>标项：</w:t>
      </w:r>
    </w:p>
    <w:tbl>
      <w:tblPr>
        <w:tblStyle w:val="53"/>
        <w:tblW w:w="8531" w:type="dxa"/>
        <w:tblInd w:w="-14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04"/>
        <w:gridCol w:w="1004"/>
        <w:gridCol w:w="1663"/>
        <w:gridCol w:w="1260"/>
        <w:gridCol w:w="1620"/>
        <w:gridCol w:w="198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vAlign w:val="bottom"/>
          </w:tcPr>
          <w:p>
            <w:pPr>
              <w:snapToGrid w:val="0"/>
              <w:spacing w:beforeLines="50" w:after="50"/>
              <w:rPr>
                <w:rFonts w:ascii="宋体" w:hAnsi="宋体"/>
                <w:color w:val="000000" w:themeColor="text1"/>
                <w:sz w:val="24"/>
                <w:szCs w:val="20"/>
              </w:rPr>
            </w:pPr>
            <w:r>
              <w:rPr>
                <w:rFonts w:hint="eastAsia" w:ascii="宋体" w:hAnsi="宋体"/>
                <w:color w:val="000000" w:themeColor="text1"/>
                <w:sz w:val="24"/>
              </w:rPr>
              <w:t>姓名</w:t>
            </w:r>
          </w:p>
        </w:tc>
        <w:tc>
          <w:tcPr>
            <w:tcW w:w="1004" w:type="dxa"/>
            <w:tcBorders>
              <w:top w:val="single" w:color="auto" w:sz="4" w:space="0"/>
              <w:left w:val="single" w:color="auto" w:sz="4" w:space="0"/>
              <w:bottom w:val="single" w:color="auto" w:sz="4" w:space="0"/>
              <w:right w:val="single" w:color="auto" w:sz="4" w:space="0"/>
            </w:tcBorders>
            <w:vAlign w:val="bottom"/>
          </w:tcPr>
          <w:p>
            <w:pPr>
              <w:snapToGrid w:val="0"/>
              <w:spacing w:beforeLines="50" w:after="50"/>
              <w:rPr>
                <w:rFonts w:ascii="宋体" w:hAnsi="宋体"/>
                <w:color w:val="000000" w:themeColor="text1"/>
                <w:sz w:val="24"/>
                <w:szCs w:val="20"/>
              </w:rPr>
            </w:pPr>
            <w:r>
              <w:rPr>
                <w:rFonts w:hint="eastAsia" w:ascii="宋体" w:hAnsi="宋体"/>
                <w:color w:val="000000" w:themeColor="text1"/>
                <w:sz w:val="24"/>
              </w:rPr>
              <w:t>职务</w:t>
            </w:r>
          </w:p>
        </w:tc>
        <w:tc>
          <w:tcPr>
            <w:tcW w:w="1663" w:type="dxa"/>
            <w:tcBorders>
              <w:top w:val="single" w:color="auto" w:sz="4" w:space="0"/>
              <w:left w:val="single" w:color="auto" w:sz="4" w:space="0"/>
              <w:bottom w:val="single" w:color="auto" w:sz="4" w:space="0"/>
              <w:right w:val="single" w:color="auto" w:sz="4" w:space="0"/>
            </w:tcBorders>
            <w:vAlign w:val="bottom"/>
          </w:tcPr>
          <w:p>
            <w:pPr>
              <w:snapToGrid w:val="0"/>
              <w:spacing w:beforeLines="50" w:after="50"/>
              <w:jc w:val="center"/>
              <w:rPr>
                <w:rFonts w:ascii="宋体" w:hAnsi="宋体"/>
                <w:color w:val="000000" w:themeColor="text1"/>
                <w:sz w:val="24"/>
                <w:szCs w:val="20"/>
              </w:rPr>
            </w:pPr>
            <w:r>
              <w:rPr>
                <w:rFonts w:hint="eastAsia" w:ascii="宋体" w:hAnsi="宋体"/>
                <w:color w:val="000000" w:themeColor="text1"/>
                <w:sz w:val="24"/>
              </w:rPr>
              <w:t>专业技术资格</w:t>
            </w:r>
          </w:p>
        </w:tc>
        <w:tc>
          <w:tcPr>
            <w:tcW w:w="1260" w:type="dxa"/>
            <w:tcBorders>
              <w:top w:val="single" w:color="auto" w:sz="4" w:space="0"/>
              <w:left w:val="single" w:color="auto" w:sz="4" w:space="0"/>
              <w:bottom w:val="single" w:color="auto" w:sz="4" w:space="0"/>
              <w:right w:val="single" w:color="auto" w:sz="4" w:space="0"/>
            </w:tcBorders>
            <w:vAlign w:val="bottom"/>
          </w:tcPr>
          <w:p>
            <w:pPr>
              <w:snapToGrid w:val="0"/>
              <w:spacing w:beforeLines="50" w:after="50"/>
              <w:rPr>
                <w:rFonts w:ascii="宋体" w:hAnsi="宋体"/>
                <w:color w:val="000000" w:themeColor="text1"/>
                <w:sz w:val="24"/>
                <w:szCs w:val="20"/>
              </w:rPr>
            </w:pPr>
            <w:r>
              <w:rPr>
                <w:rFonts w:hint="eastAsia" w:ascii="宋体" w:hAnsi="宋体"/>
                <w:color w:val="000000" w:themeColor="text1"/>
                <w:sz w:val="24"/>
              </w:rPr>
              <w:t>证书编号</w:t>
            </w:r>
          </w:p>
        </w:tc>
        <w:tc>
          <w:tcPr>
            <w:tcW w:w="1620" w:type="dxa"/>
            <w:tcBorders>
              <w:top w:val="single" w:color="auto" w:sz="4" w:space="0"/>
              <w:left w:val="single" w:color="auto" w:sz="4" w:space="0"/>
              <w:bottom w:val="single" w:color="auto" w:sz="4" w:space="0"/>
              <w:right w:val="single" w:color="auto" w:sz="4" w:space="0"/>
            </w:tcBorders>
            <w:vAlign w:val="bottom"/>
          </w:tcPr>
          <w:p>
            <w:pPr>
              <w:snapToGrid w:val="0"/>
              <w:spacing w:beforeLines="50" w:after="50"/>
              <w:rPr>
                <w:rFonts w:ascii="宋体" w:hAnsi="宋体"/>
                <w:bCs/>
                <w:color w:val="000000" w:themeColor="text1"/>
                <w:sz w:val="24"/>
                <w:szCs w:val="20"/>
              </w:rPr>
            </w:pPr>
            <w:r>
              <w:rPr>
                <w:rFonts w:hint="eastAsia" w:ascii="宋体" w:hAnsi="宋体"/>
                <w:bCs/>
                <w:color w:val="000000" w:themeColor="text1"/>
                <w:sz w:val="24"/>
              </w:rPr>
              <w:t>参加本单位工作时间</w:t>
            </w:r>
          </w:p>
        </w:tc>
        <w:tc>
          <w:tcPr>
            <w:tcW w:w="1980" w:type="dxa"/>
            <w:tcBorders>
              <w:top w:val="single" w:color="auto" w:sz="4" w:space="0"/>
              <w:left w:val="single" w:color="auto" w:sz="4" w:space="0"/>
              <w:bottom w:val="single" w:color="auto" w:sz="4" w:space="0"/>
              <w:right w:val="single" w:color="auto" w:sz="4" w:space="0"/>
            </w:tcBorders>
            <w:vAlign w:val="bottom"/>
          </w:tcPr>
          <w:p>
            <w:pPr>
              <w:snapToGrid w:val="0"/>
              <w:spacing w:beforeLines="50" w:after="50"/>
              <w:rPr>
                <w:rFonts w:ascii="宋体" w:hAnsi="宋体"/>
                <w:bCs/>
                <w:color w:val="000000" w:themeColor="text1"/>
                <w:sz w:val="24"/>
                <w:szCs w:val="20"/>
              </w:rPr>
            </w:pPr>
            <w:r>
              <w:rPr>
                <w:rFonts w:hint="eastAsia" w:ascii="宋体" w:hAnsi="宋体"/>
                <w:bCs/>
                <w:color w:val="000000" w:themeColor="text1"/>
                <w:sz w:val="24"/>
              </w:rPr>
              <w:t>劳动合同编号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c>
          <w:tcPr>
            <w:tcW w:w="1620"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c>
          <w:tcPr>
            <w:tcW w:w="1980"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c>
          <w:tcPr>
            <w:tcW w:w="1620"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c>
          <w:tcPr>
            <w:tcW w:w="1980"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c>
          <w:tcPr>
            <w:tcW w:w="1663" w:type="dxa"/>
            <w:tcBorders>
              <w:top w:val="single" w:color="auto" w:sz="4" w:space="0"/>
              <w:left w:val="single" w:color="auto" w:sz="4" w:space="0"/>
              <w:bottom w:val="single" w:color="auto" w:sz="4" w:space="0"/>
              <w:right w:val="single" w:color="auto" w:sz="4" w:space="0"/>
            </w:tcBorders>
          </w:tcPr>
          <w:p>
            <w:pPr>
              <w:pStyle w:val="27"/>
              <w:snapToGrid w:val="0"/>
              <w:spacing w:beforeLines="50" w:after="50"/>
              <w:ind w:left="5250"/>
              <w:rPr>
                <w:rFonts w:ascii="宋体" w:hAnsi="宋体" w:eastAsia="宋体"/>
                <w:color w:val="000000" w:themeColor="text1"/>
                <w:kern w:val="2"/>
                <w:sz w:val="24"/>
                <w:szCs w:val="24"/>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c>
          <w:tcPr>
            <w:tcW w:w="1620"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c>
          <w:tcPr>
            <w:tcW w:w="1980"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c>
          <w:tcPr>
            <w:tcW w:w="1620"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c>
          <w:tcPr>
            <w:tcW w:w="1980"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c>
          <w:tcPr>
            <w:tcW w:w="1620"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c>
          <w:tcPr>
            <w:tcW w:w="1980"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c>
          <w:tcPr>
            <w:tcW w:w="1620"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c>
          <w:tcPr>
            <w:tcW w:w="1980"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c>
          <w:tcPr>
            <w:tcW w:w="1620"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c>
          <w:tcPr>
            <w:tcW w:w="1980"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c>
          <w:tcPr>
            <w:tcW w:w="1620"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c>
          <w:tcPr>
            <w:tcW w:w="1980"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c>
          <w:tcPr>
            <w:tcW w:w="1620"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c>
          <w:tcPr>
            <w:tcW w:w="1980" w:type="dxa"/>
            <w:tcBorders>
              <w:top w:val="single" w:color="auto" w:sz="4" w:space="0"/>
              <w:left w:val="single" w:color="auto" w:sz="4" w:space="0"/>
              <w:bottom w:val="single" w:color="auto" w:sz="4" w:space="0"/>
              <w:right w:val="single" w:color="auto" w:sz="4" w:space="0"/>
            </w:tcBorders>
          </w:tcPr>
          <w:p>
            <w:pPr>
              <w:snapToGrid w:val="0"/>
              <w:spacing w:beforeLines="50" w:after="50"/>
              <w:rPr>
                <w:rFonts w:ascii="宋体" w:hAnsi="宋体"/>
                <w:color w:val="000000" w:themeColor="text1"/>
                <w:sz w:val="24"/>
                <w:szCs w:val="20"/>
              </w:rPr>
            </w:pPr>
          </w:p>
        </w:tc>
      </w:tr>
    </w:tbl>
    <w:p>
      <w:pPr>
        <w:snapToGrid w:val="0"/>
        <w:spacing w:before="50" w:afterLines="50"/>
        <w:jc w:val="left"/>
        <w:rPr>
          <w:rFonts w:ascii="宋体" w:hAnsi="宋体"/>
          <w:color w:val="000000" w:themeColor="text1"/>
          <w:sz w:val="24"/>
          <w:szCs w:val="20"/>
        </w:rPr>
      </w:pPr>
      <w:r>
        <w:rPr>
          <w:rFonts w:hint="eastAsia" w:ascii="宋体" w:hAnsi="宋体"/>
          <w:color w:val="000000" w:themeColor="text1"/>
          <w:sz w:val="24"/>
        </w:rPr>
        <w:t>注：在填写时，如本表格不适合投标单位的实际情况，可根据本表格式自行划表填写。</w:t>
      </w:r>
    </w:p>
    <w:p>
      <w:pPr>
        <w:snapToGrid w:val="0"/>
        <w:spacing w:before="50" w:after="50"/>
        <w:rPr>
          <w:rFonts w:ascii="宋体" w:hAnsi="宋体"/>
          <w:color w:val="000000" w:themeColor="text1"/>
          <w:spacing w:val="20"/>
          <w:sz w:val="24"/>
          <w:szCs w:val="20"/>
          <w:u w:val="single"/>
        </w:rPr>
      </w:pPr>
      <w:r>
        <w:rPr>
          <w:rFonts w:hint="eastAsia" w:ascii="宋体" w:hAnsi="宋体"/>
          <w:color w:val="000000" w:themeColor="text1"/>
          <w:spacing w:val="20"/>
          <w:sz w:val="24"/>
        </w:rPr>
        <w:t>授权代表签名：</w:t>
      </w:r>
    </w:p>
    <w:p>
      <w:pPr>
        <w:snapToGrid w:val="0"/>
        <w:spacing w:before="50" w:afterLines="50"/>
        <w:jc w:val="left"/>
        <w:rPr>
          <w:rFonts w:ascii="宋体" w:hAnsi="宋体"/>
          <w:color w:val="000000" w:themeColor="text1"/>
          <w:spacing w:val="20"/>
          <w:sz w:val="24"/>
          <w:szCs w:val="20"/>
          <w:u w:val="single"/>
        </w:rPr>
      </w:pPr>
      <w:r>
        <w:rPr>
          <w:rFonts w:hint="eastAsia" w:ascii="宋体" w:hAnsi="宋体"/>
          <w:color w:val="000000" w:themeColor="text1"/>
          <w:spacing w:val="20"/>
          <w:sz w:val="24"/>
        </w:rPr>
        <w:t>投标人盖章：日期：</w:t>
      </w:r>
    </w:p>
    <w:p>
      <w:pPr>
        <w:snapToGrid w:val="0"/>
        <w:spacing w:before="50" w:afterLines="50"/>
        <w:jc w:val="left"/>
        <w:rPr>
          <w:rFonts w:ascii="宋体" w:hAnsi="宋体"/>
          <w:color w:val="000000" w:themeColor="text1"/>
          <w:sz w:val="24"/>
          <w:szCs w:val="20"/>
        </w:rPr>
      </w:pPr>
    </w:p>
    <w:p>
      <w:pPr>
        <w:pStyle w:val="25"/>
        <w:snapToGrid w:val="0"/>
        <w:spacing w:beforeLines="0" w:afterLines="0" w:line="240" w:lineRule="auto"/>
        <w:rPr>
          <w:rFonts w:hAnsi="宋体"/>
          <w:color w:val="000000" w:themeColor="text1"/>
        </w:rPr>
      </w:pPr>
    </w:p>
    <w:p>
      <w:pPr>
        <w:snapToGrid w:val="0"/>
        <w:spacing w:before="50" w:afterLines="50"/>
        <w:jc w:val="left"/>
        <w:rPr>
          <w:rFonts w:ascii="宋体" w:hAnsi="宋体"/>
          <w:color w:val="000000" w:themeColor="text1"/>
          <w:sz w:val="24"/>
          <w:szCs w:val="20"/>
        </w:rPr>
      </w:pPr>
      <w:r>
        <w:rPr>
          <w:rFonts w:ascii="宋体" w:hAnsi="宋体"/>
          <w:color w:val="000000" w:themeColor="text1"/>
        </w:rPr>
        <w:br w:type="page"/>
      </w:r>
      <w:r>
        <w:rPr>
          <w:rFonts w:ascii="宋体" w:hAnsi="宋体"/>
          <w:color w:val="000000" w:themeColor="text1"/>
          <w:sz w:val="24"/>
        </w:rPr>
        <w:t>3</w:t>
      </w:r>
      <w:r>
        <w:rPr>
          <w:rFonts w:hint="eastAsia" w:ascii="宋体" w:hAnsi="宋体"/>
          <w:color w:val="000000" w:themeColor="text1"/>
          <w:sz w:val="24"/>
        </w:rPr>
        <w:t>1.工程量</w:t>
      </w:r>
      <w:r>
        <w:rPr>
          <w:rFonts w:ascii="宋体" w:hAnsi="宋体"/>
          <w:color w:val="000000" w:themeColor="text1"/>
          <w:sz w:val="24"/>
        </w:rPr>
        <w:t>/</w:t>
      </w:r>
      <w:r>
        <w:rPr>
          <w:rFonts w:hint="eastAsia" w:ascii="宋体" w:hAnsi="宋体"/>
          <w:color w:val="000000" w:themeColor="text1"/>
          <w:sz w:val="24"/>
        </w:rPr>
        <w:t>原材料、人工费清单格式：</w:t>
      </w:r>
    </w:p>
    <w:p>
      <w:pPr>
        <w:pStyle w:val="25"/>
        <w:snapToGrid w:val="0"/>
        <w:spacing w:beforeLines="0" w:afterLines="0" w:line="240" w:lineRule="auto"/>
        <w:rPr>
          <w:rFonts w:hAnsi="宋体"/>
          <w:color w:val="000000" w:themeColor="text1"/>
          <w:szCs w:val="21"/>
        </w:rPr>
      </w:pPr>
      <w:r>
        <w:rPr>
          <w:rFonts w:hAnsi="宋体"/>
          <w:color w:val="000000" w:themeColor="text1"/>
        </w:rPr>
        <w:t>标项：</w:t>
      </w:r>
      <w:r>
        <w:rPr>
          <w:rFonts w:hAnsi="宋体"/>
          <w:color w:val="000000" w:themeColor="text1"/>
          <w:szCs w:val="21"/>
        </w:rPr>
        <w:t xml:space="preserve"> 金额单位：人民币（元）</w:t>
      </w:r>
    </w:p>
    <w:tbl>
      <w:tblPr>
        <w:tblStyle w:val="53"/>
        <w:tblW w:w="8820" w:type="dxa"/>
        <w:tblInd w:w="-43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20"/>
        <w:gridCol w:w="1800"/>
        <w:gridCol w:w="1080"/>
        <w:gridCol w:w="1440"/>
        <w:gridCol w:w="1800"/>
        <w:gridCol w:w="1088"/>
        <w:gridCol w:w="89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序号</w:t>
            </w:r>
          </w:p>
        </w:tc>
        <w:tc>
          <w:tcPr>
            <w:tcW w:w="1800" w:type="dxa"/>
            <w:tcBorders>
              <w:top w:val="single" w:color="auto" w:sz="4" w:space="0"/>
              <w:left w:val="single" w:color="auto" w:sz="4" w:space="0"/>
              <w:bottom w:val="single" w:color="auto" w:sz="4" w:space="0"/>
              <w:right w:val="single" w:color="auto" w:sz="4" w:space="0"/>
            </w:tcBorders>
          </w:tcPr>
          <w:p>
            <w:pPr>
              <w:pStyle w:val="77"/>
              <w:snapToGrid w:val="0"/>
              <w:spacing w:before="50" w:after="50" w:line="240" w:lineRule="auto"/>
              <w:rPr>
                <w:rFonts w:ascii="宋体" w:hAnsi="宋体" w:eastAsia="宋体"/>
                <w:color w:val="000000" w:themeColor="text1"/>
                <w:spacing w:val="20"/>
                <w:kern w:val="2"/>
              </w:rPr>
            </w:pPr>
            <w:r>
              <w:rPr>
                <w:rFonts w:ascii="宋体" w:hAnsi="宋体" w:eastAsia="宋体"/>
                <w:color w:val="000000" w:themeColor="text1"/>
                <w:spacing w:val="20"/>
                <w:kern w:val="2"/>
              </w:rPr>
              <w:t>设备及材料</w:t>
            </w:r>
          </w:p>
          <w:p>
            <w:pPr>
              <w:pStyle w:val="77"/>
              <w:snapToGrid w:val="0"/>
              <w:spacing w:before="50" w:after="50" w:line="240" w:lineRule="auto"/>
              <w:rPr>
                <w:rFonts w:ascii="宋体" w:hAnsi="宋体" w:eastAsia="宋体"/>
                <w:color w:val="000000" w:themeColor="text1"/>
                <w:spacing w:val="20"/>
                <w:kern w:val="2"/>
              </w:rPr>
            </w:pPr>
            <w:r>
              <w:rPr>
                <w:rFonts w:ascii="宋体" w:hAnsi="宋体" w:eastAsia="宋体"/>
                <w:color w:val="000000" w:themeColor="text1"/>
                <w:spacing w:val="20"/>
                <w:kern w:val="2"/>
              </w:rPr>
              <w:t>名称</w:t>
            </w:r>
          </w:p>
        </w:tc>
        <w:tc>
          <w:tcPr>
            <w:tcW w:w="1080" w:type="dxa"/>
            <w:tcBorders>
              <w:top w:val="single" w:color="auto" w:sz="4" w:space="0"/>
              <w:left w:val="single" w:color="auto" w:sz="4" w:space="0"/>
              <w:bottom w:val="single" w:color="auto" w:sz="4" w:space="0"/>
              <w:right w:val="single" w:color="auto" w:sz="4" w:space="0"/>
            </w:tcBorders>
          </w:tcPr>
          <w:p>
            <w:pPr>
              <w:pStyle w:val="77"/>
              <w:snapToGrid w:val="0"/>
              <w:spacing w:before="50" w:after="50" w:line="240" w:lineRule="auto"/>
              <w:rPr>
                <w:rFonts w:ascii="宋体" w:hAnsi="宋体" w:eastAsia="宋体"/>
                <w:color w:val="000000" w:themeColor="text1"/>
              </w:rPr>
            </w:pPr>
            <w:r>
              <w:rPr>
                <w:rFonts w:ascii="宋体" w:hAnsi="宋体" w:eastAsia="宋体"/>
                <w:color w:val="000000" w:themeColor="text1"/>
              </w:rPr>
              <w:t>品牌</w:t>
            </w:r>
          </w:p>
        </w:tc>
        <w:tc>
          <w:tcPr>
            <w:tcW w:w="144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rPr>
              <w:t>规格型号</w:t>
            </w:r>
          </w:p>
        </w:tc>
        <w:tc>
          <w:tcPr>
            <w:tcW w:w="18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rPr>
              <w:t>性能及指标</w:t>
            </w:r>
          </w:p>
        </w:tc>
        <w:tc>
          <w:tcPr>
            <w:tcW w:w="1088"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rPr>
              <w:t>单位及数量</w:t>
            </w:r>
          </w:p>
        </w:tc>
        <w:tc>
          <w:tcPr>
            <w:tcW w:w="892"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rPr>
              <w:t>产地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8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08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44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8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088"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892"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1" w:hRule="atLeast"/>
        </w:trPr>
        <w:tc>
          <w:tcPr>
            <w:tcW w:w="72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8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08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44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8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088"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892"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84" w:hRule="atLeast"/>
        </w:trPr>
        <w:tc>
          <w:tcPr>
            <w:tcW w:w="72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8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08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44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8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088"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892"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68" w:hRule="atLeast"/>
        </w:trPr>
        <w:tc>
          <w:tcPr>
            <w:tcW w:w="72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8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08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44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8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088"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892"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68" w:hRule="atLeast"/>
        </w:trPr>
        <w:tc>
          <w:tcPr>
            <w:tcW w:w="72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8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08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44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8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088"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892"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8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08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44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8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088"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892"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84" w:hRule="atLeast"/>
        </w:trPr>
        <w:tc>
          <w:tcPr>
            <w:tcW w:w="72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8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08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44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8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088"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892"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68" w:hRule="atLeast"/>
        </w:trPr>
        <w:tc>
          <w:tcPr>
            <w:tcW w:w="72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8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08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44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8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088"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892"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8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08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44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8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088"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892"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520" w:type="dxa"/>
            <w:gridSpan w:val="2"/>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rPr>
                <w:rFonts w:ascii="宋体" w:hAnsi="宋体"/>
                <w:color w:val="000000" w:themeColor="text1"/>
                <w:spacing w:val="20"/>
                <w:sz w:val="24"/>
                <w:szCs w:val="20"/>
              </w:rPr>
            </w:pPr>
            <w:r>
              <w:rPr>
                <w:rFonts w:hint="eastAsia" w:ascii="宋体" w:hAnsi="宋体"/>
                <w:color w:val="000000" w:themeColor="text1"/>
                <w:spacing w:val="20"/>
                <w:sz w:val="24"/>
              </w:rPr>
              <w:t>工程量及费用项目</w:t>
            </w:r>
          </w:p>
        </w:tc>
        <w:tc>
          <w:tcPr>
            <w:tcW w:w="4320" w:type="dxa"/>
            <w:gridSpan w:val="3"/>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rPr>
                <w:rFonts w:ascii="宋体" w:hAnsi="宋体"/>
                <w:color w:val="000000" w:themeColor="text1"/>
                <w:spacing w:val="20"/>
                <w:sz w:val="24"/>
                <w:szCs w:val="20"/>
              </w:rPr>
            </w:pPr>
            <w:r>
              <w:rPr>
                <w:rFonts w:hint="eastAsia" w:ascii="宋体" w:hAnsi="宋体"/>
                <w:color w:val="000000" w:themeColor="text1"/>
                <w:spacing w:val="20"/>
                <w:sz w:val="24"/>
              </w:rPr>
              <w:t>具体内容</w:t>
            </w:r>
          </w:p>
        </w:tc>
        <w:tc>
          <w:tcPr>
            <w:tcW w:w="1980" w:type="dxa"/>
            <w:gridSpan w:val="2"/>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rPr>
                <w:rFonts w:ascii="宋体" w:hAnsi="宋体"/>
                <w:color w:val="000000" w:themeColor="text1"/>
                <w:spacing w:val="20"/>
                <w:sz w:val="24"/>
                <w:szCs w:val="20"/>
              </w:rPr>
            </w:pPr>
            <w:r>
              <w:rPr>
                <w:rFonts w:hint="eastAsia" w:ascii="宋体" w:hAnsi="宋体"/>
                <w:color w:val="000000" w:themeColor="text1"/>
                <w:spacing w:val="20"/>
                <w:sz w:val="24"/>
              </w:rPr>
              <w:t>单位及数量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2" w:hRule="atLeast"/>
        </w:trPr>
        <w:tc>
          <w:tcPr>
            <w:tcW w:w="72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800" w:type="dxa"/>
            <w:tcBorders>
              <w:top w:val="single" w:color="auto" w:sz="4" w:space="0"/>
              <w:left w:val="single" w:color="auto" w:sz="4" w:space="0"/>
              <w:bottom w:val="single" w:color="auto" w:sz="4" w:space="0"/>
              <w:right w:val="single" w:color="auto" w:sz="4" w:space="0"/>
            </w:tcBorders>
          </w:tcPr>
          <w:p>
            <w:pPr>
              <w:pStyle w:val="78"/>
              <w:tabs>
                <w:tab w:val="left" w:pos="1418"/>
              </w:tabs>
              <w:snapToGrid w:val="0"/>
              <w:spacing w:before="50" w:after="50"/>
              <w:rPr>
                <w:rFonts w:ascii="宋体" w:hAnsi="宋体"/>
                <w:color w:val="000000" w:themeColor="text1"/>
                <w:spacing w:val="20"/>
                <w:szCs w:val="24"/>
              </w:rPr>
            </w:pPr>
            <w:r>
              <w:rPr>
                <w:rFonts w:hint="eastAsia" w:ascii="宋体" w:hAnsi="宋体"/>
                <w:color w:val="000000" w:themeColor="text1"/>
                <w:spacing w:val="20"/>
                <w:szCs w:val="24"/>
              </w:rPr>
              <w:t>工程量</w:t>
            </w:r>
          </w:p>
        </w:tc>
        <w:tc>
          <w:tcPr>
            <w:tcW w:w="4320" w:type="dxa"/>
            <w:gridSpan w:val="3"/>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980" w:type="dxa"/>
            <w:gridSpan w:val="2"/>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trPr>
        <w:tc>
          <w:tcPr>
            <w:tcW w:w="72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8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rPr>
                <w:rFonts w:ascii="宋体" w:hAnsi="宋体"/>
                <w:color w:val="000000" w:themeColor="text1"/>
                <w:spacing w:val="20"/>
                <w:sz w:val="24"/>
                <w:szCs w:val="20"/>
              </w:rPr>
            </w:pPr>
          </w:p>
        </w:tc>
        <w:tc>
          <w:tcPr>
            <w:tcW w:w="4320" w:type="dxa"/>
            <w:gridSpan w:val="3"/>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980" w:type="dxa"/>
            <w:gridSpan w:val="2"/>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68" w:hRule="atLeast"/>
        </w:trPr>
        <w:tc>
          <w:tcPr>
            <w:tcW w:w="72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8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rPr>
                <w:rFonts w:ascii="宋体" w:hAnsi="宋体"/>
                <w:color w:val="000000" w:themeColor="text1"/>
                <w:spacing w:val="20"/>
                <w:sz w:val="24"/>
                <w:szCs w:val="20"/>
              </w:rPr>
            </w:pPr>
          </w:p>
        </w:tc>
        <w:tc>
          <w:tcPr>
            <w:tcW w:w="4320" w:type="dxa"/>
            <w:gridSpan w:val="3"/>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980" w:type="dxa"/>
            <w:gridSpan w:val="2"/>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00" w:hRule="atLeast"/>
        </w:trPr>
        <w:tc>
          <w:tcPr>
            <w:tcW w:w="72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8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rPr>
                <w:rFonts w:ascii="宋体" w:hAnsi="宋体"/>
                <w:color w:val="000000" w:themeColor="text1"/>
                <w:spacing w:val="20"/>
                <w:sz w:val="24"/>
                <w:szCs w:val="20"/>
              </w:rPr>
            </w:pPr>
          </w:p>
        </w:tc>
        <w:tc>
          <w:tcPr>
            <w:tcW w:w="4320" w:type="dxa"/>
            <w:gridSpan w:val="3"/>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980" w:type="dxa"/>
            <w:gridSpan w:val="2"/>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51" w:hRule="atLeast"/>
        </w:trPr>
        <w:tc>
          <w:tcPr>
            <w:tcW w:w="72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8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rPr>
                <w:rFonts w:ascii="宋体" w:hAnsi="宋体"/>
                <w:color w:val="000000" w:themeColor="text1"/>
                <w:spacing w:val="20"/>
                <w:sz w:val="24"/>
                <w:szCs w:val="20"/>
              </w:rPr>
            </w:pPr>
          </w:p>
        </w:tc>
        <w:tc>
          <w:tcPr>
            <w:tcW w:w="4320" w:type="dxa"/>
            <w:gridSpan w:val="3"/>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980" w:type="dxa"/>
            <w:gridSpan w:val="2"/>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34" w:hRule="atLeast"/>
        </w:trPr>
        <w:tc>
          <w:tcPr>
            <w:tcW w:w="72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800" w:type="dxa"/>
            <w:tcBorders>
              <w:top w:val="single" w:color="auto" w:sz="4" w:space="0"/>
              <w:left w:val="single" w:color="auto" w:sz="4" w:space="0"/>
              <w:bottom w:val="single" w:color="auto" w:sz="4" w:space="0"/>
              <w:right w:val="single" w:color="auto" w:sz="4" w:space="0"/>
            </w:tcBorders>
          </w:tcPr>
          <w:p>
            <w:pPr>
              <w:pStyle w:val="78"/>
              <w:tabs>
                <w:tab w:val="left" w:pos="1418"/>
              </w:tabs>
              <w:snapToGrid w:val="0"/>
              <w:spacing w:before="50" w:after="50"/>
              <w:rPr>
                <w:rFonts w:ascii="宋体" w:hAnsi="宋体"/>
                <w:color w:val="000000" w:themeColor="text1"/>
                <w:spacing w:val="20"/>
              </w:rPr>
            </w:pPr>
            <w:r>
              <w:rPr>
                <w:rFonts w:hint="eastAsia" w:ascii="宋体" w:hAnsi="宋体"/>
                <w:color w:val="000000" w:themeColor="text1"/>
                <w:spacing w:val="20"/>
              </w:rPr>
              <w:t>工时数</w:t>
            </w:r>
          </w:p>
        </w:tc>
        <w:tc>
          <w:tcPr>
            <w:tcW w:w="4320" w:type="dxa"/>
            <w:gridSpan w:val="3"/>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980" w:type="dxa"/>
            <w:gridSpan w:val="2"/>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18" w:hRule="atLeast"/>
        </w:trPr>
        <w:tc>
          <w:tcPr>
            <w:tcW w:w="72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8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rPr>
                <w:rFonts w:ascii="宋体" w:hAnsi="宋体"/>
                <w:color w:val="000000" w:themeColor="text1"/>
                <w:spacing w:val="20"/>
                <w:sz w:val="24"/>
                <w:szCs w:val="20"/>
              </w:rPr>
            </w:pPr>
          </w:p>
        </w:tc>
        <w:tc>
          <w:tcPr>
            <w:tcW w:w="4320" w:type="dxa"/>
            <w:gridSpan w:val="3"/>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980" w:type="dxa"/>
            <w:gridSpan w:val="2"/>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1" w:hRule="atLeast"/>
        </w:trPr>
        <w:tc>
          <w:tcPr>
            <w:tcW w:w="72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8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rPr>
                <w:rFonts w:ascii="宋体" w:hAnsi="宋体"/>
                <w:color w:val="000000" w:themeColor="text1"/>
                <w:spacing w:val="20"/>
                <w:sz w:val="24"/>
                <w:szCs w:val="20"/>
              </w:rPr>
            </w:pPr>
          </w:p>
        </w:tc>
        <w:tc>
          <w:tcPr>
            <w:tcW w:w="4320" w:type="dxa"/>
            <w:gridSpan w:val="3"/>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980" w:type="dxa"/>
            <w:gridSpan w:val="2"/>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2" w:hRule="atLeast"/>
        </w:trPr>
        <w:tc>
          <w:tcPr>
            <w:tcW w:w="72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800" w:type="dxa"/>
            <w:tcBorders>
              <w:top w:val="single" w:color="auto" w:sz="4" w:space="0"/>
              <w:left w:val="single" w:color="auto" w:sz="4" w:space="0"/>
              <w:bottom w:val="single" w:color="auto" w:sz="4" w:space="0"/>
              <w:right w:val="single" w:color="auto" w:sz="4" w:space="0"/>
            </w:tcBorders>
          </w:tcPr>
          <w:p>
            <w:pPr>
              <w:pStyle w:val="33"/>
              <w:tabs>
                <w:tab w:val="left" w:pos="1418"/>
              </w:tabs>
              <w:snapToGrid w:val="0"/>
              <w:spacing w:before="50" w:after="50"/>
              <w:rPr>
                <w:rFonts w:ascii="宋体" w:hAnsi="宋体"/>
                <w:color w:val="000000" w:themeColor="text1"/>
                <w:spacing w:val="20"/>
                <w:sz w:val="24"/>
              </w:rPr>
            </w:pPr>
          </w:p>
        </w:tc>
        <w:tc>
          <w:tcPr>
            <w:tcW w:w="4320" w:type="dxa"/>
            <w:gridSpan w:val="3"/>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980" w:type="dxa"/>
            <w:gridSpan w:val="2"/>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34" w:hRule="atLeast"/>
        </w:trPr>
        <w:tc>
          <w:tcPr>
            <w:tcW w:w="72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800" w:type="dxa"/>
            <w:tcBorders>
              <w:top w:val="single" w:color="auto" w:sz="4" w:space="0"/>
              <w:left w:val="single" w:color="auto" w:sz="4" w:space="0"/>
              <w:bottom w:val="single" w:color="auto" w:sz="4" w:space="0"/>
              <w:right w:val="single" w:color="auto" w:sz="4" w:space="0"/>
            </w:tcBorders>
          </w:tcPr>
          <w:p>
            <w:pPr>
              <w:pStyle w:val="78"/>
              <w:tabs>
                <w:tab w:val="left" w:pos="1418"/>
              </w:tabs>
              <w:snapToGrid w:val="0"/>
              <w:spacing w:before="50" w:after="50"/>
              <w:rPr>
                <w:rFonts w:ascii="宋体" w:hAnsi="宋体"/>
                <w:color w:val="000000" w:themeColor="text1"/>
                <w:spacing w:val="20"/>
                <w:szCs w:val="24"/>
              </w:rPr>
            </w:pPr>
          </w:p>
        </w:tc>
        <w:tc>
          <w:tcPr>
            <w:tcW w:w="4320" w:type="dxa"/>
            <w:gridSpan w:val="3"/>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980" w:type="dxa"/>
            <w:gridSpan w:val="2"/>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18" w:hRule="atLeast"/>
        </w:trPr>
        <w:tc>
          <w:tcPr>
            <w:tcW w:w="72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800" w:type="dxa"/>
            <w:tcBorders>
              <w:top w:val="single" w:color="auto" w:sz="4" w:space="0"/>
              <w:left w:val="single" w:color="auto" w:sz="4" w:space="0"/>
              <w:bottom w:val="single" w:color="auto" w:sz="4" w:space="0"/>
              <w:right w:val="single" w:color="auto" w:sz="4" w:space="0"/>
            </w:tcBorders>
          </w:tcPr>
          <w:p>
            <w:pPr>
              <w:pStyle w:val="78"/>
              <w:tabs>
                <w:tab w:val="left" w:pos="1418"/>
              </w:tabs>
              <w:snapToGrid w:val="0"/>
              <w:spacing w:before="50" w:after="50"/>
              <w:rPr>
                <w:rFonts w:ascii="宋体" w:hAnsi="宋体"/>
                <w:color w:val="000000" w:themeColor="text1"/>
                <w:spacing w:val="20"/>
                <w:szCs w:val="24"/>
              </w:rPr>
            </w:pPr>
          </w:p>
        </w:tc>
        <w:tc>
          <w:tcPr>
            <w:tcW w:w="4320" w:type="dxa"/>
            <w:gridSpan w:val="3"/>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c>
          <w:tcPr>
            <w:tcW w:w="1980" w:type="dxa"/>
            <w:gridSpan w:val="2"/>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color w:val="000000" w:themeColor="text1"/>
                <w:spacing w:val="20"/>
                <w:sz w:val="24"/>
                <w:szCs w:val="20"/>
              </w:rPr>
            </w:pPr>
          </w:p>
        </w:tc>
      </w:tr>
    </w:tbl>
    <w:p>
      <w:pPr>
        <w:snapToGrid w:val="0"/>
        <w:spacing w:before="50" w:after="50"/>
        <w:rPr>
          <w:rFonts w:ascii="宋体" w:hAnsi="宋体"/>
          <w:color w:val="000000" w:themeColor="text1"/>
          <w:spacing w:val="20"/>
          <w:sz w:val="24"/>
          <w:szCs w:val="20"/>
        </w:rPr>
      </w:pPr>
    </w:p>
    <w:p>
      <w:pPr>
        <w:snapToGrid w:val="0"/>
        <w:spacing w:before="50" w:after="50"/>
        <w:rPr>
          <w:rFonts w:ascii="宋体" w:hAnsi="宋体"/>
          <w:color w:val="000000" w:themeColor="text1"/>
          <w:spacing w:val="20"/>
          <w:sz w:val="24"/>
          <w:szCs w:val="20"/>
          <w:u w:val="single"/>
        </w:rPr>
      </w:pPr>
      <w:r>
        <w:rPr>
          <w:rFonts w:hint="eastAsia" w:ascii="宋体" w:hAnsi="宋体"/>
          <w:color w:val="000000" w:themeColor="text1"/>
          <w:spacing w:val="20"/>
          <w:sz w:val="24"/>
        </w:rPr>
        <w:t>授权代表签名：</w:t>
      </w:r>
    </w:p>
    <w:p>
      <w:pPr>
        <w:snapToGrid w:val="0"/>
        <w:spacing w:before="50" w:after="50"/>
        <w:rPr>
          <w:rFonts w:ascii="宋体" w:hAnsi="宋体"/>
          <w:color w:val="000000" w:themeColor="text1"/>
          <w:spacing w:val="20"/>
          <w:sz w:val="24"/>
          <w:szCs w:val="20"/>
          <w:u w:val="single"/>
        </w:rPr>
      </w:pPr>
      <w:r>
        <w:rPr>
          <w:rFonts w:hint="eastAsia" w:ascii="宋体" w:hAnsi="宋体"/>
          <w:color w:val="000000" w:themeColor="text1"/>
          <w:spacing w:val="20"/>
          <w:sz w:val="24"/>
        </w:rPr>
        <w:t>投标人盖章：日期：</w:t>
      </w:r>
    </w:p>
    <w:p>
      <w:pPr>
        <w:tabs>
          <w:tab w:val="left" w:pos="1418"/>
        </w:tabs>
        <w:snapToGrid w:val="0"/>
        <w:spacing w:before="50" w:after="50"/>
        <w:ind w:left="1418" w:hanging="567"/>
        <w:jc w:val="center"/>
        <w:rPr>
          <w:rFonts w:ascii="宋体" w:hAnsi="宋体"/>
          <w:color w:val="000000" w:themeColor="text1"/>
          <w:spacing w:val="20"/>
          <w:sz w:val="24"/>
          <w:szCs w:val="20"/>
          <w:u w:val="single"/>
        </w:rPr>
      </w:pPr>
    </w:p>
    <w:p>
      <w:pPr>
        <w:tabs>
          <w:tab w:val="left" w:pos="1418"/>
        </w:tabs>
        <w:snapToGrid w:val="0"/>
        <w:spacing w:before="50" w:after="50"/>
        <w:ind w:left="1418" w:hanging="567"/>
        <w:jc w:val="center"/>
        <w:rPr>
          <w:rFonts w:ascii="宋体" w:hAnsi="宋体"/>
          <w:color w:val="000000" w:themeColor="text1"/>
          <w:spacing w:val="20"/>
          <w:sz w:val="24"/>
          <w:szCs w:val="20"/>
          <w:u w:val="single"/>
        </w:rPr>
      </w:pPr>
    </w:p>
    <w:p>
      <w:pPr>
        <w:tabs>
          <w:tab w:val="left" w:pos="1418"/>
        </w:tabs>
        <w:snapToGrid w:val="0"/>
        <w:spacing w:before="50" w:after="50"/>
        <w:ind w:left="1418" w:hanging="567"/>
        <w:jc w:val="center"/>
        <w:rPr>
          <w:rFonts w:ascii="宋体" w:hAnsi="宋体"/>
          <w:color w:val="000000" w:themeColor="text1"/>
          <w:spacing w:val="20"/>
          <w:sz w:val="24"/>
          <w:szCs w:val="20"/>
          <w:u w:val="single"/>
        </w:rPr>
      </w:pPr>
    </w:p>
    <w:p>
      <w:pPr>
        <w:tabs>
          <w:tab w:val="left" w:pos="1418"/>
        </w:tabs>
        <w:snapToGrid w:val="0"/>
        <w:spacing w:before="50" w:after="50"/>
        <w:ind w:left="1418" w:hanging="567"/>
        <w:jc w:val="center"/>
        <w:rPr>
          <w:rFonts w:ascii="宋体" w:hAnsi="宋体"/>
          <w:color w:val="000000" w:themeColor="text1"/>
          <w:spacing w:val="20"/>
          <w:sz w:val="24"/>
          <w:szCs w:val="20"/>
          <w:u w:val="single"/>
        </w:rPr>
      </w:pPr>
    </w:p>
    <w:p>
      <w:pPr>
        <w:tabs>
          <w:tab w:val="left" w:pos="1418"/>
        </w:tabs>
        <w:snapToGrid w:val="0"/>
        <w:spacing w:before="50" w:after="50"/>
        <w:ind w:left="1418" w:hanging="567"/>
        <w:jc w:val="center"/>
        <w:rPr>
          <w:rFonts w:ascii="宋体" w:hAnsi="宋体"/>
          <w:color w:val="000000" w:themeColor="text1"/>
          <w:spacing w:val="20"/>
          <w:sz w:val="24"/>
          <w:szCs w:val="20"/>
          <w:u w:val="single"/>
        </w:rPr>
      </w:pPr>
    </w:p>
    <w:p>
      <w:pPr>
        <w:snapToGrid w:val="0"/>
        <w:spacing w:before="50" w:afterLines="50"/>
        <w:jc w:val="left"/>
        <w:rPr>
          <w:rFonts w:ascii="宋体" w:hAnsi="宋体"/>
          <w:color w:val="000000" w:themeColor="text1"/>
          <w:sz w:val="24"/>
          <w:szCs w:val="20"/>
        </w:rPr>
      </w:pPr>
      <w:r>
        <w:rPr>
          <w:rFonts w:ascii="宋体" w:hAnsi="宋体"/>
          <w:color w:val="000000" w:themeColor="text1"/>
          <w:sz w:val="24"/>
        </w:rPr>
        <w:t>3</w:t>
      </w:r>
      <w:r>
        <w:rPr>
          <w:rFonts w:hint="eastAsia" w:ascii="宋体" w:hAnsi="宋体"/>
          <w:color w:val="000000" w:themeColor="text1"/>
          <w:sz w:val="24"/>
        </w:rPr>
        <w:t>2.技术服务、技术培训、售后服务的内容和措施（格式自拟）</w:t>
      </w:r>
    </w:p>
    <w:p>
      <w:pPr>
        <w:pStyle w:val="25"/>
        <w:snapToGrid w:val="0"/>
        <w:spacing w:beforeLines="0" w:afterLines="0" w:line="240" w:lineRule="auto"/>
        <w:rPr>
          <w:rFonts w:hAnsi="宋体"/>
          <w:color w:val="000000" w:themeColor="text1"/>
        </w:rPr>
      </w:pPr>
    </w:p>
    <w:p>
      <w:pPr>
        <w:snapToGrid w:val="0"/>
        <w:spacing w:before="50" w:afterLines="50"/>
        <w:jc w:val="left"/>
        <w:rPr>
          <w:rFonts w:ascii="宋体" w:hAnsi="宋体"/>
          <w:color w:val="000000" w:themeColor="text1"/>
          <w:sz w:val="24"/>
          <w:szCs w:val="20"/>
        </w:rPr>
      </w:pPr>
      <w:r>
        <w:rPr>
          <w:rFonts w:ascii="宋体" w:hAnsi="宋体"/>
          <w:color w:val="000000" w:themeColor="text1"/>
          <w:sz w:val="24"/>
        </w:rPr>
        <w:t>3</w:t>
      </w:r>
      <w:r>
        <w:rPr>
          <w:rFonts w:hint="eastAsia" w:ascii="宋体" w:hAnsi="宋体"/>
          <w:color w:val="000000" w:themeColor="text1"/>
          <w:sz w:val="24"/>
        </w:rPr>
        <w:t>3.投标人对本项目的合理化建议和改进措施（格式自拟）</w:t>
      </w: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r>
        <w:rPr>
          <w:rFonts w:ascii="宋体" w:hAnsi="宋体"/>
          <w:color w:val="000000" w:themeColor="text1"/>
          <w:sz w:val="24"/>
        </w:rPr>
        <w:t>3</w:t>
      </w:r>
      <w:r>
        <w:rPr>
          <w:rFonts w:hint="eastAsia" w:ascii="宋体" w:hAnsi="宋体"/>
          <w:color w:val="000000" w:themeColor="text1"/>
          <w:sz w:val="24"/>
        </w:rPr>
        <w:t>4.投标人需要说明的其他文件和说明（格式自拟）</w:t>
      </w: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b/>
          <w:bCs/>
          <w:color w:val="000000" w:themeColor="text1"/>
          <w:sz w:val="24"/>
          <w:szCs w:val="20"/>
        </w:rPr>
      </w:pPr>
      <w:r>
        <w:rPr>
          <w:rFonts w:hint="eastAsia" w:ascii="宋体" w:hAnsi="宋体"/>
          <w:b/>
          <w:bCs/>
          <w:color w:val="000000" w:themeColor="text1"/>
          <w:sz w:val="24"/>
        </w:rPr>
        <w:t>（以下适用于货物类项目的投标技术文件）</w:t>
      </w:r>
    </w:p>
    <w:p>
      <w:pPr>
        <w:snapToGrid w:val="0"/>
        <w:spacing w:before="50" w:afterLines="50"/>
        <w:jc w:val="left"/>
        <w:rPr>
          <w:rFonts w:ascii="宋体" w:hAnsi="宋体"/>
          <w:color w:val="000000" w:themeColor="text1"/>
          <w:sz w:val="24"/>
          <w:szCs w:val="20"/>
        </w:rPr>
      </w:pPr>
      <w:r>
        <w:rPr>
          <w:rFonts w:ascii="宋体" w:hAnsi="宋体"/>
          <w:color w:val="000000" w:themeColor="text1"/>
          <w:sz w:val="24"/>
        </w:rPr>
        <w:t>3</w:t>
      </w:r>
      <w:r>
        <w:rPr>
          <w:rFonts w:hint="eastAsia" w:ascii="宋体" w:hAnsi="宋体"/>
          <w:color w:val="000000" w:themeColor="text1"/>
          <w:sz w:val="24"/>
        </w:rPr>
        <w:t>5.对本项目系统总体要求的理解（包括：功能说明、性能指标、设备选型说明以及质量、性能、价格、外观、体积等方面进行比较和选择的理由和过程，格式自拟）</w:t>
      </w: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r>
        <w:rPr>
          <w:rFonts w:ascii="宋体" w:hAnsi="宋体"/>
          <w:color w:val="000000" w:themeColor="text1"/>
          <w:sz w:val="24"/>
        </w:rPr>
        <w:t>3</w:t>
      </w:r>
      <w:r>
        <w:rPr>
          <w:rFonts w:hint="eastAsia" w:ascii="宋体" w:hAnsi="宋体"/>
          <w:color w:val="000000" w:themeColor="text1"/>
          <w:sz w:val="24"/>
        </w:rPr>
        <w:t>6.投标人拥有主要装备和检测设施的情况和现状（格式自拟）</w:t>
      </w: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rPr>
      </w:pPr>
      <w:r>
        <w:rPr>
          <w:rFonts w:ascii="宋体" w:hAnsi="宋体"/>
          <w:color w:val="000000" w:themeColor="text1"/>
          <w:sz w:val="24"/>
        </w:rPr>
        <w:t>3</w:t>
      </w:r>
      <w:r>
        <w:rPr>
          <w:rFonts w:hint="eastAsia" w:ascii="宋体" w:hAnsi="宋体"/>
          <w:color w:val="000000" w:themeColor="text1"/>
          <w:sz w:val="24"/>
        </w:rPr>
        <w:t>7.产品出厂标准、质量检测报告及精度检测报告或数据（格式自拟）</w:t>
      </w: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r>
        <w:rPr>
          <w:rFonts w:ascii="宋体" w:hAnsi="宋体"/>
          <w:color w:val="000000" w:themeColor="text1"/>
          <w:sz w:val="24"/>
        </w:rPr>
        <w:t>3</w:t>
      </w:r>
      <w:r>
        <w:rPr>
          <w:rFonts w:hint="eastAsia" w:ascii="宋体" w:hAnsi="宋体"/>
          <w:color w:val="000000" w:themeColor="text1"/>
          <w:sz w:val="24"/>
        </w:rPr>
        <w:t>8.原厂出厂配置表及原厂中文使用说明书（格式自拟）</w:t>
      </w: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r>
        <w:rPr>
          <w:rFonts w:hint="eastAsia" w:ascii="宋体" w:hAnsi="宋体"/>
          <w:color w:val="000000" w:themeColor="text1"/>
          <w:sz w:val="24"/>
        </w:rPr>
        <w:t>39.设备配置清单格式：</w:t>
      </w:r>
    </w:p>
    <w:p>
      <w:pPr>
        <w:tabs>
          <w:tab w:val="left" w:pos="1418"/>
        </w:tabs>
        <w:snapToGrid w:val="0"/>
        <w:spacing w:before="50" w:after="50"/>
        <w:rPr>
          <w:rFonts w:ascii="宋体" w:hAnsi="宋体"/>
          <w:color w:val="000000" w:themeColor="text1"/>
          <w:sz w:val="24"/>
          <w:szCs w:val="28"/>
        </w:rPr>
      </w:pPr>
      <w:r>
        <w:rPr>
          <w:rFonts w:hint="eastAsia" w:ascii="宋体" w:hAnsi="宋体"/>
          <w:color w:val="000000" w:themeColor="text1"/>
        </w:rPr>
        <w:t>标项：</w:t>
      </w:r>
    </w:p>
    <w:tbl>
      <w:tblPr>
        <w:tblStyle w:val="53"/>
        <w:tblW w:w="9081"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4"/>
        <w:gridCol w:w="1681"/>
        <w:gridCol w:w="839"/>
        <w:gridCol w:w="1281"/>
        <w:gridCol w:w="1419"/>
        <w:gridCol w:w="2227"/>
        <w:gridCol w:w="108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themeColor="text1"/>
                <w:sz w:val="24"/>
                <w:szCs w:val="20"/>
              </w:rPr>
            </w:pPr>
            <w:r>
              <w:rPr>
                <w:rFonts w:hint="eastAsia" w:ascii="宋体" w:hAnsi="宋体"/>
                <w:color w:val="000000" w:themeColor="text1"/>
                <w:sz w:val="24"/>
              </w:rPr>
              <w:t>序号</w:t>
            </w:r>
          </w:p>
        </w:tc>
        <w:tc>
          <w:tcPr>
            <w:tcW w:w="16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themeColor="text1"/>
                <w:sz w:val="24"/>
                <w:szCs w:val="20"/>
              </w:rPr>
            </w:pPr>
            <w:r>
              <w:rPr>
                <w:rFonts w:hint="eastAsia" w:ascii="宋体" w:hAnsi="宋体"/>
                <w:color w:val="000000" w:themeColor="text1"/>
                <w:sz w:val="24"/>
              </w:rPr>
              <w:t>设备名称</w:t>
            </w:r>
          </w:p>
        </w:tc>
        <w:tc>
          <w:tcPr>
            <w:tcW w:w="83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themeColor="text1"/>
                <w:sz w:val="24"/>
                <w:szCs w:val="20"/>
              </w:rPr>
            </w:pPr>
            <w:r>
              <w:rPr>
                <w:rFonts w:hint="eastAsia" w:ascii="宋体" w:hAnsi="宋体"/>
                <w:color w:val="000000" w:themeColor="text1"/>
                <w:sz w:val="24"/>
              </w:rPr>
              <w:t>品牌</w:t>
            </w:r>
          </w:p>
        </w:tc>
        <w:tc>
          <w:tcPr>
            <w:tcW w:w="12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themeColor="text1"/>
                <w:sz w:val="24"/>
                <w:szCs w:val="20"/>
              </w:rPr>
            </w:pPr>
            <w:r>
              <w:rPr>
                <w:rFonts w:hint="eastAsia" w:ascii="宋体" w:hAnsi="宋体"/>
                <w:color w:val="000000" w:themeColor="text1"/>
                <w:sz w:val="24"/>
              </w:rPr>
              <w:t>规格型号</w:t>
            </w:r>
          </w:p>
        </w:tc>
        <w:tc>
          <w:tcPr>
            <w:tcW w:w="14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themeColor="text1"/>
                <w:sz w:val="24"/>
                <w:szCs w:val="20"/>
              </w:rPr>
            </w:pPr>
            <w:r>
              <w:rPr>
                <w:rFonts w:hint="eastAsia" w:ascii="宋体" w:hAnsi="宋体"/>
                <w:color w:val="000000" w:themeColor="text1"/>
                <w:sz w:val="24"/>
              </w:rPr>
              <w:t>单位及数量</w:t>
            </w:r>
          </w:p>
        </w:tc>
        <w:tc>
          <w:tcPr>
            <w:tcW w:w="222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themeColor="text1"/>
                <w:sz w:val="24"/>
                <w:szCs w:val="20"/>
              </w:rPr>
            </w:pPr>
            <w:r>
              <w:rPr>
                <w:rFonts w:hint="eastAsia" w:ascii="宋体" w:hAnsi="宋体"/>
                <w:color w:val="000000" w:themeColor="text1"/>
                <w:sz w:val="24"/>
              </w:rPr>
              <w:t>性能及指标</w:t>
            </w: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themeColor="text1"/>
                <w:sz w:val="24"/>
                <w:szCs w:val="20"/>
              </w:rPr>
            </w:pPr>
            <w:r>
              <w:rPr>
                <w:rFonts w:hint="eastAsia" w:ascii="宋体" w:hAnsi="宋体"/>
                <w:color w:val="000000" w:themeColor="text1"/>
                <w:sz w:val="24"/>
              </w:rPr>
              <w:t>产地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themeColor="text1"/>
                <w:sz w:val="24"/>
                <w:szCs w:val="20"/>
              </w:rPr>
            </w:pPr>
          </w:p>
        </w:tc>
        <w:tc>
          <w:tcPr>
            <w:tcW w:w="16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themeColor="text1"/>
                <w:sz w:val="24"/>
                <w:szCs w:val="20"/>
              </w:rPr>
            </w:pPr>
          </w:p>
          <w:p>
            <w:pPr>
              <w:snapToGrid w:val="0"/>
              <w:spacing w:before="50" w:after="50"/>
              <w:jc w:val="center"/>
              <w:rPr>
                <w:rFonts w:ascii="宋体" w:hAnsi="宋体"/>
                <w:color w:val="000000" w:themeColor="text1"/>
                <w:sz w:val="24"/>
                <w:szCs w:val="20"/>
              </w:rPr>
            </w:pPr>
          </w:p>
        </w:tc>
        <w:tc>
          <w:tcPr>
            <w:tcW w:w="83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themeColor="text1"/>
                <w:sz w:val="24"/>
                <w:szCs w:val="20"/>
              </w:rPr>
            </w:pPr>
          </w:p>
        </w:tc>
        <w:tc>
          <w:tcPr>
            <w:tcW w:w="12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themeColor="text1"/>
                <w:sz w:val="24"/>
                <w:szCs w:val="20"/>
              </w:rPr>
            </w:pPr>
          </w:p>
        </w:tc>
        <w:tc>
          <w:tcPr>
            <w:tcW w:w="14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themeColor="text1"/>
                <w:sz w:val="24"/>
                <w:szCs w:val="20"/>
              </w:rPr>
            </w:pPr>
          </w:p>
        </w:tc>
        <w:tc>
          <w:tcPr>
            <w:tcW w:w="222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themeColor="text1"/>
                <w:sz w:val="24"/>
                <w:szCs w:val="20"/>
              </w:rPr>
            </w:pP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themeColor="text1"/>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themeColor="text1"/>
                <w:sz w:val="24"/>
                <w:szCs w:val="20"/>
              </w:rPr>
            </w:pPr>
          </w:p>
        </w:tc>
        <w:tc>
          <w:tcPr>
            <w:tcW w:w="16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themeColor="text1"/>
                <w:sz w:val="24"/>
                <w:szCs w:val="20"/>
              </w:rPr>
            </w:pPr>
          </w:p>
        </w:tc>
        <w:tc>
          <w:tcPr>
            <w:tcW w:w="83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themeColor="text1"/>
                <w:sz w:val="24"/>
                <w:szCs w:val="20"/>
              </w:rPr>
            </w:pPr>
          </w:p>
        </w:tc>
        <w:tc>
          <w:tcPr>
            <w:tcW w:w="12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themeColor="text1"/>
                <w:sz w:val="24"/>
                <w:szCs w:val="20"/>
              </w:rPr>
            </w:pPr>
          </w:p>
        </w:tc>
        <w:tc>
          <w:tcPr>
            <w:tcW w:w="14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themeColor="text1"/>
                <w:sz w:val="24"/>
                <w:szCs w:val="20"/>
              </w:rPr>
            </w:pPr>
          </w:p>
        </w:tc>
        <w:tc>
          <w:tcPr>
            <w:tcW w:w="222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themeColor="text1"/>
                <w:sz w:val="24"/>
                <w:szCs w:val="20"/>
              </w:rPr>
            </w:pP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themeColor="text1"/>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themeColor="text1"/>
                <w:sz w:val="24"/>
                <w:szCs w:val="20"/>
              </w:rPr>
            </w:pPr>
          </w:p>
        </w:tc>
        <w:tc>
          <w:tcPr>
            <w:tcW w:w="16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themeColor="text1"/>
                <w:sz w:val="24"/>
                <w:szCs w:val="20"/>
              </w:rPr>
            </w:pPr>
          </w:p>
        </w:tc>
        <w:tc>
          <w:tcPr>
            <w:tcW w:w="83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themeColor="text1"/>
                <w:sz w:val="24"/>
                <w:szCs w:val="20"/>
              </w:rPr>
            </w:pPr>
          </w:p>
        </w:tc>
        <w:tc>
          <w:tcPr>
            <w:tcW w:w="12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themeColor="text1"/>
                <w:sz w:val="24"/>
                <w:szCs w:val="20"/>
              </w:rPr>
            </w:pPr>
          </w:p>
        </w:tc>
        <w:tc>
          <w:tcPr>
            <w:tcW w:w="14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themeColor="text1"/>
                <w:sz w:val="24"/>
                <w:szCs w:val="20"/>
              </w:rPr>
            </w:pPr>
          </w:p>
        </w:tc>
        <w:tc>
          <w:tcPr>
            <w:tcW w:w="222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themeColor="text1"/>
                <w:sz w:val="24"/>
                <w:szCs w:val="20"/>
              </w:rPr>
            </w:pP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themeColor="text1"/>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themeColor="text1"/>
                <w:sz w:val="24"/>
                <w:szCs w:val="20"/>
              </w:rPr>
            </w:pPr>
          </w:p>
        </w:tc>
        <w:tc>
          <w:tcPr>
            <w:tcW w:w="16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themeColor="text1"/>
                <w:sz w:val="24"/>
                <w:szCs w:val="20"/>
              </w:rPr>
            </w:pPr>
          </w:p>
        </w:tc>
        <w:tc>
          <w:tcPr>
            <w:tcW w:w="83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themeColor="text1"/>
                <w:sz w:val="24"/>
                <w:szCs w:val="20"/>
              </w:rPr>
            </w:pPr>
          </w:p>
        </w:tc>
        <w:tc>
          <w:tcPr>
            <w:tcW w:w="12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themeColor="text1"/>
                <w:sz w:val="24"/>
                <w:szCs w:val="20"/>
              </w:rPr>
            </w:pPr>
          </w:p>
        </w:tc>
        <w:tc>
          <w:tcPr>
            <w:tcW w:w="14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themeColor="text1"/>
                <w:sz w:val="24"/>
                <w:szCs w:val="20"/>
              </w:rPr>
            </w:pPr>
          </w:p>
        </w:tc>
        <w:tc>
          <w:tcPr>
            <w:tcW w:w="222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themeColor="text1"/>
                <w:sz w:val="24"/>
                <w:szCs w:val="20"/>
              </w:rPr>
            </w:pPr>
          </w:p>
        </w:tc>
        <w:tc>
          <w:tcPr>
            <w:tcW w:w="1080" w:type="dxa"/>
            <w:tcBorders>
              <w:top w:val="single" w:color="auto" w:sz="4" w:space="0"/>
              <w:left w:val="single" w:color="auto" w:sz="4" w:space="0"/>
              <w:bottom w:val="nil"/>
              <w:right w:val="single" w:color="auto" w:sz="4" w:space="0"/>
            </w:tcBorders>
            <w:vAlign w:val="center"/>
          </w:tcPr>
          <w:p>
            <w:pPr>
              <w:snapToGrid w:val="0"/>
              <w:spacing w:before="50" w:after="50"/>
              <w:jc w:val="center"/>
              <w:rPr>
                <w:rFonts w:ascii="宋体" w:hAnsi="宋体"/>
                <w:color w:val="000000" w:themeColor="text1"/>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themeColor="text1"/>
                <w:sz w:val="24"/>
                <w:szCs w:val="20"/>
              </w:rPr>
            </w:pPr>
          </w:p>
        </w:tc>
        <w:tc>
          <w:tcPr>
            <w:tcW w:w="16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themeColor="text1"/>
                <w:sz w:val="24"/>
                <w:szCs w:val="20"/>
              </w:rPr>
            </w:pPr>
          </w:p>
        </w:tc>
        <w:tc>
          <w:tcPr>
            <w:tcW w:w="839" w:type="dxa"/>
            <w:tcBorders>
              <w:top w:val="single" w:color="auto" w:sz="4" w:space="0"/>
              <w:left w:val="single" w:color="auto" w:sz="4" w:space="0"/>
              <w:bottom w:val="single" w:color="auto" w:sz="4" w:space="0"/>
              <w:right w:val="single" w:color="auto" w:sz="4" w:space="0"/>
            </w:tcBorders>
            <w:vAlign w:val="center"/>
          </w:tcPr>
          <w:p>
            <w:pPr>
              <w:snapToGrid w:val="0"/>
              <w:spacing w:before="50" w:after="50"/>
              <w:ind w:left="480" w:hanging="480"/>
              <w:jc w:val="center"/>
              <w:rPr>
                <w:rFonts w:ascii="宋体" w:hAnsi="宋体"/>
                <w:color w:val="000000" w:themeColor="text1"/>
                <w:sz w:val="24"/>
                <w:szCs w:val="20"/>
              </w:rPr>
            </w:pPr>
          </w:p>
        </w:tc>
        <w:tc>
          <w:tcPr>
            <w:tcW w:w="12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themeColor="text1"/>
                <w:sz w:val="24"/>
                <w:szCs w:val="20"/>
              </w:rPr>
            </w:pPr>
          </w:p>
        </w:tc>
        <w:tc>
          <w:tcPr>
            <w:tcW w:w="14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themeColor="text1"/>
                <w:sz w:val="24"/>
                <w:szCs w:val="20"/>
              </w:rPr>
            </w:pPr>
          </w:p>
        </w:tc>
        <w:tc>
          <w:tcPr>
            <w:tcW w:w="222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themeColor="text1"/>
                <w:sz w:val="24"/>
                <w:szCs w:val="20"/>
              </w:rPr>
            </w:pP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themeColor="text1"/>
                <w:sz w:val="24"/>
                <w:szCs w:val="20"/>
              </w:rPr>
            </w:pPr>
          </w:p>
        </w:tc>
      </w:tr>
    </w:tbl>
    <w:p>
      <w:pPr>
        <w:snapToGrid w:val="0"/>
        <w:spacing w:before="50" w:after="50"/>
        <w:rPr>
          <w:rFonts w:ascii="宋体" w:hAnsi="宋体"/>
          <w:color w:val="000000" w:themeColor="text1"/>
          <w:spacing w:val="20"/>
          <w:sz w:val="24"/>
          <w:szCs w:val="20"/>
          <w:u w:val="single"/>
        </w:rPr>
      </w:pPr>
      <w:r>
        <w:rPr>
          <w:rFonts w:hint="eastAsia" w:ascii="宋体" w:hAnsi="宋体"/>
          <w:color w:val="000000" w:themeColor="text1"/>
          <w:spacing w:val="20"/>
          <w:sz w:val="24"/>
        </w:rPr>
        <w:t>授权代表签名：</w:t>
      </w:r>
    </w:p>
    <w:p>
      <w:pPr>
        <w:snapToGrid w:val="0"/>
        <w:spacing w:before="50" w:after="50"/>
        <w:rPr>
          <w:rFonts w:ascii="宋体" w:hAnsi="宋体"/>
          <w:color w:val="000000" w:themeColor="text1"/>
          <w:sz w:val="24"/>
          <w:szCs w:val="20"/>
        </w:rPr>
      </w:pPr>
      <w:r>
        <w:rPr>
          <w:rFonts w:hint="eastAsia" w:ascii="宋体" w:hAnsi="宋体"/>
          <w:color w:val="000000" w:themeColor="text1"/>
          <w:spacing w:val="20"/>
          <w:sz w:val="24"/>
        </w:rPr>
        <w:t>投标人盖章：日期：</w:t>
      </w: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p>
    <w:p>
      <w:pPr>
        <w:pStyle w:val="25"/>
        <w:snapToGrid w:val="0"/>
        <w:spacing w:beforeLines="0" w:afterLines="0" w:line="240" w:lineRule="auto"/>
        <w:rPr>
          <w:rFonts w:hAnsi="宋体"/>
          <w:color w:val="000000" w:themeColor="text1"/>
        </w:rPr>
      </w:pPr>
    </w:p>
    <w:p>
      <w:pPr>
        <w:snapToGrid w:val="0"/>
        <w:spacing w:before="50" w:afterLines="50"/>
        <w:jc w:val="left"/>
        <w:rPr>
          <w:rFonts w:ascii="宋体" w:hAnsi="宋体"/>
          <w:color w:val="000000" w:themeColor="text1"/>
          <w:sz w:val="24"/>
          <w:szCs w:val="20"/>
        </w:rPr>
      </w:pPr>
      <w:r>
        <w:rPr>
          <w:rFonts w:ascii="宋体" w:hAnsi="宋体"/>
          <w:color w:val="000000" w:themeColor="text1"/>
        </w:rPr>
        <w:br w:type="page"/>
      </w:r>
      <w:r>
        <w:rPr>
          <w:rFonts w:ascii="宋体" w:hAnsi="宋体"/>
          <w:color w:val="000000" w:themeColor="text1"/>
          <w:sz w:val="24"/>
        </w:rPr>
        <w:t>4</w:t>
      </w:r>
      <w:r>
        <w:rPr>
          <w:rFonts w:hint="eastAsia" w:ascii="宋体" w:hAnsi="宋体"/>
          <w:color w:val="000000" w:themeColor="text1"/>
          <w:sz w:val="24"/>
        </w:rPr>
        <w:t>0.技术响应表格式：</w:t>
      </w:r>
    </w:p>
    <w:p>
      <w:pPr>
        <w:snapToGrid w:val="0"/>
        <w:spacing w:before="50" w:afterLines="50"/>
        <w:jc w:val="left"/>
        <w:rPr>
          <w:rFonts w:ascii="宋体" w:hAnsi="宋体"/>
          <w:color w:val="000000" w:themeColor="text1"/>
          <w:sz w:val="24"/>
          <w:szCs w:val="20"/>
        </w:rPr>
      </w:pPr>
      <w:r>
        <w:rPr>
          <w:rFonts w:hint="eastAsia" w:ascii="宋体" w:hAnsi="宋体"/>
          <w:color w:val="000000" w:themeColor="text1"/>
        </w:rPr>
        <w:t>标项：</w:t>
      </w:r>
    </w:p>
    <w:tbl>
      <w:tblPr>
        <w:tblStyle w:val="53"/>
        <w:tblW w:w="852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28"/>
        <w:gridCol w:w="720"/>
        <w:gridCol w:w="2361"/>
        <w:gridCol w:w="1976"/>
        <w:gridCol w:w="1808"/>
        <w:gridCol w:w="8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94" w:hRule="atLeast"/>
        </w:trPr>
        <w:tc>
          <w:tcPr>
            <w:tcW w:w="3909" w:type="dxa"/>
            <w:gridSpan w:val="3"/>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jc w:val="center"/>
              <w:outlineLvl w:val="0"/>
              <w:rPr>
                <w:rFonts w:hAnsi="宋体"/>
                <w:color w:val="000000" w:themeColor="text1"/>
                <w:kern w:val="2"/>
                <w:szCs w:val="21"/>
              </w:rPr>
            </w:pPr>
            <w:r>
              <w:rPr>
                <w:rFonts w:hAnsi="宋体"/>
                <w:color w:val="000000" w:themeColor="text1"/>
                <w:kern w:val="2"/>
                <w:szCs w:val="21"/>
              </w:rPr>
              <w:t>招标文件要求</w:t>
            </w:r>
          </w:p>
        </w:tc>
        <w:tc>
          <w:tcPr>
            <w:tcW w:w="3784" w:type="dxa"/>
            <w:gridSpan w:val="2"/>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jc w:val="center"/>
              <w:outlineLvl w:val="0"/>
              <w:rPr>
                <w:rFonts w:hAnsi="宋体"/>
                <w:color w:val="000000" w:themeColor="text1"/>
                <w:kern w:val="2"/>
                <w:szCs w:val="21"/>
              </w:rPr>
            </w:pPr>
            <w:r>
              <w:rPr>
                <w:rFonts w:hAnsi="宋体"/>
                <w:color w:val="000000" w:themeColor="text1"/>
                <w:kern w:val="2"/>
                <w:szCs w:val="21"/>
              </w:rPr>
              <w:t>投标文件响应</w:t>
            </w:r>
          </w:p>
        </w:tc>
        <w:tc>
          <w:tcPr>
            <w:tcW w:w="835" w:type="dxa"/>
            <w:vMerge w:val="restart"/>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szCs w:val="21"/>
              </w:rPr>
            </w:pPr>
            <w:r>
              <w:rPr>
                <w:rFonts w:hAnsi="宋体"/>
                <w:color w:val="000000" w:themeColor="text1"/>
                <w:kern w:val="2"/>
                <w:szCs w:val="21"/>
              </w:rPr>
              <w:t>偏离情况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88" w:hRule="atLeast"/>
        </w:trPr>
        <w:tc>
          <w:tcPr>
            <w:tcW w:w="1548" w:type="dxa"/>
            <w:gridSpan w:val="2"/>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jc w:val="center"/>
              <w:outlineLvl w:val="0"/>
              <w:rPr>
                <w:rFonts w:hAnsi="宋体"/>
                <w:color w:val="000000" w:themeColor="text1"/>
                <w:kern w:val="2"/>
                <w:szCs w:val="21"/>
              </w:rPr>
            </w:pPr>
            <w:r>
              <w:rPr>
                <w:rFonts w:hAnsi="宋体"/>
                <w:color w:val="000000" w:themeColor="text1"/>
                <w:kern w:val="2"/>
                <w:szCs w:val="21"/>
              </w:rPr>
              <w:t>项目</w:t>
            </w:r>
          </w:p>
        </w:tc>
        <w:tc>
          <w:tcPr>
            <w:tcW w:w="2361"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jc w:val="center"/>
              <w:outlineLvl w:val="0"/>
              <w:rPr>
                <w:rFonts w:hAnsi="宋体"/>
                <w:color w:val="000000" w:themeColor="text1"/>
                <w:kern w:val="2"/>
                <w:szCs w:val="21"/>
              </w:rPr>
            </w:pPr>
            <w:r>
              <w:rPr>
                <w:rFonts w:hAnsi="宋体"/>
                <w:color w:val="000000" w:themeColor="text1"/>
                <w:kern w:val="2"/>
                <w:szCs w:val="21"/>
              </w:rPr>
              <w:t>要求</w:t>
            </w:r>
          </w:p>
        </w:tc>
        <w:tc>
          <w:tcPr>
            <w:tcW w:w="1976"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jc w:val="center"/>
              <w:outlineLvl w:val="0"/>
              <w:rPr>
                <w:rFonts w:hAnsi="宋体"/>
                <w:color w:val="000000" w:themeColor="text1"/>
                <w:kern w:val="2"/>
                <w:szCs w:val="21"/>
              </w:rPr>
            </w:pPr>
            <w:r>
              <w:rPr>
                <w:rFonts w:hAnsi="宋体"/>
                <w:color w:val="000000" w:themeColor="text1"/>
                <w:kern w:val="2"/>
                <w:szCs w:val="21"/>
              </w:rPr>
              <w:t>设备名称</w:t>
            </w:r>
          </w:p>
        </w:tc>
        <w:tc>
          <w:tcPr>
            <w:tcW w:w="1808"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jc w:val="center"/>
              <w:outlineLvl w:val="0"/>
              <w:rPr>
                <w:rFonts w:hAnsi="宋体"/>
                <w:color w:val="000000" w:themeColor="text1"/>
                <w:kern w:val="2"/>
                <w:szCs w:val="21"/>
              </w:rPr>
            </w:pPr>
            <w:r>
              <w:rPr>
                <w:rFonts w:hAnsi="宋体"/>
                <w:color w:val="000000" w:themeColor="text1"/>
                <w:kern w:val="2"/>
                <w:szCs w:val="21"/>
              </w:rPr>
              <w:t>性能及指标</w:t>
            </w:r>
          </w:p>
        </w:tc>
        <w:tc>
          <w:tcPr>
            <w:tcW w:w="83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sz w:val="24"/>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Pr>
        <w:tc>
          <w:tcPr>
            <w:tcW w:w="828" w:type="dxa"/>
            <w:vMerge w:val="restart"/>
            <w:tcBorders>
              <w:top w:val="single" w:color="auto" w:sz="4" w:space="0"/>
              <w:left w:val="single" w:color="auto" w:sz="4" w:space="0"/>
              <w:bottom w:val="single" w:color="auto" w:sz="4" w:space="0"/>
              <w:right w:val="single" w:color="auto" w:sz="4" w:space="0"/>
            </w:tcBorders>
            <w:vAlign w:val="center"/>
          </w:tcPr>
          <w:p>
            <w:pPr>
              <w:pStyle w:val="25"/>
              <w:snapToGrid w:val="0"/>
              <w:spacing w:beforeLines="0" w:afterLines="0" w:line="240" w:lineRule="auto"/>
              <w:outlineLvl w:val="0"/>
              <w:rPr>
                <w:rFonts w:hAnsi="宋体"/>
                <w:color w:val="000000" w:themeColor="text1"/>
                <w:kern w:val="2"/>
              </w:rPr>
            </w:pPr>
            <w:r>
              <w:rPr>
                <w:rFonts w:hAnsi="宋体"/>
                <w:color w:val="000000" w:themeColor="text1"/>
                <w:kern w:val="2"/>
              </w:rPr>
              <w:t>一、</w:t>
            </w:r>
          </w:p>
          <w:p>
            <w:pPr>
              <w:pStyle w:val="25"/>
              <w:snapToGrid w:val="0"/>
              <w:spacing w:beforeLines="0" w:afterLines="0" w:line="240" w:lineRule="auto"/>
              <w:outlineLvl w:val="0"/>
              <w:rPr>
                <w:rFonts w:hAnsi="宋体"/>
                <w:color w:val="000000" w:themeColor="text1"/>
                <w:kern w:val="2"/>
                <w:szCs w:val="21"/>
              </w:rPr>
            </w:pPr>
            <w:r>
              <w:rPr>
                <w:rFonts w:hAnsi="宋体"/>
                <w:color w:val="000000" w:themeColor="text1"/>
                <w:kern w:val="2"/>
              </w:rPr>
              <w:t>功能要求</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pStyle w:val="25"/>
              <w:snapToGrid w:val="0"/>
              <w:spacing w:beforeLines="0" w:afterLines="0" w:line="240" w:lineRule="auto"/>
              <w:outlineLvl w:val="0"/>
              <w:rPr>
                <w:rFonts w:hAnsi="宋体"/>
                <w:color w:val="000000" w:themeColor="text1"/>
                <w:kern w:val="2"/>
              </w:rPr>
            </w:pPr>
            <w:r>
              <w:rPr>
                <w:rFonts w:hAnsi="宋体"/>
                <w:color w:val="000000" w:themeColor="text1"/>
                <w:kern w:val="2"/>
              </w:rPr>
              <w:t>a必要功能</w:t>
            </w:r>
          </w:p>
        </w:tc>
        <w:tc>
          <w:tcPr>
            <w:tcW w:w="2361" w:type="dxa"/>
            <w:tcBorders>
              <w:top w:val="single" w:color="auto" w:sz="4" w:space="0"/>
              <w:left w:val="single" w:color="auto" w:sz="4" w:space="0"/>
              <w:bottom w:val="single" w:color="auto" w:sz="4" w:space="0"/>
              <w:right w:val="single" w:color="auto" w:sz="4" w:space="0"/>
            </w:tcBorders>
            <w:vAlign w:val="center"/>
          </w:tcPr>
          <w:p>
            <w:pPr>
              <w:pStyle w:val="25"/>
              <w:snapToGrid w:val="0"/>
              <w:spacing w:beforeLines="0" w:afterLines="0" w:line="240" w:lineRule="auto"/>
              <w:outlineLvl w:val="0"/>
              <w:rPr>
                <w:rFonts w:hAnsi="宋体"/>
                <w:color w:val="000000" w:themeColor="text1"/>
                <w:kern w:val="2"/>
              </w:rPr>
            </w:pPr>
            <w:r>
              <w:rPr>
                <w:rFonts w:hAnsi="宋体"/>
                <w:color w:val="000000" w:themeColor="text1"/>
                <w:kern w:val="2"/>
              </w:rPr>
              <w:t>a1、</w:t>
            </w:r>
          </w:p>
        </w:tc>
        <w:tc>
          <w:tcPr>
            <w:tcW w:w="1976"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rPr>
            </w:pPr>
          </w:p>
        </w:tc>
        <w:tc>
          <w:tcPr>
            <w:tcW w:w="1808"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rPr>
            </w:pPr>
          </w:p>
        </w:tc>
        <w:tc>
          <w:tcPr>
            <w:tcW w:w="835"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Pr>
        <w:tc>
          <w:tcPr>
            <w:tcW w:w="828"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olor w:val="000000" w:themeColor="text1"/>
                <w:sz w:val="24"/>
                <w:szCs w:val="21"/>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olor w:val="000000" w:themeColor="text1"/>
                <w:sz w:val="24"/>
              </w:rPr>
            </w:pPr>
          </w:p>
        </w:tc>
        <w:tc>
          <w:tcPr>
            <w:tcW w:w="2361" w:type="dxa"/>
            <w:tcBorders>
              <w:top w:val="single" w:color="auto" w:sz="4" w:space="0"/>
              <w:left w:val="single" w:color="auto" w:sz="4" w:space="0"/>
              <w:bottom w:val="single" w:color="auto" w:sz="4" w:space="0"/>
              <w:right w:val="single" w:color="auto" w:sz="4" w:space="0"/>
            </w:tcBorders>
            <w:vAlign w:val="center"/>
          </w:tcPr>
          <w:p>
            <w:pPr>
              <w:pStyle w:val="25"/>
              <w:snapToGrid w:val="0"/>
              <w:spacing w:beforeLines="0" w:afterLines="0" w:line="240" w:lineRule="auto"/>
              <w:outlineLvl w:val="0"/>
              <w:rPr>
                <w:rFonts w:hAnsi="宋体"/>
                <w:color w:val="000000" w:themeColor="text1"/>
                <w:kern w:val="2"/>
                <w:szCs w:val="21"/>
              </w:rPr>
            </w:pPr>
            <w:r>
              <w:rPr>
                <w:rFonts w:hAnsi="宋体"/>
                <w:color w:val="000000" w:themeColor="text1"/>
                <w:kern w:val="2"/>
                <w:szCs w:val="21"/>
              </w:rPr>
              <w:t>a2、</w:t>
            </w:r>
          </w:p>
        </w:tc>
        <w:tc>
          <w:tcPr>
            <w:tcW w:w="1976"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szCs w:val="21"/>
              </w:rPr>
            </w:pPr>
          </w:p>
        </w:tc>
        <w:tc>
          <w:tcPr>
            <w:tcW w:w="1808"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szCs w:val="21"/>
              </w:rPr>
            </w:pPr>
          </w:p>
        </w:tc>
        <w:tc>
          <w:tcPr>
            <w:tcW w:w="835"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Pr>
        <w:tc>
          <w:tcPr>
            <w:tcW w:w="828"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olor w:val="000000" w:themeColor="text1"/>
                <w:sz w:val="24"/>
                <w:szCs w:val="21"/>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olor w:val="000000" w:themeColor="text1"/>
                <w:sz w:val="24"/>
              </w:rPr>
            </w:pPr>
          </w:p>
        </w:tc>
        <w:tc>
          <w:tcPr>
            <w:tcW w:w="2361" w:type="dxa"/>
            <w:tcBorders>
              <w:top w:val="single" w:color="auto" w:sz="4" w:space="0"/>
              <w:left w:val="single" w:color="auto" w:sz="4" w:space="0"/>
              <w:bottom w:val="single" w:color="auto" w:sz="4" w:space="0"/>
              <w:right w:val="single" w:color="auto" w:sz="4" w:space="0"/>
            </w:tcBorders>
            <w:vAlign w:val="center"/>
          </w:tcPr>
          <w:p>
            <w:pPr>
              <w:pStyle w:val="25"/>
              <w:snapToGrid w:val="0"/>
              <w:spacing w:beforeLines="0" w:afterLines="0" w:line="240" w:lineRule="auto"/>
              <w:rPr>
                <w:rFonts w:hAnsi="宋体"/>
                <w:color w:val="000000" w:themeColor="text1"/>
                <w:kern w:val="2"/>
                <w:szCs w:val="21"/>
              </w:rPr>
            </w:pPr>
            <w:r>
              <w:rPr>
                <w:rFonts w:hAnsi="宋体"/>
                <w:color w:val="000000" w:themeColor="text1"/>
                <w:kern w:val="2"/>
                <w:szCs w:val="21"/>
              </w:rPr>
              <w:t>...</w:t>
            </w:r>
          </w:p>
        </w:tc>
        <w:tc>
          <w:tcPr>
            <w:tcW w:w="1976"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rPr>
                <w:rFonts w:hAnsi="宋体"/>
                <w:color w:val="000000" w:themeColor="text1"/>
                <w:kern w:val="2"/>
                <w:szCs w:val="21"/>
              </w:rPr>
            </w:pPr>
          </w:p>
        </w:tc>
        <w:tc>
          <w:tcPr>
            <w:tcW w:w="1808"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rPr>
                <w:rFonts w:hAnsi="宋体"/>
                <w:color w:val="000000" w:themeColor="text1"/>
                <w:kern w:val="2"/>
                <w:szCs w:val="21"/>
              </w:rPr>
            </w:pPr>
          </w:p>
        </w:tc>
        <w:tc>
          <w:tcPr>
            <w:tcW w:w="835"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rPr>
                <w:rFonts w:hAnsi="宋体"/>
                <w:color w:val="000000" w:themeColor="text1"/>
                <w:kern w:val="2"/>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Pr>
        <w:tc>
          <w:tcPr>
            <w:tcW w:w="828"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olor w:val="000000" w:themeColor="text1"/>
                <w:sz w:val="24"/>
                <w:szCs w:val="21"/>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olor w:val="000000" w:themeColor="text1"/>
                <w:sz w:val="24"/>
              </w:rPr>
            </w:pPr>
          </w:p>
        </w:tc>
        <w:tc>
          <w:tcPr>
            <w:tcW w:w="2361" w:type="dxa"/>
            <w:tcBorders>
              <w:top w:val="single" w:color="auto" w:sz="4" w:space="0"/>
              <w:left w:val="single" w:color="auto" w:sz="4" w:space="0"/>
              <w:bottom w:val="single" w:color="auto" w:sz="4" w:space="0"/>
              <w:right w:val="single" w:color="auto" w:sz="4" w:space="0"/>
            </w:tcBorders>
            <w:vAlign w:val="center"/>
          </w:tcPr>
          <w:p>
            <w:pPr>
              <w:pStyle w:val="25"/>
              <w:snapToGrid w:val="0"/>
              <w:spacing w:beforeLines="0" w:afterLines="0" w:line="240" w:lineRule="auto"/>
              <w:outlineLvl w:val="0"/>
              <w:rPr>
                <w:rFonts w:hAnsi="宋体"/>
                <w:color w:val="000000" w:themeColor="text1"/>
                <w:kern w:val="2"/>
                <w:szCs w:val="21"/>
              </w:rPr>
            </w:pPr>
            <w:r>
              <w:rPr>
                <w:rFonts w:hAnsi="宋体"/>
                <w:color w:val="000000" w:themeColor="text1"/>
                <w:kern w:val="2"/>
                <w:szCs w:val="21"/>
              </w:rPr>
              <w:t>aN</w:t>
            </w:r>
          </w:p>
        </w:tc>
        <w:tc>
          <w:tcPr>
            <w:tcW w:w="1976"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szCs w:val="21"/>
              </w:rPr>
            </w:pPr>
          </w:p>
        </w:tc>
        <w:tc>
          <w:tcPr>
            <w:tcW w:w="1808"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szCs w:val="21"/>
              </w:rPr>
            </w:pPr>
          </w:p>
        </w:tc>
        <w:tc>
          <w:tcPr>
            <w:tcW w:w="835"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Pr>
        <w:tc>
          <w:tcPr>
            <w:tcW w:w="828"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olor w:val="000000" w:themeColor="text1"/>
                <w:sz w:val="24"/>
                <w:szCs w:val="21"/>
              </w:rPr>
            </w:pP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pStyle w:val="25"/>
              <w:snapToGrid w:val="0"/>
              <w:spacing w:beforeLines="0" w:afterLines="0" w:line="240" w:lineRule="auto"/>
              <w:outlineLvl w:val="0"/>
              <w:rPr>
                <w:rFonts w:hAnsi="宋体"/>
                <w:color w:val="000000" w:themeColor="text1"/>
                <w:kern w:val="2"/>
                <w:szCs w:val="21"/>
              </w:rPr>
            </w:pPr>
            <w:r>
              <w:rPr>
                <w:rFonts w:hAnsi="宋体"/>
                <w:color w:val="000000" w:themeColor="text1"/>
                <w:kern w:val="2"/>
              </w:rPr>
              <w:t>b辅助功能</w:t>
            </w:r>
          </w:p>
        </w:tc>
        <w:tc>
          <w:tcPr>
            <w:tcW w:w="2361" w:type="dxa"/>
            <w:tcBorders>
              <w:top w:val="single" w:color="auto" w:sz="4" w:space="0"/>
              <w:left w:val="single" w:color="auto" w:sz="4" w:space="0"/>
              <w:bottom w:val="single" w:color="auto" w:sz="4" w:space="0"/>
              <w:right w:val="single" w:color="auto" w:sz="4" w:space="0"/>
            </w:tcBorders>
            <w:vAlign w:val="center"/>
          </w:tcPr>
          <w:p>
            <w:pPr>
              <w:pStyle w:val="25"/>
              <w:snapToGrid w:val="0"/>
              <w:spacing w:beforeLines="0" w:afterLines="0" w:line="240" w:lineRule="auto"/>
              <w:outlineLvl w:val="0"/>
              <w:rPr>
                <w:rFonts w:hAnsi="宋体"/>
                <w:color w:val="000000" w:themeColor="text1"/>
                <w:kern w:val="2"/>
                <w:szCs w:val="21"/>
              </w:rPr>
            </w:pPr>
            <w:r>
              <w:rPr>
                <w:rFonts w:hAnsi="宋体"/>
                <w:color w:val="000000" w:themeColor="text1"/>
                <w:kern w:val="2"/>
                <w:szCs w:val="21"/>
              </w:rPr>
              <w:t>b1、</w:t>
            </w:r>
          </w:p>
        </w:tc>
        <w:tc>
          <w:tcPr>
            <w:tcW w:w="1976"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szCs w:val="21"/>
              </w:rPr>
            </w:pPr>
          </w:p>
        </w:tc>
        <w:tc>
          <w:tcPr>
            <w:tcW w:w="1808"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szCs w:val="21"/>
              </w:rPr>
            </w:pPr>
          </w:p>
        </w:tc>
        <w:tc>
          <w:tcPr>
            <w:tcW w:w="835"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Pr>
        <w:tc>
          <w:tcPr>
            <w:tcW w:w="828"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olor w:val="000000" w:themeColor="text1"/>
                <w:sz w:val="24"/>
                <w:szCs w:val="21"/>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olor w:val="000000" w:themeColor="text1"/>
                <w:sz w:val="24"/>
                <w:szCs w:val="21"/>
              </w:rPr>
            </w:pPr>
          </w:p>
        </w:tc>
        <w:tc>
          <w:tcPr>
            <w:tcW w:w="2361" w:type="dxa"/>
            <w:tcBorders>
              <w:top w:val="single" w:color="auto" w:sz="4" w:space="0"/>
              <w:left w:val="single" w:color="auto" w:sz="4" w:space="0"/>
              <w:bottom w:val="single" w:color="auto" w:sz="4" w:space="0"/>
              <w:right w:val="single" w:color="auto" w:sz="4" w:space="0"/>
            </w:tcBorders>
            <w:vAlign w:val="center"/>
          </w:tcPr>
          <w:p>
            <w:pPr>
              <w:pStyle w:val="25"/>
              <w:snapToGrid w:val="0"/>
              <w:spacing w:beforeLines="0" w:afterLines="0" w:line="240" w:lineRule="auto"/>
              <w:outlineLvl w:val="0"/>
              <w:rPr>
                <w:rFonts w:hAnsi="宋体"/>
                <w:color w:val="000000" w:themeColor="text1"/>
                <w:kern w:val="2"/>
                <w:szCs w:val="21"/>
              </w:rPr>
            </w:pPr>
            <w:r>
              <w:rPr>
                <w:rFonts w:hAnsi="宋体"/>
                <w:color w:val="000000" w:themeColor="text1"/>
                <w:kern w:val="2"/>
                <w:szCs w:val="21"/>
              </w:rPr>
              <w:t>...</w:t>
            </w:r>
          </w:p>
        </w:tc>
        <w:tc>
          <w:tcPr>
            <w:tcW w:w="1976"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szCs w:val="21"/>
              </w:rPr>
            </w:pPr>
          </w:p>
        </w:tc>
        <w:tc>
          <w:tcPr>
            <w:tcW w:w="1808"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szCs w:val="21"/>
              </w:rPr>
            </w:pPr>
          </w:p>
        </w:tc>
        <w:tc>
          <w:tcPr>
            <w:tcW w:w="835"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Pr>
        <w:tc>
          <w:tcPr>
            <w:tcW w:w="828"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olor w:val="000000" w:themeColor="text1"/>
                <w:sz w:val="24"/>
                <w:szCs w:val="21"/>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olor w:val="000000" w:themeColor="text1"/>
                <w:sz w:val="24"/>
                <w:szCs w:val="21"/>
              </w:rPr>
            </w:pPr>
          </w:p>
        </w:tc>
        <w:tc>
          <w:tcPr>
            <w:tcW w:w="2361" w:type="dxa"/>
            <w:tcBorders>
              <w:top w:val="single" w:color="auto" w:sz="4" w:space="0"/>
              <w:left w:val="single" w:color="auto" w:sz="4" w:space="0"/>
              <w:bottom w:val="single" w:color="auto" w:sz="4" w:space="0"/>
              <w:right w:val="single" w:color="auto" w:sz="4" w:space="0"/>
            </w:tcBorders>
            <w:vAlign w:val="center"/>
          </w:tcPr>
          <w:p>
            <w:pPr>
              <w:pStyle w:val="25"/>
              <w:snapToGrid w:val="0"/>
              <w:spacing w:beforeLines="0" w:afterLines="0" w:line="240" w:lineRule="auto"/>
              <w:outlineLvl w:val="0"/>
              <w:rPr>
                <w:rFonts w:hAnsi="宋体"/>
                <w:color w:val="000000" w:themeColor="text1"/>
                <w:kern w:val="2"/>
                <w:szCs w:val="21"/>
              </w:rPr>
            </w:pPr>
            <w:r>
              <w:rPr>
                <w:rFonts w:hAnsi="宋体"/>
                <w:color w:val="000000" w:themeColor="text1"/>
                <w:kern w:val="2"/>
                <w:szCs w:val="21"/>
              </w:rPr>
              <w:t>bN</w:t>
            </w:r>
          </w:p>
        </w:tc>
        <w:tc>
          <w:tcPr>
            <w:tcW w:w="1976"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szCs w:val="21"/>
              </w:rPr>
            </w:pPr>
          </w:p>
        </w:tc>
        <w:tc>
          <w:tcPr>
            <w:tcW w:w="1808"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szCs w:val="21"/>
              </w:rPr>
            </w:pPr>
          </w:p>
        </w:tc>
        <w:tc>
          <w:tcPr>
            <w:tcW w:w="835"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Pr>
        <w:tc>
          <w:tcPr>
            <w:tcW w:w="828" w:type="dxa"/>
            <w:vMerge w:val="restart"/>
            <w:tcBorders>
              <w:top w:val="single" w:color="auto" w:sz="4" w:space="0"/>
              <w:left w:val="single" w:color="auto" w:sz="4" w:space="0"/>
              <w:bottom w:val="single" w:color="auto" w:sz="4" w:space="0"/>
              <w:right w:val="single" w:color="auto" w:sz="4" w:space="0"/>
            </w:tcBorders>
            <w:vAlign w:val="center"/>
          </w:tcPr>
          <w:p>
            <w:pPr>
              <w:pStyle w:val="25"/>
              <w:snapToGrid w:val="0"/>
              <w:spacing w:beforeLines="0" w:afterLines="0" w:line="240" w:lineRule="auto"/>
              <w:outlineLvl w:val="0"/>
              <w:rPr>
                <w:rFonts w:hAnsi="宋体"/>
                <w:color w:val="000000" w:themeColor="text1"/>
                <w:kern w:val="2"/>
              </w:rPr>
            </w:pPr>
            <w:r>
              <w:rPr>
                <w:rFonts w:hAnsi="宋体"/>
                <w:color w:val="000000" w:themeColor="text1"/>
                <w:kern w:val="2"/>
              </w:rPr>
              <w:t>二、</w:t>
            </w:r>
          </w:p>
          <w:p>
            <w:pPr>
              <w:pStyle w:val="25"/>
              <w:snapToGrid w:val="0"/>
              <w:spacing w:beforeLines="0" w:afterLines="0" w:line="240" w:lineRule="auto"/>
              <w:outlineLvl w:val="0"/>
              <w:rPr>
                <w:rFonts w:hAnsi="宋体"/>
                <w:color w:val="000000" w:themeColor="text1"/>
                <w:kern w:val="2"/>
                <w:szCs w:val="21"/>
              </w:rPr>
            </w:pPr>
            <w:r>
              <w:rPr>
                <w:rFonts w:hAnsi="宋体"/>
                <w:color w:val="000000" w:themeColor="text1"/>
                <w:kern w:val="2"/>
              </w:rPr>
              <w:t>性能及技术指标</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pStyle w:val="25"/>
              <w:snapToGrid w:val="0"/>
              <w:spacing w:beforeLines="0" w:afterLines="0" w:line="240" w:lineRule="auto"/>
              <w:outlineLvl w:val="0"/>
              <w:rPr>
                <w:rFonts w:hAnsi="宋体"/>
                <w:color w:val="000000" w:themeColor="text1"/>
                <w:kern w:val="2"/>
                <w:szCs w:val="21"/>
              </w:rPr>
            </w:pPr>
            <w:r>
              <w:rPr>
                <w:rFonts w:hAnsi="宋体"/>
                <w:color w:val="000000" w:themeColor="text1"/>
                <w:kern w:val="2"/>
                <w:szCs w:val="21"/>
              </w:rPr>
              <w:t>c主要技术指标</w:t>
            </w:r>
          </w:p>
        </w:tc>
        <w:tc>
          <w:tcPr>
            <w:tcW w:w="2361" w:type="dxa"/>
            <w:tcBorders>
              <w:top w:val="single" w:color="auto" w:sz="4" w:space="0"/>
              <w:left w:val="single" w:color="auto" w:sz="4" w:space="0"/>
              <w:bottom w:val="single" w:color="auto" w:sz="4" w:space="0"/>
              <w:right w:val="single" w:color="auto" w:sz="4" w:space="0"/>
            </w:tcBorders>
            <w:vAlign w:val="center"/>
          </w:tcPr>
          <w:p>
            <w:pPr>
              <w:pStyle w:val="25"/>
              <w:snapToGrid w:val="0"/>
              <w:spacing w:beforeLines="0" w:afterLines="0" w:line="240" w:lineRule="auto"/>
              <w:outlineLvl w:val="0"/>
              <w:rPr>
                <w:rFonts w:hAnsi="宋体"/>
                <w:color w:val="000000" w:themeColor="text1"/>
                <w:kern w:val="2"/>
                <w:szCs w:val="21"/>
              </w:rPr>
            </w:pPr>
            <w:r>
              <w:rPr>
                <w:rFonts w:hAnsi="宋体"/>
                <w:color w:val="000000" w:themeColor="text1"/>
                <w:kern w:val="2"/>
                <w:szCs w:val="21"/>
              </w:rPr>
              <w:t>c1、</w:t>
            </w:r>
          </w:p>
        </w:tc>
        <w:tc>
          <w:tcPr>
            <w:tcW w:w="1976"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szCs w:val="21"/>
              </w:rPr>
            </w:pPr>
          </w:p>
        </w:tc>
        <w:tc>
          <w:tcPr>
            <w:tcW w:w="1808"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szCs w:val="21"/>
              </w:rPr>
            </w:pPr>
          </w:p>
        </w:tc>
        <w:tc>
          <w:tcPr>
            <w:tcW w:w="835"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86" w:hRule="atLeast"/>
        </w:trPr>
        <w:tc>
          <w:tcPr>
            <w:tcW w:w="828"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olor w:val="000000" w:themeColor="text1"/>
                <w:sz w:val="24"/>
                <w:szCs w:val="21"/>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olor w:val="000000" w:themeColor="text1"/>
                <w:sz w:val="24"/>
                <w:szCs w:val="21"/>
              </w:rPr>
            </w:pPr>
          </w:p>
        </w:tc>
        <w:tc>
          <w:tcPr>
            <w:tcW w:w="2361" w:type="dxa"/>
            <w:tcBorders>
              <w:top w:val="single" w:color="auto" w:sz="4" w:space="0"/>
              <w:left w:val="single" w:color="auto" w:sz="4" w:space="0"/>
              <w:bottom w:val="single" w:color="auto" w:sz="4" w:space="0"/>
              <w:right w:val="single" w:color="auto" w:sz="4" w:space="0"/>
            </w:tcBorders>
            <w:vAlign w:val="center"/>
          </w:tcPr>
          <w:p>
            <w:pPr>
              <w:pStyle w:val="25"/>
              <w:snapToGrid w:val="0"/>
              <w:spacing w:beforeLines="0" w:afterLines="0" w:line="240" w:lineRule="auto"/>
              <w:rPr>
                <w:rFonts w:hAnsi="宋体"/>
                <w:color w:val="000000" w:themeColor="text1"/>
                <w:kern w:val="2"/>
                <w:szCs w:val="21"/>
              </w:rPr>
            </w:pPr>
            <w:r>
              <w:rPr>
                <w:rFonts w:hAnsi="宋体"/>
                <w:color w:val="000000" w:themeColor="text1"/>
                <w:kern w:val="2"/>
                <w:szCs w:val="21"/>
              </w:rPr>
              <w:t>c2、</w:t>
            </w:r>
          </w:p>
        </w:tc>
        <w:tc>
          <w:tcPr>
            <w:tcW w:w="1976"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rPr>
                <w:rFonts w:hAnsi="宋体"/>
                <w:color w:val="000000" w:themeColor="text1"/>
                <w:kern w:val="2"/>
                <w:szCs w:val="21"/>
              </w:rPr>
            </w:pPr>
          </w:p>
        </w:tc>
        <w:tc>
          <w:tcPr>
            <w:tcW w:w="1808"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rPr>
                <w:rFonts w:hAnsi="宋体"/>
                <w:color w:val="000000" w:themeColor="text1"/>
                <w:kern w:val="2"/>
                <w:szCs w:val="21"/>
              </w:rPr>
            </w:pPr>
          </w:p>
        </w:tc>
        <w:tc>
          <w:tcPr>
            <w:tcW w:w="835"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rPr>
                <w:rFonts w:hAnsi="宋体"/>
                <w:color w:val="000000" w:themeColor="text1"/>
                <w:kern w:val="2"/>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720" w:hRule="atLeast"/>
        </w:trPr>
        <w:tc>
          <w:tcPr>
            <w:tcW w:w="828"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olor w:val="000000" w:themeColor="text1"/>
                <w:sz w:val="24"/>
                <w:szCs w:val="21"/>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olor w:val="000000" w:themeColor="text1"/>
                <w:sz w:val="24"/>
                <w:szCs w:val="21"/>
              </w:rPr>
            </w:pPr>
          </w:p>
        </w:tc>
        <w:tc>
          <w:tcPr>
            <w:tcW w:w="2361" w:type="dxa"/>
            <w:tcBorders>
              <w:top w:val="single" w:color="auto" w:sz="4" w:space="0"/>
              <w:left w:val="single" w:color="auto" w:sz="4" w:space="0"/>
              <w:bottom w:val="single" w:color="auto" w:sz="4" w:space="0"/>
              <w:right w:val="single" w:color="auto" w:sz="4" w:space="0"/>
            </w:tcBorders>
            <w:vAlign w:val="center"/>
          </w:tcPr>
          <w:p>
            <w:pPr>
              <w:pStyle w:val="25"/>
              <w:snapToGrid w:val="0"/>
              <w:spacing w:beforeLines="0" w:afterLines="0" w:line="240" w:lineRule="auto"/>
              <w:outlineLvl w:val="0"/>
              <w:rPr>
                <w:rFonts w:hAnsi="宋体"/>
                <w:color w:val="000000" w:themeColor="text1"/>
                <w:kern w:val="2"/>
              </w:rPr>
            </w:pPr>
            <w:r>
              <w:rPr>
                <w:rFonts w:hAnsi="宋体"/>
                <w:color w:val="000000" w:themeColor="text1"/>
                <w:kern w:val="2"/>
              </w:rPr>
              <w:t>c3、</w:t>
            </w:r>
          </w:p>
        </w:tc>
        <w:tc>
          <w:tcPr>
            <w:tcW w:w="1976"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rPr>
            </w:pPr>
          </w:p>
        </w:tc>
        <w:tc>
          <w:tcPr>
            <w:tcW w:w="1808"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rPr>
            </w:pPr>
          </w:p>
        </w:tc>
        <w:tc>
          <w:tcPr>
            <w:tcW w:w="835"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36" w:hRule="atLeast"/>
        </w:trPr>
        <w:tc>
          <w:tcPr>
            <w:tcW w:w="8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sz w:val="24"/>
                <w:szCs w:val="21"/>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sz w:val="24"/>
                <w:szCs w:val="21"/>
              </w:rPr>
            </w:pPr>
          </w:p>
        </w:tc>
        <w:tc>
          <w:tcPr>
            <w:tcW w:w="2361"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szCs w:val="21"/>
              </w:rPr>
            </w:pPr>
            <w:r>
              <w:rPr>
                <w:rFonts w:hAnsi="宋体"/>
                <w:color w:val="000000" w:themeColor="text1"/>
                <w:kern w:val="2"/>
                <w:szCs w:val="21"/>
              </w:rPr>
              <w:t>...</w:t>
            </w:r>
          </w:p>
        </w:tc>
        <w:tc>
          <w:tcPr>
            <w:tcW w:w="1976"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szCs w:val="21"/>
              </w:rPr>
            </w:pPr>
          </w:p>
        </w:tc>
        <w:tc>
          <w:tcPr>
            <w:tcW w:w="1808"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szCs w:val="21"/>
              </w:rPr>
            </w:pPr>
          </w:p>
        </w:tc>
        <w:tc>
          <w:tcPr>
            <w:tcW w:w="835"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Pr>
        <w:tc>
          <w:tcPr>
            <w:tcW w:w="8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sz w:val="24"/>
                <w:szCs w:val="21"/>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sz w:val="24"/>
                <w:szCs w:val="21"/>
              </w:rPr>
            </w:pPr>
          </w:p>
        </w:tc>
        <w:tc>
          <w:tcPr>
            <w:tcW w:w="2361"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rPr>
                <w:rFonts w:hAnsi="宋体"/>
                <w:color w:val="000000" w:themeColor="text1"/>
                <w:kern w:val="2"/>
                <w:szCs w:val="21"/>
              </w:rPr>
            </w:pPr>
            <w:r>
              <w:rPr>
                <w:rFonts w:hAnsi="宋体"/>
                <w:color w:val="000000" w:themeColor="text1"/>
                <w:kern w:val="2"/>
                <w:szCs w:val="21"/>
              </w:rPr>
              <w:t>cN</w:t>
            </w:r>
          </w:p>
        </w:tc>
        <w:tc>
          <w:tcPr>
            <w:tcW w:w="1976"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rPr>
                <w:rFonts w:hAnsi="宋体"/>
                <w:color w:val="000000" w:themeColor="text1"/>
                <w:kern w:val="2"/>
                <w:szCs w:val="21"/>
              </w:rPr>
            </w:pPr>
          </w:p>
        </w:tc>
        <w:tc>
          <w:tcPr>
            <w:tcW w:w="1808"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rPr>
                <w:rFonts w:hAnsi="宋体"/>
                <w:color w:val="000000" w:themeColor="text1"/>
                <w:kern w:val="2"/>
                <w:szCs w:val="21"/>
              </w:rPr>
            </w:pPr>
          </w:p>
        </w:tc>
        <w:tc>
          <w:tcPr>
            <w:tcW w:w="835"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rPr>
                <w:rFonts w:hAnsi="宋体"/>
                <w:color w:val="000000" w:themeColor="text1"/>
                <w:kern w:val="2"/>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84" w:hRule="atLeast"/>
        </w:trPr>
        <w:tc>
          <w:tcPr>
            <w:tcW w:w="8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sz w:val="24"/>
                <w:szCs w:val="21"/>
              </w:rPr>
            </w:pPr>
          </w:p>
        </w:tc>
        <w:tc>
          <w:tcPr>
            <w:tcW w:w="720" w:type="dxa"/>
            <w:vMerge w:val="restart"/>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szCs w:val="21"/>
              </w:rPr>
            </w:pPr>
            <w:r>
              <w:rPr>
                <w:rFonts w:hAnsi="宋体"/>
                <w:color w:val="000000" w:themeColor="text1"/>
                <w:kern w:val="2"/>
                <w:szCs w:val="21"/>
              </w:rPr>
              <w:t>d次要指标</w:t>
            </w:r>
          </w:p>
        </w:tc>
        <w:tc>
          <w:tcPr>
            <w:tcW w:w="2361"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szCs w:val="21"/>
              </w:rPr>
            </w:pPr>
            <w:r>
              <w:rPr>
                <w:rFonts w:hAnsi="宋体"/>
                <w:color w:val="000000" w:themeColor="text1"/>
                <w:kern w:val="2"/>
                <w:szCs w:val="21"/>
              </w:rPr>
              <w:t>d1</w:t>
            </w:r>
          </w:p>
        </w:tc>
        <w:tc>
          <w:tcPr>
            <w:tcW w:w="1976"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szCs w:val="21"/>
              </w:rPr>
            </w:pPr>
          </w:p>
        </w:tc>
        <w:tc>
          <w:tcPr>
            <w:tcW w:w="1808"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szCs w:val="21"/>
              </w:rPr>
            </w:pPr>
          </w:p>
        </w:tc>
        <w:tc>
          <w:tcPr>
            <w:tcW w:w="835"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19" w:hRule="atLeast"/>
        </w:trPr>
        <w:tc>
          <w:tcPr>
            <w:tcW w:w="8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sz w:val="24"/>
                <w:szCs w:val="21"/>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olor w:val="000000" w:themeColor="text1"/>
                <w:sz w:val="24"/>
                <w:szCs w:val="21"/>
              </w:rPr>
            </w:pPr>
          </w:p>
        </w:tc>
        <w:tc>
          <w:tcPr>
            <w:tcW w:w="2361"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szCs w:val="21"/>
              </w:rPr>
            </w:pPr>
            <w:r>
              <w:rPr>
                <w:rFonts w:hAnsi="宋体"/>
                <w:color w:val="000000" w:themeColor="text1"/>
                <w:kern w:val="2"/>
                <w:szCs w:val="21"/>
              </w:rPr>
              <w:t>...</w:t>
            </w:r>
          </w:p>
        </w:tc>
        <w:tc>
          <w:tcPr>
            <w:tcW w:w="1976"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szCs w:val="21"/>
              </w:rPr>
            </w:pPr>
          </w:p>
        </w:tc>
        <w:tc>
          <w:tcPr>
            <w:tcW w:w="1808"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szCs w:val="21"/>
              </w:rPr>
            </w:pPr>
          </w:p>
        </w:tc>
        <w:tc>
          <w:tcPr>
            <w:tcW w:w="835"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51" w:hRule="atLeast"/>
        </w:trPr>
        <w:tc>
          <w:tcPr>
            <w:tcW w:w="8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sz w:val="24"/>
                <w:szCs w:val="21"/>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sz w:val="24"/>
                <w:szCs w:val="21"/>
              </w:rPr>
            </w:pPr>
          </w:p>
        </w:tc>
        <w:tc>
          <w:tcPr>
            <w:tcW w:w="2361"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szCs w:val="21"/>
              </w:rPr>
            </w:pPr>
            <w:r>
              <w:rPr>
                <w:rFonts w:hAnsi="宋体"/>
                <w:color w:val="000000" w:themeColor="text1"/>
                <w:kern w:val="2"/>
                <w:szCs w:val="21"/>
              </w:rPr>
              <w:t>dN</w:t>
            </w:r>
          </w:p>
        </w:tc>
        <w:tc>
          <w:tcPr>
            <w:tcW w:w="1976"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szCs w:val="21"/>
              </w:rPr>
            </w:pPr>
          </w:p>
        </w:tc>
        <w:tc>
          <w:tcPr>
            <w:tcW w:w="1808"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szCs w:val="21"/>
              </w:rPr>
            </w:pPr>
          </w:p>
        </w:tc>
        <w:tc>
          <w:tcPr>
            <w:tcW w:w="835"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52" w:hRule="atLeast"/>
        </w:trPr>
        <w:tc>
          <w:tcPr>
            <w:tcW w:w="1548" w:type="dxa"/>
            <w:gridSpan w:val="2"/>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szCs w:val="21"/>
              </w:rPr>
            </w:pPr>
            <w:r>
              <w:rPr>
                <w:rFonts w:hAnsi="宋体"/>
                <w:color w:val="000000" w:themeColor="text1"/>
                <w:kern w:val="2"/>
                <w:szCs w:val="21"/>
              </w:rPr>
              <w:t>三、质量标准</w:t>
            </w:r>
          </w:p>
        </w:tc>
        <w:tc>
          <w:tcPr>
            <w:tcW w:w="2361"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szCs w:val="21"/>
              </w:rPr>
            </w:pPr>
            <w:r>
              <w:rPr>
                <w:rFonts w:hAnsi="宋体"/>
                <w:color w:val="000000" w:themeColor="text1"/>
                <w:kern w:val="2"/>
                <w:szCs w:val="21"/>
              </w:rPr>
              <w:t>（国家标准、行业标准、地区标准等）</w:t>
            </w:r>
          </w:p>
        </w:tc>
        <w:tc>
          <w:tcPr>
            <w:tcW w:w="1976"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szCs w:val="21"/>
              </w:rPr>
            </w:pPr>
          </w:p>
        </w:tc>
        <w:tc>
          <w:tcPr>
            <w:tcW w:w="1808"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szCs w:val="21"/>
              </w:rPr>
            </w:pPr>
          </w:p>
        </w:tc>
        <w:tc>
          <w:tcPr>
            <w:tcW w:w="835"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21" w:hRule="atLeast"/>
        </w:trPr>
        <w:tc>
          <w:tcPr>
            <w:tcW w:w="1548" w:type="dxa"/>
            <w:gridSpan w:val="2"/>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szCs w:val="21"/>
              </w:rPr>
            </w:pPr>
            <w:r>
              <w:rPr>
                <w:rFonts w:hAnsi="宋体"/>
                <w:color w:val="000000" w:themeColor="text1"/>
                <w:kern w:val="2"/>
                <w:szCs w:val="21"/>
              </w:rPr>
              <w:t>...</w:t>
            </w:r>
          </w:p>
        </w:tc>
        <w:tc>
          <w:tcPr>
            <w:tcW w:w="2361"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rPr>
            </w:pPr>
          </w:p>
        </w:tc>
        <w:tc>
          <w:tcPr>
            <w:tcW w:w="1976"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rPr>
            </w:pPr>
          </w:p>
        </w:tc>
        <w:tc>
          <w:tcPr>
            <w:tcW w:w="1808"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rPr>
            </w:pPr>
          </w:p>
        </w:tc>
        <w:tc>
          <w:tcPr>
            <w:tcW w:w="835" w:type="dxa"/>
            <w:tcBorders>
              <w:top w:val="single" w:color="auto" w:sz="4" w:space="0"/>
              <w:left w:val="single" w:color="auto" w:sz="4" w:space="0"/>
              <w:bottom w:val="single" w:color="auto" w:sz="4" w:space="0"/>
              <w:right w:val="single" w:color="auto" w:sz="4" w:space="0"/>
            </w:tcBorders>
          </w:tcPr>
          <w:p>
            <w:pPr>
              <w:pStyle w:val="25"/>
              <w:snapToGrid w:val="0"/>
              <w:spacing w:beforeLines="0" w:afterLines="0" w:line="240" w:lineRule="auto"/>
              <w:outlineLvl w:val="0"/>
              <w:rPr>
                <w:rFonts w:hAnsi="宋体"/>
                <w:color w:val="000000" w:themeColor="text1"/>
                <w:kern w:val="2"/>
              </w:rPr>
            </w:pPr>
          </w:p>
        </w:tc>
      </w:tr>
    </w:tbl>
    <w:p>
      <w:pPr>
        <w:pStyle w:val="18"/>
        <w:rPr>
          <w:rFonts w:ascii="宋体" w:eastAsia="宋体"/>
          <w:color w:val="000000" w:themeColor="text1"/>
          <w:spacing w:val="20"/>
        </w:rPr>
      </w:pPr>
      <w:r>
        <w:rPr>
          <w:rFonts w:hint="eastAsia" w:ascii="宋体" w:eastAsia="宋体"/>
          <w:color w:val="000000" w:themeColor="text1"/>
        </w:rPr>
        <w:t>注：投标人应根据投标设备的性能指标、对照招标文件要求在“偏离情况”栏注明“正偏离”、“负偏离”或“无偏离”。</w:t>
      </w:r>
    </w:p>
    <w:p>
      <w:pPr>
        <w:snapToGrid w:val="0"/>
        <w:spacing w:before="50" w:after="50"/>
        <w:rPr>
          <w:rFonts w:ascii="宋体" w:hAnsi="宋体"/>
          <w:color w:val="000000" w:themeColor="text1"/>
          <w:spacing w:val="20"/>
          <w:sz w:val="24"/>
          <w:szCs w:val="20"/>
          <w:u w:val="single"/>
        </w:rPr>
      </w:pPr>
      <w:r>
        <w:rPr>
          <w:rFonts w:hint="eastAsia" w:ascii="宋体" w:hAnsi="宋体"/>
          <w:color w:val="000000" w:themeColor="text1"/>
          <w:spacing w:val="20"/>
          <w:sz w:val="24"/>
        </w:rPr>
        <w:t>授权代表签名：</w:t>
      </w:r>
    </w:p>
    <w:p>
      <w:pPr>
        <w:snapToGrid w:val="0"/>
        <w:spacing w:before="50" w:after="50"/>
        <w:rPr>
          <w:rFonts w:ascii="宋体" w:hAnsi="宋体"/>
          <w:color w:val="000000" w:themeColor="text1"/>
          <w:sz w:val="24"/>
          <w:szCs w:val="20"/>
        </w:rPr>
      </w:pPr>
      <w:r>
        <w:rPr>
          <w:rFonts w:hint="eastAsia" w:ascii="宋体" w:hAnsi="宋体"/>
          <w:color w:val="000000" w:themeColor="text1"/>
          <w:spacing w:val="20"/>
          <w:sz w:val="24"/>
        </w:rPr>
        <w:t>投标人盖章：日 期：</w:t>
      </w: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r>
        <w:rPr>
          <w:rFonts w:ascii="宋体" w:hAnsi="宋体"/>
          <w:color w:val="000000" w:themeColor="text1"/>
          <w:sz w:val="24"/>
        </w:rPr>
        <w:t>4</w:t>
      </w:r>
      <w:r>
        <w:rPr>
          <w:rFonts w:hint="eastAsia" w:ascii="宋体" w:hAnsi="宋体"/>
          <w:color w:val="000000" w:themeColor="text1"/>
          <w:sz w:val="24"/>
        </w:rPr>
        <w:t>1.投标人建议的安装、调试、验收方法或方案（格式自拟）</w:t>
      </w: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r>
        <w:rPr>
          <w:rFonts w:ascii="宋体" w:hAnsi="宋体"/>
          <w:color w:val="000000" w:themeColor="text1"/>
          <w:sz w:val="24"/>
        </w:rPr>
        <w:t>4</w:t>
      </w:r>
      <w:r>
        <w:rPr>
          <w:rFonts w:hint="eastAsia" w:ascii="宋体" w:hAnsi="宋体"/>
          <w:color w:val="000000" w:themeColor="text1"/>
          <w:sz w:val="24"/>
        </w:rPr>
        <w:t>2.技术服务、技术培训、售后服务的内容和措施（格式自拟）</w:t>
      </w: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r>
        <w:rPr>
          <w:rFonts w:ascii="宋体" w:hAnsi="宋体"/>
          <w:color w:val="000000" w:themeColor="text1"/>
          <w:sz w:val="24"/>
        </w:rPr>
        <w:t>4</w:t>
      </w:r>
      <w:r>
        <w:rPr>
          <w:rFonts w:hint="eastAsia" w:ascii="宋体" w:hAnsi="宋体"/>
          <w:color w:val="000000" w:themeColor="text1"/>
          <w:sz w:val="24"/>
        </w:rPr>
        <w:t>3.项目实施人员一览表（格式同第31项）</w:t>
      </w:r>
    </w:p>
    <w:p>
      <w:pPr>
        <w:snapToGrid w:val="0"/>
        <w:spacing w:before="50" w:afterLines="50"/>
        <w:jc w:val="left"/>
        <w:rPr>
          <w:rFonts w:ascii="宋体" w:hAnsi="宋体"/>
          <w:color w:val="000000" w:themeColor="text1"/>
          <w:sz w:val="24"/>
        </w:rPr>
      </w:pPr>
    </w:p>
    <w:p>
      <w:pPr>
        <w:snapToGrid w:val="0"/>
        <w:spacing w:before="50" w:afterLines="50"/>
        <w:jc w:val="left"/>
        <w:rPr>
          <w:rFonts w:ascii="宋体" w:hAnsi="宋体"/>
          <w:color w:val="000000" w:themeColor="text1"/>
          <w:sz w:val="24"/>
          <w:szCs w:val="20"/>
        </w:rPr>
      </w:pPr>
      <w:r>
        <w:rPr>
          <w:rFonts w:ascii="宋体" w:hAnsi="宋体"/>
          <w:color w:val="000000" w:themeColor="text1"/>
          <w:sz w:val="24"/>
        </w:rPr>
        <w:t>4</w:t>
      </w:r>
      <w:r>
        <w:rPr>
          <w:rFonts w:hint="eastAsia" w:ascii="宋体" w:hAnsi="宋体"/>
          <w:color w:val="000000" w:themeColor="text1"/>
          <w:sz w:val="24"/>
        </w:rPr>
        <w:t>4.选配件、专用耗材、售后服务优惠表格式：</w:t>
      </w:r>
    </w:p>
    <w:p>
      <w:pPr>
        <w:tabs>
          <w:tab w:val="left" w:pos="315"/>
        </w:tabs>
        <w:snapToGrid w:val="0"/>
        <w:spacing w:before="50" w:after="50"/>
        <w:rPr>
          <w:rFonts w:ascii="宋体" w:hAnsi="宋体"/>
          <w:color w:val="000000" w:themeColor="text1"/>
          <w:spacing w:val="20"/>
          <w:sz w:val="24"/>
          <w:szCs w:val="20"/>
        </w:rPr>
      </w:pPr>
      <w:r>
        <w:rPr>
          <w:rFonts w:hint="eastAsia" w:ascii="宋体" w:hAnsi="宋体"/>
          <w:color w:val="000000" w:themeColor="text1"/>
          <w:sz w:val="24"/>
        </w:rPr>
        <w:t>标项：</w:t>
      </w:r>
    </w:p>
    <w:tbl>
      <w:tblPr>
        <w:tblStyle w:val="53"/>
        <w:tblW w:w="86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35"/>
        <w:gridCol w:w="2700"/>
        <w:gridCol w:w="1440"/>
        <w:gridCol w:w="1440"/>
        <w:gridCol w:w="23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601" w:hRule="atLeast"/>
        </w:trPr>
        <w:tc>
          <w:tcPr>
            <w:tcW w:w="73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25"/>
              <w:snapToGrid w:val="0"/>
              <w:spacing w:beforeLines="0" w:afterLines="0" w:line="240" w:lineRule="auto"/>
              <w:jc w:val="center"/>
              <w:rPr>
                <w:rFonts w:hAnsi="宋体"/>
                <w:color w:val="000000" w:themeColor="text1"/>
                <w:kern w:val="2"/>
                <w:szCs w:val="21"/>
              </w:rPr>
            </w:pPr>
            <w:r>
              <w:rPr>
                <w:rFonts w:hAnsi="宋体"/>
                <w:color w:val="000000" w:themeColor="text1"/>
                <w:kern w:val="2"/>
                <w:szCs w:val="21"/>
              </w:rPr>
              <w:t>序号</w:t>
            </w:r>
          </w:p>
        </w:tc>
        <w:tc>
          <w:tcPr>
            <w:tcW w:w="2700" w:type="dxa"/>
            <w:tcBorders>
              <w:top w:val="single" w:color="auto" w:sz="4" w:space="0"/>
              <w:left w:val="single" w:color="auto" w:sz="4" w:space="0"/>
              <w:bottom w:val="single" w:color="auto" w:sz="2" w:space="0"/>
              <w:right w:val="single" w:color="auto" w:sz="4" w:space="0"/>
            </w:tcBorders>
            <w:vAlign w:val="center"/>
          </w:tcPr>
          <w:p>
            <w:pPr>
              <w:pStyle w:val="25"/>
              <w:snapToGrid w:val="0"/>
              <w:spacing w:beforeLines="0" w:afterLines="0" w:line="240" w:lineRule="auto"/>
              <w:jc w:val="center"/>
              <w:rPr>
                <w:rFonts w:hAnsi="宋体"/>
                <w:color w:val="000000" w:themeColor="text1"/>
                <w:kern w:val="2"/>
                <w:szCs w:val="21"/>
              </w:rPr>
            </w:pPr>
            <w:r>
              <w:rPr>
                <w:rFonts w:hAnsi="宋体"/>
                <w:color w:val="000000" w:themeColor="text1"/>
                <w:kern w:val="2"/>
                <w:szCs w:val="21"/>
              </w:rPr>
              <w:t>优惠内容</w:t>
            </w:r>
          </w:p>
        </w:tc>
        <w:tc>
          <w:tcPr>
            <w:tcW w:w="1440" w:type="dxa"/>
            <w:tcBorders>
              <w:top w:val="single" w:color="auto" w:sz="4" w:space="0"/>
              <w:left w:val="single" w:color="auto" w:sz="4" w:space="0"/>
              <w:bottom w:val="single" w:color="auto" w:sz="2" w:space="0"/>
              <w:right w:val="single" w:color="auto" w:sz="4" w:space="0"/>
            </w:tcBorders>
            <w:vAlign w:val="center"/>
          </w:tcPr>
          <w:p>
            <w:pPr>
              <w:pStyle w:val="25"/>
              <w:snapToGrid w:val="0"/>
              <w:spacing w:beforeLines="0" w:afterLines="0" w:line="240" w:lineRule="auto"/>
              <w:jc w:val="center"/>
              <w:rPr>
                <w:rFonts w:hAnsi="宋体"/>
                <w:color w:val="000000" w:themeColor="text1"/>
                <w:kern w:val="2"/>
                <w:szCs w:val="21"/>
              </w:rPr>
            </w:pPr>
            <w:r>
              <w:rPr>
                <w:rFonts w:hAnsi="宋体"/>
                <w:color w:val="000000" w:themeColor="text1"/>
                <w:kern w:val="2"/>
                <w:szCs w:val="21"/>
              </w:rPr>
              <w:t>适用机型</w:t>
            </w:r>
          </w:p>
        </w:tc>
        <w:tc>
          <w:tcPr>
            <w:tcW w:w="1440" w:type="dxa"/>
            <w:tcBorders>
              <w:top w:val="single" w:color="auto" w:sz="4" w:space="0"/>
              <w:left w:val="single" w:color="auto" w:sz="4" w:space="0"/>
              <w:bottom w:val="single" w:color="auto" w:sz="2" w:space="0"/>
              <w:right w:val="single" w:color="auto" w:sz="4" w:space="0"/>
            </w:tcBorders>
            <w:tcMar>
              <w:top w:w="15" w:type="dxa"/>
              <w:left w:w="15" w:type="dxa"/>
              <w:bottom w:w="0" w:type="dxa"/>
              <w:right w:w="15" w:type="dxa"/>
            </w:tcMar>
            <w:vAlign w:val="center"/>
          </w:tcPr>
          <w:p>
            <w:pPr>
              <w:pStyle w:val="25"/>
              <w:snapToGrid w:val="0"/>
              <w:spacing w:beforeLines="0" w:afterLines="0" w:line="240" w:lineRule="auto"/>
              <w:jc w:val="center"/>
              <w:rPr>
                <w:rFonts w:hAnsi="宋体"/>
                <w:color w:val="000000" w:themeColor="text1"/>
                <w:kern w:val="2"/>
                <w:szCs w:val="21"/>
              </w:rPr>
            </w:pPr>
            <w:r>
              <w:rPr>
                <w:rFonts w:hAnsi="宋体"/>
                <w:color w:val="000000" w:themeColor="text1"/>
                <w:kern w:val="2"/>
                <w:szCs w:val="21"/>
              </w:rPr>
              <w:t>单价</w:t>
            </w:r>
          </w:p>
        </w:tc>
        <w:tc>
          <w:tcPr>
            <w:tcW w:w="2340" w:type="dxa"/>
            <w:tcBorders>
              <w:top w:val="single" w:color="auto" w:sz="4" w:space="0"/>
              <w:left w:val="single" w:color="auto" w:sz="4" w:space="0"/>
              <w:bottom w:val="single" w:color="auto" w:sz="2" w:space="0"/>
              <w:right w:val="single" w:color="auto" w:sz="4" w:space="0"/>
            </w:tcBorders>
            <w:vAlign w:val="center"/>
          </w:tcPr>
          <w:p>
            <w:pPr>
              <w:pStyle w:val="25"/>
              <w:snapToGrid w:val="0"/>
              <w:spacing w:beforeLines="0" w:afterLines="0" w:line="240" w:lineRule="auto"/>
              <w:jc w:val="center"/>
              <w:rPr>
                <w:rFonts w:hAnsi="宋体"/>
                <w:color w:val="000000" w:themeColor="text1"/>
                <w:kern w:val="2"/>
                <w:szCs w:val="21"/>
              </w:rPr>
            </w:pPr>
            <w:r>
              <w:rPr>
                <w:rFonts w:hAnsi="宋体"/>
                <w:color w:val="000000" w:themeColor="text1"/>
                <w:kern w:val="2"/>
                <w:szCs w:val="21"/>
              </w:rPr>
              <w:t>比投标报价优惠率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85" w:hRule="atLeast"/>
        </w:trPr>
        <w:tc>
          <w:tcPr>
            <w:tcW w:w="735"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pPr>
              <w:pStyle w:val="25"/>
              <w:snapToGrid w:val="0"/>
              <w:spacing w:beforeLines="0" w:afterLines="0" w:line="240" w:lineRule="auto"/>
              <w:jc w:val="center"/>
              <w:rPr>
                <w:rFonts w:hAnsi="宋体"/>
                <w:color w:val="000000" w:themeColor="text1"/>
                <w:kern w:val="2"/>
                <w:szCs w:val="21"/>
              </w:rPr>
            </w:pPr>
            <w:r>
              <w:rPr>
                <w:rFonts w:hAnsi="宋体"/>
                <w:color w:val="000000" w:themeColor="text1"/>
                <w:kern w:val="2"/>
                <w:szCs w:val="21"/>
              </w:rPr>
              <w:t>1</w:t>
            </w:r>
          </w:p>
        </w:tc>
        <w:tc>
          <w:tcPr>
            <w:tcW w:w="2700" w:type="dxa"/>
            <w:tcBorders>
              <w:top w:val="single" w:color="auto" w:sz="2" w:space="0"/>
              <w:left w:val="single" w:color="auto" w:sz="2" w:space="0"/>
              <w:bottom w:val="single" w:color="auto" w:sz="6" w:space="0"/>
              <w:right w:val="single" w:color="auto" w:sz="4" w:space="0"/>
            </w:tcBorders>
            <w:vAlign w:val="center"/>
          </w:tcPr>
          <w:p>
            <w:pPr>
              <w:pStyle w:val="25"/>
              <w:snapToGrid w:val="0"/>
              <w:spacing w:beforeLines="0" w:afterLines="0" w:line="240" w:lineRule="auto"/>
              <w:jc w:val="center"/>
              <w:rPr>
                <w:rFonts w:hAnsi="宋体"/>
                <w:color w:val="000000" w:themeColor="text1"/>
                <w:kern w:val="2"/>
                <w:szCs w:val="21"/>
              </w:rPr>
            </w:pPr>
          </w:p>
        </w:tc>
        <w:tc>
          <w:tcPr>
            <w:tcW w:w="1440" w:type="dxa"/>
            <w:tcBorders>
              <w:top w:val="single" w:color="auto" w:sz="2" w:space="0"/>
              <w:left w:val="single" w:color="auto" w:sz="4" w:space="0"/>
              <w:bottom w:val="single" w:color="auto" w:sz="6" w:space="0"/>
              <w:right w:val="single" w:color="auto" w:sz="6" w:space="0"/>
            </w:tcBorders>
            <w:vAlign w:val="center"/>
          </w:tcPr>
          <w:p>
            <w:pPr>
              <w:pStyle w:val="25"/>
              <w:snapToGrid w:val="0"/>
              <w:spacing w:beforeLines="0" w:afterLines="0" w:line="240" w:lineRule="auto"/>
              <w:jc w:val="center"/>
              <w:rPr>
                <w:rFonts w:hAnsi="宋体"/>
                <w:color w:val="000000" w:themeColor="text1"/>
                <w:kern w:val="2"/>
                <w:szCs w:val="21"/>
              </w:rPr>
            </w:pPr>
          </w:p>
        </w:tc>
        <w:tc>
          <w:tcPr>
            <w:tcW w:w="1440" w:type="dxa"/>
            <w:tcBorders>
              <w:top w:val="single" w:color="auto" w:sz="2" w:space="0"/>
              <w:left w:val="single" w:color="auto" w:sz="6" w:space="0"/>
              <w:bottom w:val="single" w:color="auto" w:sz="6" w:space="0"/>
              <w:right w:val="single" w:color="auto" w:sz="6" w:space="0"/>
            </w:tcBorders>
            <w:tcMar>
              <w:top w:w="15" w:type="dxa"/>
              <w:left w:w="15" w:type="dxa"/>
              <w:bottom w:w="0" w:type="dxa"/>
              <w:right w:w="15" w:type="dxa"/>
            </w:tcMar>
            <w:vAlign w:val="center"/>
          </w:tcPr>
          <w:p>
            <w:pPr>
              <w:pStyle w:val="25"/>
              <w:snapToGrid w:val="0"/>
              <w:spacing w:beforeLines="0" w:afterLines="0" w:line="240" w:lineRule="auto"/>
              <w:jc w:val="center"/>
              <w:rPr>
                <w:rFonts w:hAnsi="宋体"/>
                <w:color w:val="000000" w:themeColor="text1"/>
                <w:kern w:val="2"/>
                <w:szCs w:val="21"/>
              </w:rPr>
            </w:pPr>
          </w:p>
        </w:tc>
        <w:tc>
          <w:tcPr>
            <w:tcW w:w="2340" w:type="dxa"/>
            <w:tcBorders>
              <w:top w:val="single" w:color="auto" w:sz="2" w:space="0"/>
              <w:left w:val="single" w:color="auto" w:sz="6" w:space="0"/>
              <w:bottom w:val="single" w:color="auto" w:sz="6" w:space="0"/>
              <w:right w:val="single" w:color="auto" w:sz="2" w:space="0"/>
            </w:tcBorders>
            <w:vAlign w:val="center"/>
          </w:tcPr>
          <w:p>
            <w:pPr>
              <w:pStyle w:val="25"/>
              <w:snapToGrid w:val="0"/>
              <w:spacing w:beforeLines="0" w:afterLines="0" w:line="240" w:lineRule="auto"/>
              <w:jc w:val="center"/>
              <w:rPr>
                <w:rFonts w:hAnsi="宋体"/>
                <w:color w:val="000000" w:themeColor="text1"/>
                <w:kern w:val="2"/>
                <w:sz w:val="32"/>
                <w:szCs w:val="21"/>
              </w:rPr>
            </w:pPr>
            <w:r>
              <w:rPr>
                <w:rFonts w:hAnsi="宋体"/>
                <w:color w:val="000000" w:themeColor="text1"/>
                <w:kern w:val="2"/>
                <w:sz w:val="32"/>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85" w:hRule="atLeast"/>
        </w:trPr>
        <w:tc>
          <w:tcPr>
            <w:tcW w:w="735"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pPr>
              <w:pStyle w:val="25"/>
              <w:snapToGrid w:val="0"/>
              <w:spacing w:beforeLines="0" w:afterLines="0" w:line="240" w:lineRule="auto"/>
              <w:jc w:val="center"/>
              <w:rPr>
                <w:rFonts w:hAnsi="宋体"/>
                <w:color w:val="000000" w:themeColor="text1"/>
                <w:kern w:val="2"/>
                <w:szCs w:val="21"/>
              </w:rPr>
            </w:pPr>
            <w:r>
              <w:rPr>
                <w:rFonts w:hAnsi="宋体"/>
                <w:color w:val="000000" w:themeColor="text1"/>
                <w:kern w:val="2"/>
                <w:szCs w:val="21"/>
              </w:rPr>
              <w:t>2</w:t>
            </w:r>
          </w:p>
        </w:tc>
        <w:tc>
          <w:tcPr>
            <w:tcW w:w="2700" w:type="dxa"/>
            <w:tcBorders>
              <w:top w:val="single" w:color="auto" w:sz="6" w:space="0"/>
              <w:left w:val="single" w:color="auto" w:sz="2" w:space="0"/>
              <w:bottom w:val="single" w:color="auto" w:sz="6" w:space="0"/>
              <w:right w:val="single" w:color="auto" w:sz="4" w:space="0"/>
            </w:tcBorders>
            <w:vAlign w:val="center"/>
          </w:tcPr>
          <w:p>
            <w:pPr>
              <w:pStyle w:val="25"/>
              <w:snapToGrid w:val="0"/>
              <w:spacing w:beforeLines="0" w:afterLines="0" w:line="240" w:lineRule="auto"/>
              <w:jc w:val="center"/>
              <w:rPr>
                <w:rFonts w:hAnsi="宋体"/>
                <w:color w:val="000000" w:themeColor="text1"/>
                <w:kern w:val="2"/>
                <w:szCs w:val="21"/>
              </w:rPr>
            </w:pPr>
          </w:p>
        </w:tc>
        <w:tc>
          <w:tcPr>
            <w:tcW w:w="1440" w:type="dxa"/>
            <w:tcBorders>
              <w:top w:val="single" w:color="auto" w:sz="6" w:space="0"/>
              <w:left w:val="single" w:color="auto" w:sz="4" w:space="0"/>
              <w:bottom w:val="single" w:color="auto" w:sz="6" w:space="0"/>
              <w:right w:val="single" w:color="auto" w:sz="6" w:space="0"/>
            </w:tcBorders>
            <w:vAlign w:val="center"/>
          </w:tcPr>
          <w:p>
            <w:pPr>
              <w:pStyle w:val="25"/>
              <w:snapToGrid w:val="0"/>
              <w:spacing w:beforeLines="0" w:afterLines="0" w:line="240" w:lineRule="auto"/>
              <w:jc w:val="center"/>
              <w:rPr>
                <w:rFonts w:hAnsi="宋体"/>
                <w:color w:val="000000" w:themeColor="text1"/>
                <w:kern w:val="2"/>
                <w:szCs w:val="21"/>
              </w:rPr>
            </w:pPr>
          </w:p>
        </w:tc>
        <w:tc>
          <w:tcPr>
            <w:tcW w:w="1440"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pPr>
              <w:pStyle w:val="25"/>
              <w:snapToGrid w:val="0"/>
              <w:spacing w:beforeLines="0" w:afterLines="0" w:line="240" w:lineRule="auto"/>
              <w:jc w:val="center"/>
              <w:rPr>
                <w:rFonts w:hAnsi="宋体"/>
                <w:color w:val="000000" w:themeColor="text1"/>
                <w:kern w:val="2"/>
                <w:szCs w:val="21"/>
              </w:rPr>
            </w:pPr>
          </w:p>
        </w:tc>
        <w:tc>
          <w:tcPr>
            <w:tcW w:w="2340" w:type="dxa"/>
            <w:tcBorders>
              <w:top w:val="single" w:color="auto" w:sz="6" w:space="0"/>
              <w:left w:val="single" w:color="auto" w:sz="6" w:space="0"/>
              <w:bottom w:val="single" w:color="auto" w:sz="6" w:space="0"/>
              <w:right w:val="single" w:color="auto" w:sz="2" w:space="0"/>
            </w:tcBorders>
            <w:vAlign w:val="center"/>
          </w:tcPr>
          <w:p>
            <w:pPr>
              <w:pStyle w:val="25"/>
              <w:snapToGrid w:val="0"/>
              <w:spacing w:beforeLines="0" w:afterLines="0" w:line="240" w:lineRule="auto"/>
              <w:jc w:val="center"/>
              <w:rPr>
                <w:rFonts w:hAnsi="宋体"/>
                <w:color w:val="000000" w:themeColor="text1"/>
                <w:kern w:val="2"/>
                <w:szCs w:val="21"/>
              </w:rPr>
            </w:pPr>
            <w:r>
              <w:rPr>
                <w:rFonts w:hAnsi="宋体"/>
                <w:color w:val="000000" w:themeColor="text1"/>
                <w:kern w:val="2"/>
                <w:sz w:val="32"/>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85" w:hRule="atLeast"/>
        </w:trPr>
        <w:tc>
          <w:tcPr>
            <w:tcW w:w="735"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pPr>
              <w:pStyle w:val="25"/>
              <w:snapToGrid w:val="0"/>
              <w:spacing w:beforeLines="0" w:afterLines="0" w:line="240" w:lineRule="auto"/>
              <w:jc w:val="center"/>
              <w:rPr>
                <w:rFonts w:hAnsi="宋体"/>
                <w:color w:val="000000" w:themeColor="text1"/>
                <w:kern w:val="2"/>
                <w:szCs w:val="21"/>
              </w:rPr>
            </w:pPr>
            <w:r>
              <w:rPr>
                <w:rFonts w:hAnsi="宋体"/>
                <w:color w:val="000000" w:themeColor="text1"/>
                <w:kern w:val="2"/>
                <w:szCs w:val="21"/>
              </w:rPr>
              <w:t>3</w:t>
            </w:r>
          </w:p>
        </w:tc>
        <w:tc>
          <w:tcPr>
            <w:tcW w:w="2700" w:type="dxa"/>
            <w:tcBorders>
              <w:top w:val="single" w:color="auto" w:sz="6" w:space="0"/>
              <w:left w:val="single" w:color="auto" w:sz="2" w:space="0"/>
              <w:bottom w:val="single" w:color="auto" w:sz="6" w:space="0"/>
              <w:right w:val="single" w:color="auto" w:sz="4" w:space="0"/>
            </w:tcBorders>
            <w:vAlign w:val="center"/>
          </w:tcPr>
          <w:p>
            <w:pPr>
              <w:pStyle w:val="25"/>
              <w:snapToGrid w:val="0"/>
              <w:spacing w:beforeLines="0" w:afterLines="0" w:line="240" w:lineRule="auto"/>
              <w:jc w:val="center"/>
              <w:rPr>
                <w:rFonts w:hAnsi="宋体"/>
                <w:color w:val="000000" w:themeColor="text1"/>
                <w:kern w:val="2"/>
                <w:szCs w:val="21"/>
              </w:rPr>
            </w:pPr>
          </w:p>
        </w:tc>
        <w:tc>
          <w:tcPr>
            <w:tcW w:w="1440" w:type="dxa"/>
            <w:tcBorders>
              <w:top w:val="single" w:color="auto" w:sz="6" w:space="0"/>
              <w:left w:val="single" w:color="auto" w:sz="4" w:space="0"/>
              <w:bottom w:val="single" w:color="auto" w:sz="6" w:space="0"/>
              <w:right w:val="single" w:color="auto" w:sz="6" w:space="0"/>
            </w:tcBorders>
            <w:vAlign w:val="center"/>
          </w:tcPr>
          <w:p>
            <w:pPr>
              <w:pStyle w:val="25"/>
              <w:snapToGrid w:val="0"/>
              <w:spacing w:beforeLines="0" w:afterLines="0" w:line="240" w:lineRule="auto"/>
              <w:jc w:val="center"/>
              <w:rPr>
                <w:rFonts w:hAnsi="宋体"/>
                <w:color w:val="000000" w:themeColor="text1"/>
                <w:kern w:val="2"/>
                <w:szCs w:val="21"/>
              </w:rPr>
            </w:pPr>
          </w:p>
        </w:tc>
        <w:tc>
          <w:tcPr>
            <w:tcW w:w="1440"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pPr>
              <w:pStyle w:val="25"/>
              <w:snapToGrid w:val="0"/>
              <w:spacing w:beforeLines="0" w:afterLines="0" w:line="240" w:lineRule="auto"/>
              <w:jc w:val="center"/>
              <w:rPr>
                <w:rFonts w:hAnsi="宋体"/>
                <w:color w:val="000000" w:themeColor="text1"/>
                <w:kern w:val="2"/>
                <w:szCs w:val="21"/>
              </w:rPr>
            </w:pPr>
          </w:p>
        </w:tc>
        <w:tc>
          <w:tcPr>
            <w:tcW w:w="2340" w:type="dxa"/>
            <w:tcBorders>
              <w:top w:val="single" w:color="auto" w:sz="6" w:space="0"/>
              <w:left w:val="single" w:color="auto" w:sz="6" w:space="0"/>
              <w:bottom w:val="single" w:color="auto" w:sz="6" w:space="0"/>
              <w:right w:val="single" w:color="auto" w:sz="2" w:space="0"/>
            </w:tcBorders>
            <w:vAlign w:val="center"/>
          </w:tcPr>
          <w:p>
            <w:pPr>
              <w:pStyle w:val="25"/>
              <w:snapToGrid w:val="0"/>
              <w:spacing w:beforeLines="0" w:afterLines="0" w:line="240" w:lineRule="auto"/>
              <w:jc w:val="center"/>
              <w:rPr>
                <w:rFonts w:hAnsi="宋体"/>
                <w:color w:val="000000" w:themeColor="text1"/>
                <w:kern w:val="2"/>
                <w:szCs w:val="21"/>
              </w:rPr>
            </w:pPr>
            <w:r>
              <w:rPr>
                <w:rFonts w:hAnsi="宋体"/>
                <w:color w:val="000000" w:themeColor="text1"/>
                <w:kern w:val="2"/>
                <w:sz w:val="32"/>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85" w:hRule="atLeast"/>
        </w:trPr>
        <w:tc>
          <w:tcPr>
            <w:tcW w:w="735"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pPr>
              <w:pStyle w:val="25"/>
              <w:snapToGrid w:val="0"/>
              <w:spacing w:beforeLines="0" w:afterLines="0" w:line="240" w:lineRule="auto"/>
              <w:jc w:val="center"/>
              <w:rPr>
                <w:rFonts w:hAnsi="宋体"/>
                <w:color w:val="000000" w:themeColor="text1"/>
                <w:kern w:val="2"/>
                <w:szCs w:val="21"/>
              </w:rPr>
            </w:pPr>
            <w:r>
              <w:rPr>
                <w:rFonts w:hAnsi="宋体"/>
                <w:color w:val="000000" w:themeColor="text1"/>
                <w:kern w:val="2"/>
                <w:szCs w:val="21"/>
              </w:rPr>
              <w:t>4</w:t>
            </w:r>
          </w:p>
        </w:tc>
        <w:tc>
          <w:tcPr>
            <w:tcW w:w="2700" w:type="dxa"/>
            <w:tcBorders>
              <w:top w:val="single" w:color="auto" w:sz="6" w:space="0"/>
              <w:left w:val="single" w:color="auto" w:sz="2" w:space="0"/>
              <w:bottom w:val="single" w:color="auto" w:sz="6" w:space="0"/>
              <w:right w:val="single" w:color="auto" w:sz="4" w:space="0"/>
            </w:tcBorders>
            <w:vAlign w:val="center"/>
          </w:tcPr>
          <w:p>
            <w:pPr>
              <w:pStyle w:val="25"/>
              <w:snapToGrid w:val="0"/>
              <w:spacing w:beforeLines="0" w:afterLines="0" w:line="240" w:lineRule="auto"/>
              <w:jc w:val="center"/>
              <w:rPr>
                <w:rFonts w:hAnsi="宋体"/>
                <w:color w:val="000000" w:themeColor="text1"/>
                <w:kern w:val="2"/>
                <w:szCs w:val="21"/>
              </w:rPr>
            </w:pPr>
          </w:p>
        </w:tc>
        <w:tc>
          <w:tcPr>
            <w:tcW w:w="1440" w:type="dxa"/>
            <w:tcBorders>
              <w:top w:val="single" w:color="auto" w:sz="6" w:space="0"/>
              <w:left w:val="single" w:color="auto" w:sz="4" w:space="0"/>
              <w:bottom w:val="single" w:color="auto" w:sz="6" w:space="0"/>
              <w:right w:val="single" w:color="auto" w:sz="6" w:space="0"/>
            </w:tcBorders>
            <w:vAlign w:val="center"/>
          </w:tcPr>
          <w:p>
            <w:pPr>
              <w:pStyle w:val="25"/>
              <w:snapToGrid w:val="0"/>
              <w:spacing w:beforeLines="0" w:afterLines="0" w:line="240" w:lineRule="auto"/>
              <w:jc w:val="center"/>
              <w:rPr>
                <w:rFonts w:hAnsi="宋体"/>
                <w:color w:val="000000" w:themeColor="text1"/>
                <w:kern w:val="2"/>
                <w:szCs w:val="21"/>
              </w:rPr>
            </w:pPr>
          </w:p>
        </w:tc>
        <w:tc>
          <w:tcPr>
            <w:tcW w:w="1440"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pPr>
              <w:pStyle w:val="25"/>
              <w:snapToGrid w:val="0"/>
              <w:spacing w:beforeLines="0" w:afterLines="0" w:line="240" w:lineRule="auto"/>
              <w:jc w:val="center"/>
              <w:rPr>
                <w:rFonts w:hAnsi="宋体"/>
                <w:color w:val="000000" w:themeColor="text1"/>
                <w:kern w:val="2"/>
                <w:szCs w:val="21"/>
              </w:rPr>
            </w:pPr>
          </w:p>
        </w:tc>
        <w:tc>
          <w:tcPr>
            <w:tcW w:w="2340" w:type="dxa"/>
            <w:tcBorders>
              <w:top w:val="single" w:color="auto" w:sz="6" w:space="0"/>
              <w:left w:val="single" w:color="auto" w:sz="6" w:space="0"/>
              <w:bottom w:val="single" w:color="auto" w:sz="6" w:space="0"/>
              <w:right w:val="single" w:color="auto" w:sz="2" w:space="0"/>
            </w:tcBorders>
            <w:vAlign w:val="center"/>
          </w:tcPr>
          <w:p>
            <w:pPr>
              <w:pStyle w:val="25"/>
              <w:snapToGrid w:val="0"/>
              <w:spacing w:beforeLines="0" w:afterLines="0" w:line="240" w:lineRule="auto"/>
              <w:jc w:val="center"/>
              <w:rPr>
                <w:rFonts w:hAnsi="宋体"/>
                <w:color w:val="000000" w:themeColor="text1"/>
                <w:kern w:val="2"/>
                <w:szCs w:val="21"/>
              </w:rPr>
            </w:pPr>
            <w:r>
              <w:rPr>
                <w:rFonts w:hAnsi="宋体"/>
                <w:color w:val="000000" w:themeColor="text1"/>
                <w:kern w:val="2"/>
                <w:sz w:val="32"/>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85" w:hRule="atLeast"/>
        </w:trPr>
        <w:tc>
          <w:tcPr>
            <w:tcW w:w="735"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pPr>
              <w:pStyle w:val="25"/>
              <w:snapToGrid w:val="0"/>
              <w:spacing w:beforeLines="0" w:afterLines="0" w:line="240" w:lineRule="auto"/>
              <w:jc w:val="center"/>
              <w:rPr>
                <w:rFonts w:hAnsi="宋体"/>
                <w:color w:val="000000" w:themeColor="text1"/>
                <w:kern w:val="2"/>
                <w:szCs w:val="21"/>
              </w:rPr>
            </w:pPr>
            <w:r>
              <w:rPr>
                <w:rFonts w:hAnsi="宋体"/>
                <w:color w:val="000000" w:themeColor="text1"/>
                <w:kern w:val="2"/>
                <w:szCs w:val="21"/>
              </w:rPr>
              <w:t>5</w:t>
            </w:r>
          </w:p>
        </w:tc>
        <w:tc>
          <w:tcPr>
            <w:tcW w:w="2700" w:type="dxa"/>
            <w:tcBorders>
              <w:top w:val="single" w:color="auto" w:sz="6" w:space="0"/>
              <w:left w:val="single" w:color="auto" w:sz="2" w:space="0"/>
              <w:bottom w:val="single" w:color="auto" w:sz="6" w:space="0"/>
              <w:right w:val="single" w:color="auto" w:sz="4" w:space="0"/>
            </w:tcBorders>
            <w:vAlign w:val="center"/>
          </w:tcPr>
          <w:p>
            <w:pPr>
              <w:pStyle w:val="25"/>
              <w:snapToGrid w:val="0"/>
              <w:spacing w:beforeLines="0" w:afterLines="0" w:line="240" w:lineRule="auto"/>
              <w:jc w:val="center"/>
              <w:rPr>
                <w:rFonts w:hAnsi="宋体"/>
                <w:color w:val="000000" w:themeColor="text1"/>
                <w:kern w:val="2"/>
                <w:szCs w:val="21"/>
              </w:rPr>
            </w:pPr>
          </w:p>
        </w:tc>
        <w:tc>
          <w:tcPr>
            <w:tcW w:w="1440" w:type="dxa"/>
            <w:tcBorders>
              <w:top w:val="single" w:color="auto" w:sz="6" w:space="0"/>
              <w:left w:val="single" w:color="auto" w:sz="4" w:space="0"/>
              <w:bottom w:val="single" w:color="auto" w:sz="6" w:space="0"/>
              <w:right w:val="single" w:color="auto" w:sz="6" w:space="0"/>
            </w:tcBorders>
            <w:vAlign w:val="center"/>
          </w:tcPr>
          <w:p>
            <w:pPr>
              <w:pStyle w:val="25"/>
              <w:snapToGrid w:val="0"/>
              <w:spacing w:beforeLines="0" w:afterLines="0" w:line="240" w:lineRule="auto"/>
              <w:jc w:val="center"/>
              <w:rPr>
                <w:rFonts w:hAnsi="宋体"/>
                <w:color w:val="000000" w:themeColor="text1"/>
                <w:kern w:val="2"/>
                <w:szCs w:val="21"/>
              </w:rPr>
            </w:pPr>
          </w:p>
        </w:tc>
        <w:tc>
          <w:tcPr>
            <w:tcW w:w="1440"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pPr>
              <w:pStyle w:val="25"/>
              <w:snapToGrid w:val="0"/>
              <w:spacing w:beforeLines="0" w:afterLines="0" w:line="240" w:lineRule="auto"/>
              <w:jc w:val="center"/>
              <w:rPr>
                <w:rFonts w:hAnsi="宋体"/>
                <w:color w:val="000000" w:themeColor="text1"/>
                <w:kern w:val="2"/>
                <w:szCs w:val="21"/>
              </w:rPr>
            </w:pPr>
          </w:p>
        </w:tc>
        <w:tc>
          <w:tcPr>
            <w:tcW w:w="2340" w:type="dxa"/>
            <w:tcBorders>
              <w:top w:val="single" w:color="auto" w:sz="6" w:space="0"/>
              <w:left w:val="single" w:color="auto" w:sz="6" w:space="0"/>
              <w:bottom w:val="single" w:color="auto" w:sz="6" w:space="0"/>
              <w:right w:val="single" w:color="auto" w:sz="2" w:space="0"/>
            </w:tcBorders>
            <w:vAlign w:val="center"/>
          </w:tcPr>
          <w:p>
            <w:pPr>
              <w:pStyle w:val="25"/>
              <w:snapToGrid w:val="0"/>
              <w:spacing w:beforeLines="0" w:afterLines="0" w:line="240" w:lineRule="auto"/>
              <w:jc w:val="center"/>
              <w:rPr>
                <w:rFonts w:hAnsi="宋体"/>
                <w:color w:val="000000" w:themeColor="text1"/>
                <w:kern w:val="2"/>
                <w:szCs w:val="21"/>
              </w:rPr>
            </w:pPr>
            <w:r>
              <w:rPr>
                <w:rFonts w:hAnsi="宋体"/>
                <w:color w:val="000000" w:themeColor="text1"/>
                <w:kern w:val="2"/>
                <w:sz w:val="32"/>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85" w:hRule="atLeast"/>
        </w:trPr>
        <w:tc>
          <w:tcPr>
            <w:tcW w:w="735"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pPr>
              <w:pStyle w:val="25"/>
              <w:snapToGrid w:val="0"/>
              <w:spacing w:beforeLines="0" w:afterLines="0" w:line="240" w:lineRule="auto"/>
              <w:jc w:val="center"/>
              <w:rPr>
                <w:rFonts w:hAnsi="宋体"/>
                <w:color w:val="000000" w:themeColor="text1"/>
                <w:kern w:val="2"/>
                <w:szCs w:val="21"/>
              </w:rPr>
            </w:pPr>
            <w:r>
              <w:rPr>
                <w:rFonts w:hAnsi="宋体"/>
                <w:color w:val="000000" w:themeColor="text1"/>
                <w:kern w:val="2"/>
                <w:szCs w:val="21"/>
              </w:rPr>
              <w:t>6</w:t>
            </w:r>
          </w:p>
        </w:tc>
        <w:tc>
          <w:tcPr>
            <w:tcW w:w="2700" w:type="dxa"/>
            <w:tcBorders>
              <w:top w:val="single" w:color="auto" w:sz="6" w:space="0"/>
              <w:left w:val="single" w:color="auto" w:sz="2" w:space="0"/>
              <w:bottom w:val="single" w:color="auto" w:sz="6" w:space="0"/>
              <w:right w:val="single" w:color="auto" w:sz="4" w:space="0"/>
            </w:tcBorders>
            <w:vAlign w:val="center"/>
          </w:tcPr>
          <w:p>
            <w:pPr>
              <w:pStyle w:val="25"/>
              <w:snapToGrid w:val="0"/>
              <w:spacing w:beforeLines="0" w:afterLines="0" w:line="240" w:lineRule="auto"/>
              <w:jc w:val="center"/>
              <w:rPr>
                <w:rFonts w:hAnsi="宋体"/>
                <w:color w:val="000000" w:themeColor="text1"/>
                <w:kern w:val="2"/>
                <w:szCs w:val="21"/>
              </w:rPr>
            </w:pPr>
          </w:p>
        </w:tc>
        <w:tc>
          <w:tcPr>
            <w:tcW w:w="1440" w:type="dxa"/>
            <w:tcBorders>
              <w:top w:val="single" w:color="auto" w:sz="6" w:space="0"/>
              <w:left w:val="single" w:color="auto" w:sz="4" w:space="0"/>
              <w:bottom w:val="single" w:color="auto" w:sz="6" w:space="0"/>
              <w:right w:val="single" w:color="auto" w:sz="6" w:space="0"/>
            </w:tcBorders>
            <w:vAlign w:val="center"/>
          </w:tcPr>
          <w:p>
            <w:pPr>
              <w:pStyle w:val="25"/>
              <w:snapToGrid w:val="0"/>
              <w:spacing w:beforeLines="0" w:afterLines="0" w:line="240" w:lineRule="auto"/>
              <w:jc w:val="center"/>
              <w:rPr>
                <w:rFonts w:hAnsi="宋体"/>
                <w:color w:val="000000" w:themeColor="text1"/>
                <w:kern w:val="2"/>
                <w:szCs w:val="21"/>
              </w:rPr>
            </w:pPr>
          </w:p>
        </w:tc>
        <w:tc>
          <w:tcPr>
            <w:tcW w:w="1440"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pPr>
              <w:pStyle w:val="25"/>
              <w:snapToGrid w:val="0"/>
              <w:spacing w:beforeLines="0" w:afterLines="0" w:line="240" w:lineRule="auto"/>
              <w:jc w:val="center"/>
              <w:rPr>
                <w:rFonts w:hAnsi="宋体"/>
                <w:color w:val="000000" w:themeColor="text1"/>
                <w:kern w:val="2"/>
                <w:szCs w:val="21"/>
              </w:rPr>
            </w:pPr>
          </w:p>
        </w:tc>
        <w:tc>
          <w:tcPr>
            <w:tcW w:w="2340" w:type="dxa"/>
            <w:tcBorders>
              <w:top w:val="single" w:color="auto" w:sz="6" w:space="0"/>
              <w:left w:val="single" w:color="auto" w:sz="6" w:space="0"/>
              <w:bottom w:val="single" w:color="auto" w:sz="6" w:space="0"/>
              <w:right w:val="single" w:color="auto" w:sz="2" w:space="0"/>
            </w:tcBorders>
            <w:vAlign w:val="center"/>
          </w:tcPr>
          <w:p>
            <w:pPr>
              <w:pStyle w:val="25"/>
              <w:snapToGrid w:val="0"/>
              <w:spacing w:beforeLines="0" w:afterLines="0" w:line="240" w:lineRule="auto"/>
              <w:jc w:val="center"/>
              <w:rPr>
                <w:rFonts w:hAnsi="宋体"/>
                <w:color w:val="000000" w:themeColor="text1"/>
                <w:kern w:val="2"/>
                <w:szCs w:val="21"/>
              </w:rPr>
            </w:pPr>
            <w:r>
              <w:rPr>
                <w:rFonts w:hAnsi="宋体"/>
                <w:color w:val="000000" w:themeColor="text1"/>
                <w:kern w:val="2"/>
                <w:sz w:val="32"/>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85" w:hRule="atLeast"/>
        </w:trPr>
        <w:tc>
          <w:tcPr>
            <w:tcW w:w="735"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pPr>
              <w:pStyle w:val="25"/>
              <w:snapToGrid w:val="0"/>
              <w:spacing w:beforeLines="0" w:afterLines="0" w:line="240" w:lineRule="auto"/>
              <w:jc w:val="center"/>
              <w:rPr>
                <w:rFonts w:hAnsi="宋体"/>
                <w:color w:val="000000" w:themeColor="text1"/>
                <w:kern w:val="2"/>
                <w:szCs w:val="21"/>
              </w:rPr>
            </w:pPr>
          </w:p>
        </w:tc>
        <w:tc>
          <w:tcPr>
            <w:tcW w:w="2700" w:type="dxa"/>
            <w:tcBorders>
              <w:top w:val="single" w:color="auto" w:sz="6" w:space="0"/>
              <w:left w:val="single" w:color="auto" w:sz="2" w:space="0"/>
              <w:bottom w:val="single" w:color="auto" w:sz="6" w:space="0"/>
              <w:right w:val="single" w:color="auto" w:sz="4" w:space="0"/>
            </w:tcBorders>
            <w:vAlign w:val="center"/>
          </w:tcPr>
          <w:p>
            <w:pPr>
              <w:pStyle w:val="25"/>
              <w:snapToGrid w:val="0"/>
              <w:spacing w:beforeLines="0" w:afterLines="0" w:line="240" w:lineRule="auto"/>
              <w:jc w:val="center"/>
              <w:rPr>
                <w:rFonts w:hAnsi="宋体"/>
                <w:color w:val="000000" w:themeColor="text1"/>
                <w:kern w:val="2"/>
                <w:szCs w:val="21"/>
              </w:rPr>
            </w:pPr>
          </w:p>
        </w:tc>
        <w:tc>
          <w:tcPr>
            <w:tcW w:w="1440" w:type="dxa"/>
            <w:tcBorders>
              <w:top w:val="single" w:color="auto" w:sz="6" w:space="0"/>
              <w:left w:val="single" w:color="auto" w:sz="4" w:space="0"/>
              <w:bottom w:val="single" w:color="auto" w:sz="6" w:space="0"/>
              <w:right w:val="single" w:color="auto" w:sz="6" w:space="0"/>
            </w:tcBorders>
            <w:vAlign w:val="center"/>
          </w:tcPr>
          <w:p>
            <w:pPr>
              <w:pStyle w:val="25"/>
              <w:snapToGrid w:val="0"/>
              <w:spacing w:beforeLines="0" w:afterLines="0" w:line="240" w:lineRule="auto"/>
              <w:jc w:val="center"/>
              <w:rPr>
                <w:rFonts w:hAnsi="宋体"/>
                <w:color w:val="000000" w:themeColor="text1"/>
                <w:kern w:val="2"/>
                <w:szCs w:val="21"/>
              </w:rPr>
            </w:pPr>
          </w:p>
        </w:tc>
        <w:tc>
          <w:tcPr>
            <w:tcW w:w="1440"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pPr>
              <w:pStyle w:val="25"/>
              <w:snapToGrid w:val="0"/>
              <w:spacing w:beforeLines="0" w:afterLines="0" w:line="240" w:lineRule="auto"/>
              <w:jc w:val="center"/>
              <w:rPr>
                <w:rFonts w:hAnsi="宋体"/>
                <w:color w:val="000000" w:themeColor="text1"/>
                <w:kern w:val="2"/>
                <w:szCs w:val="21"/>
              </w:rPr>
            </w:pPr>
          </w:p>
        </w:tc>
        <w:tc>
          <w:tcPr>
            <w:tcW w:w="2340" w:type="dxa"/>
            <w:tcBorders>
              <w:top w:val="single" w:color="auto" w:sz="6" w:space="0"/>
              <w:left w:val="single" w:color="auto" w:sz="6" w:space="0"/>
              <w:bottom w:val="single" w:color="auto" w:sz="6" w:space="0"/>
              <w:right w:val="single" w:color="auto" w:sz="2" w:space="0"/>
            </w:tcBorders>
            <w:vAlign w:val="center"/>
          </w:tcPr>
          <w:p>
            <w:pPr>
              <w:pStyle w:val="25"/>
              <w:snapToGrid w:val="0"/>
              <w:spacing w:beforeLines="0" w:afterLines="0" w:line="240" w:lineRule="auto"/>
              <w:jc w:val="center"/>
              <w:rPr>
                <w:rFonts w:hAnsi="宋体"/>
                <w:color w:val="000000" w:themeColor="text1"/>
                <w:kern w:val="2"/>
                <w:szCs w:val="21"/>
              </w:rPr>
            </w:pPr>
            <w:r>
              <w:rPr>
                <w:rFonts w:hAnsi="宋体"/>
                <w:color w:val="000000" w:themeColor="text1"/>
                <w:kern w:val="2"/>
                <w:sz w:val="32"/>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85" w:hRule="atLeast"/>
        </w:trPr>
        <w:tc>
          <w:tcPr>
            <w:tcW w:w="735"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pPr>
              <w:pStyle w:val="25"/>
              <w:snapToGrid w:val="0"/>
              <w:spacing w:beforeLines="0" w:afterLines="0" w:line="240" w:lineRule="auto"/>
              <w:jc w:val="center"/>
              <w:rPr>
                <w:rFonts w:hAnsi="宋体"/>
                <w:color w:val="000000" w:themeColor="text1"/>
                <w:kern w:val="2"/>
                <w:szCs w:val="21"/>
              </w:rPr>
            </w:pPr>
          </w:p>
        </w:tc>
        <w:tc>
          <w:tcPr>
            <w:tcW w:w="2700" w:type="dxa"/>
            <w:tcBorders>
              <w:top w:val="single" w:color="auto" w:sz="6" w:space="0"/>
              <w:left w:val="single" w:color="auto" w:sz="2" w:space="0"/>
              <w:bottom w:val="single" w:color="auto" w:sz="2" w:space="0"/>
              <w:right w:val="single" w:color="auto" w:sz="4" w:space="0"/>
            </w:tcBorders>
            <w:vAlign w:val="center"/>
          </w:tcPr>
          <w:p>
            <w:pPr>
              <w:pStyle w:val="25"/>
              <w:snapToGrid w:val="0"/>
              <w:spacing w:beforeLines="0" w:afterLines="0" w:line="240" w:lineRule="auto"/>
              <w:jc w:val="center"/>
              <w:rPr>
                <w:rFonts w:hAnsi="宋体"/>
                <w:color w:val="000000" w:themeColor="text1"/>
                <w:kern w:val="2"/>
                <w:szCs w:val="21"/>
              </w:rPr>
            </w:pPr>
          </w:p>
        </w:tc>
        <w:tc>
          <w:tcPr>
            <w:tcW w:w="1440" w:type="dxa"/>
            <w:tcBorders>
              <w:top w:val="single" w:color="auto" w:sz="6" w:space="0"/>
              <w:left w:val="single" w:color="auto" w:sz="4" w:space="0"/>
              <w:bottom w:val="single" w:color="auto" w:sz="2" w:space="0"/>
              <w:right w:val="single" w:color="auto" w:sz="6" w:space="0"/>
            </w:tcBorders>
            <w:vAlign w:val="center"/>
          </w:tcPr>
          <w:p>
            <w:pPr>
              <w:pStyle w:val="25"/>
              <w:snapToGrid w:val="0"/>
              <w:spacing w:beforeLines="0" w:afterLines="0" w:line="240" w:lineRule="auto"/>
              <w:jc w:val="center"/>
              <w:rPr>
                <w:rFonts w:hAnsi="宋体"/>
                <w:color w:val="000000" w:themeColor="text1"/>
                <w:kern w:val="2"/>
                <w:szCs w:val="21"/>
              </w:rPr>
            </w:pPr>
          </w:p>
        </w:tc>
        <w:tc>
          <w:tcPr>
            <w:tcW w:w="1440" w:type="dxa"/>
            <w:tcBorders>
              <w:top w:val="single" w:color="auto" w:sz="6" w:space="0"/>
              <w:left w:val="single" w:color="auto" w:sz="6" w:space="0"/>
              <w:bottom w:val="single" w:color="auto" w:sz="2" w:space="0"/>
              <w:right w:val="single" w:color="auto" w:sz="6" w:space="0"/>
            </w:tcBorders>
            <w:tcMar>
              <w:top w:w="15" w:type="dxa"/>
              <w:left w:w="15" w:type="dxa"/>
              <w:bottom w:w="0" w:type="dxa"/>
              <w:right w:w="15" w:type="dxa"/>
            </w:tcMar>
            <w:vAlign w:val="center"/>
          </w:tcPr>
          <w:p>
            <w:pPr>
              <w:pStyle w:val="25"/>
              <w:snapToGrid w:val="0"/>
              <w:spacing w:beforeLines="0" w:afterLines="0" w:line="240" w:lineRule="auto"/>
              <w:jc w:val="center"/>
              <w:rPr>
                <w:rFonts w:hAnsi="宋体"/>
                <w:color w:val="000000" w:themeColor="text1"/>
                <w:kern w:val="2"/>
                <w:szCs w:val="21"/>
              </w:rPr>
            </w:pPr>
          </w:p>
        </w:tc>
        <w:tc>
          <w:tcPr>
            <w:tcW w:w="2340" w:type="dxa"/>
            <w:tcBorders>
              <w:top w:val="single" w:color="auto" w:sz="6" w:space="0"/>
              <w:left w:val="single" w:color="auto" w:sz="6" w:space="0"/>
              <w:bottom w:val="single" w:color="auto" w:sz="2" w:space="0"/>
              <w:right w:val="single" w:color="auto" w:sz="2" w:space="0"/>
            </w:tcBorders>
            <w:vAlign w:val="center"/>
          </w:tcPr>
          <w:p>
            <w:pPr>
              <w:pStyle w:val="25"/>
              <w:snapToGrid w:val="0"/>
              <w:spacing w:beforeLines="0" w:afterLines="0" w:line="240" w:lineRule="auto"/>
              <w:jc w:val="center"/>
              <w:rPr>
                <w:rFonts w:hAnsi="宋体"/>
                <w:color w:val="000000" w:themeColor="text1"/>
                <w:kern w:val="2"/>
                <w:szCs w:val="21"/>
              </w:rPr>
            </w:pPr>
            <w:r>
              <w:rPr>
                <w:rFonts w:hAnsi="宋体"/>
                <w:color w:val="000000" w:themeColor="text1"/>
                <w:kern w:val="2"/>
                <w:sz w:val="32"/>
                <w:szCs w:val="21"/>
              </w:rPr>
              <w:t>%</w:t>
            </w:r>
          </w:p>
        </w:tc>
      </w:tr>
    </w:tbl>
    <w:p>
      <w:pPr>
        <w:snapToGrid w:val="0"/>
        <w:spacing w:before="50" w:after="50"/>
        <w:rPr>
          <w:rFonts w:ascii="宋体" w:hAnsi="宋体"/>
          <w:color w:val="000000" w:themeColor="text1"/>
          <w:spacing w:val="20"/>
          <w:sz w:val="24"/>
          <w:szCs w:val="20"/>
          <w:u w:val="single"/>
        </w:rPr>
      </w:pPr>
      <w:r>
        <w:rPr>
          <w:rFonts w:hint="eastAsia" w:ascii="宋体" w:hAnsi="宋体"/>
          <w:color w:val="000000" w:themeColor="text1"/>
          <w:spacing w:val="20"/>
          <w:sz w:val="24"/>
        </w:rPr>
        <w:t>授权代表签名：</w:t>
      </w:r>
    </w:p>
    <w:p>
      <w:pPr>
        <w:snapToGrid w:val="0"/>
        <w:spacing w:before="50" w:after="50"/>
        <w:rPr>
          <w:rFonts w:ascii="宋体" w:hAnsi="宋体"/>
          <w:color w:val="000000" w:themeColor="text1"/>
          <w:sz w:val="24"/>
          <w:szCs w:val="20"/>
        </w:rPr>
      </w:pPr>
      <w:r>
        <w:rPr>
          <w:rFonts w:hint="eastAsia" w:ascii="宋体" w:hAnsi="宋体"/>
          <w:color w:val="000000" w:themeColor="text1"/>
          <w:spacing w:val="20"/>
          <w:sz w:val="24"/>
        </w:rPr>
        <w:t>投标人盖章：日 期：</w:t>
      </w:r>
    </w:p>
    <w:p>
      <w:pPr>
        <w:snapToGrid w:val="0"/>
        <w:spacing w:before="50" w:afterLines="50"/>
        <w:jc w:val="left"/>
        <w:rPr>
          <w:rFonts w:ascii="宋体" w:hAnsi="宋体"/>
          <w:color w:val="000000" w:themeColor="text1"/>
          <w:sz w:val="24"/>
          <w:szCs w:val="20"/>
        </w:rPr>
      </w:pPr>
      <w:r>
        <w:rPr>
          <w:rFonts w:ascii="宋体" w:hAnsi="宋体"/>
          <w:color w:val="000000" w:themeColor="text1"/>
        </w:rPr>
        <w:br w:type="page"/>
      </w:r>
      <w:r>
        <w:rPr>
          <w:rFonts w:ascii="宋体" w:hAnsi="宋体"/>
          <w:color w:val="000000" w:themeColor="text1"/>
          <w:sz w:val="24"/>
        </w:rPr>
        <w:t>4</w:t>
      </w:r>
      <w:r>
        <w:rPr>
          <w:rFonts w:hint="eastAsia" w:ascii="宋体" w:hAnsi="宋体"/>
          <w:color w:val="000000" w:themeColor="text1"/>
          <w:sz w:val="24"/>
        </w:rPr>
        <w:t>5.投标人对本项目的合理化建议和改进措施（格式自拟）</w:t>
      </w: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r>
        <w:rPr>
          <w:rFonts w:ascii="宋体" w:hAnsi="宋体"/>
          <w:color w:val="000000" w:themeColor="text1"/>
          <w:sz w:val="24"/>
        </w:rPr>
        <w:t>4</w:t>
      </w:r>
      <w:r>
        <w:rPr>
          <w:rFonts w:hint="eastAsia" w:ascii="宋体" w:hAnsi="宋体"/>
          <w:color w:val="000000" w:themeColor="text1"/>
          <w:sz w:val="24"/>
        </w:rPr>
        <w:t>6.投标人需要说明的其他文件和说明（格式自拟）</w:t>
      </w:r>
    </w:p>
    <w:p>
      <w:pPr>
        <w:snapToGrid w:val="0"/>
        <w:spacing w:before="50" w:afterLines="50"/>
        <w:jc w:val="left"/>
        <w:rPr>
          <w:rFonts w:ascii="宋体" w:hAnsi="宋体"/>
          <w:color w:val="000000" w:themeColor="text1"/>
          <w:sz w:val="24"/>
          <w:szCs w:val="20"/>
        </w:rPr>
      </w:pPr>
    </w:p>
    <w:p>
      <w:pPr>
        <w:snapToGrid w:val="0"/>
        <w:spacing w:before="50" w:afterLines="50"/>
        <w:jc w:val="left"/>
        <w:rPr>
          <w:rFonts w:ascii="宋体" w:hAnsi="宋体"/>
          <w:color w:val="000000" w:themeColor="text1"/>
          <w:sz w:val="24"/>
          <w:szCs w:val="20"/>
        </w:rPr>
      </w:pPr>
    </w:p>
    <w:p>
      <w:pPr>
        <w:snapToGrid w:val="0"/>
        <w:spacing w:beforeLines="50" w:after="50"/>
        <w:jc w:val="center"/>
        <w:rPr>
          <w:rFonts w:ascii="宋体" w:hAnsi="宋体"/>
          <w:color w:val="000000" w:themeColor="text1"/>
          <w:sz w:val="30"/>
          <w:szCs w:val="20"/>
        </w:rPr>
      </w:pPr>
      <w:r>
        <w:rPr>
          <w:rFonts w:hint="eastAsia" w:ascii="宋体" w:hAnsi="宋体"/>
          <w:color w:val="000000" w:themeColor="text1"/>
          <w:sz w:val="24"/>
        </w:rPr>
        <w:t>四、报价文件格式</w:t>
      </w:r>
    </w:p>
    <w:p>
      <w:pPr>
        <w:snapToGrid w:val="0"/>
        <w:spacing w:beforeLines="50" w:after="50"/>
        <w:rPr>
          <w:rFonts w:ascii="宋体" w:hAnsi="宋体"/>
          <w:bCs/>
          <w:color w:val="000000" w:themeColor="text1"/>
          <w:sz w:val="24"/>
          <w:szCs w:val="20"/>
        </w:rPr>
      </w:pPr>
      <w:r>
        <w:rPr>
          <w:rFonts w:ascii="宋体" w:hAnsi="宋体"/>
          <w:bCs/>
          <w:color w:val="000000" w:themeColor="text1"/>
          <w:sz w:val="24"/>
        </w:rPr>
        <w:t>4</w:t>
      </w:r>
      <w:r>
        <w:rPr>
          <w:rFonts w:hint="eastAsia" w:ascii="宋体" w:hAnsi="宋体"/>
          <w:bCs/>
          <w:color w:val="000000" w:themeColor="text1"/>
          <w:sz w:val="24"/>
        </w:rPr>
        <w:t>7.报价文件的外包装封面格式（不可缺）：</w:t>
      </w:r>
    </w:p>
    <w:p>
      <w:pPr>
        <w:snapToGrid w:val="0"/>
        <w:spacing w:beforeLines="50" w:after="50"/>
        <w:rPr>
          <w:rFonts w:ascii="宋体" w:hAnsi="宋体"/>
          <w:bCs/>
          <w:color w:val="000000" w:themeColor="text1"/>
          <w:sz w:val="24"/>
          <w:szCs w:val="20"/>
        </w:rPr>
      </w:pPr>
    </w:p>
    <w:p>
      <w:pPr>
        <w:snapToGrid w:val="0"/>
        <w:spacing w:beforeLines="50" w:after="50"/>
        <w:jc w:val="center"/>
        <w:rPr>
          <w:rFonts w:ascii="宋体" w:hAnsi="宋体"/>
          <w:bCs/>
          <w:color w:val="000000" w:themeColor="text1"/>
          <w:sz w:val="24"/>
          <w:szCs w:val="20"/>
        </w:rPr>
      </w:pPr>
    </w:p>
    <w:p>
      <w:pPr>
        <w:snapToGrid w:val="0"/>
        <w:spacing w:beforeLines="50" w:after="50"/>
        <w:jc w:val="center"/>
        <w:rPr>
          <w:rFonts w:ascii="宋体" w:hAnsi="宋体"/>
          <w:bCs/>
          <w:color w:val="000000" w:themeColor="text1"/>
          <w:sz w:val="24"/>
          <w:szCs w:val="20"/>
        </w:rPr>
      </w:pPr>
      <w:r>
        <w:rPr>
          <w:rFonts w:hint="eastAsia" w:ascii="宋体" w:hAnsi="宋体"/>
          <w:bCs/>
          <w:color w:val="000000" w:themeColor="text1"/>
          <w:sz w:val="24"/>
        </w:rPr>
        <w:t>报价文件</w:t>
      </w:r>
    </w:p>
    <w:p>
      <w:pPr>
        <w:snapToGrid w:val="0"/>
        <w:spacing w:beforeLines="50" w:after="50"/>
        <w:rPr>
          <w:rFonts w:ascii="宋体" w:hAnsi="宋体"/>
          <w:bCs/>
          <w:color w:val="000000" w:themeColor="text1"/>
          <w:sz w:val="24"/>
          <w:szCs w:val="20"/>
        </w:rPr>
      </w:pPr>
    </w:p>
    <w:p>
      <w:pPr>
        <w:snapToGrid w:val="0"/>
        <w:spacing w:beforeLines="50" w:after="50"/>
        <w:ind w:firstLine="1068" w:firstLineChars="445"/>
        <w:rPr>
          <w:rFonts w:ascii="宋体" w:hAnsi="宋体"/>
          <w:bCs/>
          <w:color w:val="000000" w:themeColor="text1"/>
          <w:sz w:val="24"/>
          <w:szCs w:val="20"/>
        </w:rPr>
      </w:pPr>
      <w:r>
        <w:rPr>
          <w:rFonts w:hint="eastAsia" w:ascii="宋体" w:hAnsi="宋体"/>
          <w:bCs/>
          <w:color w:val="000000" w:themeColor="text1"/>
          <w:sz w:val="24"/>
        </w:rPr>
        <w:t>项目名称：单位（货物</w:t>
      </w:r>
      <w:r>
        <w:rPr>
          <w:rFonts w:ascii="宋体" w:hAnsi="宋体"/>
          <w:bCs/>
          <w:color w:val="000000" w:themeColor="text1"/>
          <w:sz w:val="24"/>
        </w:rPr>
        <w:t>/</w:t>
      </w:r>
      <w:r>
        <w:rPr>
          <w:rFonts w:hint="eastAsia" w:ascii="宋体" w:hAnsi="宋体"/>
          <w:bCs/>
          <w:color w:val="000000" w:themeColor="text1"/>
          <w:sz w:val="24"/>
        </w:rPr>
        <w:t>服务）项目</w:t>
      </w:r>
    </w:p>
    <w:p>
      <w:pPr>
        <w:snapToGrid w:val="0"/>
        <w:spacing w:beforeLines="50" w:after="50"/>
        <w:ind w:firstLine="480" w:firstLineChars="200"/>
        <w:rPr>
          <w:rFonts w:ascii="宋体" w:hAnsi="宋体"/>
          <w:bCs/>
          <w:color w:val="000000" w:themeColor="text1"/>
          <w:sz w:val="24"/>
          <w:szCs w:val="20"/>
        </w:rPr>
      </w:pPr>
      <w:r>
        <w:rPr>
          <w:rFonts w:hint="eastAsia" w:ascii="宋体" w:hAnsi="宋体"/>
          <w:bCs/>
          <w:color w:val="000000" w:themeColor="text1"/>
          <w:sz w:val="24"/>
        </w:rPr>
        <w:t>项目编号：</w:t>
      </w:r>
    </w:p>
    <w:p>
      <w:pPr>
        <w:snapToGrid w:val="0"/>
        <w:spacing w:beforeLines="50" w:after="50"/>
        <w:ind w:firstLine="480" w:firstLineChars="200"/>
        <w:rPr>
          <w:rFonts w:ascii="宋体" w:hAnsi="宋体"/>
          <w:bCs/>
          <w:color w:val="000000" w:themeColor="text1"/>
          <w:sz w:val="24"/>
          <w:szCs w:val="20"/>
        </w:rPr>
      </w:pPr>
      <w:r>
        <w:rPr>
          <w:rFonts w:hint="eastAsia" w:ascii="宋体" w:hAnsi="宋体"/>
          <w:bCs/>
          <w:color w:val="000000" w:themeColor="text1"/>
          <w:sz w:val="24"/>
        </w:rPr>
        <w:t>标项</w:t>
      </w:r>
      <w:r>
        <w:rPr>
          <w:rFonts w:ascii="宋体" w:hAnsi="宋体"/>
          <w:bCs/>
          <w:color w:val="000000" w:themeColor="text1"/>
          <w:sz w:val="24"/>
        </w:rPr>
        <w:t>:</w:t>
      </w:r>
    </w:p>
    <w:p>
      <w:pPr>
        <w:pStyle w:val="15"/>
        <w:snapToGrid w:val="0"/>
        <w:spacing w:before="50" w:after="50"/>
        <w:ind w:firstLine="998" w:firstLineChars="416"/>
        <w:rPr>
          <w:rFonts w:ascii="宋体" w:hAnsi="宋体"/>
          <w:bCs/>
          <w:color w:val="000000" w:themeColor="text1"/>
          <w:sz w:val="24"/>
          <w:szCs w:val="24"/>
        </w:rPr>
      </w:pPr>
      <w:r>
        <w:rPr>
          <w:rFonts w:hint="eastAsia" w:ascii="宋体" w:hAnsi="宋体"/>
          <w:bCs/>
          <w:color w:val="000000" w:themeColor="text1"/>
          <w:sz w:val="24"/>
          <w:szCs w:val="24"/>
        </w:rPr>
        <w:t>投标人名称：</w:t>
      </w:r>
    </w:p>
    <w:p>
      <w:pPr>
        <w:pStyle w:val="15"/>
        <w:snapToGrid w:val="0"/>
        <w:spacing w:before="50" w:after="50"/>
        <w:ind w:firstLine="998" w:firstLineChars="416"/>
        <w:rPr>
          <w:rFonts w:ascii="宋体" w:hAnsi="宋体"/>
          <w:bCs/>
          <w:color w:val="000000" w:themeColor="text1"/>
          <w:sz w:val="24"/>
          <w:szCs w:val="24"/>
        </w:rPr>
      </w:pPr>
      <w:r>
        <w:rPr>
          <w:rFonts w:hint="eastAsia" w:ascii="宋体" w:hAnsi="宋体"/>
          <w:bCs/>
          <w:color w:val="000000" w:themeColor="text1"/>
          <w:sz w:val="24"/>
          <w:szCs w:val="24"/>
        </w:rPr>
        <w:t>投标人地址：</w:t>
      </w:r>
    </w:p>
    <w:p>
      <w:pPr>
        <w:pStyle w:val="15"/>
        <w:snapToGrid w:val="0"/>
        <w:spacing w:before="50" w:after="50"/>
        <w:ind w:firstLine="960" w:firstLineChars="400"/>
        <w:rPr>
          <w:rFonts w:ascii="宋体" w:hAnsi="宋体"/>
          <w:bCs/>
          <w:color w:val="000000" w:themeColor="text1"/>
          <w:sz w:val="24"/>
          <w:szCs w:val="24"/>
        </w:rPr>
      </w:pPr>
      <w:r>
        <w:rPr>
          <w:rFonts w:hint="eastAsia" w:ascii="宋体" w:hAnsi="宋体"/>
          <w:bCs/>
          <w:color w:val="000000" w:themeColor="text1"/>
          <w:sz w:val="24"/>
          <w:szCs w:val="24"/>
        </w:rPr>
        <w:t>在年月日时分之前不得启封</w:t>
      </w:r>
    </w:p>
    <w:p>
      <w:pPr>
        <w:pStyle w:val="15"/>
        <w:snapToGrid w:val="0"/>
        <w:spacing w:before="50" w:after="50"/>
        <w:ind w:firstLine="1497" w:firstLineChars="416"/>
        <w:rPr>
          <w:rFonts w:ascii="宋体" w:hAnsi="宋体"/>
          <w:color w:val="000000" w:themeColor="text1"/>
          <w:sz w:val="36"/>
        </w:rPr>
      </w:pPr>
    </w:p>
    <w:p>
      <w:pPr>
        <w:snapToGrid w:val="0"/>
        <w:spacing w:beforeLines="50" w:after="50"/>
        <w:ind w:firstLine="4080" w:firstLineChars="1700"/>
        <w:rPr>
          <w:rFonts w:ascii="宋体" w:hAnsi="宋体"/>
          <w:color w:val="000000" w:themeColor="text1"/>
          <w:sz w:val="24"/>
          <w:szCs w:val="20"/>
        </w:rPr>
      </w:pPr>
    </w:p>
    <w:p>
      <w:pPr>
        <w:snapToGrid w:val="0"/>
        <w:spacing w:beforeLines="50" w:after="50"/>
        <w:ind w:firstLine="645"/>
        <w:jc w:val="center"/>
        <w:rPr>
          <w:rFonts w:ascii="宋体" w:hAnsi="宋体"/>
          <w:color w:val="000000" w:themeColor="text1"/>
          <w:sz w:val="24"/>
          <w:szCs w:val="20"/>
        </w:rPr>
      </w:pPr>
      <w:r>
        <w:rPr>
          <w:rFonts w:hint="eastAsia" w:ascii="宋体" w:hAnsi="宋体"/>
          <w:color w:val="000000" w:themeColor="text1"/>
          <w:sz w:val="24"/>
        </w:rPr>
        <w:t>年月日</w:t>
      </w:r>
    </w:p>
    <w:p>
      <w:pPr>
        <w:snapToGrid w:val="0"/>
        <w:spacing w:beforeLines="50" w:after="50"/>
        <w:rPr>
          <w:rFonts w:ascii="宋体" w:hAnsi="宋体"/>
          <w:color w:val="000000" w:themeColor="text1"/>
          <w:sz w:val="24"/>
          <w:szCs w:val="20"/>
        </w:rPr>
      </w:pPr>
    </w:p>
    <w:p>
      <w:pPr>
        <w:snapToGrid w:val="0"/>
        <w:spacing w:beforeLines="50" w:after="50"/>
        <w:rPr>
          <w:rFonts w:ascii="宋体" w:hAnsi="宋体"/>
          <w:color w:val="000000" w:themeColor="text1"/>
          <w:sz w:val="24"/>
          <w:szCs w:val="20"/>
        </w:rPr>
      </w:pPr>
    </w:p>
    <w:p>
      <w:pPr>
        <w:pStyle w:val="25"/>
        <w:snapToGrid w:val="0"/>
        <w:spacing w:beforeLines="0" w:afterLines="0" w:line="240" w:lineRule="auto"/>
        <w:rPr>
          <w:rFonts w:hAnsi="宋体"/>
          <w:color w:val="000000" w:themeColor="text1"/>
        </w:rPr>
      </w:pPr>
    </w:p>
    <w:p>
      <w:pPr>
        <w:snapToGrid w:val="0"/>
        <w:spacing w:beforeLines="50" w:after="50"/>
        <w:rPr>
          <w:rFonts w:ascii="宋体" w:hAnsi="宋体"/>
          <w:color w:val="000000" w:themeColor="text1"/>
          <w:sz w:val="24"/>
          <w:szCs w:val="20"/>
        </w:rPr>
      </w:pPr>
      <w:r>
        <w:rPr>
          <w:rFonts w:ascii="宋体" w:hAnsi="宋体"/>
          <w:color w:val="000000" w:themeColor="text1"/>
        </w:rPr>
        <w:br w:type="page"/>
      </w:r>
      <w:r>
        <w:rPr>
          <w:rFonts w:hint="eastAsia" w:ascii="宋体" w:hAnsi="宋体"/>
          <w:color w:val="000000" w:themeColor="text1"/>
          <w:sz w:val="24"/>
        </w:rPr>
        <w:t>48.报价文件封面格式：</w:t>
      </w:r>
    </w:p>
    <w:p>
      <w:pPr>
        <w:snapToGrid w:val="0"/>
        <w:spacing w:beforeLines="50" w:after="50"/>
        <w:rPr>
          <w:rFonts w:ascii="宋体" w:hAnsi="宋体"/>
          <w:b/>
          <w:bCs/>
          <w:color w:val="000000" w:themeColor="text1"/>
          <w:sz w:val="32"/>
          <w:szCs w:val="20"/>
        </w:rPr>
      </w:pPr>
      <w:r>
        <w:rPr>
          <w:rFonts w:hint="eastAsia" w:ascii="宋体" w:hAnsi="宋体"/>
          <w:b/>
          <w:bCs/>
          <w:color w:val="000000" w:themeColor="text1"/>
        </w:rPr>
        <w:t>正本</w:t>
      </w:r>
      <w:r>
        <w:rPr>
          <w:rFonts w:ascii="宋体" w:hAnsi="宋体"/>
          <w:b/>
          <w:bCs/>
          <w:color w:val="000000" w:themeColor="text1"/>
        </w:rPr>
        <w:t>/</w:t>
      </w:r>
      <w:r>
        <w:rPr>
          <w:rFonts w:hint="eastAsia" w:ascii="宋体" w:hAnsi="宋体"/>
          <w:b/>
          <w:bCs/>
          <w:color w:val="000000" w:themeColor="text1"/>
        </w:rPr>
        <w:t>或副本</w:t>
      </w:r>
    </w:p>
    <w:p>
      <w:pPr>
        <w:snapToGrid w:val="0"/>
        <w:spacing w:beforeLines="50" w:after="50"/>
        <w:rPr>
          <w:rFonts w:ascii="宋体" w:hAnsi="宋体"/>
          <w:color w:val="000000" w:themeColor="text1"/>
          <w:sz w:val="24"/>
          <w:szCs w:val="20"/>
        </w:rPr>
      </w:pPr>
    </w:p>
    <w:p>
      <w:pPr>
        <w:snapToGrid w:val="0"/>
        <w:spacing w:beforeLines="50" w:after="50"/>
        <w:jc w:val="center"/>
        <w:rPr>
          <w:rFonts w:ascii="宋体" w:hAnsi="宋体"/>
          <w:bCs/>
          <w:color w:val="000000" w:themeColor="text1"/>
          <w:sz w:val="24"/>
          <w:szCs w:val="20"/>
        </w:rPr>
      </w:pPr>
    </w:p>
    <w:p>
      <w:pPr>
        <w:snapToGrid w:val="0"/>
        <w:spacing w:beforeLines="50" w:after="50"/>
        <w:jc w:val="center"/>
        <w:rPr>
          <w:rFonts w:ascii="宋体" w:hAnsi="宋体"/>
          <w:bCs/>
          <w:color w:val="000000" w:themeColor="text1"/>
          <w:sz w:val="24"/>
          <w:szCs w:val="20"/>
        </w:rPr>
      </w:pPr>
      <w:r>
        <w:rPr>
          <w:rFonts w:hint="eastAsia" w:ascii="宋体" w:hAnsi="宋体"/>
          <w:bCs/>
          <w:color w:val="000000" w:themeColor="text1"/>
          <w:sz w:val="24"/>
        </w:rPr>
        <w:t>报价文件</w:t>
      </w:r>
    </w:p>
    <w:p>
      <w:pPr>
        <w:snapToGrid w:val="0"/>
        <w:spacing w:beforeLines="50" w:after="50"/>
        <w:rPr>
          <w:rFonts w:ascii="宋体" w:hAnsi="宋体"/>
          <w:bCs/>
          <w:color w:val="000000" w:themeColor="text1"/>
          <w:sz w:val="24"/>
          <w:szCs w:val="20"/>
        </w:rPr>
      </w:pPr>
    </w:p>
    <w:p>
      <w:pPr>
        <w:snapToGrid w:val="0"/>
        <w:spacing w:beforeLines="50" w:after="50"/>
        <w:ind w:firstLine="1068" w:firstLineChars="445"/>
        <w:rPr>
          <w:rFonts w:ascii="宋体" w:hAnsi="宋体"/>
          <w:bCs/>
          <w:color w:val="000000" w:themeColor="text1"/>
          <w:sz w:val="24"/>
          <w:szCs w:val="20"/>
        </w:rPr>
      </w:pPr>
      <w:r>
        <w:rPr>
          <w:rFonts w:hint="eastAsia" w:ascii="宋体" w:hAnsi="宋体"/>
          <w:bCs/>
          <w:color w:val="000000" w:themeColor="text1"/>
          <w:sz w:val="24"/>
        </w:rPr>
        <w:t>项目名称：单位（货物</w:t>
      </w:r>
      <w:r>
        <w:rPr>
          <w:rFonts w:ascii="宋体" w:hAnsi="宋体"/>
          <w:bCs/>
          <w:color w:val="000000" w:themeColor="text1"/>
          <w:sz w:val="24"/>
        </w:rPr>
        <w:t>/</w:t>
      </w:r>
      <w:r>
        <w:rPr>
          <w:rFonts w:hint="eastAsia" w:ascii="宋体" w:hAnsi="宋体"/>
          <w:bCs/>
          <w:color w:val="000000" w:themeColor="text1"/>
          <w:sz w:val="24"/>
        </w:rPr>
        <w:t>服务）项目</w:t>
      </w:r>
    </w:p>
    <w:p>
      <w:pPr>
        <w:snapToGrid w:val="0"/>
        <w:spacing w:beforeLines="50" w:after="50"/>
        <w:ind w:firstLine="480" w:firstLineChars="200"/>
        <w:rPr>
          <w:rFonts w:ascii="宋体" w:hAnsi="宋体"/>
          <w:bCs/>
          <w:color w:val="000000" w:themeColor="text1"/>
          <w:sz w:val="24"/>
          <w:szCs w:val="20"/>
        </w:rPr>
      </w:pPr>
      <w:r>
        <w:rPr>
          <w:rFonts w:hint="eastAsia" w:ascii="宋体" w:hAnsi="宋体"/>
          <w:bCs/>
          <w:color w:val="000000" w:themeColor="text1"/>
          <w:sz w:val="24"/>
        </w:rPr>
        <w:t>项目编号：</w:t>
      </w:r>
    </w:p>
    <w:p>
      <w:pPr>
        <w:snapToGrid w:val="0"/>
        <w:spacing w:beforeLines="50" w:after="50"/>
        <w:ind w:firstLine="480" w:firstLineChars="200"/>
        <w:rPr>
          <w:rFonts w:ascii="宋体" w:hAnsi="宋体"/>
          <w:bCs/>
          <w:color w:val="000000" w:themeColor="text1"/>
          <w:sz w:val="24"/>
          <w:szCs w:val="20"/>
        </w:rPr>
      </w:pPr>
      <w:r>
        <w:rPr>
          <w:rFonts w:hint="eastAsia" w:ascii="宋体" w:hAnsi="宋体"/>
          <w:bCs/>
          <w:color w:val="000000" w:themeColor="text1"/>
          <w:sz w:val="24"/>
        </w:rPr>
        <w:t>标项</w:t>
      </w:r>
      <w:r>
        <w:rPr>
          <w:rFonts w:ascii="宋体" w:hAnsi="宋体"/>
          <w:bCs/>
          <w:color w:val="000000" w:themeColor="text1"/>
          <w:sz w:val="24"/>
        </w:rPr>
        <w:t>:</w:t>
      </w:r>
    </w:p>
    <w:p>
      <w:pPr>
        <w:pStyle w:val="15"/>
        <w:snapToGrid w:val="0"/>
        <w:spacing w:before="50" w:after="50"/>
        <w:ind w:firstLine="998" w:firstLineChars="416"/>
        <w:rPr>
          <w:rFonts w:ascii="宋体" w:hAnsi="宋体"/>
          <w:bCs/>
          <w:color w:val="000000" w:themeColor="text1"/>
          <w:sz w:val="24"/>
          <w:szCs w:val="24"/>
        </w:rPr>
      </w:pPr>
      <w:r>
        <w:rPr>
          <w:rFonts w:hint="eastAsia" w:ascii="宋体" w:hAnsi="宋体"/>
          <w:bCs/>
          <w:color w:val="000000" w:themeColor="text1"/>
          <w:sz w:val="24"/>
          <w:szCs w:val="24"/>
        </w:rPr>
        <w:t>投标人名称：</w:t>
      </w:r>
    </w:p>
    <w:p>
      <w:pPr>
        <w:pStyle w:val="15"/>
        <w:snapToGrid w:val="0"/>
        <w:spacing w:before="50" w:after="50"/>
        <w:ind w:firstLine="998" w:firstLineChars="416"/>
        <w:rPr>
          <w:rFonts w:ascii="宋体" w:hAnsi="宋体"/>
          <w:bCs/>
          <w:color w:val="000000" w:themeColor="text1"/>
          <w:sz w:val="24"/>
          <w:szCs w:val="24"/>
        </w:rPr>
      </w:pPr>
      <w:r>
        <w:rPr>
          <w:rFonts w:hint="eastAsia" w:ascii="宋体" w:hAnsi="宋体"/>
          <w:bCs/>
          <w:color w:val="000000" w:themeColor="text1"/>
          <w:sz w:val="24"/>
          <w:szCs w:val="24"/>
        </w:rPr>
        <w:t>投标人地址：</w:t>
      </w:r>
    </w:p>
    <w:p>
      <w:pPr>
        <w:pStyle w:val="15"/>
        <w:snapToGrid w:val="0"/>
        <w:spacing w:before="50" w:after="50"/>
        <w:ind w:firstLine="960" w:firstLineChars="400"/>
        <w:rPr>
          <w:rFonts w:ascii="宋体" w:hAnsi="宋体"/>
          <w:bCs/>
          <w:color w:val="000000" w:themeColor="text1"/>
          <w:sz w:val="24"/>
          <w:szCs w:val="24"/>
        </w:rPr>
      </w:pPr>
    </w:p>
    <w:p>
      <w:pPr>
        <w:pStyle w:val="15"/>
        <w:snapToGrid w:val="0"/>
        <w:spacing w:before="50" w:after="50"/>
        <w:ind w:firstLine="1497" w:firstLineChars="416"/>
        <w:rPr>
          <w:rFonts w:ascii="宋体" w:hAnsi="宋体"/>
          <w:color w:val="000000" w:themeColor="text1"/>
          <w:sz w:val="36"/>
        </w:rPr>
      </w:pPr>
    </w:p>
    <w:p>
      <w:pPr>
        <w:snapToGrid w:val="0"/>
        <w:spacing w:beforeLines="50" w:after="50"/>
        <w:ind w:firstLine="4080" w:firstLineChars="1700"/>
        <w:rPr>
          <w:rFonts w:ascii="宋体" w:hAnsi="宋体"/>
          <w:color w:val="000000" w:themeColor="text1"/>
          <w:sz w:val="24"/>
          <w:szCs w:val="20"/>
        </w:rPr>
      </w:pPr>
    </w:p>
    <w:p>
      <w:pPr>
        <w:snapToGrid w:val="0"/>
        <w:spacing w:beforeLines="50" w:after="50"/>
        <w:jc w:val="center"/>
        <w:rPr>
          <w:rFonts w:ascii="宋体" w:hAnsi="宋体"/>
          <w:color w:val="000000" w:themeColor="text1"/>
          <w:sz w:val="30"/>
          <w:szCs w:val="20"/>
        </w:rPr>
      </w:pPr>
      <w:r>
        <w:rPr>
          <w:rFonts w:hint="eastAsia" w:ascii="宋体" w:hAnsi="宋体"/>
          <w:color w:val="000000" w:themeColor="text1"/>
          <w:sz w:val="24"/>
        </w:rPr>
        <w:t>年月日</w:t>
      </w:r>
    </w:p>
    <w:p>
      <w:pPr>
        <w:snapToGrid w:val="0"/>
        <w:spacing w:beforeLines="50" w:after="50"/>
        <w:jc w:val="center"/>
        <w:rPr>
          <w:rFonts w:ascii="宋体" w:hAnsi="宋体"/>
          <w:color w:val="000000" w:themeColor="text1"/>
          <w:sz w:val="30"/>
          <w:szCs w:val="20"/>
        </w:rPr>
      </w:pPr>
    </w:p>
    <w:p>
      <w:pPr>
        <w:pStyle w:val="25"/>
        <w:snapToGrid w:val="0"/>
        <w:spacing w:beforeLines="0" w:afterLines="0" w:line="240" w:lineRule="auto"/>
        <w:rPr>
          <w:rFonts w:hAnsi="宋体"/>
          <w:color w:val="000000" w:themeColor="text1"/>
        </w:rPr>
      </w:pPr>
    </w:p>
    <w:p>
      <w:pPr>
        <w:snapToGrid w:val="0"/>
        <w:spacing w:beforeLines="50" w:after="50"/>
        <w:rPr>
          <w:rFonts w:ascii="宋体" w:hAnsi="宋体"/>
          <w:color w:val="000000" w:themeColor="text1"/>
          <w:sz w:val="24"/>
          <w:szCs w:val="20"/>
        </w:rPr>
      </w:pPr>
      <w:r>
        <w:rPr>
          <w:rFonts w:ascii="宋体" w:hAnsi="宋体"/>
          <w:color w:val="000000" w:themeColor="text1"/>
        </w:rPr>
        <w:br w:type="page"/>
      </w:r>
      <w:r>
        <w:rPr>
          <w:rFonts w:hint="eastAsia" w:ascii="宋体" w:hAnsi="宋体"/>
          <w:color w:val="000000" w:themeColor="text1"/>
          <w:sz w:val="24"/>
        </w:rPr>
        <w:t>49.投标函格式：</w:t>
      </w:r>
    </w:p>
    <w:p>
      <w:pPr>
        <w:snapToGrid w:val="0"/>
        <w:spacing w:beforeLines="50" w:after="50"/>
        <w:jc w:val="center"/>
        <w:rPr>
          <w:rFonts w:ascii="宋体" w:hAnsi="宋体"/>
          <w:b/>
          <w:color w:val="000000" w:themeColor="text1"/>
          <w:sz w:val="24"/>
          <w:szCs w:val="20"/>
        </w:rPr>
      </w:pPr>
      <w:r>
        <w:rPr>
          <w:rFonts w:hint="eastAsia" w:ascii="宋体" w:hAnsi="宋体"/>
          <w:b/>
          <w:color w:val="000000" w:themeColor="text1"/>
          <w:sz w:val="24"/>
        </w:rPr>
        <w:t>投标函</w:t>
      </w:r>
    </w:p>
    <w:p>
      <w:pPr>
        <w:snapToGrid w:val="0"/>
        <w:spacing w:line="360" w:lineRule="auto"/>
        <w:rPr>
          <w:rFonts w:ascii="宋体" w:hAnsi="宋体"/>
          <w:color w:val="000000" w:themeColor="text1"/>
          <w:sz w:val="24"/>
          <w:szCs w:val="20"/>
        </w:rPr>
      </w:pPr>
      <w:r>
        <w:rPr>
          <w:rFonts w:hint="eastAsia" w:ascii="宋体" w:hAnsi="宋体"/>
          <w:color w:val="000000" w:themeColor="text1"/>
          <w:sz w:val="24"/>
        </w:rPr>
        <w:t>致：</w:t>
      </w:r>
      <w:r>
        <w:rPr>
          <w:rFonts w:ascii="宋体" w:hAnsi="宋体"/>
          <w:color w:val="000000" w:themeColor="text1"/>
          <w:sz w:val="24"/>
        </w:rPr>
        <w:t>______</w:t>
      </w:r>
      <w:r>
        <w:rPr>
          <w:rFonts w:ascii="宋体" w:hAnsi="宋体"/>
          <w:color w:val="000000" w:themeColor="text1"/>
          <w:sz w:val="24"/>
          <w:u w:val="single"/>
        </w:rPr>
        <w:t>_     _</w:t>
      </w:r>
      <w:r>
        <w:rPr>
          <w:rFonts w:ascii="宋体" w:hAnsi="宋体"/>
          <w:color w:val="000000" w:themeColor="text1"/>
          <w:sz w:val="24"/>
        </w:rPr>
        <w:t>_</w:t>
      </w:r>
      <w:r>
        <w:rPr>
          <w:rFonts w:hint="eastAsia" w:ascii="宋体" w:hAnsi="宋体"/>
          <w:color w:val="000000" w:themeColor="text1"/>
          <w:sz w:val="24"/>
        </w:rPr>
        <w:t>（招标采购单位名称）：</w:t>
      </w:r>
    </w:p>
    <w:p>
      <w:pPr>
        <w:snapToGrid w:val="0"/>
        <w:spacing w:line="360" w:lineRule="auto"/>
        <w:ind w:firstLine="480"/>
        <w:rPr>
          <w:rFonts w:ascii="宋体" w:hAnsi="宋体"/>
          <w:color w:val="000000" w:themeColor="text1"/>
          <w:sz w:val="24"/>
          <w:szCs w:val="20"/>
        </w:rPr>
      </w:pPr>
      <w:r>
        <w:rPr>
          <w:rFonts w:hint="eastAsia" w:ascii="宋体" w:hAnsi="宋体"/>
          <w:color w:val="000000" w:themeColor="text1"/>
          <w:sz w:val="24"/>
        </w:rPr>
        <w:t>根据贵方为项目的招标公告</w:t>
      </w:r>
      <w:r>
        <w:rPr>
          <w:rFonts w:ascii="宋体" w:hAnsi="宋体"/>
          <w:color w:val="000000" w:themeColor="text1"/>
          <w:sz w:val="24"/>
        </w:rPr>
        <w:t>/</w:t>
      </w:r>
      <w:r>
        <w:rPr>
          <w:rFonts w:hint="eastAsia" w:ascii="宋体" w:hAnsi="宋体"/>
          <w:color w:val="000000" w:themeColor="text1"/>
          <w:sz w:val="24"/>
        </w:rPr>
        <w:t>投标邀请书</w:t>
      </w:r>
    </w:p>
    <w:p>
      <w:pPr>
        <w:snapToGrid w:val="0"/>
        <w:spacing w:line="360" w:lineRule="auto"/>
        <w:rPr>
          <w:rFonts w:ascii="宋体" w:hAnsi="宋体"/>
          <w:color w:val="000000" w:themeColor="text1"/>
          <w:sz w:val="24"/>
          <w:szCs w:val="20"/>
        </w:rPr>
      </w:pPr>
      <w:r>
        <w:rPr>
          <w:rFonts w:hint="eastAsia" w:ascii="宋体" w:hAnsi="宋体"/>
          <w:color w:val="000000" w:themeColor="text1"/>
          <w:sz w:val="24"/>
        </w:rPr>
        <w:t>（项目编号：</w:t>
      </w:r>
      <w:r>
        <w:rPr>
          <w:rFonts w:ascii="宋体" w:hAnsi="宋体"/>
          <w:color w:val="000000" w:themeColor="text1"/>
          <w:sz w:val="24"/>
        </w:rPr>
        <w:t>____</w:t>
      </w:r>
      <w:r>
        <w:rPr>
          <w:rFonts w:ascii="宋体" w:hAnsi="宋体"/>
          <w:color w:val="000000" w:themeColor="text1"/>
          <w:sz w:val="24"/>
          <w:u w:val="single"/>
        </w:rPr>
        <w:t>_     _</w:t>
      </w:r>
      <w:r>
        <w:rPr>
          <w:rFonts w:ascii="宋体" w:hAnsi="宋体"/>
          <w:color w:val="000000" w:themeColor="text1"/>
          <w:sz w:val="24"/>
        </w:rPr>
        <w:t>_</w:t>
      </w:r>
      <w:r>
        <w:rPr>
          <w:rFonts w:hint="eastAsia" w:ascii="宋体" w:hAnsi="宋体"/>
          <w:color w:val="000000" w:themeColor="text1"/>
          <w:sz w:val="24"/>
        </w:rPr>
        <w:t>），签字代表</w:t>
      </w:r>
      <w:r>
        <w:rPr>
          <w:rFonts w:ascii="宋体" w:hAnsi="宋体"/>
          <w:color w:val="000000" w:themeColor="text1"/>
          <w:sz w:val="24"/>
        </w:rPr>
        <w:t>______</w:t>
      </w:r>
      <w:r>
        <w:rPr>
          <w:rFonts w:ascii="宋体" w:hAnsi="宋体"/>
          <w:color w:val="000000" w:themeColor="text1"/>
          <w:sz w:val="24"/>
          <w:u w:val="single"/>
        </w:rPr>
        <w:t xml:space="preserve">_     </w:t>
      </w:r>
      <w:r>
        <w:rPr>
          <w:rFonts w:hint="eastAsia" w:ascii="宋体" w:hAnsi="宋体"/>
          <w:color w:val="000000" w:themeColor="text1"/>
          <w:sz w:val="24"/>
        </w:rPr>
        <w:t>（全名）经正式授权并代表投标人</w:t>
      </w:r>
      <w:r>
        <w:rPr>
          <w:rFonts w:ascii="宋体" w:hAnsi="宋体"/>
          <w:color w:val="000000" w:themeColor="text1"/>
          <w:sz w:val="24"/>
        </w:rPr>
        <w:t>_____</w:t>
      </w:r>
      <w:r>
        <w:rPr>
          <w:rFonts w:ascii="宋体" w:hAnsi="宋体"/>
          <w:color w:val="000000" w:themeColor="text1"/>
          <w:sz w:val="24"/>
          <w:u w:val="single"/>
        </w:rPr>
        <w:t>__                    __</w:t>
      </w:r>
      <w:r>
        <w:rPr>
          <w:rFonts w:hint="eastAsia" w:ascii="宋体" w:hAnsi="宋体"/>
          <w:color w:val="000000" w:themeColor="text1"/>
          <w:sz w:val="24"/>
        </w:rPr>
        <w:t>（投标人名称）提交资信</w:t>
      </w:r>
      <w:r>
        <w:rPr>
          <w:rFonts w:ascii="宋体" w:hAnsi="宋体"/>
          <w:color w:val="000000" w:themeColor="text1"/>
          <w:sz w:val="24"/>
        </w:rPr>
        <w:t>/</w:t>
      </w:r>
      <w:r>
        <w:rPr>
          <w:rFonts w:hint="eastAsia" w:ascii="宋体" w:hAnsi="宋体"/>
          <w:color w:val="000000" w:themeColor="text1"/>
          <w:sz w:val="24"/>
        </w:rPr>
        <w:t>商务文件、技术文件、报价文件正本各一份、副本份。</w:t>
      </w:r>
    </w:p>
    <w:p>
      <w:pPr>
        <w:snapToGrid w:val="0"/>
        <w:spacing w:line="360" w:lineRule="auto"/>
        <w:ind w:firstLine="480" w:firstLineChars="200"/>
        <w:rPr>
          <w:rFonts w:ascii="宋体" w:hAnsi="宋体"/>
          <w:color w:val="000000" w:themeColor="text1"/>
          <w:sz w:val="24"/>
          <w:szCs w:val="20"/>
        </w:rPr>
      </w:pPr>
      <w:r>
        <w:rPr>
          <w:rFonts w:hint="eastAsia" w:ascii="宋体" w:hAnsi="宋体"/>
          <w:color w:val="000000" w:themeColor="text1"/>
          <w:sz w:val="24"/>
        </w:rPr>
        <w:t>据此函，签字代表宣布同意如下：</w:t>
      </w:r>
    </w:p>
    <w:p>
      <w:pPr>
        <w:snapToGrid w:val="0"/>
        <w:spacing w:line="360" w:lineRule="auto"/>
        <w:ind w:firstLine="480" w:firstLineChars="200"/>
        <w:rPr>
          <w:rFonts w:ascii="宋体" w:hAnsi="宋体"/>
          <w:color w:val="000000" w:themeColor="text1"/>
          <w:sz w:val="24"/>
          <w:szCs w:val="20"/>
        </w:rPr>
      </w:pPr>
      <w:r>
        <w:rPr>
          <w:rFonts w:ascii="宋体" w:hAnsi="宋体"/>
          <w:color w:val="000000" w:themeColor="text1"/>
          <w:sz w:val="24"/>
        </w:rPr>
        <w:t>1</w:t>
      </w:r>
      <w:r>
        <w:rPr>
          <w:rFonts w:hint="eastAsia" w:ascii="宋体" w:hAnsi="宋体"/>
          <w:color w:val="000000" w:themeColor="text1"/>
          <w:sz w:val="24"/>
        </w:rPr>
        <w:t>.投标人已详细审查全部“招标文件”，包括修改文件（如有的话）以及全部参考资料和有关附件，已经了解我方对于招标文件、采购过程、采购结果有依法进行询问、质疑、投诉的权利及相关渠道和要求。</w:t>
      </w:r>
    </w:p>
    <w:p>
      <w:pPr>
        <w:snapToGrid w:val="0"/>
        <w:spacing w:line="360" w:lineRule="auto"/>
        <w:ind w:firstLine="480" w:firstLineChars="200"/>
        <w:rPr>
          <w:rFonts w:ascii="宋体" w:hAnsi="宋体"/>
          <w:color w:val="000000" w:themeColor="text1"/>
          <w:sz w:val="24"/>
          <w:szCs w:val="20"/>
        </w:rPr>
      </w:pPr>
      <w:r>
        <w:rPr>
          <w:rFonts w:ascii="宋体" w:hAnsi="宋体"/>
          <w:color w:val="000000" w:themeColor="text1"/>
          <w:sz w:val="24"/>
        </w:rPr>
        <w:t>2</w:t>
      </w:r>
      <w:r>
        <w:rPr>
          <w:rFonts w:hint="eastAsia" w:ascii="宋体" w:hAnsi="宋体"/>
          <w:color w:val="000000" w:themeColor="text1"/>
          <w:sz w:val="24"/>
        </w:rPr>
        <w:t>.投标人在投标之前已经与贵方进行了充分的沟通，完全理解并接受招标文件的各项规定和要求，对招标文件的合理性、合法性不再有异议。</w:t>
      </w:r>
    </w:p>
    <w:p>
      <w:pPr>
        <w:snapToGrid w:val="0"/>
        <w:spacing w:line="360" w:lineRule="auto"/>
        <w:ind w:firstLine="480" w:firstLineChars="200"/>
        <w:rPr>
          <w:rFonts w:ascii="宋体" w:hAnsi="宋体"/>
          <w:color w:val="000000" w:themeColor="text1"/>
          <w:sz w:val="24"/>
          <w:szCs w:val="20"/>
        </w:rPr>
      </w:pPr>
      <w:r>
        <w:rPr>
          <w:rFonts w:ascii="宋体" w:hAnsi="宋体"/>
          <w:color w:val="000000" w:themeColor="text1"/>
          <w:sz w:val="24"/>
        </w:rPr>
        <w:t>3</w:t>
      </w:r>
      <w:r>
        <w:rPr>
          <w:rFonts w:hint="eastAsia" w:ascii="宋体" w:hAnsi="宋体"/>
          <w:color w:val="000000" w:themeColor="text1"/>
          <w:sz w:val="24"/>
        </w:rPr>
        <w:t>.本投标有效期自开标日起</w:t>
      </w:r>
      <w:r>
        <w:rPr>
          <w:rFonts w:ascii="宋体" w:hAnsi="宋体"/>
          <w:color w:val="000000" w:themeColor="text1"/>
          <w:sz w:val="24"/>
        </w:rPr>
        <w:t xml:space="preserve"> ______</w:t>
      </w:r>
      <w:r>
        <w:rPr>
          <w:rFonts w:hint="eastAsia" w:ascii="宋体" w:hAnsi="宋体"/>
          <w:color w:val="000000" w:themeColor="text1"/>
          <w:sz w:val="24"/>
        </w:rPr>
        <w:t>个日。</w:t>
      </w:r>
    </w:p>
    <w:p>
      <w:pPr>
        <w:snapToGrid w:val="0"/>
        <w:spacing w:line="360" w:lineRule="auto"/>
        <w:ind w:firstLine="480" w:firstLineChars="200"/>
        <w:rPr>
          <w:rFonts w:ascii="宋体" w:hAnsi="宋体"/>
          <w:color w:val="000000" w:themeColor="text1"/>
          <w:sz w:val="24"/>
          <w:szCs w:val="20"/>
        </w:rPr>
      </w:pPr>
      <w:r>
        <w:rPr>
          <w:rFonts w:ascii="宋体" w:hAnsi="宋体"/>
          <w:color w:val="000000" w:themeColor="text1"/>
          <w:sz w:val="24"/>
        </w:rPr>
        <w:t>4</w:t>
      </w:r>
      <w:r>
        <w:rPr>
          <w:rFonts w:hint="eastAsia" w:ascii="宋体" w:hAnsi="宋体"/>
          <w:color w:val="000000" w:themeColor="text1"/>
          <w:sz w:val="24"/>
        </w:rPr>
        <w:t>.如中标，本投标文件至本项目合同履行完毕止均保持有效，本投标人将按“招标文件”及政府采购法律、法规的规定履行合同责任和义务。</w:t>
      </w:r>
    </w:p>
    <w:p>
      <w:pPr>
        <w:snapToGrid w:val="0"/>
        <w:spacing w:line="360" w:lineRule="auto"/>
        <w:ind w:firstLine="480" w:firstLineChars="200"/>
        <w:rPr>
          <w:rFonts w:ascii="宋体" w:hAnsi="宋体"/>
          <w:color w:val="000000" w:themeColor="text1"/>
          <w:sz w:val="24"/>
          <w:szCs w:val="20"/>
        </w:rPr>
      </w:pPr>
      <w:r>
        <w:rPr>
          <w:rFonts w:ascii="宋体" w:hAnsi="宋体"/>
          <w:color w:val="000000" w:themeColor="text1"/>
          <w:sz w:val="24"/>
        </w:rPr>
        <w:t>5</w:t>
      </w:r>
      <w:r>
        <w:rPr>
          <w:rFonts w:hint="eastAsia" w:ascii="宋体" w:hAnsi="宋体"/>
          <w:color w:val="000000" w:themeColor="text1"/>
          <w:sz w:val="24"/>
        </w:rPr>
        <w:t>.投标人同意按照贵方要求提供与投标有关的一切数据或资料。</w:t>
      </w:r>
    </w:p>
    <w:p>
      <w:pPr>
        <w:snapToGrid w:val="0"/>
        <w:spacing w:line="360" w:lineRule="auto"/>
        <w:ind w:firstLine="480" w:firstLineChars="200"/>
        <w:rPr>
          <w:rFonts w:ascii="宋体" w:hAnsi="宋体"/>
          <w:color w:val="000000" w:themeColor="text1"/>
          <w:sz w:val="24"/>
          <w:szCs w:val="20"/>
        </w:rPr>
      </w:pPr>
      <w:r>
        <w:rPr>
          <w:rFonts w:ascii="宋体" w:hAnsi="宋体"/>
          <w:color w:val="000000" w:themeColor="text1"/>
          <w:sz w:val="24"/>
        </w:rPr>
        <w:t>6</w:t>
      </w:r>
      <w:r>
        <w:rPr>
          <w:rFonts w:hint="eastAsia" w:ascii="宋体" w:hAnsi="宋体"/>
          <w:color w:val="000000" w:themeColor="text1"/>
          <w:sz w:val="24"/>
        </w:rPr>
        <w:t>.与本投标有关的一切正式往来信函请寄：</w:t>
      </w:r>
    </w:p>
    <w:p>
      <w:pPr>
        <w:snapToGrid w:val="0"/>
        <w:spacing w:line="360" w:lineRule="auto"/>
        <w:rPr>
          <w:rFonts w:ascii="宋体" w:hAnsi="宋体"/>
          <w:color w:val="000000" w:themeColor="text1"/>
          <w:sz w:val="24"/>
          <w:szCs w:val="20"/>
        </w:rPr>
      </w:pPr>
      <w:r>
        <w:rPr>
          <w:rFonts w:hint="eastAsia" w:ascii="宋体" w:hAnsi="宋体"/>
          <w:color w:val="000000" w:themeColor="text1"/>
          <w:sz w:val="24"/>
        </w:rPr>
        <w:t>地址：</w:t>
      </w:r>
      <w:r>
        <w:rPr>
          <w:rFonts w:ascii="宋体" w:hAnsi="宋体"/>
          <w:color w:val="000000" w:themeColor="text1"/>
          <w:sz w:val="24"/>
        </w:rPr>
        <w:t>__________</w:t>
      </w:r>
      <w:r>
        <w:rPr>
          <w:rFonts w:ascii="宋体" w:hAnsi="宋体"/>
          <w:color w:val="000000" w:themeColor="text1"/>
          <w:sz w:val="24"/>
          <w:u w:val="single"/>
        </w:rPr>
        <w:t xml:space="preserve">        _</w:t>
      </w:r>
      <w:r>
        <w:rPr>
          <w:rFonts w:ascii="宋体" w:hAnsi="宋体"/>
          <w:color w:val="000000" w:themeColor="text1"/>
          <w:sz w:val="24"/>
        </w:rPr>
        <w:t>____</w:t>
      </w:r>
      <w:r>
        <w:rPr>
          <w:rFonts w:hint="eastAsia" w:ascii="宋体" w:hAnsi="宋体"/>
          <w:color w:val="000000" w:themeColor="text1"/>
          <w:sz w:val="24"/>
        </w:rPr>
        <w:t>邮编：</w:t>
      </w:r>
      <w:r>
        <w:rPr>
          <w:rFonts w:ascii="宋体" w:hAnsi="宋体"/>
          <w:color w:val="000000" w:themeColor="text1"/>
          <w:sz w:val="24"/>
        </w:rPr>
        <w:t xml:space="preserve">__________   </w:t>
      </w:r>
      <w:r>
        <w:rPr>
          <w:rFonts w:hint="eastAsia" w:ascii="宋体" w:hAnsi="宋体"/>
          <w:color w:val="000000" w:themeColor="text1"/>
          <w:sz w:val="24"/>
        </w:rPr>
        <w:t>电话：</w:t>
      </w:r>
      <w:r>
        <w:rPr>
          <w:rFonts w:ascii="宋体" w:hAnsi="宋体"/>
          <w:color w:val="000000" w:themeColor="text1"/>
          <w:sz w:val="24"/>
        </w:rPr>
        <w:t>______________</w:t>
      </w:r>
    </w:p>
    <w:p>
      <w:pPr>
        <w:snapToGrid w:val="0"/>
        <w:spacing w:line="360" w:lineRule="auto"/>
        <w:rPr>
          <w:rFonts w:ascii="宋体" w:hAnsi="宋体"/>
          <w:color w:val="000000" w:themeColor="text1"/>
          <w:sz w:val="24"/>
          <w:szCs w:val="20"/>
        </w:rPr>
      </w:pPr>
      <w:r>
        <w:rPr>
          <w:rFonts w:hint="eastAsia" w:ascii="宋体" w:hAnsi="宋体"/>
          <w:color w:val="000000" w:themeColor="text1"/>
          <w:sz w:val="24"/>
        </w:rPr>
        <w:t>传真：</w:t>
      </w:r>
      <w:r>
        <w:rPr>
          <w:rFonts w:ascii="宋体" w:hAnsi="宋体"/>
          <w:color w:val="000000" w:themeColor="text1"/>
          <w:sz w:val="24"/>
        </w:rPr>
        <w:t>______________</w:t>
      </w:r>
      <w:r>
        <w:rPr>
          <w:rFonts w:hint="eastAsia" w:ascii="宋体" w:hAnsi="宋体"/>
          <w:color w:val="000000" w:themeColor="text1"/>
          <w:sz w:val="24"/>
        </w:rPr>
        <w:t>投标人代表姓名</w:t>
      </w:r>
      <w:r>
        <w:rPr>
          <w:rFonts w:ascii="宋体" w:hAnsi="宋体"/>
          <w:color w:val="000000" w:themeColor="text1"/>
          <w:sz w:val="24"/>
        </w:rPr>
        <w:t xml:space="preserve"> ___________  </w:t>
      </w:r>
      <w:r>
        <w:rPr>
          <w:rFonts w:hint="eastAsia" w:ascii="宋体" w:hAnsi="宋体"/>
          <w:color w:val="000000" w:themeColor="text1"/>
          <w:sz w:val="24"/>
        </w:rPr>
        <w:t>职务：</w:t>
      </w:r>
      <w:r>
        <w:rPr>
          <w:rFonts w:ascii="宋体" w:hAnsi="宋体"/>
          <w:color w:val="000000" w:themeColor="text1"/>
          <w:sz w:val="24"/>
        </w:rPr>
        <w:t>_____________</w:t>
      </w:r>
    </w:p>
    <w:p>
      <w:pPr>
        <w:snapToGrid w:val="0"/>
        <w:spacing w:line="360" w:lineRule="auto"/>
        <w:rPr>
          <w:rFonts w:ascii="宋体" w:hAnsi="宋体"/>
          <w:color w:val="000000" w:themeColor="text1"/>
          <w:sz w:val="24"/>
          <w:szCs w:val="20"/>
        </w:rPr>
      </w:pPr>
      <w:r>
        <w:rPr>
          <w:rFonts w:hint="eastAsia" w:ascii="宋体" w:hAnsi="宋体"/>
          <w:color w:val="000000" w:themeColor="text1"/>
          <w:sz w:val="24"/>
        </w:rPr>
        <w:t>投标人名称</w:t>
      </w:r>
      <w:r>
        <w:rPr>
          <w:rFonts w:ascii="宋体" w:hAnsi="宋体"/>
          <w:color w:val="000000" w:themeColor="text1"/>
          <w:sz w:val="24"/>
        </w:rPr>
        <w:t>(</w:t>
      </w:r>
      <w:r>
        <w:rPr>
          <w:rFonts w:hint="eastAsia" w:ascii="宋体" w:hAnsi="宋体"/>
          <w:color w:val="000000" w:themeColor="text1"/>
          <w:sz w:val="24"/>
        </w:rPr>
        <w:t>公章</w:t>
      </w:r>
      <w:r>
        <w:rPr>
          <w:rFonts w:ascii="宋体" w:hAnsi="宋体"/>
          <w:color w:val="000000" w:themeColor="text1"/>
          <w:sz w:val="24"/>
        </w:rPr>
        <w:t>):___________________</w:t>
      </w:r>
    </w:p>
    <w:p>
      <w:pPr>
        <w:snapToGrid w:val="0"/>
        <w:spacing w:line="360" w:lineRule="auto"/>
        <w:rPr>
          <w:rFonts w:ascii="宋体" w:hAnsi="宋体"/>
          <w:color w:val="000000" w:themeColor="text1"/>
          <w:sz w:val="24"/>
          <w:szCs w:val="20"/>
        </w:rPr>
      </w:pPr>
      <w:r>
        <w:rPr>
          <w:rFonts w:hint="eastAsia" w:ascii="宋体" w:hAnsi="宋体"/>
          <w:color w:val="000000" w:themeColor="text1"/>
          <w:sz w:val="24"/>
        </w:rPr>
        <w:t>开户银行：银行帐号：</w:t>
      </w:r>
    </w:p>
    <w:p>
      <w:pPr>
        <w:snapToGrid w:val="0"/>
        <w:spacing w:line="360" w:lineRule="auto"/>
        <w:jc w:val="center"/>
        <w:rPr>
          <w:rFonts w:ascii="宋体" w:hAnsi="宋体"/>
          <w:color w:val="000000" w:themeColor="text1"/>
          <w:sz w:val="30"/>
          <w:szCs w:val="20"/>
        </w:rPr>
      </w:pPr>
      <w:r>
        <w:rPr>
          <w:rFonts w:hint="eastAsia" w:ascii="宋体" w:hAnsi="宋体"/>
          <w:color w:val="000000" w:themeColor="text1"/>
          <w:sz w:val="24"/>
        </w:rPr>
        <w:t>授权代表签字</w:t>
      </w:r>
      <w:r>
        <w:rPr>
          <w:rFonts w:ascii="宋体" w:hAnsi="宋体"/>
          <w:color w:val="000000" w:themeColor="text1"/>
          <w:sz w:val="24"/>
        </w:rPr>
        <w:t xml:space="preserve">:___________                      </w:t>
      </w:r>
      <w:r>
        <w:rPr>
          <w:rFonts w:hint="eastAsia" w:ascii="宋体" w:hAnsi="宋体"/>
          <w:color w:val="000000" w:themeColor="text1"/>
          <w:sz w:val="24"/>
        </w:rPr>
        <w:t>日期</w:t>
      </w:r>
      <w:r>
        <w:rPr>
          <w:rFonts w:ascii="宋体" w:hAnsi="宋体"/>
          <w:color w:val="000000" w:themeColor="text1"/>
          <w:sz w:val="24"/>
        </w:rPr>
        <w:t>:_____</w:t>
      </w:r>
      <w:r>
        <w:rPr>
          <w:rFonts w:hint="eastAsia" w:ascii="宋体" w:hAnsi="宋体"/>
          <w:color w:val="000000" w:themeColor="text1"/>
          <w:sz w:val="24"/>
        </w:rPr>
        <w:t>年</w:t>
      </w:r>
      <w:r>
        <w:rPr>
          <w:rFonts w:ascii="宋体" w:hAnsi="宋体"/>
          <w:color w:val="000000" w:themeColor="text1"/>
          <w:sz w:val="24"/>
        </w:rPr>
        <w:t>___</w:t>
      </w:r>
      <w:r>
        <w:rPr>
          <w:rFonts w:hint="eastAsia" w:ascii="宋体" w:hAnsi="宋体"/>
          <w:color w:val="000000" w:themeColor="text1"/>
          <w:sz w:val="24"/>
        </w:rPr>
        <w:t>月</w:t>
      </w:r>
      <w:r>
        <w:rPr>
          <w:rFonts w:ascii="宋体" w:hAnsi="宋体"/>
          <w:color w:val="000000" w:themeColor="text1"/>
          <w:sz w:val="24"/>
        </w:rPr>
        <w:t>___</w:t>
      </w:r>
      <w:r>
        <w:rPr>
          <w:rFonts w:hint="eastAsia" w:ascii="宋体" w:hAnsi="宋体"/>
          <w:color w:val="000000" w:themeColor="text1"/>
          <w:sz w:val="24"/>
        </w:rPr>
        <w:t>日</w:t>
      </w:r>
    </w:p>
    <w:p>
      <w:pPr>
        <w:pStyle w:val="25"/>
        <w:snapToGrid w:val="0"/>
        <w:spacing w:beforeLines="0" w:afterLines="0" w:line="240" w:lineRule="auto"/>
        <w:rPr>
          <w:rFonts w:hAnsi="宋体"/>
          <w:color w:val="000000" w:themeColor="text1"/>
        </w:rPr>
      </w:pPr>
    </w:p>
    <w:p>
      <w:pPr>
        <w:pStyle w:val="25"/>
        <w:snapToGrid w:val="0"/>
        <w:spacing w:beforeLines="0" w:afterLines="0" w:line="240" w:lineRule="auto"/>
        <w:rPr>
          <w:rFonts w:hAnsi="宋体"/>
          <w:color w:val="000000" w:themeColor="text1"/>
        </w:rPr>
      </w:pPr>
      <w:r>
        <w:rPr>
          <w:rFonts w:hAnsi="宋体"/>
          <w:color w:val="000000" w:themeColor="text1"/>
        </w:rPr>
        <w:br w:type="page"/>
      </w:r>
    </w:p>
    <w:p>
      <w:pPr>
        <w:snapToGrid w:val="0"/>
        <w:spacing w:before="50" w:after="50"/>
        <w:rPr>
          <w:rFonts w:ascii="宋体" w:hAnsi="宋体"/>
          <w:color w:val="000000" w:themeColor="text1"/>
          <w:sz w:val="24"/>
        </w:rPr>
      </w:pPr>
    </w:p>
    <w:p>
      <w:pPr>
        <w:snapToGrid w:val="0"/>
        <w:spacing w:before="50" w:after="50"/>
        <w:rPr>
          <w:rFonts w:ascii="宋体" w:hAnsi="宋体"/>
          <w:color w:val="000000" w:themeColor="text1"/>
          <w:sz w:val="24"/>
        </w:rPr>
      </w:pPr>
    </w:p>
    <w:p>
      <w:pPr>
        <w:pStyle w:val="25"/>
        <w:snapToGrid w:val="0"/>
        <w:spacing w:beforeLines="0" w:afterLines="0" w:line="240" w:lineRule="auto"/>
        <w:rPr>
          <w:rFonts w:hAnsi="宋体"/>
          <w:color w:val="000000" w:themeColor="text1"/>
        </w:rPr>
      </w:pPr>
      <w:r>
        <w:rPr>
          <w:rFonts w:hAnsi="宋体"/>
          <w:color w:val="000000" w:themeColor="text1"/>
        </w:rPr>
        <w:t>5</w:t>
      </w:r>
      <w:r>
        <w:rPr>
          <w:rFonts w:hint="eastAsia" w:hAnsi="宋体"/>
          <w:color w:val="000000" w:themeColor="text1"/>
        </w:rPr>
        <w:t>0.</w:t>
      </w:r>
      <w:r>
        <w:rPr>
          <w:rFonts w:hAnsi="宋体"/>
          <w:color w:val="000000" w:themeColor="text1"/>
        </w:rPr>
        <w:t xml:space="preserve">投标报价明细表格式（适用于货物类项目）：       </w:t>
      </w:r>
    </w:p>
    <w:p>
      <w:pPr>
        <w:pStyle w:val="25"/>
        <w:snapToGrid w:val="0"/>
        <w:spacing w:beforeLines="0" w:afterLines="0" w:line="240" w:lineRule="auto"/>
        <w:jc w:val="center"/>
        <w:rPr>
          <w:rFonts w:hAnsi="宋体"/>
          <w:color w:val="000000" w:themeColor="text1"/>
        </w:rPr>
      </w:pPr>
    </w:p>
    <w:p>
      <w:pPr>
        <w:pStyle w:val="25"/>
        <w:snapToGrid w:val="0"/>
        <w:spacing w:beforeLines="0" w:afterLines="0" w:line="240" w:lineRule="auto"/>
        <w:jc w:val="center"/>
        <w:rPr>
          <w:rFonts w:hAnsi="宋体"/>
          <w:color w:val="000000" w:themeColor="text1"/>
        </w:rPr>
      </w:pPr>
      <w:r>
        <w:rPr>
          <w:rFonts w:hAnsi="宋体"/>
          <w:color w:val="000000" w:themeColor="text1"/>
        </w:rPr>
        <w:t>投标报价明细表</w:t>
      </w:r>
    </w:p>
    <w:p>
      <w:pPr>
        <w:pStyle w:val="25"/>
        <w:snapToGrid w:val="0"/>
        <w:spacing w:beforeLines="0" w:afterLines="0" w:line="240" w:lineRule="auto"/>
        <w:jc w:val="center"/>
        <w:rPr>
          <w:rFonts w:hAnsi="宋体"/>
          <w:color w:val="000000" w:themeColor="text1"/>
        </w:rPr>
      </w:pPr>
    </w:p>
    <w:p>
      <w:pPr>
        <w:pStyle w:val="25"/>
        <w:snapToGrid w:val="0"/>
        <w:spacing w:beforeLines="0" w:afterLines="0" w:line="240" w:lineRule="auto"/>
        <w:jc w:val="center"/>
        <w:rPr>
          <w:rFonts w:hAnsi="宋体"/>
          <w:color w:val="000000" w:themeColor="text1"/>
        </w:rPr>
      </w:pPr>
      <w:r>
        <w:rPr>
          <w:rFonts w:hint="eastAsia" w:hAnsi="宋体"/>
          <w:color w:val="000000" w:themeColor="text1"/>
        </w:rPr>
        <w:t>(1)</w:t>
      </w:r>
      <w:r>
        <w:rPr>
          <w:rFonts w:hint="eastAsia"/>
          <w:color w:val="000000" w:themeColor="text1"/>
        </w:rPr>
        <w:t xml:space="preserve"> 市本级（交警）</w:t>
      </w:r>
    </w:p>
    <w:p>
      <w:pPr>
        <w:pStyle w:val="25"/>
        <w:snapToGrid w:val="0"/>
        <w:spacing w:beforeLines="0" w:afterLines="0" w:line="240" w:lineRule="auto"/>
        <w:rPr>
          <w:rFonts w:hAnsi="宋体"/>
          <w:color w:val="000000" w:themeColor="text1"/>
          <w:sz w:val="30"/>
        </w:rPr>
      </w:pPr>
      <w:r>
        <w:rPr>
          <w:rFonts w:hAnsi="宋体"/>
          <w:color w:val="000000" w:themeColor="text1"/>
        </w:rPr>
        <w:t>标项：</w:t>
      </w:r>
      <w:r>
        <w:rPr>
          <w:rFonts w:hAnsi="宋体"/>
          <w:color w:val="000000" w:themeColor="text1"/>
          <w:szCs w:val="21"/>
        </w:rPr>
        <w:t>金额单位：人民币（元）</w:t>
      </w:r>
    </w:p>
    <w:tbl>
      <w:tblPr>
        <w:tblStyle w:val="53"/>
        <w:tblW w:w="9000" w:type="dxa"/>
        <w:tblInd w:w="-25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096"/>
        <w:gridCol w:w="45"/>
        <w:gridCol w:w="1940"/>
        <w:gridCol w:w="1559"/>
        <w:gridCol w:w="992"/>
        <w:gridCol w:w="1134"/>
        <w:gridCol w:w="851"/>
        <w:gridCol w:w="84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序号</w:t>
            </w:r>
          </w:p>
        </w:tc>
        <w:tc>
          <w:tcPr>
            <w:tcW w:w="3081" w:type="dxa"/>
            <w:gridSpan w:val="3"/>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设备名称</w:t>
            </w:r>
          </w:p>
        </w:tc>
        <w:tc>
          <w:tcPr>
            <w:tcW w:w="1559"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r>
              <w:rPr>
                <w:rFonts w:ascii="宋体" w:hAnsi="宋体" w:eastAsia="宋体"/>
                <w:color w:val="000000" w:themeColor="text1"/>
              </w:rPr>
              <w:t>品牌</w:t>
            </w: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规格型号</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单位及数量</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单价</w:t>
            </w: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金额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1096"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综治分平台</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视频应用及管理服务1</w:t>
            </w:r>
          </w:p>
        </w:tc>
        <w:tc>
          <w:tcPr>
            <w:tcW w:w="155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基础视频运维服务</w:t>
            </w:r>
          </w:p>
        </w:tc>
        <w:tc>
          <w:tcPr>
            <w:tcW w:w="155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中心管理服务器</w:t>
            </w:r>
          </w:p>
        </w:tc>
        <w:tc>
          <w:tcPr>
            <w:tcW w:w="155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数据库服务器</w:t>
            </w:r>
          </w:p>
        </w:tc>
        <w:tc>
          <w:tcPr>
            <w:tcW w:w="155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流媒体服务器1</w:t>
            </w:r>
          </w:p>
        </w:tc>
        <w:tc>
          <w:tcPr>
            <w:tcW w:w="155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4</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平台联网网关（一体机）</w:t>
            </w:r>
          </w:p>
        </w:tc>
        <w:tc>
          <w:tcPr>
            <w:tcW w:w="155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6</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出口交换机</w:t>
            </w:r>
          </w:p>
        </w:tc>
        <w:tc>
          <w:tcPr>
            <w:tcW w:w="155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万兆视频网闸</w:t>
            </w:r>
          </w:p>
        </w:tc>
        <w:tc>
          <w:tcPr>
            <w:tcW w:w="155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万兆防火墙</w:t>
            </w:r>
          </w:p>
        </w:tc>
        <w:tc>
          <w:tcPr>
            <w:tcW w:w="155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千兆光纤费</w:t>
            </w:r>
          </w:p>
        </w:tc>
        <w:tc>
          <w:tcPr>
            <w:tcW w:w="155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4</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2</w:t>
            </w:r>
          </w:p>
        </w:tc>
        <w:tc>
          <w:tcPr>
            <w:tcW w:w="1096"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网络系统</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市级视频专网核心交换机</w:t>
            </w:r>
          </w:p>
        </w:tc>
        <w:tc>
          <w:tcPr>
            <w:tcW w:w="155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2</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市局视频专网汇聚交换机</w:t>
            </w:r>
          </w:p>
        </w:tc>
        <w:tc>
          <w:tcPr>
            <w:tcW w:w="155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各县市视频专网核心交换机</w:t>
            </w:r>
          </w:p>
        </w:tc>
        <w:tc>
          <w:tcPr>
            <w:tcW w:w="155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视频专网链路租赁</w:t>
            </w:r>
          </w:p>
        </w:tc>
        <w:tc>
          <w:tcPr>
            <w:tcW w:w="155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12</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视频专网网管系统</w:t>
            </w:r>
          </w:p>
        </w:tc>
        <w:tc>
          <w:tcPr>
            <w:tcW w:w="155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解析中心核心交换机</w:t>
            </w:r>
          </w:p>
        </w:tc>
        <w:tc>
          <w:tcPr>
            <w:tcW w:w="155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2</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3</w:t>
            </w:r>
          </w:p>
        </w:tc>
        <w:tc>
          <w:tcPr>
            <w:tcW w:w="1096"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安全系统</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视频边界（万兆）</w:t>
            </w:r>
          </w:p>
        </w:tc>
        <w:tc>
          <w:tcPr>
            <w:tcW w:w="155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2</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数据边界（万兆）</w:t>
            </w:r>
          </w:p>
        </w:tc>
        <w:tc>
          <w:tcPr>
            <w:tcW w:w="155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2</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下一代防火墙（万兆）</w:t>
            </w:r>
          </w:p>
        </w:tc>
        <w:tc>
          <w:tcPr>
            <w:tcW w:w="155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交换机</w:t>
            </w:r>
          </w:p>
        </w:tc>
        <w:tc>
          <w:tcPr>
            <w:tcW w:w="155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日志审计系统</w:t>
            </w:r>
          </w:p>
        </w:tc>
        <w:tc>
          <w:tcPr>
            <w:tcW w:w="155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解析中心安全防护-下一代防火墙（40G）</w:t>
            </w:r>
          </w:p>
        </w:tc>
        <w:tc>
          <w:tcPr>
            <w:tcW w:w="155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2</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堡垒机</w:t>
            </w:r>
          </w:p>
        </w:tc>
        <w:tc>
          <w:tcPr>
            <w:tcW w:w="155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2</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共享平台安全防护-下一代防火墙（千兆）</w:t>
            </w:r>
          </w:p>
        </w:tc>
        <w:tc>
          <w:tcPr>
            <w:tcW w:w="155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2</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4</w:t>
            </w:r>
          </w:p>
        </w:tc>
        <w:tc>
          <w:tcPr>
            <w:tcW w:w="1096"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综治大厅及实战应用</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综合指挥中心（指挥大厅）</w:t>
            </w:r>
          </w:p>
        </w:tc>
        <w:tc>
          <w:tcPr>
            <w:tcW w:w="2551"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按招标文件中的清单后附明细报价清单</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综治应用系统</w:t>
            </w:r>
          </w:p>
        </w:tc>
        <w:tc>
          <w:tcPr>
            <w:tcW w:w="2551"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按招标文件中的清单后附明细报价清单</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综合指挥中心（应急指挥室）</w:t>
            </w:r>
          </w:p>
        </w:tc>
        <w:tc>
          <w:tcPr>
            <w:tcW w:w="2551"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按照招标文件中的资金分配比例表填写报价</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5</w:t>
            </w:r>
          </w:p>
        </w:tc>
        <w:tc>
          <w:tcPr>
            <w:tcW w:w="3081" w:type="dxa"/>
            <w:gridSpan w:val="3"/>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结构化存储</w:t>
            </w:r>
          </w:p>
        </w:tc>
        <w:tc>
          <w:tcPr>
            <w:tcW w:w="2551"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按照招标文件中的资金分配比例表填写报价</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6</w:t>
            </w:r>
          </w:p>
        </w:tc>
        <w:tc>
          <w:tcPr>
            <w:tcW w:w="1141" w:type="dxa"/>
            <w:gridSpan w:val="2"/>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公安业务实战应用</w:t>
            </w: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人像硬件及算法</w:t>
            </w:r>
          </w:p>
        </w:tc>
        <w:tc>
          <w:tcPr>
            <w:tcW w:w="2551" w:type="dxa"/>
            <w:gridSpan w:val="2"/>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按照招标文件中的资金分配比例表填写报价</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萃取硬件及软件</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车辆二次分析硬件</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车辆二次分析软件</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解析中心机柜</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人像大数据应用</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视频萃取应用</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重点区域安保应用</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数据服务总线</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数据仓库系统</w:t>
            </w:r>
          </w:p>
        </w:tc>
        <w:tc>
          <w:tcPr>
            <w:tcW w:w="2551" w:type="dxa"/>
            <w:gridSpan w:val="2"/>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8157" w:type="dxa"/>
            <w:gridSpan w:val="8"/>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rPr>
              <w:t>合计</w:t>
            </w: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bl>
    <w:p>
      <w:pPr>
        <w:tabs>
          <w:tab w:val="left" w:pos="1418"/>
        </w:tabs>
        <w:snapToGrid w:val="0"/>
        <w:spacing w:before="50" w:after="50"/>
        <w:ind w:left="1418" w:hanging="567"/>
        <w:jc w:val="center"/>
        <w:rPr>
          <w:rFonts w:ascii="宋体" w:hAnsi="宋体"/>
          <w:color w:val="000000" w:themeColor="text1"/>
          <w:spacing w:val="20"/>
          <w:sz w:val="24"/>
          <w:szCs w:val="20"/>
          <w:u w:val="single"/>
        </w:rPr>
      </w:pPr>
    </w:p>
    <w:p>
      <w:pPr>
        <w:snapToGrid w:val="0"/>
        <w:spacing w:before="50" w:after="50"/>
        <w:rPr>
          <w:rFonts w:ascii="宋体" w:hAnsi="宋体"/>
          <w:color w:val="000000" w:themeColor="text1"/>
          <w:spacing w:val="20"/>
          <w:sz w:val="24"/>
          <w:szCs w:val="20"/>
          <w:u w:val="single"/>
        </w:rPr>
      </w:pPr>
      <w:r>
        <w:rPr>
          <w:rFonts w:hint="eastAsia" w:ascii="宋体" w:hAnsi="宋体"/>
          <w:color w:val="000000" w:themeColor="text1"/>
          <w:spacing w:val="20"/>
          <w:sz w:val="24"/>
        </w:rPr>
        <w:t>授权代表签名：</w:t>
      </w:r>
    </w:p>
    <w:p>
      <w:pPr>
        <w:snapToGrid w:val="0"/>
        <w:spacing w:before="50" w:after="50"/>
        <w:rPr>
          <w:rFonts w:ascii="宋体" w:hAnsi="宋体"/>
          <w:color w:val="000000" w:themeColor="text1"/>
          <w:spacing w:val="20"/>
          <w:sz w:val="24"/>
          <w:szCs w:val="20"/>
          <w:u w:val="single"/>
        </w:rPr>
      </w:pPr>
      <w:r>
        <w:rPr>
          <w:rFonts w:hint="eastAsia" w:ascii="宋体" w:hAnsi="宋体"/>
          <w:color w:val="000000" w:themeColor="text1"/>
          <w:spacing w:val="20"/>
          <w:sz w:val="24"/>
        </w:rPr>
        <w:t>投标人盖章：日期：</w:t>
      </w:r>
    </w:p>
    <w:p>
      <w:pPr>
        <w:pStyle w:val="25"/>
        <w:snapToGrid w:val="0"/>
        <w:spacing w:beforeLines="0" w:afterLines="0" w:line="240" w:lineRule="auto"/>
        <w:rPr>
          <w:rFonts w:hAnsi="宋体"/>
          <w:color w:val="000000" w:themeColor="text1"/>
        </w:rPr>
      </w:pPr>
    </w:p>
    <w:p>
      <w:pPr>
        <w:pStyle w:val="25"/>
        <w:snapToGrid w:val="0"/>
        <w:spacing w:beforeLines="0" w:afterLines="0" w:line="240" w:lineRule="auto"/>
        <w:jc w:val="center"/>
        <w:rPr>
          <w:rFonts w:hAnsi="宋体"/>
          <w:color w:val="000000" w:themeColor="text1"/>
        </w:rPr>
      </w:pPr>
      <w:r>
        <w:rPr>
          <w:rFonts w:hAnsi="宋体"/>
          <w:color w:val="000000" w:themeColor="text1"/>
        </w:rPr>
        <w:br w:type="page"/>
      </w:r>
      <w:r>
        <w:rPr>
          <w:rFonts w:hint="eastAsia" w:hAnsi="宋体"/>
          <w:color w:val="000000" w:themeColor="text1"/>
        </w:rPr>
        <w:t>(2)</w:t>
      </w:r>
      <w:r>
        <w:rPr>
          <w:rFonts w:hint="eastAsia"/>
          <w:color w:val="000000" w:themeColor="text1"/>
        </w:rPr>
        <w:t xml:space="preserve"> 婺城区</w:t>
      </w:r>
    </w:p>
    <w:p>
      <w:pPr>
        <w:pStyle w:val="25"/>
        <w:snapToGrid w:val="0"/>
        <w:spacing w:beforeLines="0" w:afterLines="0" w:line="240" w:lineRule="auto"/>
        <w:rPr>
          <w:rFonts w:hAnsi="宋体"/>
          <w:color w:val="000000" w:themeColor="text1"/>
          <w:sz w:val="30"/>
        </w:rPr>
      </w:pPr>
      <w:r>
        <w:rPr>
          <w:rFonts w:hAnsi="宋体"/>
          <w:color w:val="000000" w:themeColor="text1"/>
        </w:rPr>
        <w:t>标项：</w:t>
      </w:r>
      <w:r>
        <w:rPr>
          <w:rFonts w:hAnsi="宋体"/>
          <w:color w:val="000000" w:themeColor="text1"/>
          <w:szCs w:val="21"/>
        </w:rPr>
        <w:t>金额单位：人民币（元）</w:t>
      </w:r>
    </w:p>
    <w:tbl>
      <w:tblPr>
        <w:tblStyle w:val="53"/>
        <w:tblW w:w="9000" w:type="dxa"/>
        <w:tblInd w:w="-25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096"/>
        <w:gridCol w:w="45"/>
        <w:gridCol w:w="1940"/>
        <w:gridCol w:w="1134"/>
        <w:gridCol w:w="1417"/>
        <w:gridCol w:w="1134"/>
        <w:gridCol w:w="851"/>
        <w:gridCol w:w="84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序号</w:t>
            </w:r>
          </w:p>
        </w:tc>
        <w:tc>
          <w:tcPr>
            <w:tcW w:w="3081" w:type="dxa"/>
            <w:gridSpan w:val="3"/>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设备名称</w:t>
            </w: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r>
              <w:rPr>
                <w:rFonts w:ascii="宋体" w:hAnsi="宋体" w:eastAsia="宋体"/>
                <w:color w:val="000000" w:themeColor="text1"/>
              </w:rPr>
              <w:t>品牌</w:t>
            </w: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规格型号</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单位及数量</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单价</w:t>
            </w: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金额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038" w:hRule="atLeast"/>
        </w:trPr>
        <w:tc>
          <w:tcPr>
            <w:tcW w:w="540"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1096"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综治分平台-社会视频资源联网整合</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百兆链路数（条）</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230</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平台级联网关</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2</w:t>
            </w:r>
          </w:p>
        </w:tc>
        <w:tc>
          <w:tcPr>
            <w:tcW w:w="1096" w:type="dxa"/>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安全系统</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共享平台安全防护-下一代防火墙（千兆）</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3</w:t>
            </w:r>
          </w:p>
        </w:tc>
        <w:tc>
          <w:tcPr>
            <w:tcW w:w="1096" w:type="dxa"/>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综治大厅及实战应用</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综合指挥中心（应急指挥室）</w:t>
            </w:r>
          </w:p>
        </w:tc>
        <w:tc>
          <w:tcPr>
            <w:tcW w:w="2551"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按照招标文件中的资金分配比例表填写报价</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4</w:t>
            </w:r>
          </w:p>
        </w:tc>
        <w:tc>
          <w:tcPr>
            <w:tcW w:w="3081" w:type="dxa"/>
            <w:gridSpan w:val="3"/>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结构化存储</w:t>
            </w:r>
          </w:p>
        </w:tc>
        <w:tc>
          <w:tcPr>
            <w:tcW w:w="2551"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按照招标文件中的资金分配比例表填写报价</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ascii="宋体" w:hAnsi="宋体"/>
                <w:color w:val="000000" w:themeColor="text1"/>
                <w:spacing w:val="20"/>
                <w:sz w:val="24"/>
                <w:szCs w:val="20"/>
              </w:rPr>
              <w:t>5</w:t>
            </w:r>
          </w:p>
        </w:tc>
        <w:tc>
          <w:tcPr>
            <w:tcW w:w="1141" w:type="dxa"/>
            <w:gridSpan w:val="2"/>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公安业务实战应用</w:t>
            </w: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人像硬件及算法</w:t>
            </w:r>
          </w:p>
        </w:tc>
        <w:tc>
          <w:tcPr>
            <w:tcW w:w="2551" w:type="dxa"/>
            <w:gridSpan w:val="2"/>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按照招标文件中的资金分配比例表填写报价</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萃取硬件及软件</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车辆二次分析硬件</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车辆二次分析软件</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解析中心机柜</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人像大数据应用</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视频萃取应用</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重点区域安保应用</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数据服务总线</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数据仓库系统</w:t>
            </w:r>
          </w:p>
        </w:tc>
        <w:tc>
          <w:tcPr>
            <w:tcW w:w="2551" w:type="dxa"/>
            <w:gridSpan w:val="2"/>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8157" w:type="dxa"/>
            <w:gridSpan w:val="8"/>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rPr>
              <w:t>合计</w:t>
            </w: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bl>
    <w:p>
      <w:pPr>
        <w:tabs>
          <w:tab w:val="left" w:pos="1418"/>
        </w:tabs>
        <w:snapToGrid w:val="0"/>
        <w:spacing w:before="50" w:after="50"/>
        <w:ind w:left="1418" w:hanging="567"/>
        <w:jc w:val="center"/>
        <w:rPr>
          <w:rFonts w:ascii="宋体" w:hAnsi="宋体"/>
          <w:color w:val="000000" w:themeColor="text1"/>
          <w:spacing w:val="20"/>
          <w:sz w:val="24"/>
          <w:szCs w:val="20"/>
          <w:u w:val="single"/>
        </w:rPr>
      </w:pPr>
    </w:p>
    <w:p>
      <w:pPr>
        <w:snapToGrid w:val="0"/>
        <w:spacing w:before="50" w:after="50"/>
        <w:rPr>
          <w:rFonts w:ascii="宋体" w:hAnsi="宋体"/>
          <w:color w:val="000000" w:themeColor="text1"/>
          <w:spacing w:val="20"/>
          <w:sz w:val="24"/>
          <w:szCs w:val="20"/>
          <w:u w:val="single"/>
        </w:rPr>
      </w:pPr>
      <w:r>
        <w:rPr>
          <w:rFonts w:hint="eastAsia" w:ascii="宋体" w:hAnsi="宋体"/>
          <w:color w:val="000000" w:themeColor="text1"/>
          <w:spacing w:val="20"/>
          <w:sz w:val="24"/>
        </w:rPr>
        <w:t>授权代表签名：</w:t>
      </w:r>
    </w:p>
    <w:p>
      <w:pPr>
        <w:snapToGrid w:val="0"/>
        <w:spacing w:before="50" w:after="50"/>
        <w:rPr>
          <w:rFonts w:ascii="宋体" w:hAnsi="宋体"/>
          <w:color w:val="000000" w:themeColor="text1"/>
          <w:spacing w:val="20"/>
          <w:sz w:val="24"/>
          <w:szCs w:val="20"/>
          <w:u w:val="single"/>
        </w:rPr>
      </w:pPr>
      <w:r>
        <w:rPr>
          <w:rFonts w:hint="eastAsia" w:ascii="宋体" w:hAnsi="宋体"/>
          <w:color w:val="000000" w:themeColor="text1"/>
          <w:spacing w:val="20"/>
          <w:sz w:val="24"/>
        </w:rPr>
        <w:t>投标人盖章：日期：</w:t>
      </w:r>
    </w:p>
    <w:p>
      <w:pPr>
        <w:pStyle w:val="25"/>
        <w:snapToGrid w:val="0"/>
        <w:spacing w:beforeLines="0" w:afterLines="0" w:line="240" w:lineRule="auto"/>
        <w:jc w:val="center"/>
        <w:rPr>
          <w:rFonts w:hAnsi="宋体"/>
          <w:color w:val="000000" w:themeColor="text1"/>
        </w:rPr>
      </w:pPr>
      <w:r>
        <w:rPr>
          <w:rFonts w:hAnsi="宋体"/>
          <w:color w:val="000000" w:themeColor="text1"/>
        </w:rPr>
        <w:br w:type="page"/>
      </w:r>
      <w:r>
        <w:rPr>
          <w:rFonts w:hint="eastAsia" w:hAnsi="宋体"/>
          <w:color w:val="000000" w:themeColor="text1"/>
        </w:rPr>
        <w:t>(3)</w:t>
      </w:r>
      <w:r>
        <w:rPr>
          <w:rFonts w:hint="eastAsia"/>
          <w:color w:val="000000" w:themeColor="text1"/>
        </w:rPr>
        <w:t xml:space="preserve"> 开发区</w:t>
      </w:r>
    </w:p>
    <w:p>
      <w:pPr>
        <w:pStyle w:val="25"/>
        <w:snapToGrid w:val="0"/>
        <w:spacing w:beforeLines="0" w:afterLines="0" w:line="240" w:lineRule="auto"/>
        <w:rPr>
          <w:rFonts w:hAnsi="宋体"/>
          <w:color w:val="000000" w:themeColor="text1"/>
          <w:sz w:val="30"/>
        </w:rPr>
      </w:pPr>
      <w:r>
        <w:rPr>
          <w:rFonts w:hAnsi="宋体"/>
          <w:color w:val="000000" w:themeColor="text1"/>
        </w:rPr>
        <w:t>标项：</w:t>
      </w:r>
      <w:r>
        <w:rPr>
          <w:rFonts w:hAnsi="宋体"/>
          <w:color w:val="000000" w:themeColor="text1"/>
          <w:szCs w:val="21"/>
        </w:rPr>
        <w:t>金额单位：人民币（元）</w:t>
      </w:r>
    </w:p>
    <w:tbl>
      <w:tblPr>
        <w:tblStyle w:val="53"/>
        <w:tblW w:w="9000" w:type="dxa"/>
        <w:tblInd w:w="-25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096"/>
        <w:gridCol w:w="45"/>
        <w:gridCol w:w="1940"/>
        <w:gridCol w:w="1134"/>
        <w:gridCol w:w="1417"/>
        <w:gridCol w:w="1134"/>
        <w:gridCol w:w="851"/>
        <w:gridCol w:w="84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序号</w:t>
            </w:r>
          </w:p>
        </w:tc>
        <w:tc>
          <w:tcPr>
            <w:tcW w:w="3081" w:type="dxa"/>
            <w:gridSpan w:val="3"/>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设备名称</w:t>
            </w: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r>
              <w:rPr>
                <w:rFonts w:ascii="宋体" w:hAnsi="宋体" w:eastAsia="宋体"/>
                <w:color w:val="000000" w:themeColor="text1"/>
              </w:rPr>
              <w:t>品牌</w:t>
            </w: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规格型号</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单位及数量</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单价</w:t>
            </w: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金额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038" w:hRule="atLeast"/>
        </w:trPr>
        <w:tc>
          <w:tcPr>
            <w:tcW w:w="540"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1096"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综治分平台-社会视频资源联网整合</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百兆链路数（条）</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65</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平台级联网关</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2</w:t>
            </w:r>
          </w:p>
        </w:tc>
        <w:tc>
          <w:tcPr>
            <w:tcW w:w="1096" w:type="dxa"/>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安全系统</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共享平台安全防护-下一代防火墙（千兆）</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3</w:t>
            </w:r>
          </w:p>
        </w:tc>
        <w:tc>
          <w:tcPr>
            <w:tcW w:w="1096" w:type="dxa"/>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综治大厅及实战应用</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综合指挥中心（应急指挥室）</w:t>
            </w:r>
          </w:p>
        </w:tc>
        <w:tc>
          <w:tcPr>
            <w:tcW w:w="2551"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按照招标文件中的资金分配比例表填写报价</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4</w:t>
            </w:r>
          </w:p>
        </w:tc>
        <w:tc>
          <w:tcPr>
            <w:tcW w:w="3081" w:type="dxa"/>
            <w:gridSpan w:val="3"/>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结构化存储</w:t>
            </w:r>
          </w:p>
        </w:tc>
        <w:tc>
          <w:tcPr>
            <w:tcW w:w="2551"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按照招标文件中的资金分配比例表填写报价</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ascii="宋体" w:hAnsi="宋体"/>
                <w:color w:val="000000" w:themeColor="text1"/>
                <w:spacing w:val="20"/>
                <w:sz w:val="24"/>
                <w:szCs w:val="20"/>
              </w:rPr>
              <w:t>5</w:t>
            </w:r>
          </w:p>
        </w:tc>
        <w:tc>
          <w:tcPr>
            <w:tcW w:w="1141" w:type="dxa"/>
            <w:gridSpan w:val="2"/>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公安业务实战应用</w:t>
            </w: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人像硬件及算法</w:t>
            </w:r>
          </w:p>
        </w:tc>
        <w:tc>
          <w:tcPr>
            <w:tcW w:w="2551" w:type="dxa"/>
            <w:gridSpan w:val="2"/>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按照招标文件中的资金分配比例表填写报价</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萃取硬件及软件</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车辆二次分析硬件</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车辆二次分析软件</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解析中心机柜</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人像大数据应用</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视频萃取应用</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重点区域安保应用</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数据服务总线</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数据仓库系统</w:t>
            </w:r>
          </w:p>
        </w:tc>
        <w:tc>
          <w:tcPr>
            <w:tcW w:w="2551" w:type="dxa"/>
            <w:gridSpan w:val="2"/>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8157" w:type="dxa"/>
            <w:gridSpan w:val="8"/>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rPr>
              <w:t>合计</w:t>
            </w: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bl>
    <w:p>
      <w:pPr>
        <w:tabs>
          <w:tab w:val="left" w:pos="1418"/>
        </w:tabs>
        <w:snapToGrid w:val="0"/>
        <w:spacing w:before="50" w:after="50"/>
        <w:ind w:left="1418" w:hanging="567"/>
        <w:jc w:val="center"/>
        <w:rPr>
          <w:rFonts w:ascii="宋体" w:hAnsi="宋体"/>
          <w:color w:val="000000" w:themeColor="text1"/>
          <w:spacing w:val="20"/>
          <w:sz w:val="24"/>
          <w:szCs w:val="20"/>
          <w:u w:val="single"/>
        </w:rPr>
      </w:pPr>
    </w:p>
    <w:p>
      <w:pPr>
        <w:snapToGrid w:val="0"/>
        <w:spacing w:before="50" w:after="50"/>
        <w:rPr>
          <w:rFonts w:ascii="宋体" w:hAnsi="宋体"/>
          <w:color w:val="000000" w:themeColor="text1"/>
          <w:spacing w:val="20"/>
          <w:sz w:val="24"/>
          <w:szCs w:val="20"/>
          <w:u w:val="single"/>
        </w:rPr>
      </w:pPr>
      <w:r>
        <w:rPr>
          <w:rFonts w:hint="eastAsia" w:ascii="宋体" w:hAnsi="宋体"/>
          <w:color w:val="000000" w:themeColor="text1"/>
          <w:spacing w:val="20"/>
          <w:sz w:val="24"/>
        </w:rPr>
        <w:t>授权代表签名：</w:t>
      </w:r>
    </w:p>
    <w:p>
      <w:pPr>
        <w:snapToGrid w:val="0"/>
        <w:spacing w:before="50" w:after="50"/>
        <w:rPr>
          <w:rFonts w:ascii="宋体" w:hAnsi="宋体"/>
          <w:color w:val="000000" w:themeColor="text1"/>
          <w:spacing w:val="20"/>
          <w:sz w:val="24"/>
          <w:szCs w:val="20"/>
          <w:u w:val="single"/>
        </w:rPr>
      </w:pPr>
      <w:r>
        <w:rPr>
          <w:rFonts w:hint="eastAsia" w:ascii="宋体" w:hAnsi="宋体"/>
          <w:color w:val="000000" w:themeColor="text1"/>
          <w:spacing w:val="20"/>
          <w:sz w:val="24"/>
        </w:rPr>
        <w:t>投标人盖章：日期：</w:t>
      </w:r>
    </w:p>
    <w:p>
      <w:pPr>
        <w:pStyle w:val="25"/>
        <w:snapToGrid w:val="0"/>
        <w:spacing w:beforeLines="0" w:afterLines="0" w:line="240" w:lineRule="auto"/>
        <w:jc w:val="center"/>
        <w:rPr>
          <w:rFonts w:hAnsi="宋体"/>
          <w:color w:val="000000" w:themeColor="text1"/>
        </w:rPr>
      </w:pPr>
      <w:r>
        <w:rPr>
          <w:rFonts w:hAnsi="宋体"/>
          <w:color w:val="000000" w:themeColor="text1"/>
        </w:rPr>
        <w:br w:type="page"/>
      </w:r>
      <w:r>
        <w:rPr>
          <w:rFonts w:hint="eastAsia" w:hAnsi="宋体"/>
          <w:color w:val="000000" w:themeColor="text1"/>
        </w:rPr>
        <w:t>(4)</w:t>
      </w:r>
      <w:r>
        <w:rPr>
          <w:rFonts w:hint="eastAsia"/>
          <w:color w:val="000000" w:themeColor="text1"/>
        </w:rPr>
        <w:t xml:space="preserve"> 金东区、金义都</w:t>
      </w:r>
    </w:p>
    <w:p>
      <w:pPr>
        <w:pStyle w:val="25"/>
        <w:snapToGrid w:val="0"/>
        <w:spacing w:beforeLines="0" w:afterLines="0" w:line="240" w:lineRule="auto"/>
        <w:rPr>
          <w:rFonts w:hAnsi="宋体"/>
          <w:color w:val="000000" w:themeColor="text1"/>
          <w:sz w:val="30"/>
        </w:rPr>
      </w:pPr>
      <w:r>
        <w:rPr>
          <w:rFonts w:hAnsi="宋体"/>
          <w:color w:val="000000" w:themeColor="text1"/>
        </w:rPr>
        <w:t>标项：</w:t>
      </w:r>
      <w:r>
        <w:rPr>
          <w:rFonts w:hAnsi="宋体"/>
          <w:color w:val="000000" w:themeColor="text1"/>
          <w:szCs w:val="21"/>
        </w:rPr>
        <w:t>金额单位：人民币（元）</w:t>
      </w:r>
    </w:p>
    <w:tbl>
      <w:tblPr>
        <w:tblStyle w:val="53"/>
        <w:tblW w:w="9000" w:type="dxa"/>
        <w:tblInd w:w="-25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096"/>
        <w:gridCol w:w="45"/>
        <w:gridCol w:w="1798"/>
        <w:gridCol w:w="142"/>
        <w:gridCol w:w="1134"/>
        <w:gridCol w:w="1417"/>
        <w:gridCol w:w="1134"/>
        <w:gridCol w:w="851"/>
        <w:gridCol w:w="84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序号</w:t>
            </w:r>
          </w:p>
        </w:tc>
        <w:tc>
          <w:tcPr>
            <w:tcW w:w="2939" w:type="dxa"/>
            <w:gridSpan w:val="3"/>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设备名称</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r>
              <w:rPr>
                <w:rFonts w:ascii="宋体" w:hAnsi="宋体" w:eastAsia="宋体"/>
                <w:color w:val="000000" w:themeColor="text1"/>
              </w:rPr>
              <w:t>品牌</w:t>
            </w: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规格型号</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单位及数量</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单价</w:t>
            </w: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金额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038" w:hRule="atLeast"/>
        </w:trPr>
        <w:tc>
          <w:tcPr>
            <w:tcW w:w="540"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1096"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综治分平台-社会视频资源联网整合</w:t>
            </w:r>
          </w:p>
        </w:tc>
        <w:tc>
          <w:tcPr>
            <w:tcW w:w="1843"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百兆链路数（条）</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97</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843"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平台级联网关</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2</w:t>
            </w:r>
          </w:p>
        </w:tc>
        <w:tc>
          <w:tcPr>
            <w:tcW w:w="1096" w:type="dxa"/>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安全系统</w:t>
            </w:r>
          </w:p>
        </w:tc>
        <w:tc>
          <w:tcPr>
            <w:tcW w:w="1843"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共享平台安全防护-下一代防火墙（千兆）</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3</w:t>
            </w:r>
          </w:p>
        </w:tc>
        <w:tc>
          <w:tcPr>
            <w:tcW w:w="1096" w:type="dxa"/>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综治大厅及实战应用</w:t>
            </w:r>
          </w:p>
        </w:tc>
        <w:tc>
          <w:tcPr>
            <w:tcW w:w="1843"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综合指挥中心（应急指挥室）</w:t>
            </w:r>
          </w:p>
        </w:tc>
        <w:tc>
          <w:tcPr>
            <w:tcW w:w="2693" w:type="dxa"/>
            <w:gridSpan w:val="3"/>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按照招标文件中的资金分配比例表填写报价</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4</w:t>
            </w:r>
          </w:p>
        </w:tc>
        <w:tc>
          <w:tcPr>
            <w:tcW w:w="2939" w:type="dxa"/>
            <w:gridSpan w:val="3"/>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结构化存储</w:t>
            </w:r>
          </w:p>
        </w:tc>
        <w:tc>
          <w:tcPr>
            <w:tcW w:w="2693" w:type="dxa"/>
            <w:gridSpan w:val="3"/>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按照招标文件中的资金分配比例表填写报价</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ascii="宋体" w:hAnsi="宋体"/>
                <w:color w:val="000000" w:themeColor="text1"/>
                <w:spacing w:val="20"/>
                <w:sz w:val="24"/>
                <w:szCs w:val="20"/>
              </w:rPr>
              <w:t>5</w:t>
            </w:r>
          </w:p>
        </w:tc>
        <w:tc>
          <w:tcPr>
            <w:tcW w:w="1141" w:type="dxa"/>
            <w:gridSpan w:val="2"/>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公安业务实战应用</w:t>
            </w:r>
          </w:p>
        </w:tc>
        <w:tc>
          <w:tcPr>
            <w:tcW w:w="1940"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人像硬件及算法</w:t>
            </w:r>
          </w:p>
        </w:tc>
        <w:tc>
          <w:tcPr>
            <w:tcW w:w="2551" w:type="dxa"/>
            <w:gridSpan w:val="2"/>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按照招标文件中的资金分配比例表填写报价</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萃取硬件及软件</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车辆二次分析硬件</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车辆二次分析软件</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解析中心机柜</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人像大数据应用</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视频萃取应用</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重点区域安保应用</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数据服务总线</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数据仓库系统</w:t>
            </w:r>
          </w:p>
        </w:tc>
        <w:tc>
          <w:tcPr>
            <w:tcW w:w="2551" w:type="dxa"/>
            <w:gridSpan w:val="2"/>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8157" w:type="dxa"/>
            <w:gridSpan w:val="9"/>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rPr>
              <w:t>合计</w:t>
            </w: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bl>
    <w:p>
      <w:pPr>
        <w:tabs>
          <w:tab w:val="left" w:pos="1418"/>
        </w:tabs>
        <w:snapToGrid w:val="0"/>
        <w:spacing w:before="50" w:after="50"/>
        <w:ind w:left="1418" w:hanging="567"/>
        <w:jc w:val="center"/>
        <w:rPr>
          <w:rFonts w:ascii="宋体" w:hAnsi="宋体"/>
          <w:color w:val="000000" w:themeColor="text1"/>
          <w:spacing w:val="20"/>
          <w:sz w:val="24"/>
          <w:szCs w:val="20"/>
          <w:u w:val="single"/>
        </w:rPr>
      </w:pPr>
    </w:p>
    <w:p>
      <w:pPr>
        <w:snapToGrid w:val="0"/>
        <w:spacing w:before="50" w:after="50"/>
        <w:rPr>
          <w:rFonts w:ascii="宋体" w:hAnsi="宋体"/>
          <w:color w:val="000000" w:themeColor="text1"/>
          <w:spacing w:val="20"/>
          <w:sz w:val="24"/>
          <w:szCs w:val="20"/>
          <w:u w:val="single"/>
        </w:rPr>
      </w:pPr>
      <w:r>
        <w:rPr>
          <w:rFonts w:hint="eastAsia" w:ascii="宋体" w:hAnsi="宋体"/>
          <w:color w:val="000000" w:themeColor="text1"/>
          <w:spacing w:val="20"/>
          <w:sz w:val="24"/>
        </w:rPr>
        <w:t>授权代表签名：</w:t>
      </w:r>
    </w:p>
    <w:p>
      <w:pPr>
        <w:snapToGrid w:val="0"/>
        <w:spacing w:before="50" w:after="50"/>
        <w:rPr>
          <w:rFonts w:ascii="宋体" w:hAnsi="宋体"/>
          <w:color w:val="000000" w:themeColor="text1"/>
          <w:spacing w:val="20"/>
          <w:sz w:val="24"/>
          <w:szCs w:val="20"/>
          <w:u w:val="single"/>
        </w:rPr>
      </w:pPr>
      <w:r>
        <w:rPr>
          <w:rFonts w:hint="eastAsia" w:ascii="宋体" w:hAnsi="宋体"/>
          <w:color w:val="000000" w:themeColor="text1"/>
          <w:spacing w:val="20"/>
          <w:sz w:val="24"/>
        </w:rPr>
        <w:t>投标人盖章：日期：</w:t>
      </w:r>
    </w:p>
    <w:p>
      <w:pPr>
        <w:pStyle w:val="25"/>
        <w:snapToGrid w:val="0"/>
        <w:spacing w:beforeLines="0" w:afterLines="0" w:line="240" w:lineRule="auto"/>
        <w:rPr>
          <w:rFonts w:hAnsi="宋体"/>
          <w:color w:val="000000" w:themeColor="text1"/>
        </w:rPr>
      </w:pPr>
    </w:p>
    <w:p>
      <w:pPr>
        <w:pStyle w:val="25"/>
        <w:snapToGrid w:val="0"/>
        <w:spacing w:beforeLines="0" w:afterLines="0" w:line="240" w:lineRule="auto"/>
        <w:jc w:val="center"/>
        <w:rPr>
          <w:rFonts w:hAnsi="宋体"/>
          <w:color w:val="000000" w:themeColor="text1"/>
        </w:rPr>
      </w:pPr>
      <w:r>
        <w:rPr>
          <w:rFonts w:hint="eastAsia" w:hAnsi="宋体"/>
          <w:color w:val="000000" w:themeColor="text1"/>
        </w:rPr>
        <w:t>(5)</w:t>
      </w:r>
      <w:r>
        <w:rPr>
          <w:rFonts w:hint="eastAsia"/>
          <w:color w:val="000000" w:themeColor="text1"/>
        </w:rPr>
        <w:t xml:space="preserve"> 兰溪市</w:t>
      </w:r>
    </w:p>
    <w:p>
      <w:pPr>
        <w:pStyle w:val="25"/>
        <w:snapToGrid w:val="0"/>
        <w:spacing w:beforeLines="0" w:afterLines="0" w:line="240" w:lineRule="auto"/>
        <w:rPr>
          <w:rFonts w:hAnsi="宋体"/>
          <w:color w:val="000000" w:themeColor="text1"/>
          <w:sz w:val="30"/>
        </w:rPr>
      </w:pPr>
      <w:r>
        <w:rPr>
          <w:rFonts w:hAnsi="宋体"/>
          <w:color w:val="000000" w:themeColor="text1"/>
        </w:rPr>
        <w:t>标项：</w:t>
      </w:r>
      <w:r>
        <w:rPr>
          <w:rFonts w:hAnsi="宋体"/>
          <w:color w:val="000000" w:themeColor="text1"/>
          <w:szCs w:val="21"/>
        </w:rPr>
        <w:t>金额单位：人民币（元）</w:t>
      </w:r>
    </w:p>
    <w:tbl>
      <w:tblPr>
        <w:tblStyle w:val="53"/>
        <w:tblW w:w="9000" w:type="dxa"/>
        <w:tblInd w:w="-25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096"/>
        <w:gridCol w:w="45"/>
        <w:gridCol w:w="1940"/>
        <w:gridCol w:w="1134"/>
        <w:gridCol w:w="1417"/>
        <w:gridCol w:w="1134"/>
        <w:gridCol w:w="851"/>
        <w:gridCol w:w="84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序号</w:t>
            </w:r>
          </w:p>
        </w:tc>
        <w:tc>
          <w:tcPr>
            <w:tcW w:w="3081" w:type="dxa"/>
            <w:gridSpan w:val="3"/>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设备名称</w:t>
            </w: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r>
              <w:rPr>
                <w:rFonts w:ascii="宋体" w:hAnsi="宋体" w:eastAsia="宋体"/>
                <w:color w:val="000000" w:themeColor="text1"/>
              </w:rPr>
              <w:t>品牌</w:t>
            </w: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规格型号</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单位及数量</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单价</w:t>
            </w: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金额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1096" w:type="dxa"/>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综治分平台-社会视频资源联网整合</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百兆链路数（条）</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400</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2</w:t>
            </w:r>
          </w:p>
        </w:tc>
        <w:tc>
          <w:tcPr>
            <w:tcW w:w="1096"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网络系统</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各县市视频专网核心交换机</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视频专网链路租赁</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2</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汇聚交换机配置2</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3</w:t>
            </w:r>
          </w:p>
        </w:tc>
        <w:tc>
          <w:tcPr>
            <w:tcW w:w="1096"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安全系统</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视频网闸（万兆）</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2</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下一代防火墙（万兆）</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交换机</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共享平台安全防护-下一代防火墙（千兆）</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4</w:t>
            </w:r>
          </w:p>
        </w:tc>
        <w:tc>
          <w:tcPr>
            <w:tcW w:w="1096" w:type="dxa"/>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综治大厅及实战应用</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综合指挥中心（应急指挥室）</w:t>
            </w:r>
          </w:p>
        </w:tc>
        <w:tc>
          <w:tcPr>
            <w:tcW w:w="2551"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按照招标文件中的资金分配比例表填写报价</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5</w:t>
            </w:r>
          </w:p>
        </w:tc>
        <w:tc>
          <w:tcPr>
            <w:tcW w:w="3081" w:type="dxa"/>
            <w:gridSpan w:val="3"/>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结构化存储</w:t>
            </w:r>
          </w:p>
        </w:tc>
        <w:tc>
          <w:tcPr>
            <w:tcW w:w="2551"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按照招标文件中的资金分配比例表填写报价</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6</w:t>
            </w:r>
          </w:p>
        </w:tc>
        <w:tc>
          <w:tcPr>
            <w:tcW w:w="1141" w:type="dxa"/>
            <w:gridSpan w:val="2"/>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公安业务实战应用</w:t>
            </w: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人像硬件及算法</w:t>
            </w:r>
          </w:p>
        </w:tc>
        <w:tc>
          <w:tcPr>
            <w:tcW w:w="2551" w:type="dxa"/>
            <w:gridSpan w:val="2"/>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按照招标文件中的资金分配比例表填写报价</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萃取硬件及软件</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车辆二次分析硬件</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车辆二次分析软件</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解析中心机柜</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人像大数据应用</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视频萃取应用</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重点区域安保应用</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数据服务总线</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数据仓库系统</w:t>
            </w:r>
          </w:p>
        </w:tc>
        <w:tc>
          <w:tcPr>
            <w:tcW w:w="2551" w:type="dxa"/>
            <w:gridSpan w:val="2"/>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8157" w:type="dxa"/>
            <w:gridSpan w:val="8"/>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rPr>
              <w:t>合计</w:t>
            </w: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bl>
    <w:p>
      <w:pPr>
        <w:tabs>
          <w:tab w:val="left" w:pos="1418"/>
        </w:tabs>
        <w:snapToGrid w:val="0"/>
        <w:spacing w:before="50" w:after="50"/>
        <w:ind w:left="1418" w:hanging="567"/>
        <w:jc w:val="center"/>
        <w:rPr>
          <w:rFonts w:ascii="宋体" w:hAnsi="宋体"/>
          <w:color w:val="000000" w:themeColor="text1"/>
          <w:spacing w:val="20"/>
          <w:sz w:val="24"/>
          <w:szCs w:val="20"/>
          <w:u w:val="single"/>
        </w:rPr>
      </w:pPr>
    </w:p>
    <w:p>
      <w:pPr>
        <w:snapToGrid w:val="0"/>
        <w:spacing w:before="50" w:after="50"/>
        <w:rPr>
          <w:rFonts w:ascii="宋体" w:hAnsi="宋体"/>
          <w:color w:val="000000" w:themeColor="text1"/>
          <w:spacing w:val="20"/>
          <w:sz w:val="24"/>
          <w:szCs w:val="20"/>
          <w:u w:val="single"/>
        </w:rPr>
      </w:pPr>
      <w:r>
        <w:rPr>
          <w:rFonts w:hint="eastAsia" w:ascii="宋体" w:hAnsi="宋体"/>
          <w:color w:val="000000" w:themeColor="text1"/>
          <w:spacing w:val="20"/>
          <w:sz w:val="24"/>
        </w:rPr>
        <w:t>授权代表签名：</w:t>
      </w:r>
    </w:p>
    <w:p>
      <w:pPr>
        <w:snapToGrid w:val="0"/>
        <w:spacing w:before="50" w:after="50"/>
        <w:rPr>
          <w:rFonts w:ascii="宋体" w:hAnsi="宋体"/>
          <w:color w:val="000000" w:themeColor="text1"/>
          <w:spacing w:val="20"/>
          <w:sz w:val="24"/>
          <w:szCs w:val="20"/>
          <w:u w:val="single"/>
        </w:rPr>
      </w:pPr>
      <w:r>
        <w:rPr>
          <w:rFonts w:hint="eastAsia" w:ascii="宋体" w:hAnsi="宋体"/>
          <w:color w:val="000000" w:themeColor="text1"/>
          <w:spacing w:val="20"/>
          <w:sz w:val="24"/>
        </w:rPr>
        <w:t>投标人盖章：日期：</w:t>
      </w:r>
    </w:p>
    <w:p>
      <w:pPr>
        <w:pStyle w:val="25"/>
        <w:snapToGrid w:val="0"/>
        <w:spacing w:beforeLines="0" w:afterLines="0" w:line="240" w:lineRule="auto"/>
        <w:rPr>
          <w:rFonts w:hAnsi="宋体"/>
          <w:color w:val="000000" w:themeColor="text1"/>
        </w:rPr>
      </w:pPr>
    </w:p>
    <w:p>
      <w:pPr>
        <w:snapToGrid w:val="0"/>
        <w:spacing w:before="50" w:after="50"/>
        <w:rPr>
          <w:rFonts w:ascii="宋体" w:hAnsi="宋体"/>
          <w:color w:val="000000" w:themeColor="text1"/>
          <w:sz w:val="24"/>
        </w:rPr>
      </w:pPr>
    </w:p>
    <w:p>
      <w:pPr>
        <w:pStyle w:val="25"/>
        <w:snapToGrid w:val="0"/>
        <w:spacing w:beforeLines="0" w:afterLines="0" w:line="240" w:lineRule="auto"/>
        <w:jc w:val="center"/>
        <w:rPr>
          <w:rFonts w:hAnsi="宋体"/>
          <w:color w:val="000000" w:themeColor="text1"/>
        </w:rPr>
      </w:pPr>
      <w:r>
        <w:rPr>
          <w:rFonts w:hint="eastAsia" w:hAnsi="宋体"/>
          <w:color w:val="000000" w:themeColor="text1"/>
        </w:rPr>
        <w:t>(6)</w:t>
      </w:r>
      <w:r>
        <w:rPr>
          <w:rFonts w:hint="eastAsia"/>
          <w:color w:val="000000" w:themeColor="text1"/>
        </w:rPr>
        <w:t xml:space="preserve"> 义乌市</w:t>
      </w:r>
    </w:p>
    <w:p>
      <w:pPr>
        <w:pStyle w:val="25"/>
        <w:snapToGrid w:val="0"/>
        <w:spacing w:beforeLines="0" w:afterLines="0" w:line="240" w:lineRule="auto"/>
        <w:rPr>
          <w:rFonts w:hAnsi="宋体"/>
          <w:color w:val="000000" w:themeColor="text1"/>
          <w:sz w:val="30"/>
        </w:rPr>
      </w:pPr>
      <w:r>
        <w:rPr>
          <w:rFonts w:hAnsi="宋体"/>
          <w:color w:val="000000" w:themeColor="text1"/>
        </w:rPr>
        <w:t>标项：</w:t>
      </w:r>
      <w:r>
        <w:rPr>
          <w:rFonts w:hAnsi="宋体"/>
          <w:color w:val="000000" w:themeColor="text1"/>
          <w:szCs w:val="21"/>
        </w:rPr>
        <w:t>金额单位：人民币（元）</w:t>
      </w:r>
    </w:p>
    <w:tbl>
      <w:tblPr>
        <w:tblStyle w:val="53"/>
        <w:tblW w:w="9000" w:type="dxa"/>
        <w:tblInd w:w="-25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096"/>
        <w:gridCol w:w="45"/>
        <w:gridCol w:w="1940"/>
        <w:gridCol w:w="1134"/>
        <w:gridCol w:w="1417"/>
        <w:gridCol w:w="1134"/>
        <w:gridCol w:w="851"/>
        <w:gridCol w:w="84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序号</w:t>
            </w:r>
          </w:p>
        </w:tc>
        <w:tc>
          <w:tcPr>
            <w:tcW w:w="3081" w:type="dxa"/>
            <w:gridSpan w:val="3"/>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设备名称</w:t>
            </w: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r>
              <w:rPr>
                <w:rFonts w:ascii="宋体" w:hAnsi="宋体" w:eastAsia="宋体"/>
                <w:color w:val="000000" w:themeColor="text1"/>
              </w:rPr>
              <w:t>品牌</w:t>
            </w: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规格型号</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单位及数量</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单价</w:t>
            </w: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金额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1096" w:type="dxa"/>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综治分平台</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千兆防火墙</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综治分平台-社会视频资源联网整合</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百兆链路数（条）</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25</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vMerge w:val="continue"/>
            <w:tcBorders>
              <w:left w:val="single" w:color="auto" w:sz="4" w:space="0"/>
              <w:right w:val="single" w:color="auto" w:sz="4" w:space="0"/>
            </w:tcBorders>
            <w:vAlign w:val="center"/>
          </w:tcPr>
          <w:p>
            <w:pPr>
              <w:tabs>
                <w:tab w:val="left" w:pos="1418"/>
              </w:tabs>
              <w:snapToGrid w:val="0"/>
              <w:spacing w:before="50" w:after="50"/>
              <w:rPr>
                <w:rFonts w:ascii="宋体" w:hAnsi="宋体"/>
                <w:color w:val="000000" w:themeColor="text1"/>
                <w:spacing w:val="20"/>
                <w:sz w:val="24"/>
                <w:szCs w:val="20"/>
              </w:rPr>
            </w:pPr>
          </w:p>
        </w:tc>
        <w:tc>
          <w:tcPr>
            <w:tcW w:w="1096"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平台级联网关</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3</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2</w:t>
            </w:r>
          </w:p>
        </w:tc>
        <w:tc>
          <w:tcPr>
            <w:tcW w:w="1096"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网络系统</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各县市视频专网核心交换机</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视频专网链路租赁</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2</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汇聚交换机配置1</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3</w:t>
            </w:r>
          </w:p>
        </w:tc>
        <w:tc>
          <w:tcPr>
            <w:tcW w:w="1096"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安全系统</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视频网闸（万兆）</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共享平台安全防护-下一代防火墙（千兆）</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4</w:t>
            </w:r>
          </w:p>
        </w:tc>
        <w:tc>
          <w:tcPr>
            <w:tcW w:w="1096" w:type="dxa"/>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综治大厅及实战应用</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综合指挥中心（应急指挥室）</w:t>
            </w:r>
          </w:p>
        </w:tc>
        <w:tc>
          <w:tcPr>
            <w:tcW w:w="2551"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按照招标文件中的资金分配比例表填写报价</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5</w:t>
            </w:r>
          </w:p>
        </w:tc>
        <w:tc>
          <w:tcPr>
            <w:tcW w:w="3081" w:type="dxa"/>
            <w:gridSpan w:val="3"/>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结构化存储</w:t>
            </w:r>
          </w:p>
        </w:tc>
        <w:tc>
          <w:tcPr>
            <w:tcW w:w="2551"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按照招标文件中的资金分配比例表填写报价</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6</w:t>
            </w:r>
          </w:p>
        </w:tc>
        <w:tc>
          <w:tcPr>
            <w:tcW w:w="1141" w:type="dxa"/>
            <w:gridSpan w:val="2"/>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公安业务实战应用</w:t>
            </w: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人像硬件及算法</w:t>
            </w:r>
          </w:p>
        </w:tc>
        <w:tc>
          <w:tcPr>
            <w:tcW w:w="2551" w:type="dxa"/>
            <w:gridSpan w:val="2"/>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按照招标文件中的资金分配比例表填写报价</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萃取硬件及软件</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车辆二次分析硬件</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车辆二次分析软件</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解析中心机柜</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人像大数据应用</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视频萃取应用</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重点区域安保应用</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数据服务总线</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数据仓库系统</w:t>
            </w:r>
          </w:p>
        </w:tc>
        <w:tc>
          <w:tcPr>
            <w:tcW w:w="2551" w:type="dxa"/>
            <w:gridSpan w:val="2"/>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8157" w:type="dxa"/>
            <w:gridSpan w:val="8"/>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rPr>
              <w:t>合计</w:t>
            </w: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bl>
    <w:p>
      <w:pPr>
        <w:tabs>
          <w:tab w:val="left" w:pos="1418"/>
        </w:tabs>
        <w:snapToGrid w:val="0"/>
        <w:spacing w:before="50" w:after="50"/>
        <w:ind w:left="1418" w:hanging="567"/>
        <w:jc w:val="center"/>
        <w:rPr>
          <w:rFonts w:ascii="宋体" w:hAnsi="宋体"/>
          <w:color w:val="000000" w:themeColor="text1"/>
          <w:spacing w:val="20"/>
          <w:sz w:val="24"/>
          <w:szCs w:val="20"/>
          <w:u w:val="single"/>
        </w:rPr>
      </w:pPr>
    </w:p>
    <w:p>
      <w:pPr>
        <w:snapToGrid w:val="0"/>
        <w:spacing w:before="50" w:after="50"/>
        <w:rPr>
          <w:rFonts w:ascii="宋体" w:hAnsi="宋体"/>
          <w:color w:val="000000" w:themeColor="text1"/>
          <w:spacing w:val="20"/>
          <w:sz w:val="24"/>
          <w:szCs w:val="20"/>
          <w:u w:val="single"/>
        </w:rPr>
      </w:pPr>
      <w:r>
        <w:rPr>
          <w:rFonts w:hint="eastAsia" w:ascii="宋体" w:hAnsi="宋体"/>
          <w:color w:val="000000" w:themeColor="text1"/>
          <w:spacing w:val="20"/>
          <w:sz w:val="24"/>
        </w:rPr>
        <w:t>授权代表签名：</w:t>
      </w:r>
    </w:p>
    <w:p>
      <w:pPr>
        <w:snapToGrid w:val="0"/>
        <w:spacing w:before="50" w:after="50"/>
        <w:rPr>
          <w:rFonts w:ascii="宋体" w:hAnsi="宋体"/>
          <w:color w:val="000000" w:themeColor="text1"/>
          <w:spacing w:val="20"/>
          <w:sz w:val="24"/>
          <w:szCs w:val="20"/>
          <w:u w:val="single"/>
        </w:rPr>
      </w:pPr>
      <w:r>
        <w:rPr>
          <w:rFonts w:hint="eastAsia" w:ascii="宋体" w:hAnsi="宋体"/>
          <w:color w:val="000000" w:themeColor="text1"/>
          <w:spacing w:val="20"/>
          <w:sz w:val="24"/>
        </w:rPr>
        <w:t>投标人盖章：日期：</w:t>
      </w:r>
    </w:p>
    <w:p>
      <w:pPr>
        <w:snapToGrid w:val="0"/>
        <w:spacing w:before="50" w:after="50"/>
        <w:rPr>
          <w:rFonts w:ascii="宋体" w:hAnsi="宋体"/>
          <w:color w:val="000000" w:themeColor="text1"/>
          <w:sz w:val="24"/>
        </w:rPr>
      </w:pPr>
    </w:p>
    <w:p>
      <w:pPr>
        <w:snapToGrid w:val="0"/>
        <w:spacing w:before="50" w:after="50"/>
        <w:rPr>
          <w:rFonts w:ascii="宋体" w:hAnsi="宋体"/>
          <w:color w:val="000000" w:themeColor="text1"/>
          <w:sz w:val="24"/>
        </w:rPr>
      </w:pPr>
    </w:p>
    <w:p>
      <w:pPr>
        <w:snapToGrid w:val="0"/>
        <w:spacing w:before="50" w:after="50"/>
        <w:rPr>
          <w:rFonts w:ascii="宋体" w:hAnsi="宋体"/>
          <w:color w:val="000000" w:themeColor="text1"/>
          <w:sz w:val="24"/>
        </w:rPr>
      </w:pPr>
    </w:p>
    <w:p>
      <w:pPr>
        <w:snapToGrid w:val="0"/>
        <w:spacing w:before="50" w:after="50"/>
        <w:rPr>
          <w:rFonts w:ascii="宋体" w:hAnsi="宋体"/>
          <w:color w:val="000000" w:themeColor="text1"/>
          <w:sz w:val="24"/>
        </w:rPr>
      </w:pPr>
    </w:p>
    <w:p>
      <w:pPr>
        <w:snapToGrid w:val="0"/>
        <w:spacing w:before="50" w:after="50"/>
        <w:rPr>
          <w:rFonts w:ascii="宋体" w:hAnsi="宋体"/>
          <w:color w:val="000000" w:themeColor="text1"/>
          <w:sz w:val="24"/>
        </w:rPr>
      </w:pPr>
    </w:p>
    <w:p>
      <w:pPr>
        <w:pStyle w:val="25"/>
        <w:snapToGrid w:val="0"/>
        <w:spacing w:beforeLines="0" w:afterLines="0" w:line="240" w:lineRule="auto"/>
        <w:jc w:val="center"/>
        <w:rPr>
          <w:rFonts w:hAnsi="宋体"/>
          <w:color w:val="000000" w:themeColor="text1"/>
        </w:rPr>
      </w:pPr>
      <w:r>
        <w:rPr>
          <w:rFonts w:hint="eastAsia" w:hAnsi="宋体"/>
          <w:color w:val="000000" w:themeColor="text1"/>
        </w:rPr>
        <w:t>(7)</w:t>
      </w:r>
      <w:r>
        <w:rPr>
          <w:rFonts w:hint="eastAsia"/>
          <w:color w:val="000000" w:themeColor="text1"/>
        </w:rPr>
        <w:t xml:space="preserve"> 东阳市</w:t>
      </w:r>
    </w:p>
    <w:p>
      <w:pPr>
        <w:pStyle w:val="25"/>
        <w:snapToGrid w:val="0"/>
        <w:spacing w:beforeLines="0" w:afterLines="0" w:line="240" w:lineRule="auto"/>
        <w:rPr>
          <w:rFonts w:hAnsi="宋体"/>
          <w:color w:val="000000" w:themeColor="text1"/>
          <w:sz w:val="30"/>
        </w:rPr>
      </w:pPr>
      <w:r>
        <w:rPr>
          <w:rFonts w:hAnsi="宋体"/>
          <w:color w:val="000000" w:themeColor="text1"/>
        </w:rPr>
        <w:t>标项：</w:t>
      </w:r>
      <w:r>
        <w:rPr>
          <w:rFonts w:hAnsi="宋体"/>
          <w:color w:val="000000" w:themeColor="text1"/>
          <w:szCs w:val="21"/>
        </w:rPr>
        <w:t>金额单位：人民币（元）</w:t>
      </w:r>
    </w:p>
    <w:tbl>
      <w:tblPr>
        <w:tblStyle w:val="53"/>
        <w:tblW w:w="9000" w:type="dxa"/>
        <w:tblInd w:w="-25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096"/>
        <w:gridCol w:w="45"/>
        <w:gridCol w:w="1940"/>
        <w:gridCol w:w="1134"/>
        <w:gridCol w:w="1417"/>
        <w:gridCol w:w="1134"/>
        <w:gridCol w:w="851"/>
        <w:gridCol w:w="84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序号</w:t>
            </w:r>
          </w:p>
        </w:tc>
        <w:tc>
          <w:tcPr>
            <w:tcW w:w="3081" w:type="dxa"/>
            <w:gridSpan w:val="3"/>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设备名称</w:t>
            </w: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r>
              <w:rPr>
                <w:rFonts w:ascii="宋体" w:hAnsi="宋体" w:eastAsia="宋体"/>
                <w:color w:val="000000" w:themeColor="text1"/>
              </w:rPr>
              <w:t>品牌</w:t>
            </w: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规格型号</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单位及数量</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单价</w:t>
            </w: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金额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1096" w:type="dxa"/>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综治分平台</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万兆防火墙</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综治分平台-社会视频资源联网整合</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百兆链路数（条）</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9</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2</w:t>
            </w:r>
          </w:p>
        </w:tc>
        <w:tc>
          <w:tcPr>
            <w:tcW w:w="1096"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网络系统</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各县市视频专网核心交换机</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视频专网链路租赁</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2</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汇聚交换机配置2</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3</w:t>
            </w:r>
          </w:p>
        </w:tc>
        <w:tc>
          <w:tcPr>
            <w:tcW w:w="1096"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安全系统</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视频网闸（万兆）</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准入控制及终端安全管理系统</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共享平台安全防护-下一代防火墙（千兆）</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4</w:t>
            </w:r>
          </w:p>
        </w:tc>
        <w:tc>
          <w:tcPr>
            <w:tcW w:w="1096" w:type="dxa"/>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综治大厅及实战应用</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综合指挥中心（应急指挥室）</w:t>
            </w:r>
          </w:p>
        </w:tc>
        <w:tc>
          <w:tcPr>
            <w:tcW w:w="2551"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按照招标文件中的资金分配比例表填写报价</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5</w:t>
            </w:r>
          </w:p>
        </w:tc>
        <w:tc>
          <w:tcPr>
            <w:tcW w:w="3081" w:type="dxa"/>
            <w:gridSpan w:val="3"/>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结构化存储</w:t>
            </w:r>
          </w:p>
        </w:tc>
        <w:tc>
          <w:tcPr>
            <w:tcW w:w="2551"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按照招标文件中的资金分配比例表填写报价</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6</w:t>
            </w:r>
          </w:p>
        </w:tc>
        <w:tc>
          <w:tcPr>
            <w:tcW w:w="1141" w:type="dxa"/>
            <w:gridSpan w:val="2"/>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公安业务实战应用</w:t>
            </w: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人像硬件及算法</w:t>
            </w:r>
          </w:p>
        </w:tc>
        <w:tc>
          <w:tcPr>
            <w:tcW w:w="2551" w:type="dxa"/>
            <w:gridSpan w:val="2"/>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按照招标文件中的资金分配比例表填写报价</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萃取硬件及软件</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车辆二次分析硬件</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车辆二次分析软件</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解析中心机柜</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人像大数据应用</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视频萃取应用</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重点区域安保应用</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数据服务总线</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数据仓库系统</w:t>
            </w:r>
          </w:p>
        </w:tc>
        <w:tc>
          <w:tcPr>
            <w:tcW w:w="2551" w:type="dxa"/>
            <w:gridSpan w:val="2"/>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8157" w:type="dxa"/>
            <w:gridSpan w:val="8"/>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rPr>
              <w:t>合计</w:t>
            </w: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bl>
    <w:p>
      <w:pPr>
        <w:tabs>
          <w:tab w:val="left" w:pos="1418"/>
        </w:tabs>
        <w:snapToGrid w:val="0"/>
        <w:spacing w:before="50" w:after="50"/>
        <w:ind w:left="1418" w:hanging="567"/>
        <w:jc w:val="center"/>
        <w:rPr>
          <w:rFonts w:ascii="宋体" w:hAnsi="宋体"/>
          <w:color w:val="000000" w:themeColor="text1"/>
          <w:spacing w:val="20"/>
          <w:sz w:val="24"/>
          <w:szCs w:val="20"/>
          <w:u w:val="single"/>
        </w:rPr>
      </w:pPr>
    </w:p>
    <w:p>
      <w:pPr>
        <w:snapToGrid w:val="0"/>
        <w:spacing w:before="50" w:after="50"/>
        <w:rPr>
          <w:rFonts w:ascii="宋体" w:hAnsi="宋体"/>
          <w:color w:val="000000" w:themeColor="text1"/>
          <w:spacing w:val="20"/>
          <w:sz w:val="24"/>
          <w:szCs w:val="20"/>
          <w:u w:val="single"/>
        </w:rPr>
      </w:pPr>
      <w:r>
        <w:rPr>
          <w:rFonts w:hint="eastAsia" w:ascii="宋体" w:hAnsi="宋体"/>
          <w:color w:val="000000" w:themeColor="text1"/>
          <w:spacing w:val="20"/>
          <w:sz w:val="24"/>
        </w:rPr>
        <w:t>授权代表签名：</w:t>
      </w:r>
    </w:p>
    <w:p>
      <w:pPr>
        <w:snapToGrid w:val="0"/>
        <w:spacing w:before="50" w:after="50"/>
        <w:rPr>
          <w:rFonts w:ascii="宋体" w:hAnsi="宋体"/>
          <w:color w:val="000000" w:themeColor="text1"/>
          <w:spacing w:val="20"/>
          <w:sz w:val="24"/>
          <w:szCs w:val="20"/>
          <w:u w:val="single"/>
        </w:rPr>
      </w:pPr>
      <w:r>
        <w:rPr>
          <w:rFonts w:hint="eastAsia" w:ascii="宋体" w:hAnsi="宋体"/>
          <w:color w:val="000000" w:themeColor="text1"/>
          <w:spacing w:val="20"/>
          <w:sz w:val="24"/>
        </w:rPr>
        <w:t>投标人盖章：日期：</w:t>
      </w:r>
    </w:p>
    <w:p>
      <w:pPr>
        <w:snapToGrid w:val="0"/>
        <w:spacing w:before="50" w:after="50"/>
        <w:rPr>
          <w:rFonts w:ascii="宋体" w:hAnsi="宋体"/>
          <w:color w:val="000000" w:themeColor="text1"/>
          <w:sz w:val="24"/>
        </w:rPr>
      </w:pPr>
    </w:p>
    <w:p>
      <w:pPr>
        <w:snapToGrid w:val="0"/>
        <w:spacing w:before="50" w:after="50"/>
        <w:rPr>
          <w:rFonts w:ascii="宋体" w:hAnsi="宋体"/>
          <w:color w:val="000000" w:themeColor="text1"/>
          <w:sz w:val="24"/>
        </w:rPr>
      </w:pPr>
    </w:p>
    <w:p>
      <w:pPr>
        <w:snapToGrid w:val="0"/>
        <w:spacing w:before="50" w:after="50"/>
        <w:rPr>
          <w:rFonts w:ascii="宋体" w:hAnsi="宋体"/>
          <w:color w:val="000000" w:themeColor="text1"/>
          <w:sz w:val="24"/>
        </w:rPr>
      </w:pPr>
    </w:p>
    <w:p>
      <w:pPr>
        <w:snapToGrid w:val="0"/>
        <w:spacing w:before="50" w:after="50"/>
        <w:rPr>
          <w:rFonts w:ascii="宋体" w:hAnsi="宋体"/>
          <w:color w:val="000000" w:themeColor="text1"/>
          <w:sz w:val="24"/>
        </w:rPr>
      </w:pPr>
    </w:p>
    <w:p>
      <w:pPr>
        <w:snapToGrid w:val="0"/>
        <w:spacing w:before="50" w:after="50"/>
        <w:rPr>
          <w:rFonts w:ascii="宋体" w:hAnsi="宋体"/>
          <w:color w:val="000000" w:themeColor="text1"/>
          <w:sz w:val="24"/>
        </w:rPr>
      </w:pPr>
    </w:p>
    <w:p>
      <w:pPr>
        <w:pStyle w:val="25"/>
        <w:snapToGrid w:val="0"/>
        <w:spacing w:beforeLines="0" w:afterLines="0" w:line="240" w:lineRule="auto"/>
        <w:jc w:val="center"/>
        <w:rPr>
          <w:rFonts w:hAnsi="宋体"/>
          <w:color w:val="000000" w:themeColor="text1"/>
        </w:rPr>
      </w:pPr>
      <w:r>
        <w:rPr>
          <w:rFonts w:hint="eastAsia" w:hAnsi="宋体"/>
          <w:color w:val="000000" w:themeColor="text1"/>
        </w:rPr>
        <w:t>(8)</w:t>
      </w:r>
      <w:r>
        <w:rPr>
          <w:rFonts w:hint="eastAsia"/>
          <w:color w:val="000000" w:themeColor="text1"/>
        </w:rPr>
        <w:t xml:space="preserve"> 永康市</w:t>
      </w:r>
    </w:p>
    <w:p>
      <w:pPr>
        <w:pStyle w:val="25"/>
        <w:snapToGrid w:val="0"/>
        <w:spacing w:beforeLines="0" w:afterLines="0" w:line="240" w:lineRule="auto"/>
        <w:rPr>
          <w:rFonts w:hAnsi="宋体"/>
          <w:color w:val="000000" w:themeColor="text1"/>
          <w:sz w:val="30"/>
        </w:rPr>
      </w:pPr>
      <w:r>
        <w:rPr>
          <w:rFonts w:hAnsi="宋体"/>
          <w:color w:val="000000" w:themeColor="text1"/>
        </w:rPr>
        <w:t>标项：</w:t>
      </w:r>
      <w:r>
        <w:rPr>
          <w:rFonts w:hAnsi="宋体"/>
          <w:color w:val="000000" w:themeColor="text1"/>
          <w:szCs w:val="21"/>
        </w:rPr>
        <w:t>金额单位：人民币（元）</w:t>
      </w:r>
    </w:p>
    <w:tbl>
      <w:tblPr>
        <w:tblStyle w:val="53"/>
        <w:tblW w:w="9000" w:type="dxa"/>
        <w:tblInd w:w="-25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096"/>
        <w:gridCol w:w="45"/>
        <w:gridCol w:w="1940"/>
        <w:gridCol w:w="1134"/>
        <w:gridCol w:w="1417"/>
        <w:gridCol w:w="1134"/>
        <w:gridCol w:w="851"/>
        <w:gridCol w:w="84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序号</w:t>
            </w:r>
          </w:p>
        </w:tc>
        <w:tc>
          <w:tcPr>
            <w:tcW w:w="3081" w:type="dxa"/>
            <w:gridSpan w:val="3"/>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设备名称</w:t>
            </w: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r>
              <w:rPr>
                <w:rFonts w:ascii="宋体" w:hAnsi="宋体" w:eastAsia="宋体"/>
                <w:color w:val="000000" w:themeColor="text1"/>
              </w:rPr>
              <w:t>品牌</w:t>
            </w: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规格型号</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单位及数量</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单价</w:t>
            </w: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金额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1096"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综治分平台</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流媒体服务器2</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3</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平台服务器</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千兆防火墙</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综治分平台-社会视频资源联网整合</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百兆链路数（条）</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2</w:t>
            </w:r>
          </w:p>
        </w:tc>
        <w:tc>
          <w:tcPr>
            <w:tcW w:w="1096"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网络系统</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各县市视频专网核心交换机</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视频专网链路租赁</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2</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汇聚交换机配置2</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3</w:t>
            </w:r>
          </w:p>
        </w:tc>
        <w:tc>
          <w:tcPr>
            <w:tcW w:w="1096"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安全系统</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视频网闸（万兆）</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2</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下一代防火墙（万兆）</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交换机</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准入控制及终端安全管理系统</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共享平台安全防护-下一代防火墙（千兆）</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4</w:t>
            </w:r>
          </w:p>
        </w:tc>
        <w:tc>
          <w:tcPr>
            <w:tcW w:w="1096" w:type="dxa"/>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综治大厅及实战应用</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综合指挥中心（应急指挥室）</w:t>
            </w:r>
          </w:p>
        </w:tc>
        <w:tc>
          <w:tcPr>
            <w:tcW w:w="2551"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按照招标文件中的资金分配比例表填写报价</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5</w:t>
            </w:r>
          </w:p>
        </w:tc>
        <w:tc>
          <w:tcPr>
            <w:tcW w:w="3081" w:type="dxa"/>
            <w:gridSpan w:val="3"/>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结构化存储</w:t>
            </w:r>
          </w:p>
        </w:tc>
        <w:tc>
          <w:tcPr>
            <w:tcW w:w="2551"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按照招标文件中的资金分配比例表填写报价</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6</w:t>
            </w:r>
          </w:p>
        </w:tc>
        <w:tc>
          <w:tcPr>
            <w:tcW w:w="1141" w:type="dxa"/>
            <w:gridSpan w:val="2"/>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公安业务实战应用</w:t>
            </w: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人像硬件及算法</w:t>
            </w:r>
          </w:p>
        </w:tc>
        <w:tc>
          <w:tcPr>
            <w:tcW w:w="2551" w:type="dxa"/>
            <w:gridSpan w:val="2"/>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按照招标文件中的资金分配比例表填写报价</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萃取硬件及软件</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车辆二次分析硬件</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车辆二次分析软件</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解析中心机柜</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人像大数据应用</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视频萃取应用</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重点区域安保应用</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数据服务总线</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数据仓库系统</w:t>
            </w:r>
          </w:p>
        </w:tc>
        <w:tc>
          <w:tcPr>
            <w:tcW w:w="2551" w:type="dxa"/>
            <w:gridSpan w:val="2"/>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8157" w:type="dxa"/>
            <w:gridSpan w:val="8"/>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rPr>
              <w:t>合计</w:t>
            </w: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bl>
    <w:p>
      <w:pPr>
        <w:tabs>
          <w:tab w:val="left" w:pos="1418"/>
        </w:tabs>
        <w:snapToGrid w:val="0"/>
        <w:spacing w:before="50" w:after="50"/>
        <w:ind w:left="1418" w:hanging="567"/>
        <w:jc w:val="center"/>
        <w:rPr>
          <w:rFonts w:ascii="宋体" w:hAnsi="宋体"/>
          <w:color w:val="000000" w:themeColor="text1"/>
          <w:spacing w:val="20"/>
          <w:sz w:val="24"/>
          <w:szCs w:val="20"/>
          <w:u w:val="single"/>
        </w:rPr>
      </w:pPr>
    </w:p>
    <w:p>
      <w:pPr>
        <w:snapToGrid w:val="0"/>
        <w:spacing w:before="50" w:after="50"/>
        <w:rPr>
          <w:rFonts w:ascii="宋体" w:hAnsi="宋体"/>
          <w:color w:val="000000" w:themeColor="text1"/>
          <w:spacing w:val="20"/>
          <w:sz w:val="24"/>
          <w:szCs w:val="20"/>
          <w:u w:val="single"/>
        </w:rPr>
      </w:pPr>
      <w:r>
        <w:rPr>
          <w:rFonts w:hint="eastAsia" w:ascii="宋体" w:hAnsi="宋体"/>
          <w:color w:val="000000" w:themeColor="text1"/>
          <w:spacing w:val="20"/>
          <w:sz w:val="24"/>
        </w:rPr>
        <w:t>授权代表签名：</w:t>
      </w:r>
    </w:p>
    <w:p>
      <w:pPr>
        <w:snapToGrid w:val="0"/>
        <w:spacing w:before="50" w:after="50"/>
        <w:rPr>
          <w:rFonts w:ascii="宋体" w:hAnsi="宋体"/>
          <w:color w:val="000000" w:themeColor="text1"/>
          <w:spacing w:val="20"/>
          <w:sz w:val="24"/>
          <w:u w:val="single"/>
        </w:rPr>
      </w:pPr>
      <w:r>
        <w:rPr>
          <w:rFonts w:hint="eastAsia" w:ascii="宋体" w:hAnsi="宋体"/>
          <w:color w:val="000000" w:themeColor="text1"/>
          <w:spacing w:val="20"/>
          <w:sz w:val="24"/>
        </w:rPr>
        <w:t>投标人盖章：日期：</w:t>
      </w:r>
    </w:p>
    <w:p>
      <w:pPr>
        <w:pStyle w:val="25"/>
        <w:snapToGrid w:val="0"/>
        <w:spacing w:beforeLines="0" w:afterLines="0" w:line="240" w:lineRule="auto"/>
        <w:jc w:val="center"/>
        <w:rPr>
          <w:rFonts w:hAnsi="宋体"/>
          <w:color w:val="000000" w:themeColor="text1"/>
        </w:rPr>
      </w:pPr>
      <w:r>
        <w:rPr>
          <w:rFonts w:hAnsi="宋体"/>
          <w:color w:val="000000" w:themeColor="text1"/>
          <w:spacing w:val="20"/>
          <w:u w:val="single"/>
        </w:rPr>
        <w:br w:type="page"/>
      </w:r>
      <w:r>
        <w:rPr>
          <w:rFonts w:hint="eastAsia" w:hAnsi="宋体"/>
          <w:color w:val="000000" w:themeColor="text1"/>
        </w:rPr>
        <w:t>(8)</w:t>
      </w:r>
      <w:r>
        <w:rPr>
          <w:rFonts w:hint="eastAsia"/>
          <w:color w:val="000000" w:themeColor="text1"/>
        </w:rPr>
        <w:t xml:space="preserve"> 武义县</w:t>
      </w:r>
    </w:p>
    <w:p>
      <w:pPr>
        <w:pStyle w:val="25"/>
        <w:snapToGrid w:val="0"/>
        <w:spacing w:beforeLines="0" w:afterLines="0" w:line="240" w:lineRule="auto"/>
        <w:rPr>
          <w:rFonts w:hAnsi="宋体"/>
          <w:color w:val="000000" w:themeColor="text1"/>
          <w:sz w:val="30"/>
        </w:rPr>
      </w:pPr>
      <w:r>
        <w:rPr>
          <w:rFonts w:hAnsi="宋体"/>
          <w:color w:val="000000" w:themeColor="text1"/>
        </w:rPr>
        <w:t>标项：</w:t>
      </w:r>
      <w:r>
        <w:rPr>
          <w:rFonts w:hAnsi="宋体"/>
          <w:color w:val="000000" w:themeColor="text1"/>
          <w:szCs w:val="21"/>
        </w:rPr>
        <w:t>金额单位：人民币（元）</w:t>
      </w:r>
    </w:p>
    <w:tbl>
      <w:tblPr>
        <w:tblStyle w:val="53"/>
        <w:tblW w:w="9000" w:type="dxa"/>
        <w:tblInd w:w="-25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096"/>
        <w:gridCol w:w="45"/>
        <w:gridCol w:w="1940"/>
        <w:gridCol w:w="1134"/>
        <w:gridCol w:w="1417"/>
        <w:gridCol w:w="1134"/>
        <w:gridCol w:w="851"/>
        <w:gridCol w:w="84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序号</w:t>
            </w:r>
          </w:p>
        </w:tc>
        <w:tc>
          <w:tcPr>
            <w:tcW w:w="3081" w:type="dxa"/>
            <w:gridSpan w:val="3"/>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设备名称</w:t>
            </w: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r>
              <w:rPr>
                <w:rFonts w:ascii="宋体" w:hAnsi="宋体" w:eastAsia="宋体"/>
                <w:color w:val="000000" w:themeColor="text1"/>
              </w:rPr>
              <w:t>品牌</w:t>
            </w: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规格型号</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单位及数量</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单价</w:t>
            </w: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金额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1096"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综治分平台</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千兆光纤费</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社会面接入交换机</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2</w:t>
            </w:r>
          </w:p>
        </w:tc>
        <w:tc>
          <w:tcPr>
            <w:tcW w:w="1096"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网络系统</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各县市视频专网核心交换机</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视频专网链路租赁</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2</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汇聚交换机配置2</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2</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3</w:t>
            </w:r>
          </w:p>
        </w:tc>
        <w:tc>
          <w:tcPr>
            <w:tcW w:w="1096"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安全系统</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视频网闸（万兆）</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2</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下一代防火墙（万兆）</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交换机</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共享平台安全防护-下一代防火墙（千兆）</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4</w:t>
            </w:r>
          </w:p>
        </w:tc>
        <w:tc>
          <w:tcPr>
            <w:tcW w:w="1096" w:type="dxa"/>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综治大厅及实战应用</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综合指挥中心（应急指挥室）</w:t>
            </w:r>
          </w:p>
        </w:tc>
        <w:tc>
          <w:tcPr>
            <w:tcW w:w="2551"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按照招标文件中的资金分配比例表填写报价</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5</w:t>
            </w:r>
          </w:p>
        </w:tc>
        <w:tc>
          <w:tcPr>
            <w:tcW w:w="3081" w:type="dxa"/>
            <w:gridSpan w:val="3"/>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结构化存储</w:t>
            </w:r>
          </w:p>
        </w:tc>
        <w:tc>
          <w:tcPr>
            <w:tcW w:w="2551"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按照招标文件中的资金分配比例表填写报价</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6</w:t>
            </w:r>
          </w:p>
        </w:tc>
        <w:tc>
          <w:tcPr>
            <w:tcW w:w="1141" w:type="dxa"/>
            <w:gridSpan w:val="2"/>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公安业务实战应用</w:t>
            </w: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人像硬件及算法</w:t>
            </w:r>
          </w:p>
        </w:tc>
        <w:tc>
          <w:tcPr>
            <w:tcW w:w="2551" w:type="dxa"/>
            <w:gridSpan w:val="2"/>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按照招标文件中的资金分配比例表填写报价</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萃取硬件及软件</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车辆二次分析硬件</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车辆二次分析软件</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解析中心机柜</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人像大数据应用</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视频萃取应用</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重点区域安保应用</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数据服务总线</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数据仓库系统</w:t>
            </w:r>
          </w:p>
        </w:tc>
        <w:tc>
          <w:tcPr>
            <w:tcW w:w="2551" w:type="dxa"/>
            <w:gridSpan w:val="2"/>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8157" w:type="dxa"/>
            <w:gridSpan w:val="8"/>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rPr>
              <w:t>合计</w:t>
            </w: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bl>
    <w:p>
      <w:pPr>
        <w:tabs>
          <w:tab w:val="left" w:pos="1418"/>
        </w:tabs>
        <w:snapToGrid w:val="0"/>
        <w:spacing w:before="50" w:after="50"/>
        <w:ind w:left="1418" w:hanging="567"/>
        <w:jc w:val="center"/>
        <w:rPr>
          <w:rFonts w:ascii="宋体" w:hAnsi="宋体"/>
          <w:color w:val="000000" w:themeColor="text1"/>
          <w:spacing w:val="20"/>
          <w:sz w:val="24"/>
          <w:szCs w:val="20"/>
          <w:u w:val="single"/>
        </w:rPr>
      </w:pPr>
    </w:p>
    <w:p>
      <w:pPr>
        <w:snapToGrid w:val="0"/>
        <w:spacing w:before="50" w:after="50"/>
        <w:rPr>
          <w:rFonts w:ascii="宋体" w:hAnsi="宋体"/>
          <w:color w:val="000000" w:themeColor="text1"/>
          <w:spacing w:val="20"/>
          <w:sz w:val="24"/>
          <w:szCs w:val="20"/>
          <w:u w:val="single"/>
        </w:rPr>
      </w:pPr>
      <w:r>
        <w:rPr>
          <w:rFonts w:hint="eastAsia" w:ascii="宋体" w:hAnsi="宋体"/>
          <w:color w:val="000000" w:themeColor="text1"/>
          <w:spacing w:val="20"/>
          <w:sz w:val="24"/>
        </w:rPr>
        <w:t>授权代表签名：</w:t>
      </w:r>
    </w:p>
    <w:p>
      <w:pPr>
        <w:snapToGrid w:val="0"/>
        <w:spacing w:before="50" w:after="50"/>
        <w:rPr>
          <w:rFonts w:ascii="宋体" w:hAnsi="宋体"/>
          <w:color w:val="000000" w:themeColor="text1"/>
          <w:spacing w:val="20"/>
          <w:sz w:val="24"/>
          <w:szCs w:val="20"/>
          <w:u w:val="single"/>
        </w:rPr>
      </w:pPr>
      <w:r>
        <w:rPr>
          <w:rFonts w:hint="eastAsia" w:ascii="宋体" w:hAnsi="宋体"/>
          <w:color w:val="000000" w:themeColor="text1"/>
          <w:spacing w:val="20"/>
          <w:sz w:val="24"/>
        </w:rPr>
        <w:t>投标人盖章：日期：</w:t>
      </w:r>
    </w:p>
    <w:p>
      <w:pPr>
        <w:snapToGrid w:val="0"/>
        <w:spacing w:before="50" w:after="50"/>
        <w:rPr>
          <w:rFonts w:ascii="宋体" w:hAnsi="宋体"/>
          <w:color w:val="000000" w:themeColor="text1"/>
          <w:spacing w:val="20"/>
          <w:sz w:val="24"/>
          <w:szCs w:val="20"/>
          <w:u w:val="single"/>
        </w:rPr>
      </w:pPr>
    </w:p>
    <w:p>
      <w:pPr>
        <w:snapToGrid w:val="0"/>
        <w:spacing w:before="50" w:after="50"/>
        <w:rPr>
          <w:rFonts w:ascii="宋体" w:hAnsi="宋体"/>
          <w:color w:val="000000" w:themeColor="text1"/>
          <w:sz w:val="24"/>
        </w:rPr>
      </w:pPr>
    </w:p>
    <w:p>
      <w:pPr>
        <w:snapToGrid w:val="0"/>
        <w:spacing w:before="50" w:after="50"/>
        <w:rPr>
          <w:rFonts w:ascii="宋体" w:hAnsi="宋体"/>
          <w:color w:val="000000" w:themeColor="text1"/>
          <w:sz w:val="24"/>
        </w:rPr>
      </w:pPr>
    </w:p>
    <w:p>
      <w:pPr>
        <w:snapToGrid w:val="0"/>
        <w:spacing w:before="50" w:after="50"/>
        <w:rPr>
          <w:rFonts w:ascii="宋体" w:hAnsi="宋体"/>
          <w:color w:val="000000" w:themeColor="text1"/>
          <w:sz w:val="24"/>
        </w:rPr>
      </w:pPr>
    </w:p>
    <w:p>
      <w:pPr>
        <w:pStyle w:val="25"/>
        <w:snapToGrid w:val="0"/>
        <w:spacing w:beforeLines="0" w:afterLines="0" w:line="240" w:lineRule="auto"/>
        <w:jc w:val="center"/>
        <w:rPr>
          <w:rFonts w:hAnsi="宋体"/>
          <w:color w:val="000000" w:themeColor="text1"/>
        </w:rPr>
      </w:pPr>
      <w:r>
        <w:rPr>
          <w:rFonts w:hint="eastAsia" w:hAnsi="宋体"/>
          <w:color w:val="000000" w:themeColor="text1"/>
        </w:rPr>
        <w:t>(9)</w:t>
      </w:r>
      <w:r>
        <w:rPr>
          <w:rFonts w:hint="eastAsia"/>
          <w:color w:val="000000" w:themeColor="text1"/>
        </w:rPr>
        <w:t xml:space="preserve"> 浦江县</w:t>
      </w:r>
    </w:p>
    <w:p>
      <w:pPr>
        <w:pStyle w:val="25"/>
        <w:snapToGrid w:val="0"/>
        <w:spacing w:beforeLines="0" w:afterLines="0" w:line="240" w:lineRule="auto"/>
        <w:rPr>
          <w:rFonts w:hAnsi="宋体"/>
          <w:color w:val="000000" w:themeColor="text1"/>
          <w:sz w:val="30"/>
        </w:rPr>
      </w:pPr>
      <w:r>
        <w:rPr>
          <w:rFonts w:hAnsi="宋体"/>
          <w:color w:val="000000" w:themeColor="text1"/>
        </w:rPr>
        <w:t>标项：</w:t>
      </w:r>
      <w:r>
        <w:rPr>
          <w:rFonts w:hAnsi="宋体"/>
          <w:color w:val="000000" w:themeColor="text1"/>
          <w:szCs w:val="21"/>
        </w:rPr>
        <w:t>金额单位：人民币（元）</w:t>
      </w:r>
    </w:p>
    <w:tbl>
      <w:tblPr>
        <w:tblStyle w:val="53"/>
        <w:tblW w:w="9000" w:type="dxa"/>
        <w:tblInd w:w="-25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096"/>
        <w:gridCol w:w="45"/>
        <w:gridCol w:w="1940"/>
        <w:gridCol w:w="1134"/>
        <w:gridCol w:w="1417"/>
        <w:gridCol w:w="1134"/>
        <w:gridCol w:w="851"/>
        <w:gridCol w:w="84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序号</w:t>
            </w:r>
          </w:p>
        </w:tc>
        <w:tc>
          <w:tcPr>
            <w:tcW w:w="3081" w:type="dxa"/>
            <w:gridSpan w:val="3"/>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设备名称</w:t>
            </w: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r>
              <w:rPr>
                <w:rFonts w:ascii="宋体" w:hAnsi="宋体" w:eastAsia="宋体"/>
                <w:color w:val="000000" w:themeColor="text1"/>
              </w:rPr>
              <w:t>品牌</w:t>
            </w: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规格型号</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单位及数量</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单价</w:t>
            </w: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金额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1096"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综治分平台</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视频应用及管理服务2</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基础视频运维服务</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中心管理服务器</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数据库服务器</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流媒体服务器1</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2</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平台联网网关（一体机）</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2</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千兆光纤租费</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社会面接入交换机</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2</w:t>
            </w:r>
          </w:p>
        </w:tc>
        <w:tc>
          <w:tcPr>
            <w:tcW w:w="1096" w:type="dxa"/>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综治分平台-社会视频资源联网整合</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百兆链路数（条）</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162</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3</w:t>
            </w:r>
          </w:p>
        </w:tc>
        <w:tc>
          <w:tcPr>
            <w:tcW w:w="1096"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网络系统</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各县市视频专网核心交换机</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视频专网链路租赁</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2</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汇聚交换机配置2</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4</w:t>
            </w:r>
          </w:p>
        </w:tc>
        <w:tc>
          <w:tcPr>
            <w:tcW w:w="1096"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安全系统</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视频网闸（万兆）</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2</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下一代防火墙（万兆）</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交换机</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共享平台安全防护-下一代防火墙（千兆）</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5</w:t>
            </w:r>
          </w:p>
        </w:tc>
        <w:tc>
          <w:tcPr>
            <w:tcW w:w="1096" w:type="dxa"/>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综治大厅及实战应用</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综合指挥中心（应急指挥室）</w:t>
            </w:r>
          </w:p>
        </w:tc>
        <w:tc>
          <w:tcPr>
            <w:tcW w:w="2551"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按照招标文件中的资金分配比例表填写报价</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6</w:t>
            </w:r>
          </w:p>
        </w:tc>
        <w:tc>
          <w:tcPr>
            <w:tcW w:w="3081" w:type="dxa"/>
            <w:gridSpan w:val="3"/>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结构化存储</w:t>
            </w:r>
          </w:p>
        </w:tc>
        <w:tc>
          <w:tcPr>
            <w:tcW w:w="2551"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按照招标文件中的资金分配比例表填写报价</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ascii="宋体" w:hAnsi="宋体"/>
                <w:color w:val="000000" w:themeColor="text1"/>
                <w:spacing w:val="20"/>
                <w:sz w:val="24"/>
                <w:szCs w:val="20"/>
              </w:rPr>
              <w:t>7</w:t>
            </w:r>
          </w:p>
        </w:tc>
        <w:tc>
          <w:tcPr>
            <w:tcW w:w="1141" w:type="dxa"/>
            <w:gridSpan w:val="2"/>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公安业务实战应用</w:t>
            </w: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人像硬件及算法</w:t>
            </w:r>
          </w:p>
        </w:tc>
        <w:tc>
          <w:tcPr>
            <w:tcW w:w="2551" w:type="dxa"/>
            <w:gridSpan w:val="2"/>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按照招标文件中的资金分配比例表填写报价</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萃取硬件及软件</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车辆二次分析硬件</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车辆二次分析软件</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解析中心机柜</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人像大数据应用</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视频萃取应用</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重点区域安保应用</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数据服务总线</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数据仓库系统</w:t>
            </w:r>
          </w:p>
        </w:tc>
        <w:tc>
          <w:tcPr>
            <w:tcW w:w="2551" w:type="dxa"/>
            <w:gridSpan w:val="2"/>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8157" w:type="dxa"/>
            <w:gridSpan w:val="8"/>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rPr>
              <w:t>合计</w:t>
            </w: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bl>
    <w:p>
      <w:pPr>
        <w:tabs>
          <w:tab w:val="left" w:pos="1418"/>
        </w:tabs>
        <w:snapToGrid w:val="0"/>
        <w:spacing w:before="50" w:after="50"/>
        <w:ind w:left="1418" w:hanging="567"/>
        <w:jc w:val="center"/>
        <w:rPr>
          <w:rFonts w:ascii="宋体" w:hAnsi="宋体"/>
          <w:color w:val="000000" w:themeColor="text1"/>
          <w:spacing w:val="20"/>
          <w:sz w:val="24"/>
          <w:szCs w:val="20"/>
          <w:u w:val="single"/>
        </w:rPr>
      </w:pPr>
    </w:p>
    <w:p>
      <w:pPr>
        <w:snapToGrid w:val="0"/>
        <w:spacing w:before="50" w:after="50"/>
        <w:rPr>
          <w:rFonts w:ascii="宋体" w:hAnsi="宋体"/>
          <w:color w:val="000000" w:themeColor="text1"/>
          <w:spacing w:val="20"/>
          <w:sz w:val="24"/>
          <w:szCs w:val="20"/>
          <w:u w:val="single"/>
        </w:rPr>
      </w:pPr>
      <w:r>
        <w:rPr>
          <w:rFonts w:hint="eastAsia" w:ascii="宋体" w:hAnsi="宋体"/>
          <w:color w:val="000000" w:themeColor="text1"/>
          <w:spacing w:val="20"/>
          <w:sz w:val="24"/>
        </w:rPr>
        <w:t>授权代表签名：</w:t>
      </w:r>
    </w:p>
    <w:p>
      <w:pPr>
        <w:snapToGrid w:val="0"/>
        <w:spacing w:before="50" w:after="50"/>
        <w:rPr>
          <w:rFonts w:ascii="宋体" w:hAnsi="宋体"/>
          <w:color w:val="000000" w:themeColor="text1"/>
          <w:spacing w:val="20"/>
          <w:sz w:val="24"/>
          <w:szCs w:val="20"/>
          <w:u w:val="single"/>
        </w:rPr>
      </w:pPr>
      <w:r>
        <w:rPr>
          <w:rFonts w:hint="eastAsia" w:ascii="宋体" w:hAnsi="宋体"/>
          <w:color w:val="000000" w:themeColor="text1"/>
          <w:spacing w:val="20"/>
          <w:sz w:val="24"/>
        </w:rPr>
        <w:t>投标人盖章：日期：</w:t>
      </w:r>
    </w:p>
    <w:p>
      <w:pPr>
        <w:snapToGrid w:val="0"/>
        <w:spacing w:before="50" w:after="50"/>
        <w:rPr>
          <w:rFonts w:ascii="宋体" w:hAnsi="宋体"/>
          <w:color w:val="000000" w:themeColor="text1"/>
          <w:spacing w:val="20"/>
          <w:sz w:val="24"/>
          <w:szCs w:val="20"/>
          <w:u w:val="single"/>
        </w:rPr>
      </w:pPr>
    </w:p>
    <w:p>
      <w:pPr>
        <w:snapToGrid w:val="0"/>
        <w:spacing w:before="50" w:after="50"/>
        <w:rPr>
          <w:rFonts w:ascii="宋体" w:hAnsi="宋体"/>
          <w:color w:val="000000" w:themeColor="text1"/>
          <w:sz w:val="24"/>
        </w:rPr>
      </w:pPr>
    </w:p>
    <w:p>
      <w:pPr>
        <w:snapToGrid w:val="0"/>
        <w:spacing w:before="50" w:after="50"/>
        <w:rPr>
          <w:rFonts w:ascii="宋体" w:hAnsi="宋体"/>
          <w:color w:val="000000" w:themeColor="text1"/>
          <w:sz w:val="24"/>
        </w:rPr>
      </w:pPr>
    </w:p>
    <w:p>
      <w:pPr>
        <w:pStyle w:val="25"/>
        <w:snapToGrid w:val="0"/>
        <w:spacing w:beforeLines="0" w:afterLines="0" w:line="240" w:lineRule="auto"/>
        <w:jc w:val="center"/>
        <w:rPr>
          <w:rFonts w:hAnsi="宋体"/>
          <w:color w:val="000000" w:themeColor="text1"/>
        </w:rPr>
      </w:pPr>
      <w:r>
        <w:rPr>
          <w:rFonts w:hint="eastAsia" w:hAnsi="宋体"/>
          <w:color w:val="000000" w:themeColor="text1"/>
        </w:rPr>
        <w:t>(10)</w:t>
      </w:r>
      <w:r>
        <w:rPr>
          <w:rFonts w:hint="eastAsia"/>
          <w:color w:val="000000" w:themeColor="text1"/>
        </w:rPr>
        <w:t xml:space="preserve"> 磐安县</w:t>
      </w:r>
    </w:p>
    <w:p>
      <w:pPr>
        <w:pStyle w:val="25"/>
        <w:snapToGrid w:val="0"/>
        <w:spacing w:beforeLines="0" w:afterLines="0" w:line="240" w:lineRule="auto"/>
        <w:rPr>
          <w:rFonts w:hAnsi="宋体"/>
          <w:color w:val="000000" w:themeColor="text1"/>
          <w:sz w:val="30"/>
        </w:rPr>
      </w:pPr>
      <w:r>
        <w:rPr>
          <w:rFonts w:hAnsi="宋体"/>
          <w:color w:val="000000" w:themeColor="text1"/>
        </w:rPr>
        <w:t>标项：</w:t>
      </w:r>
      <w:r>
        <w:rPr>
          <w:rFonts w:hAnsi="宋体"/>
          <w:color w:val="000000" w:themeColor="text1"/>
          <w:szCs w:val="21"/>
        </w:rPr>
        <w:t>金额单位：人民币（元）</w:t>
      </w:r>
    </w:p>
    <w:tbl>
      <w:tblPr>
        <w:tblStyle w:val="53"/>
        <w:tblW w:w="9000" w:type="dxa"/>
        <w:tblInd w:w="-25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096"/>
        <w:gridCol w:w="45"/>
        <w:gridCol w:w="1940"/>
        <w:gridCol w:w="1134"/>
        <w:gridCol w:w="1417"/>
        <w:gridCol w:w="1134"/>
        <w:gridCol w:w="851"/>
        <w:gridCol w:w="84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序号</w:t>
            </w:r>
          </w:p>
        </w:tc>
        <w:tc>
          <w:tcPr>
            <w:tcW w:w="3081" w:type="dxa"/>
            <w:gridSpan w:val="3"/>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设备名称</w:t>
            </w: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r>
              <w:rPr>
                <w:rFonts w:ascii="宋体" w:hAnsi="宋体" w:eastAsia="宋体"/>
                <w:color w:val="000000" w:themeColor="text1"/>
              </w:rPr>
              <w:t>品牌</w:t>
            </w: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规格型号</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单位及数量</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单价</w:t>
            </w: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金额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1096"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综治分平台</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视频应用及管理服务2</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基础视频运维服务</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中心管理服务器</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数据库服务器</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流媒体服务器1</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2</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平台联网网关（一体机）</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2</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千兆光纤租费</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社会面接入交换机</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2</w:t>
            </w:r>
          </w:p>
        </w:tc>
        <w:tc>
          <w:tcPr>
            <w:tcW w:w="1096"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综治分平台-社会视频资源联网整合</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百兆链路数（条）</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10</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平台级联网关</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3</w:t>
            </w:r>
          </w:p>
        </w:tc>
        <w:tc>
          <w:tcPr>
            <w:tcW w:w="1096"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网络系统</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各县市视频专网核心交换机</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视频专网链路租赁</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2</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汇聚交换机配置3</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4</w:t>
            </w:r>
          </w:p>
        </w:tc>
        <w:tc>
          <w:tcPr>
            <w:tcW w:w="1096"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安全系统</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视频网闸（万兆）</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2</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下一代防火墙（万兆）</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交换机</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096" w:type="dxa"/>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共享平台安全防护-下一代防火墙（千兆）</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1</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5</w:t>
            </w:r>
          </w:p>
        </w:tc>
        <w:tc>
          <w:tcPr>
            <w:tcW w:w="1096" w:type="dxa"/>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综治大厅及实战应用</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综合指挥中心（应急指挥室）</w:t>
            </w:r>
          </w:p>
        </w:tc>
        <w:tc>
          <w:tcPr>
            <w:tcW w:w="2551"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按照招标文件中的资金分配比例表填写报价</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6</w:t>
            </w:r>
          </w:p>
        </w:tc>
        <w:tc>
          <w:tcPr>
            <w:tcW w:w="3081" w:type="dxa"/>
            <w:gridSpan w:val="3"/>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结构化存储</w:t>
            </w:r>
          </w:p>
        </w:tc>
        <w:tc>
          <w:tcPr>
            <w:tcW w:w="2551"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按照招标文件中的资金分配比例表填写报价</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ascii="宋体" w:hAnsi="宋体"/>
                <w:color w:val="000000" w:themeColor="text1"/>
                <w:spacing w:val="20"/>
                <w:sz w:val="24"/>
                <w:szCs w:val="20"/>
              </w:rPr>
              <w:t>7</w:t>
            </w:r>
          </w:p>
        </w:tc>
        <w:tc>
          <w:tcPr>
            <w:tcW w:w="1141" w:type="dxa"/>
            <w:gridSpan w:val="2"/>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公安业务实战应用</w:t>
            </w: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人像硬件及算法</w:t>
            </w:r>
          </w:p>
        </w:tc>
        <w:tc>
          <w:tcPr>
            <w:tcW w:w="2551" w:type="dxa"/>
            <w:gridSpan w:val="2"/>
            <w:vMerge w:val="restart"/>
            <w:tcBorders>
              <w:top w:val="single" w:color="auto" w:sz="4" w:space="0"/>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按照招标文件中的资金分配比例表填写报价</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萃取硬件及软件</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车辆二次分析硬件</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车辆二次分析软件</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解析中心机柜</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人像大数据应用</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视频萃取应用</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重点区域安保应用</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数据服务总线</w:t>
            </w:r>
          </w:p>
        </w:tc>
        <w:tc>
          <w:tcPr>
            <w:tcW w:w="2551" w:type="dxa"/>
            <w:gridSpan w:val="2"/>
            <w:vMerge w:val="continue"/>
            <w:tcBorders>
              <w:left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40" w:type="dxa"/>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41" w:type="dxa"/>
            <w:gridSpan w:val="2"/>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9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szCs w:val="20"/>
              </w:rPr>
              <w:t>数据仓库系统</w:t>
            </w:r>
          </w:p>
        </w:tc>
        <w:tc>
          <w:tcPr>
            <w:tcW w:w="2551" w:type="dxa"/>
            <w:gridSpan w:val="2"/>
            <w:vMerge w:val="continue"/>
            <w:tcBorders>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8157" w:type="dxa"/>
            <w:gridSpan w:val="8"/>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rPr>
              <w:t>合计</w:t>
            </w: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bl>
    <w:p>
      <w:pPr>
        <w:tabs>
          <w:tab w:val="left" w:pos="1418"/>
        </w:tabs>
        <w:snapToGrid w:val="0"/>
        <w:spacing w:before="50" w:after="50"/>
        <w:ind w:left="1418" w:hanging="567"/>
        <w:jc w:val="center"/>
        <w:rPr>
          <w:rFonts w:ascii="宋体" w:hAnsi="宋体"/>
          <w:color w:val="000000" w:themeColor="text1"/>
          <w:spacing w:val="20"/>
          <w:sz w:val="24"/>
          <w:szCs w:val="20"/>
          <w:u w:val="single"/>
        </w:rPr>
      </w:pPr>
    </w:p>
    <w:p>
      <w:pPr>
        <w:snapToGrid w:val="0"/>
        <w:spacing w:before="50" w:after="50"/>
        <w:rPr>
          <w:rFonts w:ascii="宋体" w:hAnsi="宋体"/>
          <w:color w:val="000000" w:themeColor="text1"/>
          <w:spacing w:val="20"/>
          <w:sz w:val="24"/>
          <w:szCs w:val="20"/>
          <w:u w:val="single"/>
        </w:rPr>
      </w:pPr>
      <w:r>
        <w:rPr>
          <w:rFonts w:hint="eastAsia" w:ascii="宋体" w:hAnsi="宋体"/>
          <w:color w:val="000000" w:themeColor="text1"/>
          <w:spacing w:val="20"/>
          <w:sz w:val="24"/>
        </w:rPr>
        <w:t>授权代表签名：</w:t>
      </w:r>
    </w:p>
    <w:p>
      <w:pPr>
        <w:snapToGrid w:val="0"/>
        <w:spacing w:before="50" w:after="50"/>
        <w:rPr>
          <w:rFonts w:ascii="宋体" w:hAnsi="宋体"/>
          <w:color w:val="000000" w:themeColor="text1"/>
          <w:spacing w:val="20"/>
          <w:sz w:val="24"/>
          <w:szCs w:val="20"/>
          <w:u w:val="single"/>
        </w:rPr>
      </w:pPr>
      <w:r>
        <w:rPr>
          <w:rFonts w:hint="eastAsia" w:ascii="宋体" w:hAnsi="宋体"/>
          <w:color w:val="000000" w:themeColor="text1"/>
          <w:spacing w:val="20"/>
          <w:sz w:val="24"/>
        </w:rPr>
        <w:t>投标人盖章：日期：</w:t>
      </w:r>
    </w:p>
    <w:p>
      <w:pPr>
        <w:snapToGrid w:val="0"/>
        <w:spacing w:before="50" w:after="50"/>
        <w:rPr>
          <w:rFonts w:ascii="宋体" w:hAnsi="宋体"/>
          <w:color w:val="000000" w:themeColor="text1"/>
          <w:sz w:val="24"/>
        </w:rPr>
      </w:pPr>
    </w:p>
    <w:p>
      <w:pPr>
        <w:snapToGrid w:val="0"/>
        <w:spacing w:before="50" w:after="50"/>
        <w:rPr>
          <w:rFonts w:ascii="宋体" w:hAnsi="宋体"/>
          <w:color w:val="000000" w:themeColor="text1"/>
          <w:sz w:val="24"/>
        </w:rPr>
      </w:pPr>
      <w:r>
        <w:rPr>
          <w:rFonts w:ascii="宋体" w:hAnsi="宋体"/>
          <w:color w:val="000000" w:themeColor="text1"/>
          <w:sz w:val="24"/>
        </w:rPr>
        <w:br w:type="page"/>
      </w:r>
    </w:p>
    <w:p>
      <w:pPr>
        <w:snapToGrid w:val="0"/>
        <w:spacing w:before="50" w:after="50"/>
        <w:jc w:val="center"/>
        <w:rPr>
          <w:rFonts w:ascii="宋体" w:hAnsi="宋体"/>
          <w:color w:val="000000" w:themeColor="text1"/>
          <w:kern w:val="0"/>
          <w:sz w:val="24"/>
        </w:rPr>
      </w:pPr>
      <w:r>
        <w:rPr>
          <w:rFonts w:hint="eastAsia" w:ascii="宋体" w:hAnsi="宋体"/>
          <w:color w:val="000000" w:themeColor="text1"/>
          <w:kern w:val="0"/>
          <w:sz w:val="24"/>
        </w:rPr>
        <w:t>(11)综治大厅及实战应用--- 综合指挥中心（指挥大厅）</w:t>
      </w:r>
    </w:p>
    <w:p>
      <w:pPr>
        <w:snapToGrid w:val="0"/>
        <w:spacing w:before="50" w:after="50"/>
        <w:jc w:val="center"/>
        <w:rPr>
          <w:rFonts w:ascii="宋体" w:hAnsi="宋体"/>
          <w:color w:val="000000" w:themeColor="text1"/>
          <w:kern w:val="0"/>
          <w:sz w:val="24"/>
        </w:rPr>
      </w:pPr>
    </w:p>
    <w:tbl>
      <w:tblPr>
        <w:tblStyle w:val="53"/>
        <w:tblW w:w="9000" w:type="dxa"/>
        <w:tblInd w:w="-25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3081"/>
        <w:gridCol w:w="1134"/>
        <w:gridCol w:w="1417"/>
        <w:gridCol w:w="1134"/>
        <w:gridCol w:w="851"/>
        <w:gridCol w:w="84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序号</w:t>
            </w: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设备名称</w:t>
            </w: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r>
              <w:rPr>
                <w:rFonts w:ascii="宋体" w:hAnsi="宋体" w:eastAsia="宋体"/>
                <w:color w:val="000000" w:themeColor="text1"/>
              </w:rPr>
              <w:t>品牌</w:t>
            </w: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规格型号</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单位及数量</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单价</w:t>
            </w: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金额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8157" w:type="dxa"/>
            <w:gridSpan w:val="6"/>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rPr>
              <w:t>合计</w:t>
            </w: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bl>
    <w:p>
      <w:pPr>
        <w:snapToGrid w:val="0"/>
        <w:spacing w:before="50" w:after="50"/>
        <w:rPr>
          <w:rFonts w:ascii="宋体" w:hAnsi="宋体"/>
          <w:color w:val="000000" w:themeColor="text1"/>
          <w:spacing w:val="20"/>
          <w:sz w:val="24"/>
          <w:szCs w:val="20"/>
          <w:u w:val="single"/>
        </w:rPr>
      </w:pPr>
      <w:r>
        <w:rPr>
          <w:rFonts w:hint="eastAsia" w:ascii="宋体" w:hAnsi="宋体"/>
          <w:color w:val="000000" w:themeColor="text1"/>
          <w:spacing w:val="20"/>
          <w:sz w:val="24"/>
        </w:rPr>
        <w:t>授权代表签名：</w:t>
      </w:r>
    </w:p>
    <w:p>
      <w:pPr>
        <w:snapToGrid w:val="0"/>
        <w:spacing w:before="50" w:after="50"/>
        <w:rPr>
          <w:rFonts w:ascii="宋体" w:hAnsi="宋体"/>
          <w:color w:val="000000" w:themeColor="text1"/>
          <w:spacing w:val="20"/>
          <w:sz w:val="24"/>
          <w:szCs w:val="20"/>
          <w:u w:val="single"/>
        </w:rPr>
      </w:pPr>
      <w:r>
        <w:rPr>
          <w:rFonts w:hint="eastAsia" w:ascii="宋体" w:hAnsi="宋体"/>
          <w:color w:val="000000" w:themeColor="text1"/>
          <w:spacing w:val="20"/>
          <w:sz w:val="24"/>
        </w:rPr>
        <w:t>投标人盖章：日期：</w:t>
      </w:r>
    </w:p>
    <w:p>
      <w:pPr>
        <w:snapToGrid w:val="0"/>
        <w:spacing w:before="50" w:after="50"/>
        <w:jc w:val="center"/>
        <w:rPr>
          <w:rFonts w:ascii="宋体" w:hAnsi="宋体"/>
          <w:color w:val="000000" w:themeColor="text1"/>
          <w:kern w:val="0"/>
          <w:sz w:val="24"/>
        </w:rPr>
      </w:pPr>
    </w:p>
    <w:p>
      <w:pPr>
        <w:snapToGrid w:val="0"/>
        <w:spacing w:before="50" w:after="50"/>
        <w:rPr>
          <w:rFonts w:ascii="宋体" w:hAnsi="宋体"/>
          <w:color w:val="000000" w:themeColor="text1"/>
          <w:spacing w:val="20"/>
          <w:sz w:val="24"/>
          <w:szCs w:val="20"/>
        </w:rPr>
      </w:pPr>
      <w:r>
        <w:rPr>
          <w:rFonts w:hint="eastAsia" w:ascii="宋体" w:hAnsi="宋体"/>
          <w:color w:val="000000" w:themeColor="text1"/>
          <w:kern w:val="0"/>
          <w:sz w:val="24"/>
        </w:rPr>
        <w:t>注：根据招标文件中的项目清单列明各项金额。</w:t>
      </w:r>
      <w:r>
        <w:rPr>
          <w:rFonts w:ascii="宋体" w:hAnsi="宋体"/>
          <w:color w:val="000000" w:themeColor="text1"/>
          <w:kern w:val="0"/>
          <w:sz w:val="24"/>
        </w:rPr>
        <w:br w:type="page"/>
      </w:r>
      <w:r>
        <w:rPr>
          <w:rFonts w:hint="eastAsia" w:ascii="宋体" w:hAnsi="宋体"/>
          <w:color w:val="000000" w:themeColor="text1"/>
          <w:kern w:val="0"/>
          <w:sz w:val="24"/>
        </w:rPr>
        <w:t>(12)综治大厅及实战应用---</w:t>
      </w:r>
      <w:r>
        <w:rPr>
          <w:rFonts w:hint="eastAsia" w:ascii="宋体" w:hAnsi="宋体"/>
          <w:color w:val="000000" w:themeColor="text1"/>
          <w:spacing w:val="20"/>
          <w:sz w:val="24"/>
          <w:szCs w:val="20"/>
        </w:rPr>
        <w:t>综治应用系统</w:t>
      </w:r>
    </w:p>
    <w:p>
      <w:pPr>
        <w:snapToGrid w:val="0"/>
        <w:spacing w:before="50" w:after="50"/>
        <w:jc w:val="center"/>
        <w:rPr>
          <w:rFonts w:ascii="宋体" w:hAnsi="宋体"/>
          <w:color w:val="000000" w:themeColor="text1"/>
          <w:spacing w:val="20"/>
          <w:sz w:val="24"/>
          <w:szCs w:val="20"/>
        </w:rPr>
      </w:pPr>
    </w:p>
    <w:tbl>
      <w:tblPr>
        <w:tblStyle w:val="53"/>
        <w:tblW w:w="9000" w:type="dxa"/>
        <w:tblInd w:w="-25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3081"/>
        <w:gridCol w:w="1134"/>
        <w:gridCol w:w="1417"/>
        <w:gridCol w:w="1134"/>
        <w:gridCol w:w="851"/>
        <w:gridCol w:w="84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序号</w:t>
            </w: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设备名称</w:t>
            </w: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r>
              <w:rPr>
                <w:rFonts w:ascii="宋体" w:hAnsi="宋体" w:eastAsia="宋体"/>
                <w:color w:val="000000" w:themeColor="text1"/>
              </w:rPr>
              <w:t>品牌</w:t>
            </w: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规格型号</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单位及数量</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单价</w:t>
            </w: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金额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8157" w:type="dxa"/>
            <w:gridSpan w:val="6"/>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rPr>
              <w:t>合计</w:t>
            </w: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bl>
    <w:p>
      <w:pPr>
        <w:snapToGrid w:val="0"/>
        <w:spacing w:before="50" w:after="50"/>
        <w:rPr>
          <w:rFonts w:ascii="宋体" w:hAnsi="宋体"/>
          <w:color w:val="000000" w:themeColor="text1"/>
          <w:spacing w:val="20"/>
          <w:sz w:val="24"/>
          <w:szCs w:val="20"/>
          <w:u w:val="single"/>
        </w:rPr>
      </w:pPr>
      <w:r>
        <w:rPr>
          <w:rFonts w:hint="eastAsia" w:ascii="宋体" w:hAnsi="宋体"/>
          <w:color w:val="000000" w:themeColor="text1"/>
          <w:spacing w:val="20"/>
          <w:sz w:val="24"/>
        </w:rPr>
        <w:t>授权代表签名：</w:t>
      </w:r>
    </w:p>
    <w:p>
      <w:pPr>
        <w:snapToGrid w:val="0"/>
        <w:spacing w:before="50" w:after="50"/>
        <w:rPr>
          <w:rFonts w:ascii="宋体" w:hAnsi="宋体"/>
          <w:color w:val="000000" w:themeColor="text1"/>
          <w:spacing w:val="20"/>
          <w:sz w:val="24"/>
          <w:u w:val="single"/>
        </w:rPr>
      </w:pPr>
      <w:r>
        <w:rPr>
          <w:rFonts w:hint="eastAsia" w:ascii="宋体" w:hAnsi="宋体"/>
          <w:color w:val="000000" w:themeColor="text1"/>
          <w:spacing w:val="20"/>
          <w:sz w:val="24"/>
        </w:rPr>
        <w:t>投标人盖章：日期：</w:t>
      </w:r>
    </w:p>
    <w:p>
      <w:pPr>
        <w:snapToGrid w:val="0"/>
        <w:spacing w:before="50" w:after="50"/>
        <w:jc w:val="center"/>
        <w:rPr>
          <w:rFonts w:ascii="宋体" w:hAnsi="宋体"/>
          <w:color w:val="000000" w:themeColor="text1"/>
          <w:spacing w:val="20"/>
          <w:sz w:val="24"/>
          <w:u w:val="single"/>
        </w:rPr>
      </w:pPr>
    </w:p>
    <w:p>
      <w:pPr>
        <w:snapToGrid w:val="0"/>
        <w:spacing w:before="50" w:after="50"/>
        <w:jc w:val="center"/>
        <w:rPr>
          <w:rFonts w:ascii="宋体" w:hAnsi="宋体"/>
          <w:color w:val="000000" w:themeColor="text1"/>
          <w:spacing w:val="20"/>
          <w:sz w:val="24"/>
          <w:u w:val="single"/>
        </w:rPr>
      </w:pPr>
    </w:p>
    <w:p>
      <w:pPr>
        <w:snapToGrid w:val="0"/>
        <w:spacing w:before="50" w:after="50"/>
        <w:rPr>
          <w:rFonts w:ascii="宋体" w:hAnsi="宋体"/>
          <w:color w:val="000000" w:themeColor="text1"/>
          <w:spacing w:val="20"/>
          <w:sz w:val="24"/>
          <w:szCs w:val="20"/>
        </w:rPr>
      </w:pPr>
      <w:r>
        <w:rPr>
          <w:rFonts w:hint="eastAsia" w:ascii="宋体" w:hAnsi="宋体"/>
          <w:color w:val="000000" w:themeColor="text1"/>
          <w:kern w:val="0"/>
          <w:sz w:val="24"/>
        </w:rPr>
        <w:t>注：根据招标文件中的项目清单列明各项金额。</w:t>
      </w:r>
      <w:r>
        <w:rPr>
          <w:rFonts w:ascii="宋体" w:hAnsi="宋体"/>
          <w:color w:val="000000" w:themeColor="text1"/>
          <w:spacing w:val="20"/>
          <w:sz w:val="24"/>
          <w:u w:val="single"/>
        </w:rPr>
        <w:br w:type="page"/>
      </w:r>
      <w:r>
        <w:rPr>
          <w:rFonts w:hint="eastAsia" w:ascii="宋体" w:hAnsi="宋体"/>
          <w:color w:val="000000" w:themeColor="text1"/>
          <w:kern w:val="0"/>
          <w:sz w:val="24"/>
        </w:rPr>
        <w:t>(13)综治大厅及实战应用---</w:t>
      </w:r>
      <w:r>
        <w:rPr>
          <w:rFonts w:hint="eastAsia" w:ascii="宋体" w:hAnsi="宋体"/>
          <w:color w:val="000000" w:themeColor="text1"/>
          <w:spacing w:val="20"/>
          <w:sz w:val="24"/>
          <w:szCs w:val="20"/>
        </w:rPr>
        <w:t>综合指挥中心（应急指挥室）</w:t>
      </w:r>
    </w:p>
    <w:p>
      <w:pPr>
        <w:snapToGrid w:val="0"/>
        <w:spacing w:before="50" w:after="50"/>
        <w:jc w:val="center"/>
        <w:rPr>
          <w:rFonts w:ascii="宋体" w:hAnsi="宋体"/>
          <w:color w:val="000000" w:themeColor="text1"/>
          <w:spacing w:val="20"/>
          <w:sz w:val="24"/>
          <w:szCs w:val="20"/>
        </w:rPr>
      </w:pPr>
    </w:p>
    <w:tbl>
      <w:tblPr>
        <w:tblStyle w:val="53"/>
        <w:tblW w:w="9000" w:type="dxa"/>
        <w:tblInd w:w="-25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3081"/>
        <w:gridCol w:w="1134"/>
        <w:gridCol w:w="1417"/>
        <w:gridCol w:w="1134"/>
        <w:gridCol w:w="851"/>
        <w:gridCol w:w="84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序号</w:t>
            </w: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设备名称</w:t>
            </w: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r>
              <w:rPr>
                <w:rFonts w:ascii="宋体" w:hAnsi="宋体" w:eastAsia="宋体"/>
                <w:color w:val="000000" w:themeColor="text1"/>
              </w:rPr>
              <w:t>品牌</w:t>
            </w: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规格型号</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单位及数量</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单价</w:t>
            </w: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金额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8157" w:type="dxa"/>
            <w:gridSpan w:val="6"/>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rPr>
              <w:t>合计</w:t>
            </w: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bl>
    <w:p>
      <w:pPr>
        <w:snapToGrid w:val="0"/>
        <w:spacing w:before="50" w:after="50"/>
        <w:rPr>
          <w:rFonts w:ascii="宋体" w:hAnsi="宋体"/>
          <w:color w:val="000000" w:themeColor="text1"/>
          <w:spacing w:val="20"/>
          <w:sz w:val="24"/>
          <w:szCs w:val="20"/>
          <w:u w:val="single"/>
        </w:rPr>
      </w:pPr>
      <w:r>
        <w:rPr>
          <w:rFonts w:hint="eastAsia" w:ascii="宋体" w:hAnsi="宋体"/>
          <w:color w:val="000000" w:themeColor="text1"/>
          <w:spacing w:val="20"/>
          <w:sz w:val="24"/>
        </w:rPr>
        <w:t>授权代表签名：</w:t>
      </w:r>
    </w:p>
    <w:p>
      <w:pPr>
        <w:snapToGrid w:val="0"/>
        <w:spacing w:before="50" w:after="50"/>
        <w:rPr>
          <w:rFonts w:ascii="宋体" w:hAnsi="宋体"/>
          <w:color w:val="000000" w:themeColor="text1"/>
          <w:spacing w:val="20"/>
          <w:sz w:val="24"/>
          <w:szCs w:val="20"/>
          <w:u w:val="single"/>
        </w:rPr>
      </w:pPr>
      <w:r>
        <w:rPr>
          <w:rFonts w:hint="eastAsia" w:ascii="宋体" w:hAnsi="宋体"/>
          <w:color w:val="000000" w:themeColor="text1"/>
          <w:spacing w:val="20"/>
          <w:sz w:val="24"/>
        </w:rPr>
        <w:t>投标人盖章：日期：</w:t>
      </w:r>
    </w:p>
    <w:p>
      <w:pPr>
        <w:snapToGrid w:val="0"/>
        <w:spacing w:before="50" w:after="50"/>
        <w:rPr>
          <w:rFonts w:ascii="宋体" w:hAnsi="宋体"/>
          <w:color w:val="000000" w:themeColor="text1"/>
          <w:sz w:val="24"/>
        </w:rPr>
      </w:pPr>
    </w:p>
    <w:p>
      <w:pPr>
        <w:snapToGrid w:val="0"/>
        <w:spacing w:before="50" w:after="50"/>
        <w:rPr>
          <w:rFonts w:ascii="宋体" w:hAnsi="宋体"/>
          <w:color w:val="000000" w:themeColor="text1"/>
          <w:sz w:val="24"/>
        </w:rPr>
      </w:pPr>
    </w:p>
    <w:p>
      <w:pPr>
        <w:snapToGrid w:val="0"/>
        <w:spacing w:before="50" w:after="50"/>
        <w:rPr>
          <w:rFonts w:ascii="宋体" w:hAnsi="宋体"/>
          <w:color w:val="000000" w:themeColor="text1"/>
          <w:spacing w:val="20"/>
          <w:sz w:val="24"/>
          <w:szCs w:val="20"/>
        </w:rPr>
      </w:pPr>
      <w:r>
        <w:rPr>
          <w:rFonts w:hint="eastAsia" w:ascii="宋体" w:hAnsi="宋体"/>
          <w:color w:val="000000" w:themeColor="text1"/>
          <w:spacing w:val="20"/>
          <w:sz w:val="24"/>
          <w:szCs w:val="20"/>
        </w:rPr>
        <w:t>注：1、</w:t>
      </w:r>
      <w:r>
        <w:rPr>
          <w:rFonts w:hint="eastAsia" w:ascii="宋体" w:hAnsi="宋体"/>
          <w:color w:val="000000" w:themeColor="text1"/>
          <w:kern w:val="0"/>
          <w:sz w:val="24"/>
        </w:rPr>
        <w:t>注：根据招标文件中的项目清单列明各项金额</w:t>
      </w:r>
    </w:p>
    <w:p>
      <w:pPr>
        <w:snapToGrid w:val="0"/>
        <w:spacing w:before="50" w:after="50"/>
        <w:ind w:firstLine="560" w:firstLineChars="200"/>
        <w:rPr>
          <w:rFonts w:ascii="宋体" w:hAnsi="宋体"/>
          <w:color w:val="000000" w:themeColor="text1"/>
          <w:spacing w:val="20"/>
          <w:sz w:val="24"/>
          <w:szCs w:val="20"/>
          <w:u w:val="single"/>
        </w:rPr>
      </w:pPr>
      <w:r>
        <w:rPr>
          <w:rFonts w:hint="eastAsia" w:ascii="宋体" w:hAnsi="宋体"/>
          <w:color w:val="000000" w:themeColor="text1"/>
          <w:spacing w:val="20"/>
          <w:sz w:val="24"/>
          <w:szCs w:val="20"/>
        </w:rPr>
        <w:t>2、此表中的总价按照招标文件中的资金分配比例表填报到以上市本级及各县市报价表中</w:t>
      </w:r>
      <w:r>
        <w:rPr>
          <w:rFonts w:ascii="宋体" w:hAnsi="宋体"/>
          <w:color w:val="000000" w:themeColor="text1"/>
          <w:sz w:val="24"/>
        </w:rPr>
        <w:br w:type="page"/>
      </w:r>
    </w:p>
    <w:p>
      <w:pPr>
        <w:snapToGrid w:val="0"/>
        <w:spacing w:before="50" w:after="50"/>
        <w:rPr>
          <w:rFonts w:ascii="宋体" w:hAnsi="宋体"/>
          <w:color w:val="000000" w:themeColor="text1"/>
          <w:spacing w:val="20"/>
          <w:sz w:val="24"/>
          <w:szCs w:val="20"/>
          <w:u w:val="single"/>
        </w:rPr>
      </w:pPr>
    </w:p>
    <w:p>
      <w:pPr>
        <w:snapToGrid w:val="0"/>
        <w:spacing w:before="50" w:after="50"/>
        <w:jc w:val="center"/>
        <w:rPr>
          <w:rFonts w:ascii="宋体" w:hAnsi="宋体"/>
          <w:color w:val="000000" w:themeColor="text1"/>
          <w:spacing w:val="20"/>
          <w:sz w:val="24"/>
          <w:szCs w:val="20"/>
        </w:rPr>
      </w:pPr>
      <w:r>
        <w:rPr>
          <w:rFonts w:hint="eastAsia" w:ascii="宋体" w:hAnsi="宋体"/>
          <w:color w:val="000000" w:themeColor="text1"/>
          <w:kern w:val="0"/>
          <w:sz w:val="24"/>
        </w:rPr>
        <w:t>(14)</w:t>
      </w:r>
      <w:r>
        <w:rPr>
          <w:rFonts w:hint="eastAsia" w:ascii="宋体" w:hAnsi="宋体"/>
          <w:color w:val="000000" w:themeColor="text1"/>
          <w:spacing w:val="20"/>
          <w:sz w:val="24"/>
          <w:szCs w:val="20"/>
        </w:rPr>
        <w:t xml:space="preserve"> 结构化存储</w:t>
      </w:r>
    </w:p>
    <w:tbl>
      <w:tblPr>
        <w:tblStyle w:val="53"/>
        <w:tblW w:w="9000" w:type="dxa"/>
        <w:tblInd w:w="-25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3081"/>
        <w:gridCol w:w="1134"/>
        <w:gridCol w:w="1417"/>
        <w:gridCol w:w="1134"/>
        <w:gridCol w:w="851"/>
        <w:gridCol w:w="84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序号</w:t>
            </w: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设备名称</w:t>
            </w: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r>
              <w:rPr>
                <w:rFonts w:ascii="宋体" w:hAnsi="宋体" w:eastAsia="宋体"/>
                <w:color w:val="000000" w:themeColor="text1"/>
              </w:rPr>
              <w:t>品牌</w:t>
            </w: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规格型号</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单位及数量</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单价</w:t>
            </w: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金额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8157" w:type="dxa"/>
            <w:gridSpan w:val="6"/>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rPr>
              <w:t>合计</w:t>
            </w: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bl>
    <w:p>
      <w:pPr>
        <w:snapToGrid w:val="0"/>
        <w:spacing w:before="50" w:after="50"/>
        <w:jc w:val="center"/>
        <w:rPr>
          <w:rFonts w:ascii="宋体" w:hAnsi="宋体"/>
          <w:color w:val="000000" w:themeColor="text1"/>
          <w:spacing w:val="20"/>
          <w:sz w:val="24"/>
          <w:szCs w:val="20"/>
        </w:rPr>
      </w:pPr>
    </w:p>
    <w:p>
      <w:pPr>
        <w:snapToGrid w:val="0"/>
        <w:spacing w:before="50" w:after="50"/>
        <w:rPr>
          <w:rFonts w:ascii="宋体" w:hAnsi="宋体"/>
          <w:color w:val="000000" w:themeColor="text1"/>
          <w:spacing w:val="20"/>
          <w:sz w:val="24"/>
          <w:szCs w:val="20"/>
          <w:u w:val="single"/>
        </w:rPr>
      </w:pPr>
      <w:r>
        <w:rPr>
          <w:rFonts w:hint="eastAsia" w:ascii="宋体" w:hAnsi="宋体"/>
          <w:color w:val="000000" w:themeColor="text1"/>
          <w:spacing w:val="20"/>
          <w:sz w:val="24"/>
        </w:rPr>
        <w:t>授权代表签名：</w:t>
      </w:r>
    </w:p>
    <w:p>
      <w:pPr>
        <w:snapToGrid w:val="0"/>
        <w:spacing w:before="50" w:after="50"/>
        <w:rPr>
          <w:rFonts w:ascii="宋体" w:hAnsi="宋体"/>
          <w:color w:val="000000" w:themeColor="text1"/>
          <w:spacing w:val="20"/>
          <w:sz w:val="24"/>
          <w:szCs w:val="20"/>
          <w:u w:val="single"/>
        </w:rPr>
      </w:pPr>
      <w:r>
        <w:rPr>
          <w:rFonts w:hint="eastAsia" w:ascii="宋体" w:hAnsi="宋体"/>
          <w:color w:val="000000" w:themeColor="text1"/>
          <w:spacing w:val="20"/>
          <w:sz w:val="24"/>
        </w:rPr>
        <w:t>投标人盖章：日期：</w:t>
      </w:r>
    </w:p>
    <w:p>
      <w:pPr>
        <w:snapToGrid w:val="0"/>
        <w:spacing w:before="50" w:after="50"/>
        <w:rPr>
          <w:rFonts w:ascii="宋体" w:hAnsi="宋体"/>
          <w:color w:val="000000" w:themeColor="text1"/>
          <w:sz w:val="24"/>
        </w:rPr>
      </w:pPr>
    </w:p>
    <w:p>
      <w:pPr>
        <w:snapToGrid w:val="0"/>
        <w:spacing w:before="50" w:after="50"/>
        <w:rPr>
          <w:rFonts w:ascii="宋体" w:hAnsi="宋体"/>
          <w:color w:val="000000" w:themeColor="text1"/>
          <w:sz w:val="24"/>
        </w:rPr>
      </w:pPr>
    </w:p>
    <w:p>
      <w:pPr>
        <w:snapToGrid w:val="0"/>
        <w:spacing w:before="50" w:after="50"/>
        <w:rPr>
          <w:rFonts w:ascii="宋体" w:hAnsi="宋体"/>
          <w:color w:val="000000" w:themeColor="text1"/>
          <w:spacing w:val="20"/>
          <w:sz w:val="24"/>
          <w:szCs w:val="20"/>
        </w:rPr>
      </w:pPr>
      <w:r>
        <w:rPr>
          <w:rFonts w:hint="eastAsia" w:ascii="宋体" w:hAnsi="宋体"/>
          <w:color w:val="000000" w:themeColor="text1"/>
          <w:spacing w:val="20"/>
          <w:sz w:val="24"/>
          <w:szCs w:val="20"/>
        </w:rPr>
        <w:t>注：1、</w:t>
      </w:r>
      <w:r>
        <w:rPr>
          <w:rFonts w:hint="eastAsia" w:ascii="宋体" w:hAnsi="宋体"/>
          <w:color w:val="000000" w:themeColor="text1"/>
          <w:kern w:val="0"/>
          <w:sz w:val="24"/>
        </w:rPr>
        <w:t>注：根据招标文件中的项目清单列明各项金额</w:t>
      </w:r>
    </w:p>
    <w:p>
      <w:pPr>
        <w:snapToGrid w:val="0"/>
        <w:spacing w:before="50" w:after="50"/>
        <w:ind w:firstLine="560" w:firstLineChars="200"/>
        <w:rPr>
          <w:rFonts w:ascii="宋体" w:hAnsi="宋体"/>
          <w:color w:val="000000" w:themeColor="text1"/>
          <w:spacing w:val="20"/>
          <w:sz w:val="24"/>
          <w:szCs w:val="20"/>
          <w:u w:val="single"/>
        </w:rPr>
      </w:pPr>
      <w:r>
        <w:rPr>
          <w:rFonts w:hint="eastAsia" w:ascii="宋体" w:hAnsi="宋体"/>
          <w:color w:val="000000" w:themeColor="text1"/>
          <w:spacing w:val="20"/>
          <w:sz w:val="24"/>
          <w:szCs w:val="20"/>
        </w:rPr>
        <w:t>2、此表中的总价按照招标文件中的资金分配比例表填报到以上市本级及各县市报价表中</w:t>
      </w:r>
    </w:p>
    <w:p>
      <w:pPr>
        <w:snapToGrid w:val="0"/>
        <w:spacing w:before="50" w:after="50"/>
        <w:jc w:val="center"/>
        <w:rPr>
          <w:rFonts w:ascii="宋体" w:hAnsi="宋体"/>
          <w:color w:val="000000" w:themeColor="text1"/>
          <w:spacing w:val="20"/>
          <w:sz w:val="24"/>
          <w:szCs w:val="20"/>
        </w:rPr>
      </w:pPr>
      <w:r>
        <w:rPr>
          <w:rFonts w:ascii="宋体" w:hAnsi="宋体"/>
          <w:color w:val="000000" w:themeColor="text1"/>
          <w:spacing w:val="20"/>
          <w:sz w:val="24"/>
          <w:szCs w:val="20"/>
        </w:rPr>
        <w:br w:type="page"/>
      </w:r>
    </w:p>
    <w:p>
      <w:pPr>
        <w:snapToGrid w:val="0"/>
        <w:spacing w:before="50" w:after="50"/>
        <w:jc w:val="center"/>
        <w:rPr>
          <w:rFonts w:ascii="宋体" w:hAnsi="宋体"/>
          <w:color w:val="000000" w:themeColor="text1"/>
          <w:spacing w:val="20"/>
          <w:sz w:val="24"/>
          <w:szCs w:val="20"/>
        </w:rPr>
      </w:pPr>
      <w:r>
        <w:rPr>
          <w:rFonts w:hint="eastAsia" w:ascii="宋体" w:hAnsi="宋体"/>
          <w:color w:val="000000" w:themeColor="text1"/>
          <w:kern w:val="0"/>
          <w:sz w:val="24"/>
        </w:rPr>
        <w:t>(15)</w:t>
      </w:r>
      <w:r>
        <w:rPr>
          <w:rFonts w:hint="eastAsia" w:ascii="宋体" w:hAnsi="宋体"/>
          <w:color w:val="000000" w:themeColor="text1"/>
          <w:spacing w:val="20"/>
          <w:sz w:val="24"/>
          <w:szCs w:val="20"/>
        </w:rPr>
        <w:t>公安业务实战应用</w:t>
      </w:r>
    </w:p>
    <w:tbl>
      <w:tblPr>
        <w:tblStyle w:val="53"/>
        <w:tblW w:w="9000" w:type="dxa"/>
        <w:tblInd w:w="-25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3081"/>
        <w:gridCol w:w="1134"/>
        <w:gridCol w:w="1417"/>
        <w:gridCol w:w="1134"/>
        <w:gridCol w:w="851"/>
        <w:gridCol w:w="84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序号</w:t>
            </w: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设备名称</w:t>
            </w: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r>
              <w:rPr>
                <w:rFonts w:ascii="宋体" w:hAnsi="宋体" w:eastAsia="宋体"/>
                <w:color w:val="000000" w:themeColor="text1"/>
              </w:rPr>
              <w:t>品牌</w:t>
            </w: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规格型号</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单位及数量</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单价</w:t>
            </w: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z w:val="24"/>
              </w:rPr>
              <w:t>金额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308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50" w:after="50" w:line="240" w:lineRule="auto"/>
              <w:rPr>
                <w:rFonts w:ascii="宋体" w:hAnsi="宋体" w:eastAsia="宋体"/>
                <w:color w:val="000000" w:themeColor="text1"/>
              </w:rPr>
            </w:pP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8157" w:type="dxa"/>
            <w:gridSpan w:val="6"/>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r>
              <w:rPr>
                <w:rFonts w:hint="eastAsia" w:ascii="宋体" w:hAnsi="宋体"/>
                <w:color w:val="000000" w:themeColor="text1"/>
                <w:spacing w:val="20"/>
                <w:sz w:val="24"/>
              </w:rPr>
              <w:t>投 标 总价</w:t>
            </w:r>
          </w:p>
        </w:tc>
        <w:tc>
          <w:tcPr>
            <w:tcW w:w="84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olor w:val="000000" w:themeColor="text1"/>
                <w:spacing w:val="20"/>
                <w:sz w:val="24"/>
                <w:szCs w:val="20"/>
              </w:rPr>
            </w:pPr>
          </w:p>
        </w:tc>
      </w:tr>
    </w:tbl>
    <w:p>
      <w:pPr>
        <w:snapToGrid w:val="0"/>
        <w:spacing w:before="50" w:after="50"/>
        <w:rPr>
          <w:rFonts w:ascii="宋体" w:hAnsi="宋体"/>
          <w:color w:val="000000" w:themeColor="text1"/>
          <w:spacing w:val="20"/>
          <w:sz w:val="24"/>
          <w:szCs w:val="20"/>
          <w:u w:val="single"/>
        </w:rPr>
      </w:pPr>
      <w:r>
        <w:rPr>
          <w:rFonts w:hint="eastAsia" w:ascii="宋体" w:hAnsi="宋体"/>
          <w:color w:val="000000" w:themeColor="text1"/>
          <w:spacing w:val="20"/>
          <w:sz w:val="24"/>
        </w:rPr>
        <w:t>授权代表签名：</w:t>
      </w:r>
    </w:p>
    <w:p>
      <w:pPr>
        <w:snapToGrid w:val="0"/>
        <w:spacing w:before="50" w:after="50"/>
        <w:rPr>
          <w:rFonts w:ascii="宋体" w:hAnsi="宋体"/>
          <w:color w:val="000000" w:themeColor="text1"/>
          <w:spacing w:val="20"/>
          <w:sz w:val="24"/>
          <w:szCs w:val="20"/>
          <w:u w:val="single"/>
        </w:rPr>
      </w:pPr>
      <w:r>
        <w:rPr>
          <w:rFonts w:hint="eastAsia" w:ascii="宋体" w:hAnsi="宋体"/>
          <w:color w:val="000000" w:themeColor="text1"/>
          <w:spacing w:val="20"/>
          <w:sz w:val="24"/>
        </w:rPr>
        <w:t>投标人盖章：日期：</w:t>
      </w:r>
    </w:p>
    <w:p>
      <w:pPr>
        <w:snapToGrid w:val="0"/>
        <w:spacing w:before="50" w:after="50"/>
        <w:rPr>
          <w:rFonts w:ascii="宋体" w:hAnsi="宋体"/>
          <w:color w:val="000000" w:themeColor="text1"/>
          <w:sz w:val="24"/>
        </w:rPr>
      </w:pPr>
    </w:p>
    <w:p>
      <w:pPr>
        <w:snapToGrid w:val="0"/>
        <w:spacing w:before="50" w:after="50"/>
        <w:rPr>
          <w:rFonts w:ascii="宋体" w:hAnsi="宋体"/>
          <w:color w:val="000000" w:themeColor="text1"/>
          <w:sz w:val="24"/>
        </w:rPr>
      </w:pPr>
    </w:p>
    <w:p>
      <w:pPr>
        <w:snapToGrid w:val="0"/>
        <w:spacing w:before="50" w:after="50"/>
        <w:rPr>
          <w:rFonts w:ascii="宋体" w:hAnsi="宋体"/>
          <w:color w:val="000000" w:themeColor="text1"/>
          <w:spacing w:val="20"/>
          <w:sz w:val="24"/>
          <w:szCs w:val="20"/>
        </w:rPr>
      </w:pPr>
      <w:r>
        <w:rPr>
          <w:rFonts w:hint="eastAsia" w:ascii="宋体" w:hAnsi="宋体"/>
          <w:color w:val="000000" w:themeColor="text1"/>
          <w:spacing w:val="20"/>
          <w:sz w:val="24"/>
          <w:szCs w:val="20"/>
        </w:rPr>
        <w:t>注：1、</w:t>
      </w:r>
      <w:r>
        <w:rPr>
          <w:rFonts w:hint="eastAsia" w:ascii="宋体" w:hAnsi="宋体"/>
          <w:color w:val="000000" w:themeColor="text1"/>
          <w:kern w:val="0"/>
          <w:sz w:val="24"/>
        </w:rPr>
        <w:t>注：根据招标文件中的项目清单列明各项金额</w:t>
      </w:r>
    </w:p>
    <w:p>
      <w:pPr>
        <w:snapToGrid w:val="0"/>
        <w:spacing w:before="50" w:after="50"/>
        <w:ind w:firstLine="560" w:firstLineChars="200"/>
        <w:rPr>
          <w:rFonts w:ascii="宋体" w:hAnsi="宋体"/>
          <w:color w:val="000000" w:themeColor="text1"/>
          <w:spacing w:val="20"/>
          <w:sz w:val="24"/>
          <w:szCs w:val="20"/>
          <w:u w:val="single"/>
        </w:rPr>
      </w:pPr>
      <w:r>
        <w:rPr>
          <w:rFonts w:hint="eastAsia" w:ascii="宋体" w:hAnsi="宋体"/>
          <w:color w:val="000000" w:themeColor="text1"/>
          <w:spacing w:val="20"/>
          <w:sz w:val="24"/>
          <w:szCs w:val="20"/>
        </w:rPr>
        <w:t>2、此表中的总价按照招标文件中的资金分配比例表填报到以上市本级及各县市报价表中</w:t>
      </w:r>
      <w:r>
        <w:rPr>
          <w:rFonts w:ascii="宋体" w:hAnsi="宋体"/>
          <w:color w:val="000000" w:themeColor="text1"/>
          <w:sz w:val="24"/>
        </w:rPr>
        <w:br w:type="page"/>
      </w:r>
      <w:r>
        <w:rPr>
          <w:rFonts w:hint="eastAsia" w:ascii="宋体" w:hAnsi="宋体"/>
          <w:color w:val="000000" w:themeColor="text1"/>
          <w:sz w:val="24"/>
        </w:rPr>
        <w:t>51.</w:t>
      </w:r>
      <w:r>
        <w:rPr>
          <w:rFonts w:hint="eastAsia" w:ascii="宋体" w:hAnsi="宋体"/>
          <w:color w:val="000000" w:themeColor="text1"/>
        </w:rPr>
        <w:t>开标一览表信封封面格式（可以手写，密封）：</w:t>
      </w:r>
    </w:p>
    <w:p>
      <w:pPr>
        <w:snapToGrid w:val="0"/>
        <w:spacing w:before="50" w:after="50"/>
        <w:rPr>
          <w:rFonts w:ascii="宋体" w:hAnsi="宋体"/>
          <w:color w:val="000000" w:themeColor="text1"/>
          <w:sz w:val="32"/>
          <w:szCs w:val="20"/>
        </w:rPr>
      </w:pPr>
    </w:p>
    <w:p>
      <w:pPr>
        <w:snapToGrid w:val="0"/>
        <w:spacing w:before="50" w:after="50"/>
        <w:rPr>
          <w:rFonts w:ascii="宋体" w:hAnsi="宋体"/>
          <w:color w:val="000000" w:themeColor="text1"/>
          <w:sz w:val="32"/>
          <w:szCs w:val="20"/>
        </w:rPr>
      </w:pPr>
    </w:p>
    <w:p>
      <w:pPr>
        <w:snapToGrid w:val="0"/>
        <w:spacing w:before="50" w:after="50"/>
        <w:rPr>
          <w:rFonts w:ascii="宋体" w:hAnsi="宋体"/>
          <w:color w:val="000000" w:themeColor="text1"/>
          <w:sz w:val="32"/>
          <w:szCs w:val="20"/>
        </w:rPr>
      </w:pPr>
    </w:p>
    <w:p>
      <w:pPr>
        <w:snapToGrid w:val="0"/>
        <w:spacing w:before="50" w:after="50"/>
        <w:rPr>
          <w:rFonts w:ascii="宋体" w:hAnsi="宋体"/>
          <w:color w:val="000000" w:themeColor="text1"/>
          <w:sz w:val="24"/>
          <w:szCs w:val="20"/>
          <w:u w:val="single"/>
        </w:rPr>
      </w:pPr>
      <w:r>
        <w:rPr>
          <w:rFonts w:hint="eastAsia" w:ascii="宋体" w:hAnsi="宋体"/>
          <w:color w:val="000000" w:themeColor="text1"/>
          <w:sz w:val="24"/>
        </w:rPr>
        <w:t>招标编号：标项：</w:t>
      </w:r>
    </w:p>
    <w:p>
      <w:pPr>
        <w:snapToGrid w:val="0"/>
        <w:spacing w:before="50" w:after="50"/>
        <w:rPr>
          <w:rFonts w:ascii="宋体" w:hAnsi="宋体"/>
          <w:color w:val="000000" w:themeColor="text1"/>
          <w:sz w:val="24"/>
          <w:szCs w:val="20"/>
        </w:rPr>
      </w:pPr>
    </w:p>
    <w:p>
      <w:pPr>
        <w:snapToGrid w:val="0"/>
        <w:spacing w:before="50" w:after="50"/>
        <w:rPr>
          <w:rFonts w:ascii="宋体" w:hAnsi="宋体"/>
          <w:color w:val="000000" w:themeColor="text1"/>
          <w:sz w:val="32"/>
          <w:szCs w:val="20"/>
        </w:rPr>
      </w:pPr>
      <w:r>
        <w:rPr>
          <w:rFonts w:hint="eastAsia" w:ascii="宋体" w:hAnsi="宋体"/>
          <w:color w:val="000000" w:themeColor="text1"/>
          <w:sz w:val="24"/>
        </w:rPr>
        <w:t>投标人名称：</w:t>
      </w:r>
    </w:p>
    <w:p>
      <w:pPr>
        <w:pStyle w:val="25"/>
        <w:snapToGrid w:val="0"/>
        <w:spacing w:beforeLines="0" w:afterLines="0" w:line="240" w:lineRule="auto"/>
        <w:jc w:val="center"/>
        <w:rPr>
          <w:rFonts w:hAnsi="宋体"/>
          <w:color w:val="000000" w:themeColor="text1"/>
          <w:sz w:val="30"/>
        </w:rPr>
      </w:pPr>
      <w:r>
        <w:rPr>
          <w:rFonts w:hAnsi="宋体"/>
          <w:color w:val="000000" w:themeColor="text1"/>
          <w:sz w:val="30"/>
        </w:rPr>
        <w:t>开标一览表</w:t>
      </w:r>
    </w:p>
    <w:p>
      <w:pPr>
        <w:tabs>
          <w:tab w:val="left" w:pos="1418"/>
        </w:tabs>
        <w:snapToGrid w:val="0"/>
        <w:spacing w:before="50" w:after="50"/>
        <w:ind w:left="1418" w:hanging="567"/>
        <w:jc w:val="center"/>
        <w:rPr>
          <w:rFonts w:ascii="宋体" w:hAnsi="宋体"/>
          <w:color w:val="000000" w:themeColor="text1"/>
          <w:spacing w:val="20"/>
          <w:sz w:val="24"/>
          <w:szCs w:val="20"/>
          <w:u w:val="single"/>
        </w:rPr>
      </w:pPr>
    </w:p>
    <w:p>
      <w:pPr>
        <w:snapToGrid w:val="0"/>
        <w:spacing w:before="50" w:after="50"/>
        <w:rPr>
          <w:rFonts w:ascii="宋体" w:hAnsi="宋体"/>
          <w:color w:val="000000" w:themeColor="text1"/>
        </w:rPr>
        <w:sectPr>
          <w:footerReference r:id="rId14" w:type="first"/>
          <w:footerReference r:id="rId12" w:type="default"/>
          <w:footerReference r:id="rId13" w:type="even"/>
          <w:pgSz w:w="11906" w:h="16838"/>
          <w:pgMar w:top="1474" w:right="1797" w:bottom="1247" w:left="1797" w:header="851" w:footer="851" w:gutter="0"/>
          <w:cols w:space="720" w:num="1"/>
          <w:docGrid w:linePitch="312" w:charSpace="0"/>
        </w:sectPr>
      </w:pPr>
    </w:p>
    <w:p>
      <w:pPr>
        <w:snapToGrid w:val="0"/>
        <w:spacing w:before="50" w:after="50"/>
        <w:rPr>
          <w:rFonts w:ascii="宋体" w:hAnsi="宋体"/>
          <w:b/>
          <w:color w:val="000000" w:themeColor="text1"/>
          <w:sz w:val="24"/>
          <w:szCs w:val="20"/>
        </w:rPr>
      </w:pPr>
      <w:r>
        <w:rPr>
          <w:rFonts w:ascii="宋体" w:hAnsi="宋体"/>
          <w:color w:val="000000" w:themeColor="text1"/>
          <w:sz w:val="24"/>
        </w:rPr>
        <w:t>5</w:t>
      </w:r>
      <w:r>
        <w:rPr>
          <w:rFonts w:hint="eastAsia" w:ascii="宋体" w:hAnsi="宋体"/>
          <w:color w:val="000000" w:themeColor="text1"/>
          <w:sz w:val="24"/>
        </w:rPr>
        <w:t>2.</w:t>
      </w:r>
      <w:r>
        <w:rPr>
          <w:rFonts w:hint="eastAsia" w:ascii="宋体" w:hAnsi="宋体"/>
          <w:b/>
          <w:color w:val="000000" w:themeColor="text1"/>
          <w:sz w:val="24"/>
        </w:rPr>
        <w:t>开标一览表（货物类格式）</w:t>
      </w:r>
    </w:p>
    <w:p>
      <w:pPr>
        <w:snapToGrid w:val="0"/>
        <w:spacing w:before="50" w:after="50"/>
        <w:jc w:val="center"/>
        <w:rPr>
          <w:rFonts w:ascii="宋体" w:hAnsi="宋体"/>
          <w:b/>
          <w:color w:val="000000" w:themeColor="text1"/>
          <w:sz w:val="30"/>
          <w:szCs w:val="20"/>
        </w:rPr>
      </w:pPr>
      <w:r>
        <w:rPr>
          <w:rFonts w:hint="eastAsia" w:ascii="宋体" w:hAnsi="宋体"/>
          <w:b/>
          <w:color w:val="000000" w:themeColor="text1"/>
          <w:sz w:val="30"/>
        </w:rPr>
        <w:t>开标一览表（1）</w:t>
      </w:r>
    </w:p>
    <w:p>
      <w:pPr>
        <w:snapToGrid w:val="0"/>
        <w:spacing w:before="50" w:after="50"/>
        <w:ind w:firstLine="600" w:firstLineChars="250"/>
        <w:rPr>
          <w:rFonts w:ascii="宋体" w:hAnsi="宋体"/>
          <w:color w:val="000000" w:themeColor="text1"/>
          <w:sz w:val="24"/>
          <w:szCs w:val="20"/>
        </w:rPr>
      </w:pPr>
      <w:r>
        <w:rPr>
          <w:rFonts w:hint="eastAsia" w:ascii="宋体" w:hAnsi="宋体"/>
          <w:color w:val="000000" w:themeColor="text1"/>
          <w:sz w:val="24"/>
        </w:rPr>
        <w:t>招标编号：标项：投标人名称：单位：元</w:t>
      </w:r>
    </w:p>
    <w:tbl>
      <w:tblPr>
        <w:tblStyle w:val="53"/>
        <w:tblW w:w="13095"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28"/>
        <w:gridCol w:w="6341"/>
        <w:gridCol w:w="6"/>
        <w:gridCol w:w="552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6" w:hRule="atLeast"/>
          <w:jc w:val="center"/>
        </w:trPr>
        <w:tc>
          <w:tcPr>
            <w:tcW w:w="1228"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color w:val="000000" w:themeColor="text1"/>
                <w:szCs w:val="30"/>
              </w:rPr>
            </w:pPr>
            <w:r>
              <w:rPr>
                <w:rFonts w:hint="eastAsia" w:ascii="宋体" w:hAnsi="宋体"/>
                <w:b/>
                <w:color w:val="000000" w:themeColor="text1"/>
                <w:szCs w:val="30"/>
              </w:rPr>
              <w:t>序号</w:t>
            </w:r>
          </w:p>
        </w:tc>
        <w:tc>
          <w:tcPr>
            <w:tcW w:w="634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color w:val="000000" w:themeColor="text1"/>
                <w:szCs w:val="30"/>
              </w:rPr>
            </w:pPr>
            <w:r>
              <w:rPr>
                <w:rFonts w:hint="eastAsia" w:ascii="宋体" w:hAnsi="宋体"/>
                <w:b/>
                <w:color w:val="000000" w:themeColor="text1"/>
                <w:szCs w:val="30"/>
              </w:rPr>
              <w:t>区域</w:t>
            </w:r>
          </w:p>
        </w:tc>
        <w:tc>
          <w:tcPr>
            <w:tcW w:w="5526" w:type="dxa"/>
            <w:gridSpan w:val="2"/>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color w:val="000000" w:themeColor="text1"/>
                <w:szCs w:val="30"/>
              </w:rPr>
            </w:pPr>
            <w:r>
              <w:rPr>
                <w:rFonts w:hint="eastAsia" w:ascii="宋体" w:hAnsi="宋体"/>
                <w:b/>
                <w:color w:val="000000" w:themeColor="text1"/>
                <w:szCs w:val="30"/>
              </w:rPr>
              <w:t>投标报价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6" w:hRule="atLeast"/>
          <w:jc w:val="center"/>
        </w:trPr>
        <w:tc>
          <w:tcPr>
            <w:tcW w:w="1228"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color w:val="000000" w:themeColor="text1"/>
                <w:szCs w:val="30"/>
              </w:rPr>
            </w:pPr>
            <w:r>
              <w:rPr>
                <w:rFonts w:hint="eastAsia" w:ascii="宋体" w:hAnsi="宋体"/>
                <w:b/>
                <w:color w:val="000000" w:themeColor="text1"/>
                <w:szCs w:val="30"/>
              </w:rPr>
              <w:t>1</w:t>
            </w:r>
          </w:p>
        </w:tc>
        <w:tc>
          <w:tcPr>
            <w:tcW w:w="6341"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rPr>
            </w:pPr>
            <w:r>
              <w:rPr>
                <w:rFonts w:hint="eastAsia"/>
                <w:color w:val="000000" w:themeColor="text1"/>
              </w:rPr>
              <w:t>市本级（交警）</w:t>
            </w:r>
          </w:p>
        </w:tc>
        <w:tc>
          <w:tcPr>
            <w:tcW w:w="5526" w:type="dxa"/>
            <w:gridSpan w:val="2"/>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color w:val="000000" w:themeColor="text1"/>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6" w:hRule="atLeast"/>
          <w:jc w:val="center"/>
        </w:trPr>
        <w:tc>
          <w:tcPr>
            <w:tcW w:w="1228"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color w:val="000000" w:themeColor="text1"/>
                <w:szCs w:val="30"/>
              </w:rPr>
            </w:pPr>
            <w:r>
              <w:rPr>
                <w:rFonts w:hint="eastAsia" w:ascii="宋体" w:hAnsi="宋体"/>
                <w:b/>
                <w:color w:val="000000" w:themeColor="text1"/>
                <w:szCs w:val="30"/>
              </w:rPr>
              <w:t>2</w:t>
            </w:r>
          </w:p>
        </w:tc>
        <w:tc>
          <w:tcPr>
            <w:tcW w:w="6341"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rPr>
            </w:pPr>
            <w:r>
              <w:rPr>
                <w:rFonts w:hint="eastAsia"/>
                <w:color w:val="000000" w:themeColor="text1"/>
              </w:rPr>
              <w:t>婺城区</w:t>
            </w:r>
          </w:p>
        </w:tc>
        <w:tc>
          <w:tcPr>
            <w:tcW w:w="5526" w:type="dxa"/>
            <w:gridSpan w:val="2"/>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color w:val="000000" w:themeColor="text1"/>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6" w:hRule="atLeast"/>
          <w:jc w:val="center"/>
        </w:trPr>
        <w:tc>
          <w:tcPr>
            <w:tcW w:w="1228"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color w:val="000000" w:themeColor="text1"/>
                <w:szCs w:val="30"/>
              </w:rPr>
            </w:pPr>
            <w:r>
              <w:rPr>
                <w:rFonts w:hint="eastAsia" w:ascii="宋体" w:hAnsi="宋体"/>
                <w:b/>
                <w:color w:val="000000" w:themeColor="text1"/>
                <w:szCs w:val="30"/>
              </w:rPr>
              <w:t>3</w:t>
            </w:r>
          </w:p>
        </w:tc>
        <w:tc>
          <w:tcPr>
            <w:tcW w:w="6341"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rPr>
            </w:pPr>
            <w:r>
              <w:rPr>
                <w:rFonts w:hint="eastAsia"/>
                <w:color w:val="000000" w:themeColor="text1"/>
              </w:rPr>
              <w:t>开发区</w:t>
            </w:r>
          </w:p>
        </w:tc>
        <w:tc>
          <w:tcPr>
            <w:tcW w:w="5526" w:type="dxa"/>
            <w:gridSpan w:val="2"/>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color w:val="000000" w:themeColor="text1"/>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6" w:hRule="atLeast"/>
          <w:jc w:val="center"/>
        </w:trPr>
        <w:tc>
          <w:tcPr>
            <w:tcW w:w="1228"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color w:val="000000" w:themeColor="text1"/>
                <w:szCs w:val="30"/>
              </w:rPr>
            </w:pPr>
            <w:r>
              <w:rPr>
                <w:rFonts w:hint="eastAsia" w:ascii="宋体" w:hAnsi="宋体"/>
                <w:b/>
                <w:color w:val="000000" w:themeColor="text1"/>
                <w:szCs w:val="30"/>
              </w:rPr>
              <w:t>4</w:t>
            </w:r>
          </w:p>
        </w:tc>
        <w:tc>
          <w:tcPr>
            <w:tcW w:w="6341"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rPr>
            </w:pPr>
            <w:r>
              <w:rPr>
                <w:rFonts w:hint="eastAsia"/>
                <w:color w:val="000000" w:themeColor="text1"/>
              </w:rPr>
              <w:t>金东区</w:t>
            </w:r>
          </w:p>
        </w:tc>
        <w:tc>
          <w:tcPr>
            <w:tcW w:w="5526" w:type="dxa"/>
            <w:gridSpan w:val="2"/>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color w:val="000000" w:themeColor="text1"/>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6" w:hRule="atLeast"/>
          <w:jc w:val="center"/>
        </w:trPr>
        <w:tc>
          <w:tcPr>
            <w:tcW w:w="1228"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color w:val="000000" w:themeColor="text1"/>
                <w:szCs w:val="30"/>
              </w:rPr>
            </w:pPr>
            <w:r>
              <w:rPr>
                <w:rFonts w:hint="eastAsia" w:ascii="宋体" w:hAnsi="宋体"/>
                <w:b/>
                <w:color w:val="000000" w:themeColor="text1"/>
                <w:szCs w:val="30"/>
              </w:rPr>
              <w:t>5</w:t>
            </w:r>
          </w:p>
        </w:tc>
        <w:tc>
          <w:tcPr>
            <w:tcW w:w="6341"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rPr>
            </w:pPr>
            <w:r>
              <w:rPr>
                <w:rFonts w:hint="eastAsia"/>
                <w:color w:val="000000" w:themeColor="text1"/>
              </w:rPr>
              <w:t>金义都</w:t>
            </w:r>
          </w:p>
        </w:tc>
        <w:tc>
          <w:tcPr>
            <w:tcW w:w="5526" w:type="dxa"/>
            <w:gridSpan w:val="2"/>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color w:val="000000" w:themeColor="text1"/>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6" w:hRule="atLeast"/>
          <w:jc w:val="center"/>
        </w:trPr>
        <w:tc>
          <w:tcPr>
            <w:tcW w:w="1228"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color w:val="000000" w:themeColor="text1"/>
                <w:szCs w:val="30"/>
              </w:rPr>
            </w:pPr>
            <w:r>
              <w:rPr>
                <w:rFonts w:hint="eastAsia" w:ascii="宋体" w:hAnsi="宋体"/>
                <w:b/>
                <w:color w:val="000000" w:themeColor="text1"/>
                <w:szCs w:val="30"/>
              </w:rPr>
              <w:t>6</w:t>
            </w:r>
          </w:p>
        </w:tc>
        <w:tc>
          <w:tcPr>
            <w:tcW w:w="6341"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rPr>
            </w:pPr>
            <w:r>
              <w:rPr>
                <w:rFonts w:hint="eastAsia"/>
                <w:color w:val="000000" w:themeColor="text1"/>
              </w:rPr>
              <w:t>兰溪市</w:t>
            </w:r>
          </w:p>
        </w:tc>
        <w:tc>
          <w:tcPr>
            <w:tcW w:w="5526" w:type="dxa"/>
            <w:gridSpan w:val="2"/>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color w:val="000000" w:themeColor="text1"/>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6" w:hRule="atLeast"/>
          <w:jc w:val="center"/>
        </w:trPr>
        <w:tc>
          <w:tcPr>
            <w:tcW w:w="1228"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color w:val="000000" w:themeColor="text1"/>
                <w:szCs w:val="30"/>
              </w:rPr>
            </w:pPr>
            <w:r>
              <w:rPr>
                <w:rFonts w:hint="eastAsia" w:ascii="宋体" w:hAnsi="宋体"/>
                <w:b/>
                <w:color w:val="000000" w:themeColor="text1"/>
                <w:szCs w:val="30"/>
              </w:rPr>
              <w:t>7</w:t>
            </w:r>
          </w:p>
        </w:tc>
        <w:tc>
          <w:tcPr>
            <w:tcW w:w="6341"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rPr>
            </w:pPr>
            <w:r>
              <w:rPr>
                <w:rFonts w:hint="eastAsia"/>
                <w:color w:val="000000" w:themeColor="text1"/>
              </w:rPr>
              <w:t>义乌市</w:t>
            </w:r>
          </w:p>
        </w:tc>
        <w:tc>
          <w:tcPr>
            <w:tcW w:w="5526" w:type="dxa"/>
            <w:gridSpan w:val="2"/>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color w:val="000000" w:themeColor="text1"/>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6" w:hRule="atLeast"/>
          <w:jc w:val="center"/>
        </w:trPr>
        <w:tc>
          <w:tcPr>
            <w:tcW w:w="1228"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color w:val="000000" w:themeColor="text1"/>
                <w:szCs w:val="30"/>
              </w:rPr>
            </w:pPr>
            <w:r>
              <w:rPr>
                <w:rFonts w:hint="eastAsia" w:ascii="宋体" w:hAnsi="宋体"/>
                <w:b/>
                <w:color w:val="000000" w:themeColor="text1"/>
                <w:szCs w:val="30"/>
              </w:rPr>
              <w:t>8</w:t>
            </w:r>
          </w:p>
        </w:tc>
        <w:tc>
          <w:tcPr>
            <w:tcW w:w="6341"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rPr>
            </w:pPr>
            <w:r>
              <w:rPr>
                <w:rFonts w:hint="eastAsia"/>
                <w:color w:val="000000" w:themeColor="text1"/>
              </w:rPr>
              <w:t>东阳市</w:t>
            </w:r>
          </w:p>
        </w:tc>
        <w:tc>
          <w:tcPr>
            <w:tcW w:w="5526" w:type="dxa"/>
            <w:gridSpan w:val="2"/>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color w:val="000000" w:themeColor="text1"/>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6" w:hRule="atLeast"/>
          <w:jc w:val="center"/>
        </w:trPr>
        <w:tc>
          <w:tcPr>
            <w:tcW w:w="1228"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color w:val="000000" w:themeColor="text1"/>
                <w:szCs w:val="30"/>
              </w:rPr>
            </w:pPr>
            <w:r>
              <w:rPr>
                <w:rFonts w:hint="eastAsia" w:ascii="宋体" w:hAnsi="宋体"/>
                <w:b/>
                <w:color w:val="000000" w:themeColor="text1"/>
                <w:szCs w:val="30"/>
              </w:rPr>
              <w:t>9</w:t>
            </w:r>
          </w:p>
        </w:tc>
        <w:tc>
          <w:tcPr>
            <w:tcW w:w="6341"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rPr>
            </w:pPr>
            <w:r>
              <w:rPr>
                <w:rFonts w:hint="eastAsia"/>
                <w:color w:val="000000" w:themeColor="text1"/>
              </w:rPr>
              <w:t>永康市</w:t>
            </w:r>
          </w:p>
        </w:tc>
        <w:tc>
          <w:tcPr>
            <w:tcW w:w="5526" w:type="dxa"/>
            <w:gridSpan w:val="2"/>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color w:val="000000" w:themeColor="text1"/>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6" w:hRule="atLeast"/>
          <w:jc w:val="center"/>
        </w:trPr>
        <w:tc>
          <w:tcPr>
            <w:tcW w:w="1228"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color w:val="000000" w:themeColor="text1"/>
                <w:szCs w:val="30"/>
              </w:rPr>
            </w:pPr>
            <w:r>
              <w:rPr>
                <w:rFonts w:hint="eastAsia" w:ascii="宋体" w:hAnsi="宋体"/>
                <w:b/>
                <w:color w:val="000000" w:themeColor="text1"/>
                <w:szCs w:val="30"/>
              </w:rPr>
              <w:t>10</w:t>
            </w:r>
          </w:p>
        </w:tc>
        <w:tc>
          <w:tcPr>
            <w:tcW w:w="6341"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rPr>
            </w:pPr>
            <w:r>
              <w:rPr>
                <w:rFonts w:hint="eastAsia"/>
                <w:color w:val="000000" w:themeColor="text1"/>
              </w:rPr>
              <w:t>武义县</w:t>
            </w:r>
          </w:p>
        </w:tc>
        <w:tc>
          <w:tcPr>
            <w:tcW w:w="5526" w:type="dxa"/>
            <w:gridSpan w:val="2"/>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color w:val="000000" w:themeColor="text1"/>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6" w:hRule="atLeast"/>
          <w:jc w:val="center"/>
        </w:trPr>
        <w:tc>
          <w:tcPr>
            <w:tcW w:w="1228"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color w:val="000000" w:themeColor="text1"/>
                <w:szCs w:val="30"/>
              </w:rPr>
            </w:pPr>
            <w:r>
              <w:rPr>
                <w:rFonts w:hint="eastAsia" w:ascii="宋体" w:hAnsi="宋体"/>
                <w:b/>
                <w:color w:val="000000" w:themeColor="text1"/>
                <w:szCs w:val="30"/>
              </w:rPr>
              <w:t>11</w:t>
            </w:r>
          </w:p>
        </w:tc>
        <w:tc>
          <w:tcPr>
            <w:tcW w:w="6341"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rPr>
            </w:pPr>
            <w:r>
              <w:rPr>
                <w:rFonts w:hint="eastAsia"/>
                <w:color w:val="000000" w:themeColor="text1"/>
              </w:rPr>
              <w:t>浦江县</w:t>
            </w:r>
          </w:p>
        </w:tc>
        <w:tc>
          <w:tcPr>
            <w:tcW w:w="5526" w:type="dxa"/>
            <w:gridSpan w:val="2"/>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color w:val="000000" w:themeColor="text1"/>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6" w:hRule="atLeast"/>
          <w:jc w:val="center"/>
        </w:trPr>
        <w:tc>
          <w:tcPr>
            <w:tcW w:w="1228"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color w:val="000000" w:themeColor="text1"/>
                <w:szCs w:val="30"/>
              </w:rPr>
            </w:pPr>
            <w:r>
              <w:rPr>
                <w:rFonts w:hint="eastAsia" w:ascii="宋体" w:hAnsi="宋体"/>
                <w:b/>
                <w:color w:val="000000" w:themeColor="text1"/>
                <w:szCs w:val="30"/>
              </w:rPr>
              <w:t>12</w:t>
            </w:r>
          </w:p>
        </w:tc>
        <w:tc>
          <w:tcPr>
            <w:tcW w:w="6341"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rPr>
            </w:pPr>
            <w:r>
              <w:rPr>
                <w:rFonts w:hint="eastAsia"/>
                <w:color w:val="000000" w:themeColor="text1"/>
              </w:rPr>
              <w:t>磐安县</w:t>
            </w:r>
          </w:p>
        </w:tc>
        <w:tc>
          <w:tcPr>
            <w:tcW w:w="5526" w:type="dxa"/>
            <w:gridSpan w:val="2"/>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color w:val="000000" w:themeColor="text1"/>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39" w:hRule="atLeast"/>
          <w:jc w:val="center"/>
        </w:trPr>
        <w:tc>
          <w:tcPr>
            <w:tcW w:w="7575" w:type="dxa"/>
            <w:gridSpan w:val="3"/>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themeColor="text1"/>
                <w:sz w:val="24"/>
                <w:szCs w:val="21"/>
                <w:u w:val="single"/>
              </w:rPr>
            </w:pPr>
            <w:r>
              <w:rPr>
                <w:rFonts w:hint="eastAsia" w:ascii="宋体" w:hAnsi="宋体"/>
                <w:color w:val="000000" w:themeColor="text1"/>
                <w:sz w:val="24"/>
                <w:szCs w:val="21"/>
              </w:rPr>
              <w:t>合计金额大写：</w:t>
            </w:r>
          </w:p>
        </w:tc>
        <w:tc>
          <w:tcPr>
            <w:tcW w:w="552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000000" w:themeColor="text1"/>
                <w:sz w:val="24"/>
                <w:szCs w:val="21"/>
                <w:u w:val="single"/>
              </w:rPr>
            </w:pPr>
            <w:r>
              <w:rPr>
                <w:rFonts w:hint="eastAsia" w:ascii="宋体" w:hAnsi="宋体"/>
                <w:color w:val="000000" w:themeColor="text1"/>
                <w:sz w:val="24"/>
                <w:szCs w:val="21"/>
              </w:rPr>
              <w:t>￥</w:t>
            </w:r>
          </w:p>
        </w:tc>
      </w:tr>
    </w:tbl>
    <w:p>
      <w:pPr>
        <w:snapToGrid w:val="0"/>
        <w:spacing w:before="50" w:after="50"/>
        <w:jc w:val="left"/>
        <w:rPr>
          <w:rFonts w:ascii="宋体" w:hAnsi="宋体"/>
          <w:color w:val="000000" w:themeColor="text1"/>
          <w:sz w:val="24"/>
          <w:szCs w:val="20"/>
        </w:rPr>
      </w:pPr>
      <w:r>
        <w:rPr>
          <w:rFonts w:hint="eastAsia" w:ascii="宋体" w:hAnsi="宋体"/>
          <w:color w:val="000000" w:themeColor="text1"/>
          <w:sz w:val="24"/>
        </w:rPr>
        <w:t>注</w:t>
      </w:r>
      <w:r>
        <w:rPr>
          <w:rFonts w:ascii="宋体" w:hAnsi="宋体"/>
          <w:color w:val="000000" w:themeColor="text1"/>
          <w:sz w:val="24"/>
        </w:rPr>
        <w:t>: 1</w:t>
      </w:r>
      <w:r>
        <w:rPr>
          <w:rFonts w:hint="eastAsia" w:ascii="宋体" w:hAnsi="宋体"/>
          <w:color w:val="000000" w:themeColor="text1"/>
          <w:sz w:val="24"/>
        </w:rPr>
        <w:t>、报价一经涂改，应在涂改处加盖单位公章或者由法定代表人或授权委托人签字或盖章，否则其投标作无效标处理。</w:t>
      </w:r>
    </w:p>
    <w:p>
      <w:pPr>
        <w:snapToGrid w:val="0"/>
        <w:spacing w:before="50" w:after="50"/>
        <w:ind w:firstLine="480" w:firstLineChars="200"/>
        <w:jc w:val="left"/>
        <w:rPr>
          <w:rFonts w:ascii="宋体" w:hAnsi="宋体"/>
          <w:color w:val="000000" w:themeColor="text1"/>
          <w:sz w:val="24"/>
          <w:szCs w:val="20"/>
        </w:rPr>
      </w:pPr>
      <w:r>
        <w:rPr>
          <w:rFonts w:ascii="宋体" w:hAnsi="宋体"/>
          <w:color w:val="000000" w:themeColor="text1"/>
          <w:sz w:val="24"/>
        </w:rPr>
        <w:t>2</w:t>
      </w:r>
      <w:r>
        <w:rPr>
          <w:rFonts w:hint="eastAsia" w:ascii="宋体" w:hAnsi="宋体"/>
          <w:color w:val="000000" w:themeColor="text1"/>
          <w:sz w:val="24"/>
        </w:rPr>
        <w:t>、凡需用专用耗材的专用设备类采购项目，应按招标文件规定的耗材量或按耗材的常规试用量提供报价。</w:t>
      </w:r>
    </w:p>
    <w:p>
      <w:pPr>
        <w:snapToGrid w:val="0"/>
        <w:spacing w:before="50" w:after="50"/>
        <w:ind w:firstLine="480" w:firstLineChars="200"/>
        <w:jc w:val="left"/>
        <w:rPr>
          <w:rFonts w:ascii="宋体" w:hAnsi="宋体"/>
          <w:color w:val="000000" w:themeColor="text1"/>
          <w:sz w:val="24"/>
          <w:szCs w:val="20"/>
        </w:rPr>
      </w:pPr>
      <w:r>
        <w:rPr>
          <w:rFonts w:ascii="宋体" w:hAnsi="宋体"/>
          <w:color w:val="000000" w:themeColor="text1"/>
          <w:sz w:val="24"/>
        </w:rPr>
        <w:t>3</w:t>
      </w:r>
      <w:r>
        <w:rPr>
          <w:rFonts w:hint="eastAsia" w:ascii="宋体" w:hAnsi="宋体"/>
          <w:color w:val="000000" w:themeColor="text1"/>
          <w:sz w:val="24"/>
        </w:rPr>
        <w:t>、投标费用包括项目实施所需的人工费、服务费、运输费、安装调试费、购买及制作标书费、税费及其他一切费用。</w:t>
      </w:r>
    </w:p>
    <w:p>
      <w:pPr>
        <w:snapToGrid w:val="0"/>
        <w:spacing w:before="50" w:after="50"/>
        <w:ind w:firstLine="480" w:firstLineChars="200"/>
        <w:jc w:val="left"/>
        <w:rPr>
          <w:rFonts w:ascii="宋体" w:hAnsi="宋体"/>
          <w:color w:val="000000" w:themeColor="text1"/>
          <w:sz w:val="24"/>
          <w:szCs w:val="20"/>
        </w:rPr>
      </w:pPr>
      <w:r>
        <w:rPr>
          <w:rFonts w:ascii="宋体" w:hAnsi="宋体"/>
          <w:color w:val="000000" w:themeColor="text1"/>
          <w:sz w:val="24"/>
        </w:rPr>
        <w:t>4</w:t>
      </w:r>
      <w:r>
        <w:rPr>
          <w:rFonts w:hint="eastAsia" w:ascii="宋体" w:hAnsi="宋体"/>
          <w:color w:val="000000" w:themeColor="text1"/>
          <w:sz w:val="24"/>
        </w:rPr>
        <w:t>、以上报价应与“投标设备报价明细表”中的“投标总价”相一致。</w:t>
      </w:r>
    </w:p>
    <w:p>
      <w:pPr>
        <w:snapToGrid w:val="0"/>
        <w:spacing w:before="50" w:after="50"/>
        <w:ind w:firstLine="480" w:firstLineChars="200"/>
        <w:rPr>
          <w:rFonts w:ascii="宋体" w:hAnsi="宋体"/>
          <w:color w:val="000000" w:themeColor="text1"/>
          <w:sz w:val="24"/>
          <w:szCs w:val="20"/>
        </w:rPr>
      </w:pPr>
      <w:r>
        <w:rPr>
          <w:rFonts w:ascii="宋体" w:hAnsi="宋体"/>
          <w:color w:val="000000" w:themeColor="text1"/>
          <w:sz w:val="24"/>
        </w:rPr>
        <w:t>5</w:t>
      </w:r>
      <w:r>
        <w:rPr>
          <w:rFonts w:hint="eastAsia" w:ascii="宋体" w:hAnsi="宋体"/>
          <w:color w:val="000000" w:themeColor="text1"/>
          <w:sz w:val="24"/>
        </w:rPr>
        <w:t>、此表请单独信封放入投标文件袋，信封封面请注明招标编号、标项、投标人名称及“开标一览表”字样。</w:t>
      </w:r>
    </w:p>
    <w:p>
      <w:pPr>
        <w:snapToGrid w:val="0"/>
        <w:spacing w:before="50" w:after="50"/>
        <w:ind w:left="-3" w:leftChars="-72" w:right="-817" w:rightChars="-389" w:hanging="148" w:hangingChars="62"/>
        <w:rPr>
          <w:rFonts w:ascii="宋体" w:hAnsi="宋体"/>
          <w:color w:val="000000" w:themeColor="text1"/>
          <w:sz w:val="24"/>
          <w:szCs w:val="20"/>
        </w:rPr>
      </w:pPr>
      <w:r>
        <w:rPr>
          <w:rFonts w:hint="eastAsia" w:ascii="宋体" w:hAnsi="宋体"/>
          <w:color w:val="000000" w:themeColor="text1"/>
          <w:sz w:val="24"/>
        </w:rPr>
        <w:t>法定代表人或授权代表（签字或盖章）：</w:t>
      </w:r>
    </w:p>
    <w:p>
      <w:pPr>
        <w:snapToGrid w:val="0"/>
        <w:spacing w:before="50" w:after="50"/>
        <w:ind w:left="-3" w:leftChars="-72" w:right="-817" w:rightChars="-389" w:hanging="148" w:hangingChars="62"/>
        <w:rPr>
          <w:rFonts w:ascii="宋体" w:hAnsi="宋体"/>
          <w:color w:val="000000" w:themeColor="text1"/>
          <w:sz w:val="24"/>
        </w:rPr>
      </w:pPr>
      <w:r>
        <w:rPr>
          <w:rFonts w:hint="eastAsia" w:ascii="宋体" w:hAnsi="宋体"/>
          <w:color w:val="000000" w:themeColor="text1"/>
          <w:sz w:val="24"/>
        </w:rPr>
        <w:t>投标人名称（盖章）：日期：年月日</w:t>
      </w:r>
    </w:p>
    <w:p>
      <w:pPr>
        <w:snapToGrid w:val="0"/>
        <w:spacing w:before="50" w:after="50"/>
        <w:jc w:val="center"/>
        <w:rPr>
          <w:rFonts w:ascii="宋体" w:hAnsi="宋体"/>
          <w:b/>
          <w:color w:val="000000" w:themeColor="text1"/>
          <w:sz w:val="30"/>
          <w:szCs w:val="20"/>
        </w:rPr>
      </w:pPr>
      <w:r>
        <w:rPr>
          <w:rFonts w:ascii="宋体" w:hAnsi="宋体"/>
          <w:color w:val="000000" w:themeColor="text1"/>
          <w:sz w:val="24"/>
        </w:rPr>
        <w:br w:type="page"/>
      </w:r>
      <w:r>
        <w:rPr>
          <w:rFonts w:hint="eastAsia" w:ascii="宋体" w:hAnsi="宋体"/>
          <w:b/>
          <w:color w:val="000000" w:themeColor="text1"/>
          <w:sz w:val="30"/>
        </w:rPr>
        <w:t>开标一览表（2）</w:t>
      </w:r>
    </w:p>
    <w:p>
      <w:pPr>
        <w:snapToGrid w:val="0"/>
        <w:spacing w:before="50" w:after="50"/>
        <w:ind w:firstLine="600" w:firstLineChars="250"/>
        <w:rPr>
          <w:rFonts w:ascii="宋体" w:hAnsi="宋体"/>
          <w:color w:val="000000" w:themeColor="text1"/>
          <w:sz w:val="24"/>
          <w:szCs w:val="20"/>
        </w:rPr>
      </w:pPr>
      <w:r>
        <w:rPr>
          <w:rFonts w:hint="eastAsia" w:ascii="宋体" w:hAnsi="宋体"/>
          <w:color w:val="000000" w:themeColor="text1"/>
          <w:sz w:val="24"/>
        </w:rPr>
        <w:t>招标编号：标项：投标人名称：单位：元</w:t>
      </w:r>
    </w:p>
    <w:tbl>
      <w:tblPr>
        <w:tblStyle w:val="53"/>
        <w:tblW w:w="141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8"/>
        <w:gridCol w:w="1134"/>
        <w:gridCol w:w="6852"/>
        <w:gridCol w:w="4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4" w:type="dxa"/>
            <w:gridSpan w:val="3"/>
            <w:shd w:val="clear" w:color="auto" w:fill="auto"/>
            <w:noWrap/>
            <w:vAlign w:val="center"/>
          </w:tcPr>
          <w:p>
            <w:pPr>
              <w:snapToGrid w:val="0"/>
              <w:spacing w:before="50" w:after="50"/>
              <w:jc w:val="center"/>
              <w:rPr>
                <w:rFonts w:ascii="宋体" w:hAnsi="宋体"/>
                <w:color w:val="000000" w:themeColor="text1"/>
                <w:szCs w:val="30"/>
              </w:rPr>
            </w:pPr>
            <w:r>
              <w:rPr>
                <w:rFonts w:hint="eastAsia" w:ascii="宋体" w:hAnsi="宋体"/>
                <w:color w:val="000000" w:themeColor="text1"/>
                <w:szCs w:val="30"/>
              </w:rPr>
              <w:t>项目</w:t>
            </w:r>
          </w:p>
        </w:tc>
        <w:tc>
          <w:tcPr>
            <w:tcW w:w="4678" w:type="dxa"/>
            <w:shd w:val="clear" w:color="auto" w:fill="auto"/>
            <w:noWrap/>
            <w:vAlign w:val="center"/>
          </w:tcPr>
          <w:p>
            <w:pPr>
              <w:snapToGrid w:val="0"/>
              <w:spacing w:before="50" w:after="50"/>
              <w:jc w:val="center"/>
              <w:rPr>
                <w:rFonts w:ascii="宋体" w:hAnsi="宋体"/>
                <w:color w:val="000000" w:themeColor="text1"/>
                <w:szCs w:val="30"/>
              </w:rPr>
            </w:pPr>
            <w:r>
              <w:rPr>
                <w:rFonts w:hint="eastAsia" w:ascii="宋体" w:hAnsi="宋体"/>
                <w:b/>
                <w:color w:val="000000" w:themeColor="text1"/>
                <w:szCs w:val="30"/>
              </w:rPr>
              <w:t>投标报价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4" w:type="dxa"/>
            <w:gridSpan w:val="3"/>
            <w:shd w:val="clear" w:color="auto" w:fill="auto"/>
            <w:noWrap/>
            <w:vAlign w:val="center"/>
          </w:tcPr>
          <w:p>
            <w:pPr>
              <w:snapToGrid w:val="0"/>
              <w:spacing w:before="50" w:after="50"/>
              <w:jc w:val="center"/>
              <w:rPr>
                <w:rFonts w:ascii="宋体" w:hAnsi="宋体"/>
                <w:color w:val="000000" w:themeColor="text1"/>
                <w:szCs w:val="30"/>
              </w:rPr>
            </w:pPr>
            <w:r>
              <w:rPr>
                <w:rFonts w:hint="eastAsia" w:ascii="宋体" w:hAnsi="宋体"/>
                <w:color w:val="000000" w:themeColor="text1"/>
                <w:szCs w:val="30"/>
              </w:rPr>
              <w:t>综治分平台（社会面整合平台）</w:t>
            </w:r>
          </w:p>
        </w:tc>
        <w:tc>
          <w:tcPr>
            <w:tcW w:w="4678" w:type="dxa"/>
            <w:shd w:val="clear" w:color="auto" w:fill="auto"/>
            <w:noWrap/>
            <w:vAlign w:val="center"/>
          </w:tcPr>
          <w:p>
            <w:pPr>
              <w:snapToGrid w:val="0"/>
              <w:spacing w:before="50" w:after="50"/>
              <w:jc w:val="center"/>
              <w:rPr>
                <w:rFonts w:ascii="宋体" w:hAnsi="宋体"/>
                <w:color w:val="000000" w:themeColor="text1"/>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4" w:type="dxa"/>
            <w:gridSpan w:val="3"/>
            <w:shd w:val="clear" w:color="auto" w:fill="auto"/>
            <w:noWrap/>
            <w:vAlign w:val="center"/>
          </w:tcPr>
          <w:p>
            <w:pPr>
              <w:snapToGrid w:val="0"/>
              <w:spacing w:before="50" w:after="50"/>
              <w:jc w:val="center"/>
              <w:rPr>
                <w:rFonts w:ascii="宋体" w:hAnsi="宋体"/>
                <w:color w:val="000000" w:themeColor="text1"/>
                <w:szCs w:val="30"/>
              </w:rPr>
            </w:pPr>
            <w:r>
              <w:rPr>
                <w:rFonts w:hint="eastAsia" w:ascii="宋体" w:hAnsi="宋体"/>
                <w:color w:val="000000" w:themeColor="text1"/>
                <w:szCs w:val="30"/>
              </w:rPr>
              <w:t>网络系统</w:t>
            </w:r>
          </w:p>
        </w:tc>
        <w:tc>
          <w:tcPr>
            <w:tcW w:w="4678" w:type="dxa"/>
            <w:shd w:val="clear" w:color="auto" w:fill="auto"/>
            <w:noWrap/>
            <w:vAlign w:val="center"/>
          </w:tcPr>
          <w:p>
            <w:pPr>
              <w:snapToGrid w:val="0"/>
              <w:spacing w:before="50" w:after="50"/>
              <w:jc w:val="center"/>
              <w:rPr>
                <w:rFonts w:ascii="宋体" w:hAnsi="宋体"/>
                <w:color w:val="000000" w:themeColor="text1"/>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4" w:type="dxa"/>
            <w:gridSpan w:val="3"/>
            <w:shd w:val="clear" w:color="auto" w:fill="auto"/>
            <w:noWrap/>
            <w:vAlign w:val="center"/>
          </w:tcPr>
          <w:p>
            <w:pPr>
              <w:snapToGrid w:val="0"/>
              <w:spacing w:before="50" w:after="50"/>
              <w:jc w:val="center"/>
              <w:rPr>
                <w:rFonts w:ascii="宋体" w:hAnsi="宋体"/>
                <w:color w:val="000000" w:themeColor="text1"/>
                <w:szCs w:val="30"/>
              </w:rPr>
            </w:pPr>
            <w:r>
              <w:rPr>
                <w:rFonts w:hint="eastAsia" w:ascii="宋体" w:hAnsi="宋体"/>
                <w:color w:val="000000" w:themeColor="text1"/>
                <w:szCs w:val="30"/>
              </w:rPr>
              <w:t>安全系统</w:t>
            </w:r>
          </w:p>
        </w:tc>
        <w:tc>
          <w:tcPr>
            <w:tcW w:w="4678" w:type="dxa"/>
            <w:shd w:val="clear" w:color="auto" w:fill="auto"/>
            <w:noWrap/>
            <w:vAlign w:val="center"/>
          </w:tcPr>
          <w:p>
            <w:pPr>
              <w:snapToGrid w:val="0"/>
              <w:spacing w:before="50" w:after="50"/>
              <w:jc w:val="center"/>
              <w:rPr>
                <w:rFonts w:ascii="宋体" w:hAnsi="宋体"/>
                <w:color w:val="000000" w:themeColor="text1"/>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78" w:type="dxa"/>
            <w:vMerge w:val="restart"/>
            <w:shd w:val="clear" w:color="auto" w:fill="auto"/>
            <w:noWrap/>
            <w:vAlign w:val="center"/>
          </w:tcPr>
          <w:p>
            <w:pPr>
              <w:snapToGrid w:val="0"/>
              <w:spacing w:before="50" w:after="50"/>
              <w:jc w:val="center"/>
              <w:rPr>
                <w:rFonts w:ascii="宋体" w:hAnsi="宋体"/>
                <w:color w:val="000000" w:themeColor="text1"/>
                <w:szCs w:val="30"/>
              </w:rPr>
            </w:pPr>
            <w:r>
              <w:rPr>
                <w:rFonts w:hint="eastAsia" w:ascii="宋体" w:hAnsi="宋体"/>
                <w:color w:val="000000" w:themeColor="text1"/>
                <w:szCs w:val="30"/>
              </w:rPr>
              <w:t>综治大厅及实战应用</w:t>
            </w:r>
          </w:p>
        </w:tc>
        <w:tc>
          <w:tcPr>
            <w:tcW w:w="7986" w:type="dxa"/>
            <w:gridSpan w:val="2"/>
            <w:shd w:val="clear" w:color="auto" w:fill="auto"/>
            <w:vAlign w:val="center"/>
          </w:tcPr>
          <w:p>
            <w:pPr>
              <w:snapToGrid w:val="0"/>
              <w:spacing w:before="50" w:after="50"/>
              <w:jc w:val="center"/>
              <w:rPr>
                <w:rFonts w:ascii="宋体" w:hAnsi="宋体"/>
                <w:color w:val="000000" w:themeColor="text1"/>
                <w:szCs w:val="30"/>
              </w:rPr>
            </w:pPr>
            <w:r>
              <w:rPr>
                <w:rFonts w:hint="eastAsia" w:ascii="宋体" w:hAnsi="宋体"/>
                <w:color w:val="000000" w:themeColor="text1"/>
                <w:szCs w:val="30"/>
              </w:rPr>
              <w:t>综合指挥中心（指挥大厅）</w:t>
            </w:r>
          </w:p>
        </w:tc>
        <w:tc>
          <w:tcPr>
            <w:tcW w:w="4678" w:type="dxa"/>
            <w:shd w:val="clear" w:color="auto" w:fill="auto"/>
            <w:noWrap/>
            <w:vAlign w:val="center"/>
          </w:tcPr>
          <w:p>
            <w:pPr>
              <w:snapToGrid w:val="0"/>
              <w:spacing w:before="50" w:after="50"/>
              <w:jc w:val="center"/>
              <w:rPr>
                <w:rFonts w:ascii="宋体" w:hAnsi="宋体"/>
                <w:color w:val="000000" w:themeColor="text1"/>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78" w:type="dxa"/>
            <w:vMerge w:val="continue"/>
            <w:shd w:val="clear" w:color="auto" w:fill="auto"/>
            <w:noWrap/>
            <w:vAlign w:val="center"/>
          </w:tcPr>
          <w:p>
            <w:pPr>
              <w:snapToGrid w:val="0"/>
              <w:spacing w:before="50" w:after="50"/>
              <w:jc w:val="center"/>
              <w:rPr>
                <w:rFonts w:ascii="宋体" w:hAnsi="宋体"/>
                <w:color w:val="000000" w:themeColor="text1"/>
                <w:szCs w:val="30"/>
              </w:rPr>
            </w:pPr>
          </w:p>
        </w:tc>
        <w:tc>
          <w:tcPr>
            <w:tcW w:w="7986" w:type="dxa"/>
            <w:gridSpan w:val="2"/>
            <w:shd w:val="clear" w:color="auto" w:fill="auto"/>
            <w:vAlign w:val="center"/>
          </w:tcPr>
          <w:p>
            <w:pPr>
              <w:snapToGrid w:val="0"/>
              <w:spacing w:before="50" w:after="50"/>
              <w:jc w:val="center"/>
              <w:rPr>
                <w:rFonts w:ascii="宋体" w:hAnsi="宋体"/>
                <w:color w:val="000000" w:themeColor="text1"/>
                <w:szCs w:val="30"/>
              </w:rPr>
            </w:pPr>
            <w:r>
              <w:rPr>
                <w:rFonts w:hint="eastAsia" w:ascii="宋体" w:hAnsi="宋体"/>
                <w:color w:val="000000" w:themeColor="text1"/>
                <w:szCs w:val="30"/>
              </w:rPr>
              <w:t>综治应用系统</w:t>
            </w:r>
          </w:p>
        </w:tc>
        <w:tc>
          <w:tcPr>
            <w:tcW w:w="4678" w:type="dxa"/>
            <w:shd w:val="clear" w:color="auto" w:fill="auto"/>
            <w:noWrap/>
            <w:vAlign w:val="center"/>
          </w:tcPr>
          <w:p>
            <w:pPr>
              <w:snapToGrid w:val="0"/>
              <w:spacing w:before="50" w:after="50"/>
              <w:jc w:val="center"/>
              <w:rPr>
                <w:rFonts w:ascii="宋体" w:hAnsi="宋体"/>
                <w:color w:val="000000" w:themeColor="text1"/>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78" w:type="dxa"/>
            <w:vMerge w:val="continue"/>
            <w:shd w:val="clear" w:color="auto" w:fill="auto"/>
            <w:noWrap/>
            <w:vAlign w:val="center"/>
          </w:tcPr>
          <w:p>
            <w:pPr>
              <w:snapToGrid w:val="0"/>
              <w:spacing w:before="50" w:after="50"/>
              <w:jc w:val="center"/>
              <w:rPr>
                <w:rFonts w:ascii="宋体" w:hAnsi="宋体"/>
                <w:color w:val="000000" w:themeColor="text1"/>
                <w:szCs w:val="30"/>
              </w:rPr>
            </w:pPr>
          </w:p>
        </w:tc>
        <w:tc>
          <w:tcPr>
            <w:tcW w:w="7986" w:type="dxa"/>
            <w:gridSpan w:val="2"/>
            <w:shd w:val="clear" w:color="auto" w:fill="auto"/>
            <w:vAlign w:val="center"/>
          </w:tcPr>
          <w:p>
            <w:pPr>
              <w:snapToGrid w:val="0"/>
              <w:spacing w:before="50" w:after="50"/>
              <w:jc w:val="center"/>
              <w:rPr>
                <w:rFonts w:ascii="宋体" w:hAnsi="宋体"/>
                <w:color w:val="000000" w:themeColor="text1"/>
                <w:szCs w:val="30"/>
              </w:rPr>
            </w:pPr>
            <w:r>
              <w:rPr>
                <w:rFonts w:hint="eastAsia" w:ascii="宋体" w:hAnsi="宋体"/>
                <w:color w:val="000000" w:themeColor="text1"/>
                <w:szCs w:val="30"/>
              </w:rPr>
              <w:t>综合指挥中心（应急指挥室）</w:t>
            </w:r>
          </w:p>
        </w:tc>
        <w:tc>
          <w:tcPr>
            <w:tcW w:w="4678" w:type="dxa"/>
            <w:shd w:val="clear" w:color="auto" w:fill="auto"/>
            <w:noWrap/>
            <w:vAlign w:val="center"/>
          </w:tcPr>
          <w:p>
            <w:pPr>
              <w:snapToGrid w:val="0"/>
              <w:spacing w:before="50" w:after="50"/>
              <w:jc w:val="center"/>
              <w:rPr>
                <w:rFonts w:ascii="宋体" w:hAnsi="宋体"/>
                <w:color w:val="000000" w:themeColor="text1"/>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4" w:type="dxa"/>
            <w:gridSpan w:val="3"/>
            <w:shd w:val="clear" w:color="auto" w:fill="auto"/>
            <w:noWrap/>
            <w:vAlign w:val="center"/>
          </w:tcPr>
          <w:p>
            <w:pPr>
              <w:snapToGrid w:val="0"/>
              <w:spacing w:before="50" w:after="50"/>
              <w:jc w:val="center"/>
              <w:rPr>
                <w:rFonts w:ascii="宋体" w:hAnsi="宋体"/>
                <w:color w:val="000000" w:themeColor="text1"/>
                <w:szCs w:val="30"/>
              </w:rPr>
            </w:pPr>
            <w:r>
              <w:rPr>
                <w:rFonts w:hint="eastAsia" w:ascii="宋体" w:hAnsi="宋体"/>
                <w:color w:val="000000" w:themeColor="text1"/>
                <w:szCs w:val="30"/>
              </w:rPr>
              <w:t>结构化存储</w:t>
            </w:r>
          </w:p>
        </w:tc>
        <w:tc>
          <w:tcPr>
            <w:tcW w:w="4678" w:type="dxa"/>
            <w:shd w:val="clear" w:color="auto" w:fill="auto"/>
            <w:noWrap/>
            <w:vAlign w:val="center"/>
          </w:tcPr>
          <w:p>
            <w:pPr>
              <w:snapToGrid w:val="0"/>
              <w:spacing w:before="50" w:after="50"/>
              <w:jc w:val="center"/>
              <w:rPr>
                <w:rFonts w:ascii="宋体" w:hAnsi="宋体"/>
                <w:color w:val="000000" w:themeColor="text1"/>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trPr>
        <w:tc>
          <w:tcPr>
            <w:tcW w:w="1478" w:type="dxa"/>
            <w:vMerge w:val="restart"/>
            <w:shd w:val="clear" w:color="auto" w:fill="auto"/>
            <w:noWrap/>
            <w:vAlign w:val="center"/>
          </w:tcPr>
          <w:p>
            <w:pPr>
              <w:snapToGrid w:val="0"/>
              <w:spacing w:before="50" w:after="50"/>
              <w:jc w:val="center"/>
              <w:rPr>
                <w:rFonts w:ascii="宋体" w:hAnsi="宋体"/>
                <w:color w:val="000000" w:themeColor="text1"/>
                <w:szCs w:val="30"/>
              </w:rPr>
            </w:pPr>
            <w:r>
              <w:rPr>
                <w:rFonts w:hint="eastAsia" w:ascii="宋体" w:hAnsi="宋体"/>
                <w:color w:val="000000" w:themeColor="text1"/>
                <w:szCs w:val="30"/>
              </w:rPr>
              <w:t>公安业务实战应用</w:t>
            </w:r>
          </w:p>
        </w:tc>
        <w:tc>
          <w:tcPr>
            <w:tcW w:w="1134" w:type="dxa"/>
            <w:vMerge w:val="restart"/>
            <w:shd w:val="clear" w:color="auto" w:fill="auto"/>
            <w:vAlign w:val="center"/>
          </w:tcPr>
          <w:p>
            <w:pPr>
              <w:snapToGrid w:val="0"/>
              <w:spacing w:before="50" w:after="50"/>
              <w:jc w:val="center"/>
              <w:rPr>
                <w:rFonts w:ascii="宋体" w:hAnsi="宋体"/>
                <w:color w:val="000000" w:themeColor="text1"/>
                <w:szCs w:val="30"/>
              </w:rPr>
            </w:pPr>
            <w:r>
              <w:rPr>
                <w:rFonts w:hint="eastAsia" w:ascii="宋体" w:hAnsi="宋体"/>
                <w:color w:val="000000" w:themeColor="text1"/>
                <w:szCs w:val="30"/>
              </w:rPr>
              <w:t>解析中心</w:t>
            </w:r>
          </w:p>
        </w:tc>
        <w:tc>
          <w:tcPr>
            <w:tcW w:w="6852" w:type="dxa"/>
            <w:shd w:val="clear" w:color="auto" w:fill="auto"/>
            <w:vAlign w:val="center"/>
          </w:tcPr>
          <w:p>
            <w:pPr>
              <w:snapToGrid w:val="0"/>
              <w:spacing w:before="50" w:after="50"/>
              <w:jc w:val="center"/>
              <w:rPr>
                <w:rFonts w:ascii="宋体" w:hAnsi="宋体"/>
                <w:color w:val="000000" w:themeColor="text1"/>
                <w:szCs w:val="30"/>
              </w:rPr>
            </w:pPr>
            <w:r>
              <w:rPr>
                <w:rFonts w:hint="eastAsia" w:ascii="宋体" w:hAnsi="宋体"/>
                <w:color w:val="000000" w:themeColor="text1"/>
                <w:szCs w:val="30"/>
              </w:rPr>
              <w:t>人像硬件及算法</w:t>
            </w:r>
          </w:p>
        </w:tc>
        <w:tc>
          <w:tcPr>
            <w:tcW w:w="4678" w:type="dxa"/>
            <w:shd w:val="clear" w:color="auto" w:fill="auto"/>
            <w:noWrap/>
            <w:vAlign w:val="center"/>
          </w:tcPr>
          <w:p>
            <w:pPr>
              <w:snapToGrid w:val="0"/>
              <w:spacing w:before="50" w:after="50"/>
              <w:jc w:val="center"/>
              <w:rPr>
                <w:rFonts w:ascii="宋体" w:hAnsi="宋体"/>
                <w:color w:val="000000" w:themeColor="text1"/>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trPr>
        <w:tc>
          <w:tcPr>
            <w:tcW w:w="1478" w:type="dxa"/>
            <w:vMerge w:val="continue"/>
            <w:shd w:val="clear" w:color="auto" w:fill="auto"/>
            <w:noWrap/>
            <w:vAlign w:val="center"/>
          </w:tcPr>
          <w:p>
            <w:pPr>
              <w:snapToGrid w:val="0"/>
              <w:spacing w:before="50" w:after="50"/>
              <w:jc w:val="center"/>
              <w:rPr>
                <w:rFonts w:ascii="宋体" w:hAnsi="宋体"/>
                <w:color w:val="000000" w:themeColor="text1"/>
                <w:szCs w:val="30"/>
              </w:rPr>
            </w:pPr>
          </w:p>
        </w:tc>
        <w:tc>
          <w:tcPr>
            <w:tcW w:w="1134" w:type="dxa"/>
            <w:vMerge w:val="continue"/>
            <w:shd w:val="clear" w:color="auto" w:fill="auto"/>
            <w:vAlign w:val="center"/>
          </w:tcPr>
          <w:p>
            <w:pPr>
              <w:snapToGrid w:val="0"/>
              <w:spacing w:before="50" w:after="50"/>
              <w:jc w:val="center"/>
              <w:rPr>
                <w:rFonts w:ascii="宋体" w:hAnsi="宋体"/>
                <w:color w:val="000000" w:themeColor="text1"/>
                <w:szCs w:val="30"/>
              </w:rPr>
            </w:pPr>
          </w:p>
        </w:tc>
        <w:tc>
          <w:tcPr>
            <w:tcW w:w="6852" w:type="dxa"/>
            <w:shd w:val="clear" w:color="auto" w:fill="auto"/>
            <w:vAlign w:val="center"/>
          </w:tcPr>
          <w:p>
            <w:pPr>
              <w:snapToGrid w:val="0"/>
              <w:spacing w:before="50" w:after="50"/>
              <w:jc w:val="center"/>
              <w:rPr>
                <w:rFonts w:ascii="宋体" w:hAnsi="宋体"/>
                <w:color w:val="000000" w:themeColor="text1"/>
                <w:szCs w:val="30"/>
              </w:rPr>
            </w:pPr>
            <w:r>
              <w:rPr>
                <w:rFonts w:hint="eastAsia" w:ascii="宋体" w:hAnsi="宋体"/>
                <w:color w:val="000000" w:themeColor="text1"/>
                <w:szCs w:val="30"/>
              </w:rPr>
              <w:t>萃取硬件及软件</w:t>
            </w:r>
          </w:p>
        </w:tc>
        <w:tc>
          <w:tcPr>
            <w:tcW w:w="4678" w:type="dxa"/>
            <w:shd w:val="clear" w:color="auto" w:fill="auto"/>
            <w:noWrap/>
            <w:vAlign w:val="center"/>
          </w:tcPr>
          <w:p>
            <w:pPr>
              <w:snapToGrid w:val="0"/>
              <w:spacing w:before="50" w:after="50"/>
              <w:jc w:val="center"/>
              <w:rPr>
                <w:rFonts w:ascii="宋体" w:hAnsi="宋体"/>
                <w:color w:val="000000" w:themeColor="text1"/>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trPr>
        <w:tc>
          <w:tcPr>
            <w:tcW w:w="1478" w:type="dxa"/>
            <w:vMerge w:val="continue"/>
            <w:shd w:val="clear" w:color="auto" w:fill="auto"/>
            <w:noWrap/>
            <w:vAlign w:val="center"/>
          </w:tcPr>
          <w:p>
            <w:pPr>
              <w:snapToGrid w:val="0"/>
              <w:spacing w:before="50" w:after="50"/>
              <w:jc w:val="center"/>
              <w:rPr>
                <w:rFonts w:ascii="宋体" w:hAnsi="宋体"/>
                <w:color w:val="000000" w:themeColor="text1"/>
                <w:szCs w:val="30"/>
              </w:rPr>
            </w:pPr>
          </w:p>
        </w:tc>
        <w:tc>
          <w:tcPr>
            <w:tcW w:w="1134" w:type="dxa"/>
            <w:vMerge w:val="continue"/>
            <w:shd w:val="clear" w:color="auto" w:fill="auto"/>
            <w:vAlign w:val="center"/>
          </w:tcPr>
          <w:p>
            <w:pPr>
              <w:snapToGrid w:val="0"/>
              <w:spacing w:before="50" w:after="50"/>
              <w:jc w:val="center"/>
              <w:rPr>
                <w:rFonts w:ascii="宋体" w:hAnsi="宋体"/>
                <w:color w:val="000000" w:themeColor="text1"/>
                <w:szCs w:val="30"/>
              </w:rPr>
            </w:pPr>
          </w:p>
        </w:tc>
        <w:tc>
          <w:tcPr>
            <w:tcW w:w="6852" w:type="dxa"/>
            <w:shd w:val="clear" w:color="auto" w:fill="auto"/>
            <w:vAlign w:val="center"/>
          </w:tcPr>
          <w:p>
            <w:pPr>
              <w:snapToGrid w:val="0"/>
              <w:spacing w:before="50" w:after="50"/>
              <w:jc w:val="center"/>
              <w:rPr>
                <w:rFonts w:ascii="宋体" w:hAnsi="宋体"/>
                <w:color w:val="000000" w:themeColor="text1"/>
                <w:szCs w:val="30"/>
              </w:rPr>
            </w:pPr>
            <w:r>
              <w:rPr>
                <w:rFonts w:hint="eastAsia" w:ascii="宋体" w:hAnsi="宋体"/>
                <w:color w:val="000000" w:themeColor="text1"/>
                <w:szCs w:val="30"/>
              </w:rPr>
              <w:t>车辆二次分析硬件</w:t>
            </w:r>
          </w:p>
        </w:tc>
        <w:tc>
          <w:tcPr>
            <w:tcW w:w="4678" w:type="dxa"/>
            <w:shd w:val="clear" w:color="auto" w:fill="auto"/>
            <w:noWrap/>
            <w:vAlign w:val="center"/>
          </w:tcPr>
          <w:p>
            <w:pPr>
              <w:snapToGrid w:val="0"/>
              <w:spacing w:before="50" w:after="50"/>
              <w:jc w:val="center"/>
              <w:rPr>
                <w:rFonts w:ascii="宋体" w:hAnsi="宋体"/>
                <w:color w:val="000000" w:themeColor="text1"/>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trPr>
        <w:tc>
          <w:tcPr>
            <w:tcW w:w="1478" w:type="dxa"/>
            <w:vMerge w:val="continue"/>
            <w:shd w:val="clear" w:color="auto" w:fill="auto"/>
            <w:noWrap/>
            <w:vAlign w:val="center"/>
          </w:tcPr>
          <w:p>
            <w:pPr>
              <w:snapToGrid w:val="0"/>
              <w:spacing w:before="50" w:after="50"/>
              <w:jc w:val="center"/>
              <w:rPr>
                <w:rFonts w:ascii="宋体" w:hAnsi="宋体"/>
                <w:color w:val="000000" w:themeColor="text1"/>
                <w:szCs w:val="30"/>
              </w:rPr>
            </w:pPr>
          </w:p>
        </w:tc>
        <w:tc>
          <w:tcPr>
            <w:tcW w:w="1134" w:type="dxa"/>
            <w:vMerge w:val="continue"/>
            <w:shd w:val="clear" w:color="auto" w:fill="auto"/>
            <w:vAlign w:val="center"/>
          </w:tcPr>
          <w:p>
            <w:pPr>
              <w:snapToGrid w:val="0"/>
              <w:spacing w:before="50" w:after="50"/>
              <w:jc w:val="center"/>
              <w:rPr>
                <w:rFonts w:ascii="宋体" w:hAnsi="宋体"/>
                <w:color w:val="000000" w:themeColor="text1"/>
                <w:szCs w:val="30"/>
              </w:rPr>
            </w:pPr>
          </w:p>
        </w:tc>
        <w:tc>
          <w:tcPr>
            <w:tcW w:w="6852" w:type="dxa"/>
            <w:shd w:val="clear" w:color="auto" w:fill="auto"/>
            <w:vAlign w:val="center"/>
          </w:tcPr>
          <w:p>
            <w:pPr>
              <w:snapToGrid w:val="0"/>
              <w:spacing w:before="50" w:after="50"/>
              <w:jc w:val="center"/>
              <w:rPr>
                <w:rFonts w:ascii="宋体" w:hAnsi="宋体"/>
                <w:color w:val="000000" w:themeColor="text1"/>
                <w:szCs w:val="30"/>
              </w:rPr>
            </w:pPr>
            <w:r>
              <w:rPr>
                <w:rFonts w:hint="eastAsia" w:ascii="宋体" w:hAnsi="宋体"/>
                <w:color w:val="000000" w:themeColor="text1"/>
                <w:szCs w:val="30"/>
              </w:rPr>
              <w:t>车辆二次分析软件</w:t>
            </w:r>
          </w:p>
        </w:tc>
        <w:tc>
          <w:tcPr>
            <w:tcW w:w="4678" w:type="dxa"/>
            <w:shd w:val="clear" w:color="auto" w:fill="auto"/>
            <w:noWrap/>
            <w:vAlign w:val="center"/>
          </w:tcPr>
          <w:p>
            <w:pPr>
              <w:snapToGrid w:val="0"/>
              <w:spacing w:before="50" w:after="50"/>
              <w:jc w:val="center"/>
              <w:rPr>
                <w:rFonts w:ascii="宋体" w:hAnsi="宋体"/>
                <w:color w:val="000000" w:themeColor="text1"/>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78" w:type="dxa"/>
            <w:vMerge w:val="continue"/>
            <w:shd w:val="clear" w:color="auto" w:fill="auto"/>
            <w:noWrap/>
            <w:vAlign w:val="center"/>
          </w:tcPr>
          <w:p>
            <w:pPr>
              <w:snapToGrid w:val="0"/>
              <w:spacing w:before="50" w:after="50"/>
              <w:jc w:val="center"/>
              <w:rPr>
                <w:rFonts w:ascii="宋体" w:hAnsi="宋体"/>
                <w:color w:val="000000" w:themeColor="text1"/>
                <w:szCs w:val="30"/>
              </w:rPr>
            </w:pPr>
          </w:p>
        </w:tc>
        <w:tc>
          <w:tcPr>
            <w:tcW w:w="1134" w:type="dxa"/>
            <w:vMerge w:val="continue"/>
            <w:shd w:val="clear" w:color="auto" w:fill="auto"/>
            <w:vAlign w:val="center"/>
          </w:tcPr>
          <w:p>
            <w:pPr>
              <w:snapToGrid w:val="0"/>
              <w:spacing w:before="50" w:after="50"/>
              <w:jc w:val="center"/>
              <w:rPr>
                <w:rFonts w:ascii="宋体" w:hAnsi="宋体"/>
                <w:color w:val="000000" w:themeColor="text1"/>
                <w:szCs w:val="30"/>
              </w:rPr>
            </w:pPr>
          </w:p>
        </w:tc>
        <w:tc>
          <w:tcPr>
            <w:tcW w:w="6852" w:type="dxa"/>
            <w:shd w:val="clear" w:color="auto" w:fill="auto"/>
            <w:vAlign w:val="center"/>
          </w:tcPr>
          <w:p>
            <w:pPr>
              <w:snapToGrid w:val="0"/>
              <w:spacing w:before="50" w:after="50"/>
              <w:jc w:val="center"/>
              <w:rPr>
                <w:rFonts w:ascii="宋体" w:hAnsi="宋体"/>
                <w:color w:val="000000" w:themeColor="text1"/>
                <w:szCs w:val="30"/>
              </w:rPr>
            </w:pPr>
            <w:r>
              <w:rPr>
                <w:rFonts w:hint="eastAsia" w:ascii="宋体" w:hAnsi="宋体"/>
                <w:color w:val="000000" w:themeColor="text1"/>
                <w:szCs w:val="30"/>
              </w:rPr>
              <w:t>解析中心机柜</w:t>
            </w:r>
          </w:p>
        </w:tc>
        <w:tc>
          <w:tcPr>
            <w:tcW w:w="4678" w:type="dxa"/>
            <w:shd w:val="clear" w:color="auto" w:fill="auto"/>
            <w:noWrap/>
            <w:vAlign w:val="center"/>
          </w:tcPr>
          <w:p>
            <w:pPr>
              <w:snapToGrid w:val="0"/>
              <w:spacing w:before="50" w:after="50"/>
              <w:jc w:val="center"/>
              <w:rPr>
                <w:rFonts w:ascii="宋体" w:hAnsi="宋体"/>
                <w:color w:val="000000" w:themeColor="text1"/>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78" w:type="dxa"/>
            <w:vMerge w:val="continue"/>
            <w:shd w:val="clear" w:color="auto" w:fill="auto"/>
            <w:noWrap/>
            <w:vAlign w:val="center"/>
          </w:tcPr>
          <w:p>
            <w:pPr>
              <w:snapToGrid w:val="0"/>
              <w:spacing w:before="50" w:after="50"/>
              <w:jc w:val="center"/>
              <w:rPr>
                <w:rFonts w:ascii="宋体" w:hAnsi="宋体"/>
                <w:color w:val="000000" w:themeColor="text1"/>
                <w:szCs w:val="30"/>
              </w:rPr>
            </w:pPr>
          </w:p>
        </w:tc>
        <w:tc>
          <w:tcPr>
            <w:tcW w:w="7986" w:type="dxa"/>
            <w:gridSpan w:val="2"/>
            <w:shd w:val="clear" w:color="auto" w:fill="auto"/>
            <w:vAlign w:val="center"/>
          </w:tcPr>
          <w:p>
            <w:pPr>
              <w:snapToGrid w:val="0"/>
              <w:spacing w:before="50" w:after="50"/>
              <w:jc w:val="center"/>
              <w:rPr>
                <w:rFonts w:ascii="宋体" w:hAnsi="宋体"/>
                <w:color w:val="000000" w:themeColor="text1"/>
                <w:szCs w:val="30"/>
              </w:rPr>
            </w:pPr>
            <w:r>
              <w:rPr>
                <w:rFonts w:hint="eastAsia" w:ascii="宋体" w:hAnsi="宋体"/>
                <w:color w:val="000000" w:themeColor="text1"/>
                <w:szCs w:val="30"/>
              </w:rPr>
              <w:t>人像大数据应用</w:t>
            </w:r>
          </w:p>
        </w:tc>
        <w:tc>
          <w:tcPr>
            <w:tcW w:w="4678" w:type="dxa"/>
            <w:shd w:val="clear" w:color="auto" w:fill="auto"/>
            <w:noWrap/>
            <w:vAlign w:val="center"/>
          </w:tcPr>
          <w:p>
            <w:pPr>
              <w:snapToGrid w:val="0"/>
              <w:spacing w:before="50" w:after="50"/>
              <w:jc w:val="center"/>
              <w:rPr>
                <w:rFonts w:ascii="宋体" w:hAnsi="宋体"/>
                <w:color w:val="000000" w:themeColor="text1"/>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78" w:type="dxa"/>
            <w:vMerge w:val="continue"/>
            <w:shd w:val="clear" w:color="auto" w:fill="auto"/>
            <w:noWrap/>
            <w:vAlign w:val="center"/>
          </w:tcPr>
          <w:p>
            <w:pPr>
              <w:snapToGrid w:val="0"/>
              <w:spacing w:before="50" w:after="50"/>
              <w:jc w:val="center"/>
              <w:rPr>
                <w:rFonts w:ascii="宋体" w:hAnsi="宋体"/>
                <w:color w:val="000000" w:themeColor="text1"/>
                <w:szCs w:val="30"/>
              </w:rPr>
            </w:pPr>
          </w:p>
        </w:tc>
        <w:tc>
          <w:tcPr>
            <w:tcW w:w="7986" w:type="dxa"/>
            <w:gridSpan w:val="2"/>
            <w:shd w:val="clear" w:color="auto" w:fill="auto"/>
            <w:vAlign w:val="center"/>
          </w:tcPr>
          <w:p>
            <w:pPr>
              <w:snapToGrid w:val="0"/>
              <w:spacing w:before="50" w:after="50"/>
              <w:jc w:val="center"/>
              <w:rPr>
                <w:rFonts w:ascii="宋体" w:hAnsi="宋体"/>
                <w:color w:val="000000" w:themeColor="text1"/>
                <w:szCs w:val="30"/>
              </w:rPr>
            </w:pPr>
            <w:r>
              <w:rPr>
                <w:rFonts w:hint="eastAsia" w:ascii="宋体" w:hAnsi="宋体"/>
                <w:color w:val="000000" w:themeColor="text1"/>
                <w:szCs w:val="30"/>
              </w:rPr>
              <w:t>视频萃取应用</w:t>
            </w:r>
          </w:p>
        </w:tc>
        <w:tc>
          <w:tcPr>
            <w:tcW w:w="4678" w:type="dxa"/>
            <w:shd w:val="clear" w:color="auto" w:fill="auto"/>
            <w:noWrap/>
            <w:vAlign w:val="center"/>
          </w:tcPr>
          <w:p>
            <w:pPr>
              <w:snapToGrid w:val="0"/>
              <w:spacing w:before="50" w:after="50"/>
              <w:jc w:val="center"/>
              <w:rPr>
                <w:rFonts w:ascii="宋体" w:hAnsi="宋体"/>
                <w:color w:val="000000" w:themeColor="text1"/>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78" w:type="dxa"/>
            <w:vMerge w:val="continue"/>
            <w:shd w:val="clear" w:color="auto" w:fill="auto"/>
            <w:noWrap/>
            <w:vAlign w:val="center"/>
          </w:tcPr>
          <w:p>
            <w:pPr>
              <w:snapToGrid w:val="0"/>
              <w:spacing w:before="50" w:after="50"/>
              <w:jc w:val="center"/>
              <w:rPr>
                <w:rFonts w:ascii="宋体" w:hAnsi="宋体"/>
                <w:color w:val="000000" w:themeColor="text1"/>
                <w:szCs w:val="30"/>
              </w:rPr>
            </w:pPr>
          </w:p>
        </w:tc>
        <w:tc>
          <w:tcPr>
            <w:tcW w:w="7986" w:type="dxa"/>
            <w:gridSpan w:val="2"/>
            <w:shd w:val="clear" w:color="auto" w:fill="auto"/>
            <w:vAlign w:val="center"/>
          </w:tcPr>
          <w:p>
            <w:pPr>
              <w:snapToGrid w:val="0"/>
              <w:spacing w:before="50" w:after="50"/>
              <w:jc w:val="center"/>
              <w:rPr>
                <w:rFonts w:ascii="宋体" w:hAnsi="宋体"/>
                <w:color w:val="000000" w:themeColor="text1"/>
                <w:szCs w:val="30"/>
              </w:rPr>
            </w:pPr>
            <w:r>
              <w:rPr>
                <w:rFonts w:hint="eastAsia" w:ascii="宋体" w:hAnsi="宋体"/>
                <w:color w:val="000000" w:themeColor="text1"/>
                <w:szCs w:val="30"/>
              </w:rPr>
              <w:t>重点区域安保应用</w:t>
            </w:r>
          </w:p>
        </w:tc>
        <w:tc>
          <w:tcPr>
            <w:tcW w:w="4678" w:type="dxa"/>
            <w:shd w:val="clear" w:color="auto" w:fill="auto"/>
            <w:noWrap/>
            <w:vAlign w:val="center"/>
          </w:tcPr>
          <w:p>
            <w:pPr>
              <w:snapToGrid w:val="0"/>
              <w:spacing w:before="50" w:after="50"/>
              <w:jc w:val="center"/>
              <w:rPr>
                <w:rFonts w:ascii="宋体" w:hAnsi="宋体"/>
                <w:color w:val="000000" w:themeColor="text1"/>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78" w:type="dxa"/>
            <w:vMerge w:val="continue"/>
            <w:shd w:val="clear" w:color="auto" w:fill="auto"/>
            <w:noWrap/>
            <w:vAlign w:val="center"/>
          </w:tcPr>
          <w:p>
            <w:pPr>
              <w:snapToGrid w:val="0"/>
              <w:spacing w:before="50" w:after="50"/>
              <w:jc w:val="center"/>
              <w:rPr>
                <w:rFonts w:ascii="宋体" w:hAnsi="宋体"/>
                <w:color w:val="000000" w:themeColor="text1"/>
                <w:szCs w:val="30"/>
              </w:rPr>
            </w:pPr>
          </w:p>
        </w:tc>
        <w:tc>
          <w:tcPr>
            <w:tcW w:w="7986" w:type="dxa"/>
            <w:gridSpan w:val="2"/>
            <w:shd w:val="clear" w:color="auto" w:fill="auto"/>
            <w:vAlign w:val="center"/>
          </w:tcPr>
          <w:p>
            <w:pPr>
              <w:snapToGrid w:val="0"/>
              <w:spacing w:before="50" w:after="50"/>
              <w:jc w:val="center"/>
              <w:rPr>
                <w:rFonts w:ascii="宋体" w:hAnsi="宋体"/>
                <w:color w:val="000000" w:themeColor="text1"/>
                <w:szCs w:val="30"/>
              </w:rPr>
            </w:pPr>
            <w:r>
              <w:rPr>
                <w:rFonts w:hint="eastAsia" w:ascii="宋体" w:hAnsi="宋体"/>
                <w:color w:val="000000" w:themeColor="text1"/>
                <w:szCs w:val="30"/>
              </w:rPr>
              <w:t>数据服务总线</w:t>
            </w:r>
          </w:p>
        </w:tc>
        <w:tc>
          <w:tcPr>
            <w:tcW w:w="4678" w:type="dxa"/>
            <w:shd w:val="clear" w:color="auto" w:fill="auto"/>
            <w:noWrap/>
            <w:vAlign w:val="center"/>
          </w:tcPr>
          <w:p>
            <w:pPr>
              <w:snapToGrid w:val="0"/>
              <w:spacing w:before="50" w:after="50"/>
              <w:jc w:val="center"/>
              <w:rPr>
                <w:rFonts w:ascii="宋体" w:hAnsi="宋体"/>
                <w:color w:val="000000" w:themeColor="text1"/>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78" w:type="dxa"/>
            <w:vMerge w:val="continue"/>
            <w:shd w:val="clear" w:color="auto" w:fill="auto"/>
            <w:noWrap/>
            <w:vAlign w:val="center"/>
          </w:tcPr>
          <w:p>
            <w:pPr>
              <w:snapToGrid w:val="0"/>
              <w:spacing w:before="50" w:after="50"/>
              <w:jc w:val="center"/>
              <w:rPr>
                <w:rFonts w:ascii="宋体" w:hAnsi="宋体"/>
                <w:color w:val="000000" w:themeColor="text1"/>
                <w:szCs w:val="30"/>
              </w:rPr>
            </w:pPr>
          </w:p>
        </w:tc>
        <w:tc>
          <w:tcPr>
            <w:tcW w:w="7986" w:type="dxa"/>
            <w:gridSpan w:val="2"/>
            <w:shd w:val="clear" w:color="auto" w:fill="auto"/>
            <w:vAlign w:val="center"/>
          </w:tcPr>
          <w:p>
            <w:pPr>
              <w:snapToGrid w:val="0"/>
              <w:spacing w:before="50" w:after="50"/>
              <w:jc w:val="center"/>
              <w:rPr>
                <w:rFonts w:ascii="宋体" w:hAnsi="宋体"/>
                <w:color w:val="000000" w:themeColor="text1"/>
                <w:szCs w:val="30"/>
              </w:rPr>
            </w:pPr>
            <w:r>
              <w:rPr>
                <w:rFonts w:hint="eastAsia" w:ascii="宋体" w:hAnsi="宋体"/>
                <w:color w:val="000000" w:themeColor="text1"/>
                <w:szCs w:val="30"/>
              </w:rPr>
              <w:t>数据仓库系统</w:t>
            </w:r>
          </w:p>
        </w:tc>
        <w:tc>
          <w:tcPr>
            <w:tcW w:w="4678" w:type="dxa"/>
            <w:shd w:val="clear" w:color="auto" w:fill="auto"/>
            <w:noWrap/>
            <w:vAlign w:val="center"/>
          </w:tcPr>
          <w:p>
            <w:pPr>
              <w:snapToGrid w:val="0"/>
              <w:spacing w:before="50" w:after="50"/>
              <w:jc w:val="center"/>
              <w:rPr>
                <w:rFonts w:ascii="宋体" w:hAnsi="宋体"/>
                <w:color w:val="000000" w:themeColor="text1"/>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4" w:type="dxa"/>
            <w:gridSpan w:val="3"/>
            <w:shd w:val="clear" w:color="auto" w:fill="auto"/>
            <w:noWrap/>
            <w:vAlign w:val="center"/>
          </w:tcPr>
          <w:p>
            <w:pPr>
              <w:snapToGrid w:val="0"/>
              <w:spacing w:before="50" w:after="50"/>
              <w:jc w:val="center"/>
              <w:rPr>
                <w:rFonts w:ascii="宋体" w:hAnsi="宋体"/>
                <w:color w:val="000000" w:themeColor="text1"/>
                <w:sz w:val="24"/>
                <w:szCs w:val="21"/>
                <w:u w:val="single"/>
              </w:rPr>
            </w:pPr>
            <w:r>
              <w:rPr>
                <w:rFonts w:hint="eastAsia" w:ascii="宋体" w:hAnsi="宋体"/>
                <w:color w:val="000000" w:themeColor="text1"/>
                <w:sz w:val="24"/>
                <w:szCs w:val="21"/>
              </w:rPr>
              <w:t>合计金额大写：</w:t>
            </w:r>
          </w:p>
        </w:tc>
        <w:tc>
          <w:tcPr>
            <w:tcW w:w="4678" w:type="dxa"/>
            <w:shd w:val="clear" w:color="auto" w:fill="auto"/>
            <w:noWrap/>
            <w:vAlign w:val="center"/>
          </w:tcPr>
          <w:p>
            <w:pPr>
              <w:snapToGrid w:val="0"/>
              <w:spacing w:before="50" w:after="50"/>
              <w:jc w:val="center"/>
              <w:rPr>
                <w:rFonts w:ascii="宋体" w:hAnsi="宋体"/>
                <w:color w:val="000000" w:themeColor="text1"/>
                <w:sz w:val="24"/>
                <w:szCs w:val="21"/>
                <w:u w:val="single"/>
              </w:rPr>
            </w:pPr>
            <w:r>
              <w:rPr>
                <w:rFonts w:hint="eastAsia" w:ascii="宋体" w:hAnsi="宋体"/>
                <w:color w:val="000000" w:themeColor="text1"/>
                <w:sz w:val="24"/>
                <w:szCs w:val="21"/>
              </w:rPr>
              <w:t>￥</w:t>
            </w:r>
          </w:p>
        </w:tc>
      </w:tr>
    </w:tbl>
    <w:p>
      <w:pPr>
        <w:snapToGrid w:val="0"/>
        <w:spacing w:before="50" w:after="50"/>
        <w:jc w:val="left"/>
        <w:rPr>
          <w:rFonts w:ascii="宋体" w:hAnsi="宋体"/>
          <w:color w:val="000000" w:themeColor="text1"/>
          <w:sz w:val="24"/>
          <w:szCs w:val="20"/>
        </w:rPr>
      </w:pPr>
      <w:r>
        <w:rPr>
          <w:rFonts w:hint="eastAsia" w:ascii="宋体" w:hAnsi="宋体"/>
          <w:color w:val="000000" w:themeColor="text1"/>
          <w:sz w:val="24"/>
        </w:rPr>
        <w:t>注</w:t>
      </w:r>
      <w:r>
        <w:rPr>
          <w:rFonts w:ascii="宋体" w:hAnsi="宋体"/>
          <w:color w:val="000000" w:themeColor="text1"/>
          <w:sz w:val="24"/>
        </w:rPr>
        <w:t>: 1</w:t>
      </w:r>
      <w:r>
        <w:rPr>
          <w:rFonts w:hint="eastAsia" w:ascii="宋体" w:hAnsi="宋体"/>
          <w:color w:val="000000" w:themeColor="text1"/>
          <w:sz w:val="24"/>
        </w:rPr>
        <w:t>、报价一经涂改，应在涂改处加盖单位公章或者由法定代表人或授权委托人签字或盖章，否则其投标作无效标处理。</w:t>
      </w:r>
    </w:p>
    <w:p>
      <w:pPr>
        <w:snapToGrid w:val="0"/>
        <w:spacing w:before="50" w:after="50"/>
        <w:ind w:firstLine="480" w:firstLineChars="200"/>
        <w:jc w:val="left"/>
        <w:rPr>
          <w:rFonts w:ascii="宋体" w:hAnsi="宋体"/>
          <w:color w:val="000000" w:themeColor="text1"/>
          <w:sz w:val="24"/>
          <w:szCs w:val="20"/>
        </w:rPr>
      </w:pPr>
      <w:r>
        <w:rPr>
          <w:rFonts w:ascii="宋体" w:hAnsi="宋体"/>
          <w:color w:val="000000" w:themeColor="text1"/>
          <w:sz w:val="24"/>
        </w:rPr>
        <w:t>2</w:t>
      </w:r>
      <w:r>
        <w:rPr>
          <w:rFonts w:hint="eastAsia" w:ascii="宋体" w:hAnsi="宋体"/>
          <w:color w:val="000000" w:themeColor="text1"/>
          <w:sz w:val="24"/>
        </w:rPr>
        <w:t>、凡需用专用耗材的专用设备类采购项目，应按招标文件规定的耗材量或按耗材的常规试用量提供报价。</w:t>
      </w:r>
    </w:p>
    <w:p>
      <w:pPr>
        <w:snapToGrid w:val="0"/>
        <w:spacing w:before="50" w:after="50"/>
        <w:ind w:firstLine="480" w:firstLineChars="200"/>
        <w:jc w:val="left"/>
        <w:rPr>
          <w:rFonts w:ascii="宋体" w:hAnsi="宋体"/>
          <w:color w:val="000000" w:themeColor="text1"/>
          <w:sz w:val="24"/>
          <w:szCs w:val="20"/>
        </w:rPr>
      </w:pPr>
      <w:r>
        <w:rPr>
          <w:rFonts w:ascii="宋体" w:hAnsi="宋体"/>
          <w:color w:val="000000" w:themeColor="text1"/>
          <w:sz w:val="24"/>
        </w:rPr>
        <w:t>3</w:t>
      </w:r>
      <w:r>
        <w:rPr>
          <w:rFonts w:hint="eastAsia" w:ascii="宋体" w:hAnsi="宋体"/>
          <w:color w:val="000000" w:themeColor="text1"/>
          <w:sz w:val="24"/>
        </w:rPr>
        <w:t>、投标费用包括项目实施所需的人工费、服务费、运输费、安装调试费、购买及制作标书费、税费及其他一切费用。</w:t>
      </w:r>
    </w:p>
    <w:p>
      <w:pPr>
        <w:snapToGrid w:val="0"/>
        <w:spacing w:before="50" w:after="50"/>
        <w:ind w:firstLine="480" w:firstLineChars="200"/>
        <w:jc w:val="left"/>
        <w:rPr>
          <w:rFonts w:ascii="宋体" w:hAnsi="宋体"/>
          <w:color w:val="000000" w:themeColor="text1"/>
          <w:sz w:val="24"/>
          <w:szCs w:val="20"/>
        </w:rPr>
      </w:pPr>
      <w:r>
        <w:rPr>
          <w:rFonts w:ascii="宋体" w:hAnsi="宋体"/>
          <w:color w:val="000000" w:themeColor="text1"/>
          <w:sz w:val="24"/>
        </w:rPr>
        <w:t>4</w:t>
      </w:r>
      <w:r>
        <w:rPr>
          <w:rFonts w:hint="eastAsia" w:ascii="宋体" w:hAnsi="宋体"/>
          <w:color w:val="000000" w:themeColor="text1"/>
          <w:sz w:val="24"/>
        </w:rPr>
        <w:t>、以上报价应与“投标设备报价明细表”中的“投标总价”相一致。</w:t>
      </w:r>
    </w:p>
    <w:p>
      <w:pPr>
        <w:snapToGrid w:val="0"/>
        <w:spacing w:before="50" w:after="50"/>
        <w:ind w:firstLine="480" w:firstLineChars="200"/>
        <w:rPr>
          <w:rFonts w:ascii="宋体" w:hAnsi="宋体"/>
          <w:color w:val="000000" w:themeColor="text1"/>
          <w:sz w:val="24"/>
          <w:szCs w:val="20"/>
        </w:rPr>
      </w:pPr>
      <w:r>
        <w:rPr>
          <w:rFonts w:ascii="宋体" w:hAnsi="宋体"/>
          <w:color w:val="000000" w:themeColor="text1"/>
          <w:sz w:val="24"/>
        </w:rPr>
        <w:t>5</w:t>
      </w:r>
      <w:r>
        <w:rPr>
          <w:rFonts w:hint="eastAsia" w:ascii="宋体" w:hAnsi="宋体"/>
          <w:color w:val="000000" w:themeColor="text1"/>
          <w:sz w:val="24"/>
        </w:rPr>
        <w:t>、此表请单独信封放入投标文件袋，信封封面请注明招标编号、标项、投标人名称及“开标一览表”字样。</w:t>
      </w:r>
    </w:p>
    <w:p>
      <w:pPr>
        <w:snapToGrid w:val="0"/>
        <w:spacing w:before="50" w:after="50"/>
        <w:ind w:left="-3" w:leftChars="-72" w:right="-817" w:rightChars="-389" w:hanging="148" w:hangingChars="62"/>
        <w:rPr>
          <w:rFonts w:ascii="宋体" w:hAnsi="宋体"/>
          <w:color w:val="000000" w:themeColor="text1"/>
          <w:sz w:val="24"/>
          <w:szCs w:val="20"/>
        </w:rPr>
      </w:pPr>
      <w:r>
        <w:rPr>
          <w:rFonts w:hint="eastAsia" w:ascii="宋体" w:hAnsi="宋体"/>
          <w:color w:val="000000" w:themeColor="text1"/>
          <w:sz w:val="24"/>
        </w:rPr>
        <w:t>法定代表人或授权代表（签字或盖章）：</w:t>
      </w:r>
    </w:p>
    <w:p>
      <w:pPr>
        <w:snapToGrid w:val="0"/>
        <w:spacing w:before="50" w:after="50"/>
        <w:ind w:left="-3" w:leftChars="-72" w:right="-817" w:rightChars="-389" w:hanging="148" w:hangingChars="62"/>
        <w:rPr>
          <w:rFonts w:ascii="宋体" w:hAnsi="宋体"/>
          <w:color w:val="000000" w:themeColor="text1"/>
          <w:sz w:val="24"/>
        </w:rPr>
      </w:pPr>
      <w:r>
        <w:rPr>
          <w:rFonts w:hint="eastAsia" w:ascii="宋体" w:hAnsi="宋体"/>
          <w:color w:val="000000" w:themeColor="text1"/>
          <w:sz w:val="24"/>
        </w:rPr>
        <w:t>投标人名称（盖章）：日期：年月日</w:t>
      </w:r>
    </w:p>
    <w:p>
      <w:pPr>
        <w:snapToGrid w:val="0"/>
        <w:spacing w:before="50" w:after="50"/>
        <w:ind w:left="-3" w:leftChars="-72" w:right="-817" w:rightChars="-389" w:hanging="148" w:hangingChars="62"/>
        <w:rPr>
          <w:rFonts w:ascii="宋体" w:hAnsi="宋体"/>
          <w:color w:val="000000" w:themeColor="text1"/>
          <w:sz w:val="24"/>
        </w:rPr>
      </w:pPr>
    </w:p>
    <w:p>
      <w:pPr>
        <w:snapToGrid w:val="0"/>
        <w:spacing w:before="50" w:after="50"/>
        <w:ind w:left="-3" w:leftChars="-72" w:right="-817" w:rightChars="-389" w:hanging="148" w:hangingChars="62"/>
        <w:rPr>
          <w:rFonts w:ascii="宋体" w:hAnsi="宋体"/>
          <w:color w:val="000000" w:themeColor="text1"/>
          <w:sz w:val="24"/>
        </w:rPr>
      </w:pPr>
    </w:p>
    <w:p>
      <w:pPr>
        <w:snapToGrid w:val="0"/>
        <w:spacing w:before="50" w:after="50"/>
        <w:ind w:left="-3" w:leftChars="-72" w:right="-817" w:rightChars="-389" w:hanging="148" w:hangingChars="62"/>
        <w:rPr>
          <w:rFonts w:ascii="宋体" w:hAnsi="宋体"/>
          <w:color w:val="000000" w:themeColor="text1"/>
          <w:sz w:val="24"/>
        </w:rPr>
      </w:pPr>
    </w:p>
    <w:p>
      <w:pPr>
        <w:snapToGrid w:val="0"/>
        <w:spacing w:before="50" w:after="50"/>
        <w:ind w:left="-3" w:leftChars="-72" w:right="-817" w:rightChars="-389" w:hanging="148" w:hangingChars="62"/>
        <w:rPr>
          <w:rFonts w:ascii="宋体" w:hAnsi="宋体"/>
          <w:color w:val="000000" w:themeColor="text1"/>
          <w:sz w:val="24"/>
        </w:rPr>
      </w:pPr>
    </w:p>
    <w:p>
      <w:pPr>
        <w:snapToGrid w:val="0"/>
        <w:spacing w:before="50" w:after="50"/>
        <w:ind w:left="-3" w:leftChars="-72" w:right="-817" w:rightChars="-389" w:hanging="148" w:hangingChars="62"/>
        <w:rPr>
          <w:rFonts w:ascii="宋体" w:hAnsi="宋体"/>
          <w:color w:val="000000" w:themeColor="text1"/>
          <w:sz w:val="24"/>
        </w:rPr>
      </w:pPr>
    </w:p>
    <w:p>
      <w:pPr>
        <w:snapToGrid w:val="0"/>
        <w:spacing w:before="50" w:after="50"/>
        <w:ind w:left="-3" w:leftChars="-72" w:right="-817" w:rightChars="-389" w:hanging="148" w:hangingChars="62"/>
        <w:rPr>
          <w:rFonts w:ascii="宋体" w:hAnsi="宋体"/>
          <w:color w:val="000000" w:themeColor="text1"/>
          <w:sz w:val="24"/>
        </w:rPr>
      </w:pPr>
    </w:p>
    <w:p>
      <w:pPr>
        <w:snapToGrid w:val="0"/>
        <w:spacing w:before="50" w:after="50"/>
        <w:ind w:left="-3" w:leftChars="-72" w:right="-817" w:rightChars="-389" w:hanging="148" w:hangingChars="62"/>
        <w:rPr>
          <w:rFonts w:ascii="宋体" w:hAnsi="宋体"/>
          <w:color w:val="000000" w:themeColor="text1"/>
          <w:sz w:val="24"/>
        </w:rPr>
      </w:pPr>
    </w:p>
    <w:p>
      <w:pPr>
        <w:snapToGrid w:val="0"/>
        <w:spacing w:before="50" w:after="50"/>
        <w:ind w:left="-3" w:leftChars="-72" w:right="-817" w:rightChars="-389" w:hanging="148" w:hangingChars="62"/>
        <w:rPr>
          <w:rFonts w:ascii="宋体" w:hAnsi="宋体"/>
          <w:color w:val="000000" w:themeColor="text1"/>
          <w:sz w:val="24"/>
        </w:rPr>
      </w:pPr>
    </w:p>
    <w:p>
      <w:pPr>
        <w:snapToGrid w:val="0"/>
        <w:spacing w:before="50" w:after="50"/>
        <w:ind w:left="48" w:leftChars="-72" w:right="-817" w:rightChars="-389" w:hanging="199" w:hangingChars="62"/>
        <w:jc w:val="center"/>
        <w:rPr>
          <w:rFonts w:ascii="宋体" w:hAnsi="宋体"/>
          <w:b/>
          <w:color w:val="000000" w:themeColor="text1"/>
          <w:sz w:val="32"/>
          <w:szCs w:val="32"/>
        </w:rPr>
        <w:sectPr>
          <w:type w:val="oddPage"/>
          <w:pgSz w:w="16838" w:h="11906" w:orient="landscape"/>
          <w:pgMar w:top="1797" w:right="1474" w:bottom="1797" w:left="1247" w:header="851" w:footer="851" w:gutter="0"/>
          <w:cols w:space="720" w:num="1"/>
          <w:titlePg/>
          <w:docGrid w:linePitch="312" w:charSpace="0"/>
        </w:sectPr>
      </w:pPr>
      <w:r>
        <w:rPr>
          <w:rFonts w:hint="eastAsia" w:ascii="宋体" w:hAnsi="宋体"/>
          <w:b/>
          <w:color w:val="000000" w:themeColor="text1"/>
          <w:sz w:val="32"/>
          <w:szCs w:val="32"/>
        </w:rPr>
        <w:t>注：开标一览表（1）与开标一览表（2）合计金额须一致。</w:t>
      </w:r>
    </w:p>
    <w:p>
      <w:pPr>
        <w:rPr>
          <w:color w:val="000000" w:themeColor="text1"/>
        </w:rPr>
      </w:pPr>
    </w:p>
    <w:sectPr>
      <w:pgSz w:w="11906" w:h="16838"/>
      <w:pgMar w:top="1474" w:right="1797" w:bottom="1247" w:left="1797"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Helvetica">
    <w:altName w:val="Arial"/>
    <w:panose1 w:val="020B0604020202020204"/>
    <w:charset w:val="00"/>
    <w:family w:val="swiss"/>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创艺简标宋">
    <w:altName w:val="黑体"/>
    <w:panose1 w:val="00000000000000000000"/>
    <w:charset w:val="86"/>
    <w:family w:val="auto"/>
    <w:pitch w:val="default"/>
    <w:sig w:usb0="00000000" w:usb1="00000000" w:usb2="00000010" w:usb3="00000000" w:csb0="00040000" w:csb1="00000000"/>
  </w:font>
  <w:font w:name="Malgun Gothic Semilight">
    <w:panose1 w:val="020B0502040204020203"/>
    <w:charset w:val="86"/>
    <w:family w:val="swiss"/>
    <w:pitch w:val="default"/>
    <w:sig w:usb0="900002AF" w:usb1="01D77CFB" w:usb2="00000012" w:usb3="00000000" w:csb0="203E01BD" w:csb1="D7FF0000"/>
  </w:font>
  <w:font w:name="Batang">
    <w:altName w:val="Malgun Gothic"/>
    <w:panose1 w:val="02030600000101010101"/>
    <w:charset w:val="81"/>
    <w:family w:val="roman"/>
    <w:pitch w:val="default"/>
    <w:sig w:usb0="00000000" w:usb1="00000000" w:usb2="00000030" w:usb3="00000000" w:csb0="0008009F" w:csb1="00000000"/>
  </w:font>
  <w:font w:name="MS Mincho">
    <w:panose1 w:val="02020609040205080304"/>
    <w:charset w:val="80"/>
    <w:family w:val="modern"/>
    <w:pitch w:val="default"/>
    <w:sig w:usb0="A00002BF" w:usb1="68C7FCFB" w:usb2="00000010" w:usb3="00000000" w:csb0="4002009F" w:csb1="DFD70000"/>
  </w:font>
  <w:font w:name="楷体">
    <w:panose1 w:val="02010609060101010101"/>
    <w:charset w:val="86"/>
    <w:family w:val="auto"/>
    <w:pitch w:val="default"/>
    <w:sig w:usb0="800002BF" w:usb1="38CF7CFA" w:usb2="00000016" w:usb3="00000000" w:csb0="00040001"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outside" w:y="1"/>
      <w:rPr>
        <w:rStyle w:val="48"/>
        <w:rFonts w:ascii="宋体" w:hAnsi="宋体"/>
        <w:sz w:val="28"/>
        <w:szCs w:val="28"/>
      </w:rPr>
    </w:pPr>
    <w:r>
      <w:rPr>
        <w:rStyle w:val="48"/>
        <w:rFonts w:hint="eastAsia" w:ascii="宋体" w:hAnsi="宋体"/>
        <w:sz w:val="28"/>
        <w:szCs w:val="28"/>
      </w:rPr>
      <w:t xml:space="preserve">— </w:t>
    </w:r>
    <w:r>
      <w:rPr>
        <w:rFonts w:ascii="宋体" w:hAnsi="宋体"/>
        <w:sz w:val="28"/>
        <w:szCs w:val="28"/>
      </w:rPr>
      <w:fldChar w:fldCharType="begin"/>
    </w:r>
    <w:r>
      <w:rPr>
        <w:rStyle w:val="48"/>
        <w:rFonts w:ascii="宋体" w:hAnsi="宋体"/>
        <w:sz w:val="28"/>
        <w:szCs w:val="28"/>
      </w:rPr>
      <w:instrText xml:space="preserve">PAGE  </w:instrText>
    </w:r>
    <w:r>
      <w:rPr>
        <w:rFonts w:ascii="宋体" w:hAnsi="宋体"/>
        <w:sz w:val="28"/>
        <w:szCs w:val="28"/>
      </w:rPr>
      <w:fldChar w:fldCharType="separate"/>
    </w:r>
    <w:r>
      <w:rPr>
        <w:rStyle w:val="48"/>
        <w:rFonts w:ascii="宋体" w:hAnsi="宋体"/>
        <w:sz w:val="28"/>
        <w:szCs w:val="28"/>
      </w:rPr>
      <w:t>12</w:t>
    </w:r>
    <w:r>
      <w:rPr>
        <w:rFonts w:ascii="宋体" w:hAnsi="宋体"/>
        <w:sz w:val="28"/>
        <w:szCs w:val="28"/>
      </w:rPr>
      <w:fldChar w:fldCharType="end"/>
    </w:r>
    <w:r>
      <w:rPr>
        <w:rStyle w:val="48"/>
        <w:rFonts w:hint="eastAsia" w:ascii="宋体" w:hAnsi="宋体"/>
        <w:sz w:val="28"/>
        <w:szCs w:val="28"/>
      </w:rPr>
      <w:t xml:space="preserve"> —</w:t>
    </w:r>
  </w:p>
  <w:p>
    <w:pPr>
      <w:pStyle w:val="3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outside" w:y="1"/>
      <w:rPr>
        <w:rStyle w:val="48"/>
      </w:rPr>
    </w:pPr>
    <w:r>
      <w:fldChar w:fldCharType="begin"/>
    </w:r>
    <w:r>
      <w:rPr>
        <w:rStyle w:val="48"/>
      </w:rPr>
      <w:instrText xml:space="preserve">PAGE  </w:instrText>
    </w:r>
    <w:r>
      <w:fldChar w:fldCharType="end"/>
    </w:r>
  </w:p>
  <w:p>
    <w:pPr>
      <w:pStyle w:val="3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left="560" w:firstLine="360"/>
      <w:jc w:val="center"/>
    </w:pPr>
    <w:r>
      <w:fldChar w:fldCharType="begin"/>
    </w:r>
    <w:r>
      <w:instrText xml:space="preserve">PAGE   \* MERGEFORMAT</w:instrText>
    </w:r>
    <w:r>
      <w:fldChar w:fldCharType="separate"/>
    </w:r>
    <w:r>
      <w:rPr>
        <w:lang w:val="zh-CN"/>
      </w:rPr>
      <w:t>183</w:t>
    </w:r>
    <w:r>
      <w:rPr>
        <w:lang w:val="zh-CN"/>
      </w:rPr>
      <w:fldChar w:fldCharType="end"/>
    </w:r>
  </w:p>
  <w:p>
    <w:pPr>
      <w:pStyle w:val="3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outside" w:y="1"/>
      <w:rPr>
        <w:rStyle w:val="48"/>
        <w:rFonts w:ascii="宋体" w:hAnsi="宋体"/>
        <w:sz w:val="28"/>
        <w:szCs w:val="28"/>
      </w:rPr>
    </w:pPr>
    <w:r>
      <w:rPr>
        <w:rStyle w:val="48"/>
        <w:rFonts w:hint="eastAsia" w:ascii="宋体" w:hAnsi="宋体"/>
        <w:sz w:val="28"/>
        <w:szCs w:val="28"/>
      </w:rPr>
      <w:t xml:space="preserve">— </w:t>
    </w:r>
    <w:r>
      <w:rPr>
        <w:rFonts w:ascii="宋体" w:hAnsi="宋体"/>
        <w:sz w:val="28"/>
        <w:szCs w:val="28"/>
      </w:rPr>
      <w:fldChar w:fldCharType="begin"/>
    </w:r>
    <w:r>
      <w:rPr>
        <w:rStyle w:val="48"/>
        <w:rFonts w:ascii="宋体" w:hAnsi="宋体"/>
        <w:sz w:val="28"/>
        <w:szCs w:val="28"/>
      </w:rPr>
      <w:instrText xml:space="preserve">PAGE  </w:instrText>
    </w:r>
    <w:r>
      <w:rPr>
        <w:rFonts w:ascii="宋体" w:hAnsi="宋体"/>
        <w:sz w:val="28"/>
        <w:szCs w:val="28"/>
      </w:rPr>
      <w:fldChar w:fldCharType="separate"/>
    </w:r>
    <w:r>
      <w:rPr>
        <w:rStyle w:val="48"/>
        <w:rFonts w:ascii="宋体" w:hAnsi="宋体"/>
        <w:sz w:val="28"/>
        <w:szCs w:val="28"/>
      </w:rPr>
      <w:t>251</w:t>
    </w:r>
    <w:r>
      <w:rPr>
        <w:rFonts w:ascii="宋体" w:hAnsi="宋体"/>
        <w:sz w:val="28"/>
        <w:szCs w:val="28"/>
      </w:rPr>
      <w:fldChar w:fldCharType="end"/>
    </w:r>
    <w:r>
      <w:rPr>
        <w:rStyle w:val="48"/>
        <w:rFonts w:hint="eastAsia" w:ascii="宋体" w:hAnsi="宋体"/>
        <w:sz w:val="28"/>
        <w:szCs w:val="28"/>
      </w:rPr>
      <w:t xml:space="preserve"> —</w:t>
    </w:r>
  </w:p>
  <w:p>
    <w:pPr>
      <w:pStyle w:val="31"/>
      <w:ind w:right="720" w:rightChars="343" w:firstLine="180" w:firstLineChars="10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outside" w:y="1"/>
      <w:rPr>
        <w:rStyle w:val="48"/>
      </w:rPr>
    </w:pPr>
    <w:r>
      <w:fldChar w:fldCharType="begin"/>
    </w:r>
    <w:r>
      <w:rPr>
        <w:rStyle w:val="48"/>
      </w:rPr>
      <w:instrText xml:space="preserve">PAGE  </w:instrText>
    </w:r>
    <w:r>
      <w:fldChar w:fldCharType="end"/>
    </w:r>
  </w:p>
  <w:p>
    <w:pPr>
      <w:pStyle w:val="31"/>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17AF1"/>
    <w:multiLevelType w:val="multilevel"/>
    <w:tmpl w:val="18617AF1"/>
    <w:lvl w:ilvl="0" w:tentative="0">
      <w:start w:val="1"/>
      <w:numFmt w:val="japaneseCounting"/>
      <w:pStyle w:val="14"/>
      <w:lvlText w:val="第%1章"/>
      <w:lvlJc w:val="left"/>
      <w:pPr>
        <w:ind w:left="1200" w:hanging="12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65C5DF2"/>
    <w:multiLevelType w:val="multilevel"/>
    <w:tmpl w:val="565C5DF2"/>
    <w:lvl w:ilvl="0" w:tentative="0">
      <w:start w:val="1"/>
      <w:numFmt w:val="chineseCountingThousand"/>
      <w:pStyle w:val="21"/>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6DFC6C9"/>
    <w:multiLevelType w:val="singleLevel"/>
    <w:tmpl w:val="56DFC6C9"/>
    <w:lvl w:ilvl="0" w:tentative="0">
      <w:start w:val="3"/>
      <w:numFmt w:val="chineseCounting"/>
      <w:suff w:val="nothing"/>
      <w:lvlText w:val="%1、"/>
      <w:lvlJc w:val="left"/>
    </w:lvl>
  </w:abstractNum>
  <w:abstractNum w:abstractNumId="3">
    <w:nsid w:val="587F462E"/>
    <w:multiLevelType w:val="multilevel"/>
    <w:tmpl w:val="587F462E"/>
    <w:lvl w:ilvl="0" w:tentative="0">
      <w:start w:val="1"/>
      <w:numFmt w:val="decimal"/>
      <w:lvlText w:val="（%1）"/>
      <w:lvlJc w:val="left"/>
      <w:pPr>
        <w:ind w:left="1200" w:hanging="720"/>
      </w:pPr>
      <w:rPr>
        <w:rFonts w:hint="eastAsia"/>
      </w:rPr>
    </w:lvl>
    <w:lvl w:ilvl="1" w:tentative="0">
      <w:start w:val="1"/>
      <w:numFmt w:val="lowerLetter"/>
      <w:lvlText w:val="%2)"/>
      <w:lvlJc w:val="left"/>
      <w:pPr>
        <w:ind w:left="1440" w:hanging="480"/>
      </w:pPr>
    </w:lvl>
    <w:lvl w:ilvl="2" w:tentative="0">
      <w:start w:val="1"/>
      <w:numFmt w:val="lowerRoman"/>
      <w:lvlText w:val="%3."/>
      <w:lvlJc w:val="right"/>
      <w:pPr>
        <w:ind w:left="1920" w:hanging="480"/>
      </w:pPr>
    </w:lvl>
    <w:lvl w:ilvl="3" w:tentative="0">
      <w:start w:val="1"/>
      <w:numFmt w:val="decimal"/>
      <w:lvlText w:val="%4."/>
      <w:lvlJc w:val="left"/>
      <w:pPr>
        <w:ind w:left="2400" w:hanging="480"/>
      </w:pPr>
    </w:lvl>
    <w:lvl w:ilvl="4" w:tentative="0">
      <w:start w:val="1"/>
      <w:numFmt w:val="lowerLetter"/>
      <w:lvlText w:val="%5)"/>
      <w:lvlJc w:val="left"/>
      <w:pPr>
        <w:ind w:left="2880" w:hanging="480"/>
      </w:pPr>
    </w:lvl>
    <w:lvl w:ilvl="5" w:tentative="0">
      <w:start w:val="1"/>
      <w:numFmt w:val="lowerRoman"/>
      <w:lvlText w:val="%6."/>
      <w:lvlJc w:val="right"/>
      <w:pPr>
        <w:ind w:left="3360" w:hanging="480"/>
      </w:pPr>
    </w:lvl>
    <w:lvl w:ilvl="6" w:tentative="0">
      <w:start w:val="1"/>
      <w:numFmt w:val="decimal"/>
      <w:lvlText w:val="%7."/>
      <w:lvlJc w:val="left"/>
      <w:pPr>
        <w:ind w:left="3840" w:hanging="480"/>
      </w:pPr>
    </w:lvl>
    <w:lvl w:ilvl="7" w:tentative="0">
      <w:start w:val="1"/>
      <w:numFmt w:val="lowerLetter"/>
      <w:lvlText w:val="%8)"/>
      <w:lvlJc w:val="left"/>
      <w:pPr>
        <w:ind w:left="4320" w:hanging="480"/>
      </w:pPr>
    </w:lvl>
    <w:lvl w:ilvl="8" w:tentative="0">
      <w:start w:val="1"/>
      <w:numFmt w:val="lowerRoman"/>
      <w:lvlText w:val="%9."/>
      <w:lvlJc w:val="right"/>
      <w:pPr>
        <w:ind w:left="4800" w:hanging="480"/>
      </w:pPr>
    </w:lvl>
  </w:abstractNum>
  <w:abstractNum w:abstractNumId="4">
    <w:nsid w:val="73F72AF2"/>
    <w:multiLevelType w:val="multilevel"/>
    <w:tmpl w:val="73F72AF2"/>
    <w:lvl w:ilvl="0" w:tentative="0">
      <w:start w:val="2"/>
      <w:numFmt w:val="japaneseCounting"/>
      <w:lvlText w:val="（%1）"/>
      <w:lvlJc w:val="left"/>
      <w:pPr>
        <w:ind w:left="1447" w:hanging="885"/>
      </w:pPr>
      <w:rPr>
        <w:rFonts w:hint="default"/>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5">
    <w:nsid w:val="763060DB"/>
    <w:multiLevelType w:val="multilevel"/>
    <w:tmpl w:val="763060DB"/>
    <w:lvl w:ilvl="0" w:tentative="0">
      <w:start w:val="1"/>
      <w:numFmt w:val="japaneseCounting"/>
      <w:lvlText w:val="第%1章"/>
      <w:lvlJc w:val="left"/>
      <w:pPr>
        <w:tabs>
          <w:tab w:val="left" w:pos="1440"/>
        </w:tabs>
        <w:ind w:left="1440" w:hanging="1275"/>
      </w:pPr>
      <w:rPr>
        <w:rFonts w:hint="eastAsia"/>
      </w:rPr>
    </w:lvl>
    <w:lvl w:ilvl="1" w:tentative="0">
      <w:start w:val="1"/>
      <w:numFmt w:val="japaneseCounting"/>
      <w:lvlText w:val="%2、"/>
      <w:lvlJc w:val="left"/>
      <w:pPr>
        <w:tabs>
          <w:tab w:val="left" w:pos="1305"/>
        </w:tabs>
        <w:ind w:left="1305" w:hanging="720"/>
      </w:pPr>
      <w:rPr>
        <w:rFonts w:hint="eastAsia"/>
      </w:rPr>
    </w:lvl>
    <w:lvl w:ilvl="2" w:tentative="0">
      <w:start w:val="1"/>
      <w:numFmt w:val="lowerRoman"/>
      <w:lvlText w:val="%3."/>
      <w:lvlJc w:val="right"/>
      <w:pPr>
        <w:tabs>
          <w:tab w:val="left" w:pos="1425"/>
        </w:tabs>
        <w:ind w:left="1425" w:hanging="420"/>
      </w:pPr>
    </w:lvl>
    <w:lvl w:ilvl="3" w:tentative="0">
      <w:start w:val="1"/>
      <w:numFmt w:val="decimal"/>
      <w:lvlText w:val="%4."/>
      <w:lvlJc w:val="left"/>
      <w:pPr>
        <w:tabs>
          <w:tab w:val="left" w:pos="1845"/>
        </w:tabs>
        <w:ind w:left="1845" w:hanging="420"/>
      </w:pPr>
    </w:lvl>
    <w:lvl w:ilvl="4" w:tentative="0">
      <w:start w:val="1"/>
      <w:numFmt w:val="lowerLetter"/>
      <w:lvlText w:val="%5)"/>
      <w:lvlJc w:val="left"/>
      <w:pPr>
        <w:tabs>
          <w:tab w:val="left" w:pos="2265"/>
        </w:tabs>
        <w:ind w:left="2265" w:hanging="420"/>
      </w:pPr>
    </w:lvl>
    <w:lvl w:ilvl="5" w:tentative="0">
      <w:start w:val="1"/>
      <w:numFmt w:val="lowerRoman"/>
      <w:lvlText w:val="%6."/>
      <w:lvlJc w:val="right"/>
      <w:pPr>
        <w:tabs>
          <w:tab w:val="left" w:pos="2685"/>
        </w:tabs>
        <w:ind w:left="2685" w:hanging="420"/>
      </w:pPr>
    </w:lvl>
    <w:lvl w:ilvl="6" w:tentative="0">
      <w:start w:val="1"/>
      <w:numFmt w:val="decimal"/>
      <w:lvlText w:val="%7."/>
      <w:lvlJc w:val="left"/>
      <w:pPr>
        <w:tabs>
          <w:tab w:val="left" w:pos="3105"/>
        </w:tabs>
        <w:ind w:left="3105" w:hanging="420"/>
      </w:pPr>
    </w:lvl>
    <w:lvl w:ilvl="7" w:tentative="0">
      <w:start w:val="1"/>
      <w:numFmt w:val="lowerLetter"/>
      <w:lvlText w:val="%8)"/>
      <w:lvlJc w:val="left"/>
      <w:pPr>
        <w:tabs>
          <w:tab w:val="left" w:pos="3525"/>
        </w:tabs>
        <w:ind w:left="3525" w:hanging="420"/>
      </w:pPr>
    </w:lvl>
    <w:lvl w:ilvl="8" w:tentative="0">
      <w:start w:val="1"/>
      <w:numFmt w:val="lowerRoman"/>
      <w:lvlText w:val="%9."/>
      <w:lvlJc w:val="right"/>
      <w:pPr>
        <w:tabs>
          <w:tab w:val="left" w:pos="3945"/>
        </w:tabs>
        <w:ind w:left="3945" w:hanging="420"/>
      </w:pPr>
    </w:lvl>
  </w:abstractNum>
  <w:num w:numId="1">
    <w:abstractNumId w:val="0"/>
  </w:num>
  <w:num w:numId="2">
    <w:abstractNumId w:val="1"/>
  </w:num>
  <w:num w:numId="3">
    <w:abstractNumId w:val="5"/>
    <w:lvlOverride w:ilvl="0">
      <w:startOverride w:val="1"/>
    </w:lvlOverride>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AE5F11"/>
    <w:rsid w:val="00020613"/>
    <w:rsid w:val="00023D27"/>
    <w:rsid w:val="00027F81"/>
    <w:rsid w:val="00030691"/>
    <w:rsid w:val="00031DE9"/>
    <w:rsid w:val="00034AEC"/>
    <w:rsid w:val="00051182"/>
    <w:rsid w:val="000617CC"/>
    <w:rsid w:val="00070C0A"/>
    <w:rsid w:val="00082010"/>
    <w:rsid w:val="0008619E"/>
    <w:rsid w:val="0008636E"/>
    <w:rsid w:val="000902C1"/>
    <w:rsid w:val="00092ECF"/>
    <w:rsid w:val="000A5743"/>
    <w:rsid w:val="000A7646"/>
    <w:rsid w:val="000B4696"/>
    <w:rsid w:val="000B48BB"/>
    <w:rsid w:val="000C2203"/>
    <w:rsid w:val="000D0011"/>
    <w:rsid w:val="000D66E2"/>
    <w:rsid w:val="000D76B6"/>
    <w:rsid w:val="000F0D5C"/>
    <w:rsid w:val="000F1463"/>
    <w:rsid w:val="000F2B65"/>
    <w:rsid w:val="000F51CB"/>
    <w:rsid w:val="000F6D67"/>
    <w:rsid w:val="00101639"/>
    <w:rsid w:val="00105CD0"/>
    <w:rsid w:val="0011121C"/>
    <w:rsid w:val="00111BDD"/>
    <w:rsid w:val="00111FC3"/>
    <w:rsid w:val="001228B7"/>
    <w:rsid w:val="00124609"/>
    <w:rsid w:val="00127C4F"/>
    <w:rsid w:val="00134180"/>
    <w:rsid w:val="001427A0"/>
    <w:rsid w:val="00147196"/>
    <w:rsid w:val="001502F3"/>
    <w:rsid w:val="0016109F"/>
    <w:rsid w:val="001623B2"/>
    <w:rsid w:val="00176BD5"/>
    <w:rsid w:val="00181B26"/>
    <w:rsid w:val="00195186"/>
    <w:rsid w:val="00197EF0"/>
    <w:rsid w:val="001A3CF8"/>
    <w:rsid w:val="001A557E"/>
    <w:rsid w:val="001B7E18"/>
    <w:rsid w:val="001C5651"/>
    <w:rsid w:val="001D185D"/>
    <w:rsid w:val="001E1027"/>
    <w:rsid w:val="001E3DAC"/>
    <w:rsid w:val="001E409B"/>
    <w:rsid w:val="001E593D"/>
    <w:rsid w:val="001F0B8C"/>
    <w:rsid w:val="001F2725"/>
    <w:rsid w:val="00220504"/>
    <w:rsid w:val="002307BD"/>
    <w:rsid w:val="00240F7D"/>
    <w:rsid w:val="002464B1"/>
    <w:rsid w:val="002479E5"/>
    <w:rsid w:val="002674A4"/>
    <w:rsid w:val="00284329"/>
    <w:rsid w:val="00286EED"/>
    <w:rsid w:val="00291ACD"/>
    <w:rsid w:val="00293C52"/>
    <w:rsid w:val="002956CB"/>
    <w:rsid w:val="002A1857"/>
    <w:rsid w:val="002A2E5D"/>
    <w:rsid w:val="002A41A0"/>
    <w:rsid w:val="002A673E"/>
    <w:rsid w:val="002B4CE0"/>
    <w:rsid w:val="002C1C8B"/>
    <w:rsid w:val="002D5DFB"/>
    <w:rsid w:val="002E0429"/>
    <w:rsid w:val="002F13E6"/>
    <w:rsid w:val="0030124E"/>
    <w:rsid w:val="0030487D"/>
    <w:rsid w:val="00306736"/>
    <w:rsid w:val="00312495"/>
    <w:rsid w:val="0031559E"/>
    <w:rsid w:val="00320E2C"/>
    <w:rsid w:val="003235FF"/>
    <w:rsid w:val="0033422A"/>
    <w:rsid w:val="00335B7D"/>
    <w:rsid w:val="00372564"/>
    <w:rsid w:val="003801CF"/>
    <w:rsid w:val="00385B4C"/>
    <w:rsid w:val="003863E8"/>
    <w:rsid w:val="00396D8D"/>
    <w:rsid w:val="003A075A"/>
    <w:rsid w:val="003A1A92"/>
    <w:rsid w:val="003B2C5B"/>
    <w:rsid w:val="003C08A9"/>
    <w:rsid w:val="003D3AB7"/>
    <w:rsid w:val="003D7538"/>
    <w:rsid w:val="003E406A"/>
    <w:rsid w:val="003F6507"/>
    <w:rsid w:val="003F6FED"/>
    <w:rsid w:val="004017B9"/>
    <w:rsid w:val="00412D75"/>
    <w:rsid w:val="00412E3D"/>
    <w:rsid w:val="00421387"/>
    <w:rsid w:val="0042183C"/>
    <w:rsid w:val="00431552"/>
    <w:rsid w:val="00432BCA"/>
    <w:rsid w:val="0043554F"/>
    <w:rsid w:val="00437677"/>
    <w:rsid w:val="00441CFA"/>
    <w:rsid w:val="00442A9C"/>
    <w:rsid w:val="00444AE7"/>
    <w:rsid w:val="00445CF1"/>
    <w:rsid w:val="00450D2D"/>
    <w:rsid w:val="00451712"/>
    <w:rsid w:val="00451ABF"/>
    <w:rsid w:val="00452B8A"/>
    <w:rsid w:val="00453BD1"/>
    <w:rsid w:val="00453E4F"/>
    <w:rsid w:val="00454AF0"/>
    <w:rsid w:val="00456F59"/>
    <w:rsid w:val="00461403"/>
    <w:rsid w:val="0048421B"/>
    <w:rsid w:val="00486048"/>
    <w:rsid w:val="00495A8F"/>
    <w:rsid w:val="004A078F"/>
    <w:rsid w:val="004A18B2"/>
    <w:rsid w:val="004A44BF"/>
    <w:rsid w:val="004B393D"/>
    <w:rsid w:val="004B4EF0"/>
    <w:rsid w:val="004C54FD"/>
    <w:rsid w:val="004D0F7C"/>
    <w:rsid w:val="004D239A"/>
    <w:rsid w:val="004D790E"/>
    <w:rsid w:val="004E01AC"/>
    <w:rsid w:val="004E086E"/>
    <w:rsid w:val="004E243B"/>
    <w:rsid w:val="004F001A"/>
    <w:rsid w:val="00531F6F"/>
    <w:rsid w:val="00544F85"/>
    <w:rsid w:val="00547857"/>
    <w:rsid w:val="00551215"/>
    <w:rsid w:val="00552FC5"/>
    <w:rsid w:val="005627E2"/>
    <w:rsid w:val="005633A9"/>
    <w:rsid w:val="00567FC0"/>
    <w:rsid w:val="00574795"/>
    <w:rsid w:val="005778F9"/>
    <w:rsid w:val="0058078F"/>
    <w:rsid w:val="00583DA6"/>
    <w:rsid w:val="005852D0"/>
    <w:rsid w:val="005A617A"/>
    <w:rsid w:val="005B2385"/>
    <w:rsid w:val="005B7BE7"/>
    <w:rsid w:val="005C13E8"/>
    <w:rsid w:val="005C5102"/>
    <w:rsid w:val="005C5AF8"/>
    <w:rsid w:val="005D4DA7"/>
    <w:rsid w:val="005E0A76"/>
    <w:rsid w:val="005F05A7"/>
    <w:rsid w:val="005F16B9"/>
    <w:rsid w:val="005F6493"/>
    <w:rsid w:val="00600050"/>
    <w:rsid w:val="006008B4"/>
    <w:rsid w:val="006015B7"/>
    <w:rsid w:val="00612ADC"/>
    <w:rsid w:val="00617A0A"/>
    <w:rsid w:val="006265CB"/>
    <w:rsid w:val="00647060"/>
    <w:rsid w:val="006476E5"/>
    <w:rsid w:val="00653708"/>
    <w:rsid w:val="00654B07"/>
    <w:rsid w:val="00655356"/>
    <w:rsid w:val="006569C3"/>
    <w:rsid w:val="00657935"/>
    <w:rsid w:val="00677E2C"/>
    <w:rsid w:val="00683C85"/>
    <w:rsid w:val="00684933"/>
    <w:rsid w:val="0068606A"/>
    <w:rsid w:val="00686A83"/>
    <w:rsid w:val="00691507"/>
    <w:rsid w:val="00692A55"/>
    <w:rsid w:val="0069600A"/>
    <w:rsid w:val="006A13FC"/>
    <w:rsid w:val="006B00C5"/>
    <w:rsid w:val="006C0CF5"/>
    <w:rsid w:val="006C7376"/>
    <w:rsid w:val="006D47A9"/>
    <w:rsid w:val="006D5C5E"/>
    <w:rsid w:val="006E3649"/>
    <w:rsid w:val="006E4298"/>
    <w:rsid w:val="006E4F70"/>
    <w:rsid w:val="006F1BA4"/>
    <w:rsid w:val="006F77F3"/>
    <w:rsid w:val="0072080C"/>
    <w:rsid w:val="00722EE5"/>
    <w:rsid w:val="00733701"/>
    <w:rsid w:val="0073694E"/>
    <w:rsid w:val="00742A91"/>
    <w:rsid w:val="00746A36"/>
    <w:rsid w:val="0075079B"/>
    <w:rsid w:val="00764CA3"/>
    <w:rsid w:val="00773605"/>
    <w:rsid w:val="0077367F"/>
    <w:rsid w:val="0078141F"/>
    <w:rsid w:val="00785F25"/>
    <w:rsid w:val="00791F1D"/>
    <w:rsid w:val="007A2DF6"/>
    <w:rsid w:val="007A3B20"/>
    <w:rsid w:val="007A3C4F"/>
    <w:rsid w:val="007A6681"/>
    <w:rsid w:val="007B2783"/>
    <w:rsid w:val="007B28F1"/>
    <w:rsid w:val="007B32DC"/>
    <w:rsid w:val="007B5141"/>
    <w:rsid w:val="007B7ED4"/>
    <w:rsid w:val="007C00BF"/>
    <w:rsid w:val="007C08DC"/>
    <w:rsid w:val="007C38F9"/>
    <w:rsid w:val="007D2B56"/>
    <w:rsid w:val="007D6258"/>
    <w:rsid w:val="007D759C"/>
    <w:rsid w:val="007D7F98"/>
    <w:rsid w:val="007E3296"/>
    <w:rsid w:val="007E76EC"/>
    <w:rsid w:val="007F0FF7"/>
    <w:rsid w:val="007F3DF9"/>
    <w:rsid w:val="0080132D"/>
    <w:rsid w:val="00802A8F"/>
    <w:rsid w:val="00802E45"/>
    <w:rsid w:val="008034AF"/>
    <w:rsid w:val="00807ED3"/>
    <w:rsid w:val="0081085A"/>
    <w:rsid w:val="008143FD"/>
    <w:rsid w:val="008221B4"/>
    <w:rsid w:val="00833782"/>
    <w:rsid w:val="00836186"/>
    <w:rsid w:val="00837D17"/>
    <w:rsid w:val="00843582"/>
    <w:rsid w:val="00843C9E"/>
    <w:rsid w:val="008444CB"/>
    <w:rsid w:val="008473E3"/>
    <w:rsid w:val="00847D04"/>
    <w:rsid w:val="0086065C"/>
    <w:rsid w:val="0086616F"/>
    <w:rsid w:val="008665ED"/>
    <w:rsid w:val="0087219E"/>
    <w:rsid w:val="00875202"/>
    <w:rsid w:val="00883BEA"/>
    <w:rsid w:val="00891314"/>
    <w:rsid w:val="008B6427"/>
    <w:rsid w:val="008B6F76"/>
    <w:rsid w:val="008B7FD1"/>
    <w:rsid w:val="008C6BB3"/>
    <w:rsid w:val="008E0067"/>
    <w:rsid w:val="008E103C"/>
    <w:rsid w:val="008F4510"/>
    <w:rsid w:val="00906CC6"/>
    <w:rsid w:val="00913D4B"/>
    <w:rsid w:val="00914107"/>
    <w:rsid w:val="00923DF2"/>
    <w:rsid w:val="00926DEF"/>
    <w:rsid w:val="0093058B"/>
    <w:rsid w:val="00934F34"/>
    <w:rsid w:val="00936070"/>
    <w:rsid w:val="00947DDF"/>
    <w:rsid w:val="009518B0"/>
    <w:rsid w:val="009557D2"/>
    <w:rsid w:val="00962F15"/>
    <w:rsid w:val="00963150"/>
    <w:rsid w:val="0096576D"/>
    <w:rsid w:val="0096632B"/>
    <w:rsid w:val="00993690"/>
    <w:rsid w:val="00997BC4"/>
    <w:rsid w:val="009A7458"/>
    <w:rsid w:val="009B416E"/>
    <w:rsid w:val="009B6179"/>
    <w:rsid w:val="009B61AA"/>
    <w:rsid w:val="009C5C63"/>
    <w:rsid w:val="009D2980"/>
    <w:rsid w:val="009D45BA"/>
    <w:rsid w:val="009D54B1"/>
    <w:rsid w:val="009D634E"/>
    <w:rsid w:val="009D6F3F"/>
    <w:rsid w:val="009E200D"/>
    <w:rsid w:val="00A22FCD"/>
    <w:rsid w:val="00A257CB"/>
    <w:rsid w:val="00A3600C"/>
    <w:rsid w:val="00A40179"/>
    <w:rsid w:val="00A44709"/>
    <w:rsid w:val="00A459AD"/>
    <w:rsid w:val="00A5158F"/>
    <w:rsid w:val="00A54144"/>
    <w:rsid w:val="00A5426C"/>
    <w:rsid w:val="00A57091"/>
    <w:rsid w:val="00A66A9C"/>
    <w:rsid w:val="00A73A29"/>
    <w:rsid w:val="00A7543E"/>
    <w:rsid w:val="00A821CA"/>
    <w:rsid w:val="00A849A0"/>
    <w:rsid w:val="00A86331"/>
    <w:rsid w:val="00A94980"/>
    <w:rsid w:val="00A95DF8"/>
    <w:rsid w:val="00AA1162"/>
    <w:rsid w:val="00AA7876"/>
    <w:rsid w:val="00AB64A8"/>
    <w:rsid w:val="00AC290B"/>
    <w:rsid w:val="00AC6BCC"/>
    <w:rsid w:val="00AD0D6B"/>
    <w:rsid w:val="00AD25B9"/>
    <w:rsid w:val="00AD446F"/>
    <w:rsid w:val="00AD668A"/>
    <w:rsid w:val="00AD6A3F"/>
    <w:rsid w:val="00AD6C0C"/>
    <w:rsid w:val="00AD7D5F"/>
    <w:rsid w:val="00AE052F"/>
    <w:rsid w:val="00AE0D89"/>
    <w:rsid w:val="00AE4992"/>
    <w:rsid w:val="00AE5AA3"/>
    <w:rsid w:val="00AE5F11"/>
    <w:rsid w:val="00AF0948"/>
    <w:rsid w:val="00B011A2"/>
    <w:rsid w:val="00B1224F"/>
    <w:rsid w:val="00B12D9D"/>
    <w:rsid w:val="00B147C0"/>
    <w:rsid w:val="00B170EA"/>
    <w:rsid w:val="00B22B92"/>
    <w:rsid w:val="00B2608F"/>
    <w:rsid w:val="00B27372"/>
    <w:rsid w:val="00B40844"/>
    <w:rsid w:val="00B7159F"/>
    <w:rsid w:val="00B80A14"/>
    <w:rsid w:val="00B81452"/>
    <w:rsid w:val="00B83DA5"/>
    <w:rsid w:val="00B8721B"/>
    <w:rsid w:val="00BA51E0"/>
    <w:rsid w:val="00BA553B"/>
    <w:rsid w:val="00BB45B4"/>
    <w:rsid w:val="00BD7C2E"/>
    <w:rsid w:val="00BF760D"/>
    <w:rsid w:val="00C024E6"/>
    <w:rsid w:val="00C11743"/>
    <w:rsid w:val="00C1174F"/>
    <w:rsid w:val="00C209C8"/>
    <w:rsid w:val="00C3013C"/>
    <w:rsid w:val="00C45BB1"/>
    <w:rsid w:val="00C50771"/>
    <w:rsid w:val="00C50A31"/>
    <w:rsid w:val="00C55369"/>
    <w:rsid w:val="00C5684A"/>
    <w:rsid w:val="00C72D7C"/>
    <w:rsid w:val="00C87005"/>
    <w:rsid w:val="00C87CEE"/>
    <w:rsid w:val="00C9730B"/>
    <w:rsid w:val="00CA4D48"/>
    <w:rsid w:val="00CB14E3"/>
    <w:rsid w:val="00CC21A6"/>
    <w:rsid w:val="00CC7F1A"/>
    <w:rsid w:val="00CD2839"/>
    <w:rsid w:val="00CD310F"/>
    <w:rsid w:val="00CD5D21"/>
    <w:rsid w:val="00CD6D02"/>
    <w:rsid w:val="00CE6915"/>
    <w:rsid w:val="00CF154B"/>
    <w:rsid w:val="00CF2CFD"/>
    <w:rsid w:val="00CF4462"/>
    <w:rsid w:val="00CF499A"/>
    <w:rsid w:val="00CF4D71"/>
    <w:rsid w:val="00D078C5"/>
    <w:rsid w:val="00D1635D"/>
    <w:rsid w:val="00D17D85"/>
    <w:rsid w:val="00D20059"/>
    <w:rsid w:val="00D316A0"/>
    <w:rsid w:val="00D36363"/>
    <w:rsid w:val="00D42D1E"/>
    <w:rsid w:val="00D45C5C"/>
    <w:rsid w:val="00D53D67"/>
    <w:rsid w:val="00D667C9"/>
    <w:rsid w:val="00D67757"/>
    <w:rsid w:val="00D70363"/>
    <w:rsid w:val="00D70E91"/>
    <w:rsid w:val="00D71BD9"/>
    <w:rsid w:val="00D723D8"/>
    <w:rsid w:val="00D73840"/>
    <w:rsid w:val="00D75CA3"/>
    <w:rsid w:val="00D80098"/>
    <w:rsid w:val="00D81208"/>
    <w:rsid w:val="00D82815"/>
    <w:rsid w:val="00D87A3D"/>
    <w:rsid w:val="00DB0E5D"/>
    <w:rsid w:val="00DC262C"/>
    <w:rsid w:val="00DC7ADD"/>
    <w:rsid w:val="00DD0C24"/>
    <w:rsid w:val="00DD6CB3"/>
    <w:rsid w:val="00DE4955"/>
    <w:rsid w:val="00DE5E8C"/>
    <w:rsid w:val="00DF6EDF"/>
    <w:rsid w:val="00E0001E"/>
    <w:rsid w:val="00E06F56"/>
    <w:rsid w:val="00E12902"/>
    <w:rsid w:val="00E14E00"/>
    <w:rsid w:val="00E30B72"/>
    <w:rsid w:val="00E33520"/>
    <w:rsid w:val="00E347AF"/>
    <w:rsid w:val="00E431E9"/>
    <w:rsid w:val="00E54909"/>
    <w:rsid w:val="00E57F80"/>
    <w:rsid w:val="00E57FB2"/>
    <w:rsid w:val="00E708BF"/>
    <w:rsid w:val="00E754AB"/>
    <w:rsid w:val="00E84224"/>
    <w:rsid w:val="00E85A77"/>
    <w:rsid w:val="00E87F28"/>
    <w:rsid w:val="00EB0EB9"/>
    <w:rsid w:val="00EB2837"/>
    <w:rsid w:val="00EB2EC5"/>
    <w:rsid w:val="00EB5D72"/>
    <w:rsid w:val="00EB785D"/>
    <w:rsid w:val="00EC14FA"/>
    <w:rsid w:val="00EC1768"/>
    <w:rsid w:val="00EC6522"/>
    <w:rsid w:val="00ED16B5"/>
    <w:rsid w:val="00ED2047"/>
    <w:rsid w:val="00ED71AA"/>
    <w:rsid w:val="00EE0B78"/>
    <w:rsid w:val="00EE19D0"/>
    <w:rsid w:val="00EE5B00"/>
    <w:rsid w:val="00EF3A3E"/>
    <w:rsid w:val="00EF5EEA"/>
    <w:rsid w:val="00EF64D7"/>
    <w:rsid w:val="00F064A9"/>
    <w:rsid w:val="00F06F32"/>
    <w:rsid w:val="00F12867"/>
    <w:rsid w:val="00F143F1"/>
    <w:rsid w:val="00F2149B"/>
    <w:rsid w:val="00F23798"/>
    <w:rsid w:val="00F30323"/>
    <w:rsid w:val="00F32F16"/>
    <w:rsid w:val="00F3465C"/>
    <w:rsid w:val="00F41AB6"/>
    <w:rsid w:val="00F44989"/>
    <w:rsid w:val="00F51043"/>
    <w:rsid w:val="00F51196"/>
    <w:rsid w:val="00F61F6A"/>
    <w:rsid w:val="00F62A29"/>
    <w:rsid w:val="00F65795"/>
    <w:rsid w:val="00F829C1"/>
    <w:rsid w:val="00F83467"/>
    <w:rsid w:val="00F8781A"/>
    <w:rsid w:val="00F92AEA"/>
    <w:rsid w:val="00F92D0A"/>
    <w:rsid w:val="00FA4EA8"/>
    <w:rsid w:val="00FB1DE2"/>
    <w:rsid w:val="00FB4F09"/>
    <w:rsid w:val="00FB4F84"/>
    <w:rsid w:val="00FB726F"/>
    <w:rsid w:val="00FC728E"/>
    <w:rsid w:val="00FD4693"/>
    <w:rsid w:val="00FD76FA"/>
    <w:rsid w:val="00FF1949"/>
    <w:rsid w:val="00FF3C66"/>
    <w:rsid w:val="00FF4D54"/>
    <w:rsid w:val="07CE39E0"/>
    <w:rsid w:val="0B8B5790"/>
    <w:rsid w:val="2ED81C71"/>
    <w:rsid w:val="64FE4863"/>
    <w:rsid w:val="7A6B4AD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semiHidden="0" w:name="heading 4"/>
    <w:lsdException w:qFormat="1" w:uiPriority="9" w:semiHidden="0" w:name="heading 5"/>
    <w:lsdException w:qFormat="1" w:uiPriority="0" w:semiHidden="0" w:name="heading 6"/>
    <w:lsdException w:qFormat="1" w:uiPriority="9" w:semiHidden="0" w:name="heading 7"/>
    <w:lsdException w:qFormat="1" w:uiPriority="9"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iPriority="39" w:semiHidden="0" w:name="toc 2"/>
    <w:lsdException w:uiPriority="39" w:semiHidden="0" w:name="toc 3"/>
    <w:lsdException w:uiPriority="39" w:semiHidden="0" w:name="toc 4"/>
    <w:lsdException w:uiPriority="39" w:semiHidden="0" w:name="toc 5"/>
    <w:lsdException w:qFormat="1" w:uiPriority="39" w:semiHidden="0" w:name="toc 6"/>
    <w:lsdException w:uiPriority="39" w:semiHidden="0" w:name="toc 7"/>
    <w:lsdException w:uiPriority="39" w:semiHidden="0" w:name="toc 8"/>
    <w:lsdException w:uiPriority="39" w:semiHidden="0" w:name="toc 9"/>
    <w:lsdException w:unhideWhenUsed="0" w:uiPriority="0" w:semiHidden="0" w:name="Normal Indent"/>
    <w:lsdException w:uiPriority="99" w:name="footnote text"/>
    <w:lsdException w:unhideWhenUsed="0" w:uiPriority="99" w:semiHidden="0" w:name="annotation text"/>
    <w:lsdException w:uiPriority="99" w:semiHidden="0" w:name="header"/>
    <w:lsdException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uiPriority="99" w:semiHidden="0" w:name="annotation reference"/>
    <w:lsdException w:uiPriority="99" w:name="line number"/>
    <w:lsdException w:unhideWhenUsed="0" w:uiPriority="0" w:semiHidden="0" w:name="page number"/>
    <w:lsdException w:unhideWhenUsed="0" w:uiPriority="0" w:semiHidden="0" w:name="endnote reference"/>
    <w:lsdException w:unhideWhenUsed="0" w:uiPriority="0" w:semiHidden="0" w:name="endnote text"/>
    <w:lsdException w:uiPriority="99" w:name="table of authorities"/>
    <w:lsdException w:uiPriority="99" w:name="macro"/>
    <w:lsdException w:uiPriority="99" w:name="toa heading"/>
    <w:lsdException w:unhideWhenUsed="0" w:uiPriority="0" w:semiHidden="0" w:name="List"/>
    <w:lsdException w:uiPriority="99" w:name="List Bullet"/>
    <w:lsdException w:qFormat="1" w:unhideWhenUsed="0" w:uiPriority="0" w:semiHidden="0" w:name="List Number"/>
    <w:lsdException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nhideWhenUsed="0" w:uiPriority="0" w:semiHidden="0" w:name="Date"/>
    <w:lsdException w:uiPriority="99" w:name="Body Text First Indent"/>
    <w:lsdException w:uiPriority="99" w:name="Body Text First Indent 2"/>
    <w:lsdException w:uiPriority="99"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iPriority="99" w:name="Block Text"/>
    <w:lsdException w:unhideWhenUsed="0" w:uiPriority="99" w:semiHidden="0" w:name="Hyperlink"/>
    <w:lsdException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2"/>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3"/>
    <w:qFormat/>
    <w:uiPriority w:val="9"/>
    <w:pPr>
      <w:keepNext/>
      <w:keepLines/>
      <w:spacing w:before="260" w:after="260" w:line="416" w:lineRule="auto"/>
      <w:outlineLvl w:val="1"/>
    </w:pPr>
    <w:rPr>
      <w:rFonts w:ascii="Arial" w:hAnsi="Arial" w:eastAsia="黑体"/>
      <w:b/>
      <w:bCs/>
      <w:kern w:val="0"/>
      <w:sz w:val="32"/>
      <w:szCs w:val="32"/>
    </w:rPr>
  </w:style>
  <w:style w:type="paragraph" w:styleId="4">
    <w:name w:val="heading 3"/>
    <w:basedOn w:val="1"/>
    <w:next w:val="1"/>
    <w:link w:val="64"/>
    <w:qFormat/>
    <w:uiPriority w:val="0"/>
    <w:pPr>
      <w:keepNext/>
      <w:keepLines/>
      <w:spacing w:before="260" w:after="260" w:line="416" w:lineRule="auto"/>
      <w:outlineLvl w:val="2"/>
    </w:pPr>
    <w:rPr>
      <w:b/>
      <w:bCs/>
      <w:kern w:val="0"/>
      <w:sz w:val="32"/>
      <w:szCs w:val="32"/>
    </w:rPr>
  </w:style>
  <w:style w:type="paragraph" w:styleId="5">
    <w:name w:val="heading 4"/>
    <w:basedOn w:val="1"/>
    <w:next w:val="1"/>
    <w:link w:val="65"/>
    <w:unhideWhenUsed/>
    <w:qFormat/>
    <w:uiPriority w:val="0"/>
    <w:pPr>
      <w:keepNext/>
      <w:keepLines/>
      <w:spacing w:line="360" w:lineRule="auto"/>
      <w:jc w:val="left"/>
      <w:outlineLvl w:val="3"/>
    </w:pPr>
    <w:rPr>
      <w:rFonts w:ascii="宋体" w:hAnsi="宋体"/>
      <w:b/>
      <w:bCs/>
      <w:kern w:val="0"/>
      <w:sz w:val="24"/>
      <w:szCs w:val="28"/>
    </w:rPr>
  </w:style>
  <w:style w:type="paragraph" w:styleId="6">
    <w:name w:val="heading 5"/>
    <w:basedOn w:val="1"/>
    <w:next w:val="1"/>
    <w:link w:val="66"/>
    <w:unhideWhenUsed/>
    <w:qFormat/>
    <w:uiPriority w:val="9"/>
    <w:pPr>
      <w:keepNext/>
      <w:keepLines/>
      <w:spacing w:line="360" w:lineRule="auto"/>
      <w:jc w:val="left"/>
      <w:outlineLvl w:val="4"/>
    </w:pPr>
    <w:rPr>
      <w:rFonts w:ascii="宋体" w:hAnsi="宋体"/>
      <w:b/>
      <w:bCs/>
      <w:kern w:val="0"/>
      <w:sz w:val="24"/>
      <w:szCs w:val="28"/>
    </w:rPr>
  </w:style>
  <w:style w:type="paragraph" w:styleId="7">
    <w:name w:val="heading 6"/>
    <w:basedOn w:val="1"/>
    <w:next w:val="1"/>
    <w:link w:val="67"/>
    <w:unhideWhenUsed/>
    <w:qFormat/>
    <w:uiPriority w:val="0"/>
    <w:pPr>
      <w:keepNext/>
      <w:keepLines/>
      <w:spacing w:line="360" w:lineRule="auto"/>
      <w:jc w:val="left"/>
      <w:outlineLvl w:val="5"/>
    </w:pPr>
    <w:rPr>
      <w:rFonts w:ascii="宋体" w:hAnsi="宋体"/>
      <w:b/>
      <w:bCs/>
      <w:kern w:val="0"/>
      <w:sz w:val="24"/>
    </w:rPr>
  </w:style>
  <w:style w:type="paragraph" w:styleId="8">
    <w:name w:val="heading 7"/>
    <w:basedOn w:val="1"/>
    <w:next w:val="1"/>
    <w:link w:val="68"/>
    <w:unhideWhenUsed/>
    <w:qFormat/>
    <w:uiPriority w:val="9"/>
    <w:pPr>
      <w:keepNext/>
      <w:keepLines/>
      <w:spacing w:line="360" w:lineRule="auto"/>
      <w:jc w:val="left"/>
      <w:outlineLvl w:val="6"/>
    </w:pPr>
    <w:rPr>
      <w:rFonts w:ascii="宋体" w:hAnsi="宋体"/>
      <w:b/>
      <w:bCs/>
      <w:kern w:val="0"/>
      <w:sz w:val="24"/>
    </w:rPr>
  </w:style>
  <w:style w:type="paragraph" w:styleId="9">
    <w:name w:val="heading 8"/>
    <w:basedOn w:val="1"/>
    <w:next w:val="1"/>
    <w:link w:val="69"/>
    <w:unhideWhenUsed/>
    <w:qFormat/>
    <w:uiPriority w:val="9"/>
    <w:pPr>
      <w:keepNext/>
      <w:keepLines/>
      <w:spacing w:line="360" w:lineRule="auto"/>
      <w:jc w:val="left"/>
      <w:outlineLvl w:val="7"/>
    </w:pPr>
    <w:rPr>
      <w:rFonts w:ascii="宋体" w:hAnsi="宋体"/>
      <w:b/>
      <w:kern w:val="0"/>
      <w:sz w:val="24"/>
    </w:rPr>
  </w:style>
  <w:style w:type="paragraph" w:styleId="10">
    <w:name w:val="heading 9"/>
    <w:basedOn w:val="1"/>
    <w:next w:val="1"/>
    <w:link w:val="70"/>
    <w:qFormat/>
    <w:uiPriority w:val="0"/>
    <w:pPr>
      <w:keepNext/>
      <w:keepLines/>
      <w:spacing w:before="240" w:after="64" w:line="320" w:lineRule="auto"/>
      <w:outlineLvl w:val="8"/>
    </w:pPr>
    <w:rPr>
      <w:rFonts w:ascii="Calibri Light" w:hAnsi="Calibri Light"/>
      <w:kern w:val="0"/>
      <w:sz w:val="20"/>
      <w:szCs w:val="21"/>
    </w:rPr>
  </w:style>
  <w:style w:type="character" w:default="1" w:styleId="45">
    <w:name w:val="Default Paragraph Font"/>
    <w:semiHidden/>
    <w:unhideWhenUsed/>
    <w:uiPriority w:val="1"/>
  </w:style>
  <w:style w:type="table" w:default="1" w:styleId="53">
    <w:name w:val="Normal Table"/>
    <w:semiHidden/>
    <w:unhideWhenUsed/>
    <w:qFormat/>
    <w:uiPriority w:val="99"/>
    <w:tblPr>
      <w:tblLayout w:type="fixed"/>
      <w:tblCellMar>
        <w:top w:w="0" w:type="dxa"/>
        <w:left w:w="108" w:type="dxa"/>
        <w:bottom w:w="0" w:type="dxa"/>
        <w:right w:w="108" w:type="dxa"/>
      </w:tblCellMar>
    </w:tblPr>
  </w:style>
  <w:style w:type="paragraph" w:styleId="11">
    <w:name w:val="annotation subject"/>
    <w:basedOn w:val="12"/>
    <w:next w:val="12"/>
    <w:link w:val="99"/>
    <w:unhideWhenUsed/>
    <w:qFormat/>
    <w:uiPriority w:val="99"/>
    <w:rPr>
      <w:b/>
      <w:bCs/>
      <w:kern w:val="2"/>
      <w:sz w:val="21"/>
    </w:rPr>
  </w:style>
  <w:style w:type="paragraph" w:styleId="12">
    <w:name w:val="annotation text"/>
    <w:basedOn w:val="1"/>
    <w:link w:val="84"/>
    <w:uiPriority w:val="99"/>
    <w:pPr>
      <w:jc w:val="left"/>
    </w:pPr>
    <w:rPr>
      <w:kern w:val="0"/>
      <w:sz w:val="20"/>
    </w:rPr>
  </w:style>
  <w:style w:type="paragraph" w:styleId="13">
    <w:name w:val="toc 7"/>
    <w:basedOn w:val="1"/>
    <w:next w:val="1"/>
    <w:unhideWhenUsed/>
    <w:uiPriority w:val="39"/>
    <w:pPr>
      <w:widowControl/>
      <w:spacing w:line="360" w:lineRule="auto"/>
      <w:ind w:left="2520" w:leftChars="1200" w:firstLine="200" w:firstLineChars="200"/>
      <w:jc w:val="left"/>
    </w:pPr>
    <w:rPr>
      <w:rFonts w:ascii="Calibri" w:hAnsi="Calibri"/>
      <w:kern w:val="0"/>
      <w:sz w:val="24"/>
      <w:szCs w:val="22"/>
    </w:rPr>
  </w:style>
  <w:style w:type="paragraph" w:styleId="14">
    <w:name w:val="List Number"/>
    <w:basedOn w:val="1"/>
    <w:qFormat/>
    <w:uiPriority w:val="0"/>
    <w:pPr>
      <w:widowControl/>
      <w:numPr>
        <w:ilvl w:val="0"/>
        <w:numId w:val="1"/>
      </w:numPr>
      <w:tabs>
        <w:tab w:val="left" w:pos="900"/>
      </w:tabs>
      <w:spacing w:afterLines="50"/>
      <w:jc w:val="left"/>
    </w:pPr>
    <w:rPr>
      <w:kern w:val="0"/>
      <w:sz w:val="24"/>
      <w:szCs w:val="20"/>
    </w:rPr>
  </w:style>
  <w:style w:type="paragraph" w:styleId="15">
    <w:name w:val="Normal Indent"/>
    <w:basedOn w:val="1"/>
    <w:uiPriority w:val="0"/>
    <w:pPr>
      <w:ind w:firstLine="420"/>
    </w:pPr>
    <w:rPr>
      <w:szCs w:val="20"/>
    </w:rPr>
  </w:style>
  <w:style w:type="paragraph" w:styleId="16">
    <w:name w:val="caption"/>
    <w:basedOn w:val="1"/>
    <w:next w:val="1"/>
    <w:link w:val="100"/>
    <w:qFormat/>
    <w:uiPriority w:val="35"/>
    <w:pPr>
      <w:spacing w:before="152" w:after="160"/>
    </w:pPr>
    <w:rPr>
      <w:rFonts w:ascii="Arial" w:hAnsi="Arial" w:eastAsia="黑体"/>
      <w:sz w:val="20"/>
      <w:szCs w:val="20"/>
    </w:rPr>
  </w:style>
  <w:style w:type="paragraph" w:styleId="17">
    <w:name w:val="Document Map"/>
    <w:basedOn w:val="1"/>
    <w:link w:val="72"/>
    <w:qFormat/>
    <w:uiPriority w:val="99"/>
    <w:rPr>
      <w:rFonts w:ascii="宋体" w:hAnsi="Calibri"/>
      <w:kern w:val="0"/>
      <w:sz w:val="18"/>
      <w:szCs w:val="18"/>
    </w:rPr>
  </w:style>
  <w:style w:type="paragraph" w:styleId="18">
    <w:name w:val="Body Text 3"/>
    <w:basedOn w:val="1"/>
    <w:link w:val="85"/>
    <w:uiPriority w:val="0"/>
    <w:pPr>
      <w:snapToGrid w:val="0"/>
      <w:spacing w:before="50" w:after="50"/>
    </w:pPr>
    <w:rPr>
      <w:rFonts w:hAnsi="宋体" w:eastAsia="仿宋_GB2312"/>
      <w:b/>
      <w:bCs/>
      <w:kern w:val="0"/>
      <w:sz w:val="24"/>
      <w:szCs w:val="20"/>
    </w:rPr>
  </w:style>
  <w:style w:type="paragraph" w:styleId="19">
    <w:name w:val="Body Text"/>
    <w:basedOn w:val="1"/>
    <w:link w:val="81"/>
    <w:uiPriority w:val="0"/>
    <w:pPr>
      <w:spacing w:after="120"/>
    </w:pPr>
    <w:rPr>
      <w:kern w:val="0"/>
      <w:sz w:val="28"/>
    </w:rPr>
  </w:style>
  <w:style w:type="paragraph" w:styleId="20">
    <w:name w:val="Body Text Indent"/>
    <w:basedOn w:val="1"/>
    <w:link w:val="83"/>
    <w:uiPriority w:val="0"/>
    <w:pPr>
      <w:spacing w:line="200" w:lineRule="exact"/>
      <w:ind w:firstLine="301"/>
    </w:pPr>
    <w:rPr>
      <w:rFonts w:ascii="宋体" w:hAnsi="Courier New"/>
      <w:spacing w:val="-4"/>
      <w:kern w:val="0"/>
      <w:sz w:val="18"/>
      <w:szCs w:val="20"/>
    </w:rPr>
  </w:style>
  <w:style w:type="paragraph" w:styleId="21">
    <w:name w:val="List Number 3"/>
    <w:basedOn w:val="1"/>
    <w:uiPriority w:val="0"/>
    <w:pPr>
      <w:numPr>
        <w:ilvl w:val="0"/>
        <w:numId w:val="2"/>
      </w:numPr>
      <w:tabs>
        <w:tab w:val="left" w:pos="1200"/>
      </w:tabs>
    </w:pPr>
  </w:style>
  <w:style w:type="paragraph" w:styleId="22">
    <w:name w:val="List 2"/>
    <w:basedOn w:val="1"/>
    <w:uiPriority w:val="0"/>
    <w:pPr>
      <w:ind w:left="100" w:leftChars="200" w:hanging="200" w:hangingChars="200"/>
    </w:pPr>
    <w:rPr>
      <w:sz w:val="28"/>
    </w:rPr>
  </w:style>
  <w:style w:type="paragraph" w:styleId="23">
    <w:name w:val="toc 5"/>
    <w:basedOn w:val="1"/>
    <w:next w:val="1"/>
    <w:unhideWhenUsed/>
    <w:uiPriority w:val="39"/>
    <w:pPr>
      <w:widowControl/>
      <w:spacing w:line="360" w:lineRule="auto"/>
      <w:ind w:left="1680" w:leftChars="800" w:firstLine="200" w:firstLineChars="200"/>
      <w:jc w:val="left"/>
    </w:pPr>
    <w:rPr>
      <w:rFonts w:ascii="Calibri" w:hAnsi="Calibri"/>
      <w:kern w:val="0"/>
      <w:sz w:val="24"/>
      <w:szCs w:val="22"/>
    </w:rPr>
  </w:style>
  <w:style w:type="paragraph" w:styleId="24">
    <w:name w:val="toc 3"/>
    <w:basedOn w:val="1"/>
    <w:next w:val="1"/>
    <w:unhideWhenUsed/>
    <w:uiPriority w:val="39"/>
    <w:pPr>
      <w:widowControl/>
      <w:spacing w:after="100" w:line="276" w:lineRule="auto"/>
      <w:ind w:left="440" w:firstLine="200" w:firstLineChars="200"/>
      <w:jc w:val="left"/>
    </w:pPr>
    <w:rPr>
      <w:rFonts w:ascii="Calibri" w:hAnsi="Calibri"/>
      <w:kern w:val="0"/>
      <w:sz w:val="22"/>
      <w:szCs w:val="22"/>
    </w:rPr>
  </w:style>
  <w:style w:type="paragraph" w:styleId="25">
    <w:name w:val="Plain Text"/>
    <w:basedOn w:val="1"/>
    <w:link w:val="58"/>
    <w:uiPriority w:val="0"/>
    <w:pPr>
      <w:spacing w:beforeLines="50" w:afterLines="50" w:line="400" w:lineRule="exact"/>
    </w:pPr>
    <w:rPr>
      <w:rFonts w:ascii="宋体" w:hAnsi="Courier New"/>
      <w:kern w:val="0"/>
      <w:sz w:val="24"/>
    </w:rPr>
  </w:style>
  <w:style w:type="paragraph" w:styleId="26">
    <w:name w:val="toc 8"/>
    <w:basedOn w:val="1"/>
    <w:next w:val="1"/>
    <w:unhideWhenUsed/>
    <w:uiPriority w:val="39"/>
    <w:pPr>
      <w:widowControl/>
      <w:spacing w:line="360" w:lineRule="auto"/>
      <w:ind w:left="2940" w:leftChars="1400" w:firstLine="200" w:firstLineChars="200"/>
      <w:jc w:val="left"/>
    </w:pPr>
    <w:rPr>
      <w:rFonts w:ascii="Calibri" w:hAnsi="Calibri"/>
      <w:kern w:val="0"/>
      <w:sz w:val="24"/>
      <w:szCs w:val="22"/>
    </w:rPr>
  </w:style>
  <w:style w:type="paragraph" w:styleId="27">
    <w:name w:val="Date"/>
    <w:basedOn w:val="1"/>
    <w:next w:val="1"/>
    <w:link w:val="82"/>
    <w:uiPriority w:val="0"/>
    <w:pPr>
      <w:ind w:left="2500" w:leftChars="2500"/>
    </w:pPr>
    <w:rPr>
      <w:rFonts w:eastAsia="楷体_GB2312"/>
      <w:kern w:val="0"/>
      <w:sz w:val="32"/>
      <w:szCs w:val="20"/>
    </w:rPr>
  </w:style>
  <w:style w:type="paragraph" w:styleId="28">
    <w:name w:val="Body Text Indent 2"/>
    <w:basedOn w:val="1"/>
    <w:link w:val="80"/>
    <w:qFormat/>
    <w:uiPriority w:val="0"/>
    <w:pPr>
      <w:snapToGrid w:val="0"/>
      <w:ind w:firstLine="542" w:firstLineChars="225"/>
    </w:pPr>
    <w:rPr>
      <w:rFonts w:ascii="仿宋_GB2312" w:hAnsi="宋体"/>
      <w:b/>
      <w:bCs/>
      <w:color w:val="000000"/>
      <w:kern w:val="0"/>
      <w:sz w:val="24"/>
    </w:rPr>
  </w:style>
  <w:style w:type="paragraph" w:styleId="29">
    <w:name w:val="endnote text"/>
    <w:basedOn w:val="1"/>
    <w:link w:val="120"/>
    <w:uiPriority w:val="0"/>
    <w:pPr>
      <w:widowControl/>
      <w:snapToGrid w:val="0"/>
      <w:spacing w:line="360" w:lineRule="auto"/>
      <w:ind w:firstLine="200" w:firstLineChars="200"/>
      <w:jc w:val="left"/>
    </w:pPr>
    <w:rPr>
      <w:rFonts w:ascii="等线" w:hAnsi="等线" w:eastAsia="等线"/>
    </w:rPr>
  </w:style>
  <w:style w:type="paragraph" w:styleId="30">
    <w:name w:val="Balloon Text"/>
    <w:basedOn w:val="1"/>
    <w:link w:val="71"/>
    <w:uiPriority w:val="99"/>
    <w:rPr>
      <w:rFonts w:ascii="Calibri" w:hAnsi="Calibri"/>
      <w:kern w:val="0"/>
      <w:sz w:val="18"/>
      <w:szCs w:val="18"/>
    </w:rPr>
  </w:style>
  <w:style w:type="paragraph" w:styleId="31">
    <w:name w:val="footer"/>
    <w:basedOn w:val="1"/>
    <w:link w:val="56"/>
    <w:unhideWhenUsed/>
    <w:uiPriority w:val="99"/>
    <w:pPr>
      <w:tabs>
        <w:tab w:val="center" w:pos="4153"/>
        <w:tab w:val="right" w:pos="8306"/>
      </w:tabs>
      <w:snapToGrid w:val="0"/>
      <w:jc w:val="left"/>
    </w:pPr>
    <w:rPr>
      <w:rFonts w:ascii="Calibri" w:hAnsi="Calibri"/>
      <w:kern w:val="0"/>
      <w:sz w:val="18"/>
      <w:szCs w:val="18"/>
    </w:rPr>
  </w:style>
  <w:style w:type="paragraph" w:styleId="32">
    <w:name w:val="header"/>
    <w:basedOn w:val="1"/>
    <w:link w:val="55"/>
    <w:unhideWhenUsed/>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33">
    <w:name w:val="toc 1"/>
    <w:basedOn w:val="1"/>
    <w:next w:val="1"/>
    <w:uiPriority w:val="39"/>
  </w:style>
  <w:style w:type="paragraph" w:styleId="34">
    <w:name w:val="toc 4"/>
    <w:basedOn w:val="1"/>
    <w:next w:val="1"/>
    <w:unhideWhenUsed/>
    <w:uiPriority w:val="39"/>
    <w:pPr>
      <w:widowControl/>
      <w:spacing w:line="360" w:lineRule="auto"/>
      <w:ind w:left="1260" w:leftChars="600" w:firstLine="200" w:firstLineChars="200"/>
      <w:jc w:val="left"/>
    </w:pPr>
    <w:rPr>
      <w:rFonts w:ascii="Calibri" w:hAnsi="Calibri"/>
      <w:kern w:val="0"/>
      <w:sz w:val="24"/>
      <w:szCs w:val="22"/>
    </w:rPr>
  </w:style>
  <w:style w:type="paragraph" w:styleId="35">
    <w:name w:val="Subtitle"/>
    <w:basedOn w:val="1"/>
    <w:next w:val="1"/>
    <w:link w:val="137"/>
    <w:qFormat/>
    <w:uiPriority w:val="11"/>
    <w:pPr>
      <w:widowControl/>
      <w:spacing w:line="360" w:lineRule="auto"/>
      <w:jc w:val="left"/>
    </w:pPr>
    <w:rPr>
      <w:rFonts w:ascii="Calibri Light" w:hAnsi="Calibri Light"/>
      <w:smallCaps/>
      <w:color w:val="595959"/>
      <w:kern w:val="0"/>
      <w:sz w:val="28"/>
      <w:szCs w:val="28"/>
    </w:rPr>
  </w:style>
  <w:style w:type="paragraph" w:styleId="36">
    <w:name w:val="List"/>
    <w:basedOn w:val="1"/>
    <w:uiPriority w:val="0"/>
    <w:pPr>
      <w:ind w:left="200" w:hanging="200" w:hangingChars="200"/>
    </w:pPr>
    <w:rPr>
      <w:sz w:val="28"/>
    </w:rPr>
  </w:style>
  <w:style w:type="paragraph" w:styleId="37">
    <w:name w:val="toc 6"/>
    <w:basedOn w:val="1"/>
    <w:next w:val="1"/>
    <w:unhideWhenUsed/>
    <w:qFormat/>
    <w:uiPriority w:val="39"/>
    <w:pPr>
      <w:widowControl/>
      <w:spacing w:line="360" w:lineRule="auto"/>
      <w:ind w:left="2100" w:leftChars="1000" w:firstLine="200" w:firstLineChars="200"/>
      <w:jc w:val="left"/>
    </w:pPr>
    <w:rPr>
      <w:rFonts w:ascii="Calibri" w:hAnsi="Calibri"/>
      <w:kern w:val="0"/>
      <w:sz w:val="24"/>
      <w:szCs w:val="22"/>
    </w:rPr>
  </w:style>
  <w:style w:type="paragraph" w:styleId="38">
    <w:name w:val="Body Text Indent 3"/>
    <w:basedOn w:val="1"/>
    <w:link w:val="79"/>
    <w:uiPriority w:val="0"/>
    <w:pPr>
      <w:snapToGrid w:val="0"/>
      <w:ind w:firstLine="480" w:firstLineChars="200"/>
      <w:jc w:val="left"/>
    </w:pPr>
    <w:rPr>
      <w:rFonts w:ascii="仿宋_GB2312" w:hAnsi="宋体" w:eastAsia="仿宋_GB2312"/>
      <w:color w:val="000000"/>
      <w:kern w:val="0"/>
      <w:sz w:val="24"/>
    </w:rPr>
  </w:style>
  <w:style w:type="paragraph" w:styleId="39">
    <w:name w:val="toc 2"/>
    <w:basedOn w:val="1"/>
    <w:next w:val="1"/>
    <w:unhideWhenUsed/>
    <w:uiPriority w:val="39"/>
    <w:pPr>
      <w:widowControl/>
      <w:spacing w:line="360" w:lineRule="auto"/>
      <w:ind w:left="420" w:leftChars="200" w:firstLine="200" w:firstLineChars="200"/>
      <w:jc w:val="left"/>
    </w:pPr>
    <w:rPr>
      <w:rFonts w:ascii="Calibri" w:hAnsi="Calibri" w:eastAsia="仿宋_GB2312"/>
      <w:kern w:val="0"/>
      <w:sz w:val="24"/>
      <w:szCs w:val="22"/>
    </w:rPr>
  </w:style>
  <w:style w:type="paragraph" w:styleId="40">
    <w:name w:val="toc 9"/>
    <w:basedOn w:val="1"/>
    <w:next w:val="1"/>
    <w:unhideWhenUsed/>
    <w:uiPriority w:val="39"/>
    <w:pPr>
      <w:widowControl/>
      <w:spacing w:line="360" w:lineRule="auto"/>
      <w:ind w:left="3360" w:leftChars="1600" w:firstLine="200" w:firstLineChars="200"/>
      <w:jc w:val="left"/>
    </w:pPr>
    <w:rPr>
      <w:rFonts w:ascii="Calibri" w:hAnsi="Calibri"/>
      <w:kern w:val="0"/>
      <w:sz w:val="24"/>
      <w:szCs w:val="22"/>
    </w:rPr>
  </w:style>
  <w:style w:type="paragraph" w:styleId="41">
    <w:name w:val="Body Text 2"/>
    <w:basedOn w:val="1"/>
    <w:link w:val="74"/>
    <w:uiPriority w:val="0"/>
    <w:pPr>
      <w:widowControl/>
      <w:snapToGrid w:val="0"/>
      <w:spacing w:before="50" w:afterLines="50" w:line="400" w:lineRule="exact"/>
      <w:jc w:val="left"/>
    </w:pPr>
    <w:rPr>
      <w:rFonts w:ascii="宋体" w:hAnsi="宋体"/>
      <w:color w:val="000000"/>
      <w:kern w:val="0"/>
      <w:sz w:val="24"/>
    </w:rPr>
  </w:style>
  <w:style w:type="paragraph" w:styleId="42">
    <w:name w:val="HTML Preformatted"/>
    <w:basedOn w:val="1"/>
    <w:link w:val="57"/>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3">
    <w:name w:val="Normal (Web)"/>
    <w:basedOn w:val="1"/>
    <w:qFormat/>
    <w:uiPriority w:val="99"/>
    <w:pPr>
      <w:widowControl/>
      <w:spacing w:before="100" w:beforeAutospacing="1" w:after="100" w:afterAutospacing="1"/>
      <w:jc w:val="left"/>
    </w:pPr>
    <w:rPr>
      <w:rFonts w:ascii="宋体" w:hAnsi="宋体" w:cs="宋体"/>
      <w:color w:val="003399"/>
      <w:kern w:val="0"/>
      <w:sz w:val="18"/>
      <w:szCs w:val="18"/>
    </w:rPr>
  </w:style>
  <w:style w:type="paragraph" w:styleId="44">
    <w:name w:val="Title"/>
    <w:basedOn w:val="1"/>
    <w:next w:val="1"/>
    <w:link w:val="91"/>
    <w:qFormat/>
    <w:uiPriority w:val="0"/>
    <w:pPr>
      <w:spacing w:before="240" w:after="60"/>
      <w:jc w:val="center"/>
      <w:outlineLvl w:val="0"/>
    </w:pPr>
    <w:rPr>
      <w:rFonts w:ascii="Cambria" w:hAnsi="Cambria"/>
      <w:b/>
      <w:bCs/>
      <w:kern w:val="0"/>
      <w:sz w:val="32"/>
      <w:szCs w:val="32"/>
    </w:rPr>
  </w:style>
  <w:style w:type="character" w:styleId="46">
    <w:name w:val="Strong"/>
    <w:qFormat/>
    <w:uiPriority w:val="22"/>
    <w:rPr>
      <w:b/>
      <w:bCs/>
    </w:rPr>
  </w:style>
  <w:style w:type="character" w:styleId="47">
    <w:name w:val="endnote reference"/>
    <w:uiPriority w:val="0"/>
    <w:rPr>
      <w:vertAlign w:val="superscript"/>
    </w:rPr>
  </w:style>
  <w:style w:type="character" w:styleId="48">
    <w:name w:val="page number"/>
    <w:basedOn w:val="45"/>
    <w:uiPriority w:val="0"/>
  </w:style>
  <w:style w:type="character" w:styleId="49">
    <w:name w:val="FollowedHyperlink"/>
    <w:uiPriority w:val="99"/>
    <w:rPr>
      <w:color w:val="800080"/>
      <w:u w:val="single"/>
    </w:rPr>
  </w:style>
  <w:style w:type="character" w:styleId="50">
    <w:name w:val="Emphasis"/>
    <w:qFormat/>
    <w:uiPriority w:val="20"/>
    <w:rPr>
      <w:i/>
      <w:iCs/>
    </w:rPr>
  </w:style>
  <w:style w:type="character" w:styleId="51">
    <w:name w:val="Hyperlink"/>
    <w:uiPriority w:val="99"/>
    <w:rPr>
      <w:color w:val="0000FF"/>
      <w:u w:val="single"/>
    </w:rPr>
  </w:style>
  <w:style w:type="character" w:styleId="52">
    <w:name w:val="annotation reference"/>
    <w:unhideWhenUsed/>
    <w:uiPriority w:val="99"/>
    <w:rPr>
      <w:sz w:val="21"/>
      <w:szCs w:val="21"/>
    </w:rPr>
  </w:style>
  <w:style w:type="table" w:styleId="54">
    <w:name w:val="Table Grid"/>
    <w:basedOn w:val="53"/>
    <w:qFormat/>
    <w:uiPriority w:val="59"/>
    <w:rPr>
      <w:rFonts w:eastAsia="微软雅黑"/>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55">
    <w:name w:val="页眉 Char"/>
    <w:link w:val="32"/>
    <w:uiPriority w:val="99"/>
    <w:rPr>
      <w:sz w:val="18"/>
      <w:szCs w:val="18"/>
    </w:rPr>
  </w:style>
  <w:style w:type="character" w:customStyle="1" w:styleId="56">
    <w:name w:val="页脚 Char"/>
    <w:link w:val="31"/>
    <w:uiPriority w:val="99"/>
    <w:rPr>
      <w:sz w:val="18"/>
      <w:szCs w:val="18"/>
    </w:rPr>
  </w:style>
  <w:style w:type="character" w:customStyle="1" w:styleId="57">
    <w:name w:val="HTML 预设格式 Char"/>
    <w:link w:val="42"/>
    <w:uiPriority w:val="99"/>
    <w:rPr>
      <w:rFonts w:ascii="宋体" w:hAnsi="宋体" w:cs="宋体"/>
      <w:sz w:val="24"/>
      <w:szCs w:val="24"/>
    </w:rPr>
  </w:style>
  <w:style w:type="character" w:customStyle="1" w:styleId="58">
    <w:name w:val="纯文本 Char"/>
    <w:link w:val="25"/>
    <w:uiPriority w:val="0"/>
    <w:rPr>
      <w:rFonts w:ascii="宋体" w:hAnsi="Courier New" w:eastAsia="宋体" w:cs="Times New Roman"/>
      <w:sz w:val="24"/>
      <w:szCs w:val="24"/>
    </w:rPr>
  </w:style>
  <w:style w:type="paragraph" w:styleId="59">
    <w:name w:val="List Paragraph"/>
    <w:basedOn w:val="1"/>
    <w:link w:val="103"/>
    <w:qFormat/>
    <w:uiPriority w:val="34"/>
    <w:pPr>
      <w:ind w:firstLine="420" w:firstLineChars="200"/>
    </w:pPr>
  </w:style>
  <w:style w:type="character" w:customStyle="1" w:styleId="60">
    <w:name w:val="HTML 预设格式 Char1"/>
    <w:semiHidden/>
    <w:uiPriority w:val="99"/>
    <w:rPr>
      <w:rFonts w:ascii="Courier New" w:hAnsi="Courier New" w:eastAsia="宋体" w:cs="Courier New"/>
      <w:sz w:val="20"/>
      <w:szCs w:val="20"/>
    </w:rPr>
  </w:style>
  <w:style w:type="paragraph" w:customStyle="1" w:styleId="61">
    <w:name w:val="正文段"/>
    <w:basedOn w:val="1"/>
    <w:uiPriority w:val="0"/>
    <w:pPr>
      <w:widowControl/>
      <w:snapToGrid w:val="0"/>
      <w:spacing w:afterLines="50"/>
      <w:ind w:firstLine="200" w:firstLineChars="200"/>
    </w:pPr>
    <w:rPr>
      <w:kern w:val="0"/>
      <w:sz w:val="24"/>
      <w:szCs w:val="20"/>
    </w:rPr>
  </w:style>
  <w:style w:type="character" w:customStyle="1" w:styleId="62">
    <w:name w:val="标题 1 Char"/>
    <w:link w:val="2"/>
    <w:uiPriority w:val="0"/>
    <w:rPr>
      <w:rFonts w:ascii="Times New Roman" w:hAnsi="Times New Roman" w:eastAsia="宋体" w:cs="Times New Roman"/>
      <w:b/>
      <w:bCs/>
      <w:kern w:val="44"/>
      <w:sz w:val="44"/>
      <w:szCs w:val="44"/>
    </w:rPr>
  </w:style>
  <w:style w:type="character" w:customStyle="1" w:styleId="63">
    <w:name w:val="标题 2 Char"/>
    <w:link w:val="3"/>
    <w:uiPriority w:val="9"/>
    <w:rPr>
      <w:rFonts w:ascii="Arial" w:hAnsi="Arial" w:eastAsia="黑体" w:cs="Times New Roman"/>
      <w:b/>
      <w:bCs/>
      <w:sz w:val="32"/>
      <w:szCs w:val="32"/>
    </w:rPr>
  </w:style>
  <w:style w:type="character" w:customStyle="1" w:styleId="64">
    <w:name w:val="标题 3 Char"/>
    <w:link w:val="4"/>
    <w:uiPriority w:val="0"/>
    <w:rPr>
      <w:rFonts w:ascii="Times New Roman" w:hAnsi="Times New Roman" w:eastAsia="宋体" w:cs="Times New Roman"/>
      <w:b/>
      <w:bCs/>
      <w:sz w:val="32"/>
      <w:szCs w:val="32"/>
    </w:rPr>
  </w:style>
  <w:style w:type="character" w:customStyle="1" w:styleId="65">
    <w:name w:val="标题 4 Char"/>
    <w:link w:val="5"/>
    <w:qFormat/>
    <w:uiPriority w:val="0"/>
    <w:rPr>
      <w:rFonts w:ascii="宋体" w:hAnsi="宋体" w:eastAsia="宋体" w:cs="Times New Roman"/>
      <w:b/>
      <w:bCs/>
      <w:sz w:val="24"/>
      <w:szCs w:val="28"/>
    </w:rPr>
  </w:style>
  <w:style w:type="character" w:customStyle="1" w:styleId="66">
    <w:name w:val="标题 5 Char"/>
    <w:link w:val="6"/>
    <w:uiPriority w:val="9"/>
    <w:rPr>
      <w:rFonts w:ascii="宋体" w:hAnsi="宋体" w:eastAsia="宋体" w:cs="Times New Roman"/>
      <w:b/>
      <w:bCs/>
      <w:sz w:val="24"/>
      <w:szCs w:val="28"/>
    </w:rPr>
  </w:style>
  <w:style w:type="character" w:customStyle="1" w:styleId="67">
    <w:name w:val="标题 6 Char"/>
    <w:link w:val="7"/>
    <w:uiPriority w:val="0"/>
    <w:rPr>
      <w:rFonts w:ascii="宋体" w:hAnsi="宋体" w:eastAsia="宋体" w:cs="Times New Roman"/>
      <w:b/>
      <w:bCs/>
      <w:sz w:val="24"/>
      <w:szCs w:val="24"/>
    </w:rPr>
  </w:style>
  <w:style w:type="character" w:customStyle="1" w:styleId="68">
    <w:name w:val="标题 7 Char"/>
    <w:link w:val="8"/>
    <w:uiPriority w:val="9"/>
    <w:rPr>
      <w:rFonts w:ascii="宋体" w:hAnsi="宋体" w:eastAsia="宋体" w:cs="Times New Roman"/>
      <w:b/>
      <w:bCs/>
      <w:sz w:val="24"/>
      <w:szCs w:val="24"/>
    </w:rPr>
  </w:style>
  <w:style w:type="character" w:customStyle="1" w:styleId="69">
    <w:name w:val="标题 8 Char"/>
    <w:link w:val="9"/>
    <w:uiPriority w:val="9"/>
    <w:rPr>
      <w:rFonts w:ascii="宋体" w:hAnsi="宋体" w:eastAsia="宋体" w:cs="Times New Roman"/>
      <w:b/>
      <w:sz w:val="24"/>
      <w:szCs w:val="24"/>
    </w:rPr>
  </w:style>
  <w:style w:type="character" w:customStyle="1" w:styleId="70">
    <w:name w:val="标题 9 Char"/>
    <w:link w:val="10"/>
    <w:uiPriority w:val="0"/>
    <w:rPr>
      <w:rFonts w:ascii="Calibri Light" w:hAnsi="Calibri Light" w:eastAsia="宋体" w:cs="Times New Roman"/>
      <w:szCs w:val="21"/>
    </w:rPr>
  </w:style>
  <w:style w:type="character" w:customStyle="1" w:styleId="71">
    <w:name w:val="批注框文本 Char"/>
    <w:link w:val="30"/>
    <w:uiPriority w:val="99"/>
    <w:rPr>
      <w:sz w:val="18"/>
      <w:szCs w:val="18"/>
    </w:rPr>
  </w:style>
  <w:style w:type="character" w:customStyle="1" w:styleId="72">
    <w:name w:val="文档结构图 Char"/>
    <w:link w:val="17"/>
    <w:qFormat/>
    <w:uiPriority w:val="99"/>
    <w:rPr>
      <w:rFonts w:ascii="宋体"/>
      <w:sz w:val="18"/>
      <w:szCs w:val="18"/>
    </w:rPr>
  </w:style>
  <w:style w:type="character" w:customStyle="1" w:styleId="73">
    <w:name w:val="文档结构图 Char1"/>
    <w:semiHidden/>
    <w:uiPriority w:val="99"/>
    <w:rPr>
      <w:rFonts w:ascii="宋体" w:hAnsi="Times New Roman" w:eastAsia="宋体" w:cs="Times New Roman"/>
      <w:sz w:val="18"/>
      <w:szCs w:val="18"/>
    </w:rPr>
  </w:style>
  <w:style w:type="character" w:customStyle="1" w:styleId="74">
    <w:name w:val="正文文本 2 Char"/>
    <w:link w:val="41"/>
    <w:qFormat/>
    <w:uiPriority w:val="0"/>
    <w:rPr>
      <w:rFonts w:ascii="宋体" w:hAnsi="宋体" w:eastAsia="宋体" w:cs="Times New Roman"/>
      <w:color w:val="000000"/>
      <w:sz w:val="24"/>
      <w:szCs w:val="24"/>
    </w:rPr>
  </w:style>
  <w:style w:type="paragraph" w:customStyle="1" w:styleId="75">
    <w:name w:val="f1"/>
    <w:basedOn w:val="1"/>
    <w:uiPriority w:val="0"/>
    <w:pPr>
      <w:widowControl/>
      <w:spacing w:before="100" w:beforeAutospacing="1" w:after="100" w:afterAutospacing="1"/>
      <w:jc w:val="center"/>
    </w:pPr>
    <w:rPr>
      <w:rFonts w:ascii="Helvetica" w:hAnsi="Helvetica" w:cs="Helvetica"/>
      <w:b/>
      <w:bCs/>
      <w:color w:val="FF8080"/>
      <w:spacing w:val="160"/>
      <w:kern w:val="0"/>
      <w:sz w:val="80"/>
      <w:szCs w:val="80"/>
    </w:rPr>
  </w:style>
  <w:style w:type="character" w:customStyle="1" w:styleId="76">
    <w:name w:val="批注框文本 Char1"/>
    <w:semiHidden/>
    <w:uiPriority w:val="99"/>
    <w:rPr>
      <w:rFonts w:ascii="Times New Roman" w:hAnsi="Times New Roman" w:eastAsia="宋体" w:cs="Times New Roman"/>
      <w:sz w:val="18"/>
      <w:szCs w:val="18"/>
    </w:rPr>
  </w:style>
  <w:style w:type="paragraph" w:customStyle="1" w:styleId="77">
    <w:name w:val="表内文字"/>
    <w:basedOn w:val="1"/>
    <w:uiPriority w:val="0"/>
    <w:pPr>
      <w:tabs>
        <w:tab w:val="left" w:pos="1418"/>
      </w:tabs>
      <w:spacing w:line="360" w:lineRule="auto"/>
      <w:jc w:val="center"/>
    </w:pPr>
    <w:rPr>
      <w:rFonts w:ascii="仿宋_GB2312" w:eastAsia="仿宋_GB2312"/>
      <w:spacing w:val="-20"/>
      <w:kern w:val="0"/>
      <w:sz w:val="24"/>
    </w:rPr>
  </w:style>
  <w:style w:type="paragraph" w:customStyle="1" w:styleId="78">
    <w:name w:val="默认段落字体 Para Char Char Char Char Char Char Char Char Char1 Char Char Char Char"/>
    <w:basedOn w:val="1"/>
    <w:uiPriority w:val="0"/>
    <w:rPr>
      <w:rFonts w:ascii="Tahoma" w:hAnsi="Tahoma"/>
      <w:sz w:val="24"/>
      <w:szCs w:val="20"/>
    </w:rPr>
  </w:style>
  <w:style w:type="character" w:customStyle="1" w:styleId="79">
    <w:name w:val="正文文本缩进 3 Char"/>
    <w:link w:val="38"/>
    <w:uiPriority w:val="0"/>
    <w:rPr>
      <w:rFonts w:ascii="仿宋_GB2312" w:hAnsi="宋体" w:eastAsia="仿宋_GB2312" w:cs="Times New Roman"/>
      <w:color w:val="000000"/>
      <w:sz w:val="24"/>
      <w:szCs w:val="24"/>
    </w:rPr>
  </w:style>
  <w:style w:type="character" w:customStyle="1" w:styleId="80">
    <w:name w:val="正文文本缩进 2 Char"/>
    <w:link w:val="28"/>
    <w:uiPriority w:val="0"/>
    <w:rPr>
      <w:rFonts w:ascii="仿宋_GB2312" w:hAnsi="宋体" w:eastAsia="宋体" w:cs="Arial"/>
      <w:b/>
      <w:bCs/>
      <w:color w:val="000000"/>
      <w:sz w:val="24"/>
      <w:szCs w:val="24"/>
    </w:rPr>
  </w:style>
  <w:style w:type="character" w:customStyle="1" w:styleId="81">
    <w:name w:val="正文文本 Char"/>
    <w:link w:val="19"/>
    <w:uiPriority w:val="0"/>
    <w:rPr>
      <w:rFonts w:ascii="Times New Roman" w:hAnsi="Times New Roman" w:eastAsia="宋体" w:cs="Times New Roman"/>
      <w:sz w:val="28"/>
      <w:szCs w:val="24"/>
    </w:rPr>
  </w:style>
  <w:style w:type="character" w:customStyle="1" w:styleId="82">
    <w:name w:val="日期 Char"/>
    <w:link w:val="27"/>
    <w:uiPriority w:val="0"/>
    <w:rPr>
      <w:rFonts w:ascii="Times New Roman" w:hAnsi="Times New Roman" w:eastAsia="楷体_GB2312" w:cs="Times New Roman"/>
      <w:sz w:val="32"/>
      <w:szCs w:val="20"/>
    </w:rPr>
  </w:style>
  <w:style w:type="character" w:customStyle="1" w:styleId="83">
    <w:name w:val="正文文本缩进 Char"/>
    <w:link w:val="20"/>
    <w:uiPriority w:val="0"/>
    <w:rPr>
      <w:rFonts w:ascii="宋体" w:hAnsi="Courier New" w:eastAsia="宋体" w:cs="Times New Roman"/>
      <w:spacing w:val="-4"/>
      <w:sz w:val="18"/>
      <w:szCs w:val="20"/>
    </w:rPr>
  </w:style>
  <w:style w:type="character" w:customStyle="1" w:styleId="84">
    <w:name w:val="批注文字 Char"/>
    <w:link w:val="12"/>
    <w:uiPriority w:val="99"/>
    <w:rPr>
      <w:rFonts w:ascii="Times New Roman" w:hAnsi="Times New Roman" w:eastAsia="宋体" w:cs="Times New Roman"/>
      <w:szCs w:val="24"/>
    </w:rPr>
  </w:style>
  <w:style w:type="character" w:customStyle="1" w:styleId="85">
    <w:name w:val="正文文本 3 Char"/>
    <w:link w:val="18"/>
    <w:uiPriority w:val="0"/>
    <w:rPr>
      <w:rFonts w:ascii="Times New Roman" w:hAnsi="宋体" w:eastAsia="仿宋_GB2312" w:cs="Times New Roman"/>
      <w:b/>
      <w:bCs/>
      <w:sz w:val="24"/>
      <w:szCs w:val="20"/>
    </w:rPr>
  </w:style>
  <w:style w:type="paragraph" w:customStyle="1" w:styleId="86">
    <w:name w:val="正文 New New New New"/>
    <w:qFormat/>
    <w:uiPriority w:val="0"/>
    <w:pPr>
      <w:widowControl w:val="0"/>
      <w:jc w:val="both"/>
    </w:pPr>
    <w:rPr>
      <w:rFonts w:ascii="Calibri" w:hAnsi="Calibri" w:eastAsia="宋体" w:cs="Times New Roman"/>
      <w:sz w:val="21"/>
      <w:szCs w:val="24"/>
      <w:lang w:val="en-US" w:eastAsia="zh-CN" w:bidi="ar-SA"/>
    </w:rPr>
  </w:style>
  <w:style w:type="paragraph" w:customStyle="1" w:styleId="87">
    <w:name w:val="_Style 3"/>
    <w:qFormat/>
    <w:uiPriority w:val="0"/>
    <w:rPr>
      <w:rFonts w:ascii="Calibri" w:hAnsi="Calibri" w:eastAsia="宋体" w:cs="Times New Roman"/>
      <w:sz w:val="22"/>
      <w:szCs w:val="22"/>
      <w:lang w:val="en-US" w:eastAsia="zh-CN" w:bidi="ar-SA"/>
    </w:rPr>
  </w:style>
  <w:style w:type="paragraph" w:customStyle="1" w:styleId="88">
    <w:name w:val="列出段落1"/>
    <w:basedOn w:val="1"/>
    <w:qFormat/>
    <w:uiPriority w:val="0"/>
    <w:pPr>
      <w:autoSpaceDE w:val="0"/>
      <w:autoSpaceDN w:val="0"/>
      <w:adjustRightInd w:val="0"/>
      <w:ind w:firstLine="420" w:firstLineChars="200"/>
    </w:pPr>
    <w:rPr>
      <w:rFonts w:ascii="Calibri" w:hAnsi="Calibri"/>
      <w:color w:val="000000"/>
      <w:kern w:val="0"/>
      <w:szCs w:val="21"/>
    </w:rPr>
  </w:style>
  <w:style w:type="paragraph" w:customStyle="1" w:styleId="89">
    <w:name w:val="ql-align-center1"/>
    <w:basedOn w:val="1"/>
    <w:uiPriority w:val="0"/>
    <w:pPr>
      <w:widowControl/>
      <w:jc w:val="center"/>
    </w:pPr>
    <w:rPr>
      <w:rFonts w:ascii="宋体" w:hAnsi="宋体" w:cs="宋体"/>
      <w:kern w:val="0"/>
      <w:sz w:val="24"/>
    </w:rPr>
  </w:style>
  <w:style w:type="paragraph" w:customStyle="1" w:styleId="90">
    <w:name w:val="正文表格内容（居中）"/>
    <w:basedOn w:val="1"/>
    <w:qFormat/>
    <w:uiPriority w:val="0"/>
    <w:pPr>
      <w:widowControl/>
      <w:jc w:val="center"/>
    </w:pPr>
    <w:rPr>
      <w:rFonts w:ascii="Arial" w:hAnsi="Arial" w:cs="Arial"/>
      <w:kern w:val="0"/>
      <w:szCs w:val="18"/>
    </w:rPr>
  </w:style>
  <w:style w:type="character" w:customStyle="1" w:styleId="91">
    <w:name w:val="标题 Char"/>
    <w:link w:val="44"/>
    <w:qFormat/>
    <w:uiPriority w:val="0"/>
    <w:rPr>
      <w:rFonts w:ascii="Cambria" w:hAnsi="Cambria" w:eastAsia="宋体" w:cs="Times New Roman"/>
      <w:b/>
      <w:bCs/>
      <w:sz w:val="32"/>
      <w:szCs w:val="32"/>
    </w:rPr>
  </w:style>
  <w:style w:type="paragraph" w:customStyle="1" w:styleId="92">
    <w:name w:val="无间隔1"/>
    <w:link w:val="93"/>
    <w:qFormat/>
    <w:uiPriority w:val="0"/>
    <w:pPr>
      <w:widowControl w:val="0"/>
      <w:spacing w:line="360" w:lineRule="auto"/>
      <w:jc w:val="both"/>
    </w:pPr>
    <w:rPr>
      <w:rFonts w:ascii="Times New Roman" w:hAnsi="Times New Roman" w:eastAsia="宋体" w:cs="Times New Roman"/>
      <w:sz w:val="24"/>
      <w:lang w:val="en-US" w:eastAsia="zh-CN" w:bidi="ar-SA"/>
    </w:rPr>
  </w:style>
  <w:style w:type="character" w:customStyle="1" w:styleId="93">
    <w:name w:val="无间隔 Char"/>
    <w:link w:val="92"/>
    <w:qFormat/>
    <w:uiPriority w:val="0"/>
    <w:rPr>
      <w:rFonts w:ascii="Times New Roman" w:hAnsi="Times New Roman"/>
      <w:sz w:val="24"/>
      <w:lang w:bidi="ar-SA"/>
    </w:rPr>
  </w:style>
  <w:style w:type="paragraph" w:customStyle="1" w:styleId="94">
    <w:name w:val="样式3"/>
    <w:basedOn w:val="1"/>
    <w:qFormat/>
    <w:uiPriority w:val="0"/>
    <w:pPr>
      <w:spacing w:line="360" w:lineRule="auto"/>
      <w:jc w:val="left"/>
      <w:outlineLvl w:val="2"/>
    </w:pPr>
    <w:rPr>
      <w:rFonts w:ascii="Calibri" w:hAnsi="Calibri" w:eastAsia="Times New Roman"/>
      <w:b/>
      <w:kern w:val="0"/>
      <w:sz w:val="20"/>
      <w:szCs w:val="20"/>
      <w:lang w:val="zh-CN"/>
    </w:rPr>
  </w:style>
  <w:style w:type="paragraph" w:customStyle="1" w:styleId="95">
    <w:name w:val="样式2"/>
    <w:basedOn w:val="1"/>
    <w:qFormat/>
    <w:uiPriority w:val="0"/>
    <w:pPr>
      <w:spacing w:line="360" w:lineRule="auto"/>
    </w:pPr>
    <w:rPr>
      <w:rFonts w:ascii="Calibri" w:hAnsi="Calibri"/>
      <w:sz w:val="24"/>
    </w:rPr>
  </w:style>
  <w:style w:type="paragraph" w:customStyle="1" w:styleId="96">
    <w:name w:val="p0"/>
    <w:basedOn w:val="1"/>
    <w:uiPriority w:val="0"/>
    <w:pPr>
      <w:widowControl/>
    </w:pPr>
    <w:rPr>
      <w:rFonts w:ascii="Calibri" w:hAnsi="Calibri"/>
      <w:kern w:val="0"/>
      <w:szCs w:val="21"/>
    </w:rPr>
  </w:style>
  <w:style w:type="paragraph" w:customStyle="1" w:styleId="97">
    <w:name w:val="ql-align-center"/>
    <w:basedOn w:val="1"/>
    <w:uiPriority w:val="0"/>
    <w:pPr>
      <w:widowControl/>
      <w:spacing w:before="100" w:beforeAutospacing="1" w:after="100" w:afterAutospacing="1"/>
      <w:jc w:val="left"/>
    </w:pPr>
    <w:rPr>
      <w:rFonts w:ascii="宋体" w:hAnsi="宋体" w:cs="宋体"/>
      <w:kern w:val="0"/>
      <w:sz w:val="24"/>
    </w:rPr>
  </w:style>
  <w:style w:type="character" w:customStyle="1" w:styleId="98">
    <w:name w:val="标题 1 Char Char"/>
    <w:uiPriority w:val="0"/>
    <w:rPr>
      <w:rFonts w:hint="eastAsia" w:ascii="宋体" w:hAnsi="宋体" w:eastAsia="宋体" w:cs="宋体"/>
      <w:b/>
      <w:spacing w:val="-2"/>
      <w:sz w:val="24"/>
      <w:lang w:val="en-US" w:eastAsia="zh-CN"/>
    </w:rPr>
  </w:style>
  <w:style w:type="character" w:customStyle="1" w:styleId="99">
    <w:name w:val="批注主题 Char2"/>
    <w:link w:val="11"/>
    <w:semiHidden/>
    <w:uiPriority w:val="99"/>
    <w:rPr>
      <w:rFonts w:ascii="Times New Roman" w:hAnsi="Times New Roman" w:eastAsia="宋体" w:cs="Times New Roman"/>
      <w:b/>
      <w:bCs/>
      <w:kern w:val="2"/>
      <w:sz w:val="21"/>
      <w:szCs w:val="24"/>
    </w:rPr>
  </w:style>
  <w:style w:type="character" w:customStyle="1" w:styleId="100">
    <w:name w:val="题注 Char"/>
    <w:link w:val="16"/>
    <w:uiPriority w:val="35"/>
    <w:rPr>
      <w:rFonts w:ascii="Arial" w:hAnsi="Arial" w:eastAsia="黑体" w:cs="Arial"/>
      <w:kern w:val="2"/>
    </w:rPr>
  </w:style>
  <w:style w:type="character" w:customStyle="1" w:styleId="101">
    <w:name w:val="批注文字 Char1"/>
    <w:uiPriority w:val="0"/>
    <w:rPr>
      <w:kern w:val="2"/>
      <w:sz w:val="21"/>
      <w:szCs w:val="24"/>
    </w:rPr>
  </w:style>
  <w:style w:type="character" w:customStyle="1" w:styleId="102">
    <w:name w:val="批注主题 Char"/>
    <w:uiPriority w:val="99"/>
    <w:rPr>
      <w:b/>
      <w:bCs/>
    </w:rPr>
  </w:style>
  <w:style w:type="character" w:customStyle="1" w:styleId="103">
    <w:name w:val="列出段落 Char"/>
    <w:link w:val="59"/>
    <w:uiPriority w:val="34"/>
    <w:rPr>
      <w:rFonts w:ascii="Times New Roman" w:hAnsi="Times New Roman"/>
      <w:kern w:val="2"/>
      <w:sz w:val="21"/>
      <w:szCs w:val="24"/>
    </w:rPr>
  </w:style>
  <w:style w:type="character" w:customStyle="1" w:styleId="104">
    <w:name w:val="批注主题 Char1"/>
    <w:uiPriority w:val="0"/>
    <w:rPr>
      <w:b/>
      <w:bCs/>
      <w:kern w:val="2"/>
      <w:sz w:val="21"/>
      <w:szCs w:val="24"/>
    </w:rPr>
  </w:style>
  <w:style w:type="paragraph" w:customStyle="1" w:styleId="105">
    <w:name w:val="Default"/>
    <w:uiPriority w:val="0"/>
    <w:pPr>
      <w:widowControl w:val="0"/>
      <w:autoSpaceDE w:val="0"/>
      <w:autoSpaceDN w:val="0"/>
      <w:adjustRightInd w:val="0"/>
      <w:spacing w:after="160" w:line="259" w:lineRule="auto"/>
    </w:pPr>
    <w:rPr>
      <w:rFonts w:ascii="宋体" w:hAnsi="Calibri" w:eastAsia="等线" w:cs="宋体"/>
      <w:color w:val="000000"/>
      <w:sz w:val="24"/>
      <w:szCs w:val="24"/>
      <w:lang w:val="en-US" w:eastAsia="zh-CN" w:bidi="ar-SA"/>
    </w:rPr>
  </w:style>
  <w:style w:type="paragraph" w:customStyle="1" w:styleId="106">
    <w:name w:val="修订1"/>
    <w:semiHidden/>
    <w:uiPriority w:val="99"/>
    <w:pPr>
      <w:spacing w:after="160" w:line="259" w:lineRule="auto"/>
    </w:pPr>
    <w:rPr>
      <w:rFonts w:ascii="Calibri" w:hAnsi="Calibri" w:eastAsia="等线" w:cs="Times New Roman"/>
      <w:kern w:val="2"/>
      <w:sz w:val="21"/>
      <w:szCs w:val="22"/>
      <w:lang w:val="en-US" w:eastAsia="zh-CN" w:bidi="ar-SA"/>
    </w:rPr>
  </w:style>
  <w:style w:type="paragraph" w:customStyle="1" w:styleId="107">
    <w:name w:val="Char"/>
    <w:basedOn w:val="1"/>
    <w:uiPriority w:val="0"/>
    <w:pPr>
      <w:widowControl/>
      <w:spacing w:line="360" w:lineRule="auto"/>
      <w:ind w:firstLine="200" w:firstLineChars="200"/>
      <w:jc w:val="left"/>
    </w:pPr>
    <w:rPr>
      <w:rFonts w:ascii="Calibri" w:hAnsi="Calibri" w:eastAsia="仿宋_GB2312"/>
      <w:kern w:val="0"/>
      <w:sz w:val="24"/>
      <w:szCs w:val="22"/>
    </w:rPr>
  </w:style>
  <w:style w:type="paragraph" w:customStyle="1" w:styleId="108">
    <w:name w:val="TOC 标题1"/>
    <w:basedOn w:val="2"/>
    <w:next w:val="1"/>
    <w:unhideWhenUsed/>
    <w:uiPriority w:val="39"/>
    <w:pPr>
      <w:widowControl/>
      <w:spacing w:before="240" w:after="0" w:line="259" w:lineRule="auto"/>
      <w:ind w:firstLine="200" w:firstLineChars="200"/>
      <w:jc w:val="left"/>
      <w:outlineLvl w:val="9"/>
    </w:pPr>
    <w:rPr>
      <w:rFonts w:ascii="Cambria" w:hAnsi="Cambria" w:eastAsia="黑体"/>
      <w:b w:val="0"/>
      <w:bCs w:val="0"/>
      <w:caps/>
      <w:color w:val="366091"/>
      <w:kern w:val="0"/>
      <w:sz w:val="32"/>
      <w:szCs w:val="32"/>
    </w:rPr>
  </w:style>
  <w:style w:type="table" w:customStyle="1" w:styleId="109">
    <w:name w:val="网格型1"/>
    <w:basedOn w:val="53"/>
    <w:qFormat/>
    <w:uiPriority w:val="0"/>
    <w:pPr>
      <w:widowControl w:val="0"/>
      <w:ind w:firstLine="200" w:firstLineChars="200"/>
      <w:jc w:val="both"/>
    </w:pPr>
    <w:rPr>
      <w:rFonts w:ascii="等线" w:hAnsi="等线" w:eastAsia="等线"/>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rPr>
      <w:jc w:val="center"/>
    </w:trPr>
    <w:tcPr>
      <w:vAlign w:val="center"/>
    </w:tcPr>
  </w:style>
  <w:style w:type="paragraph" w:customStyle="1" w:styleId="110">
    <w:name w:val="hik 正文"/>
    <w:basedOn w:val="1"/>
    <w:link w:val="111"/>
    <w:uiPriority w:val="0"/>
    <w:pPr>
      <w:widowControl/>
      <w:spacing w:line="360" w:lineRule="auto"/>
      <w:ind w:firstLine="480" w:firstLineChars="200"/>
      <w:jc w:val="left"/>
    </w:pPr>
    <w:rPr>
      <w:rFonts w:ascii="等线" w:hAnsi="等线" w:eastAsia="等线"/>
      <w:kern w:val="0"/>
      <w:sz w:val="24"/>
    </w:rPr>
  </w:style>
  <w:style w:type="character" w:customStyle="1" w:styleId="111">
    <w:name w:val="hik 正文 Char"/>
    <w:link w:val="110"/>
    <w:uiPriority w:val="0"/>
    <w:rPr>
      <w:rFonts w:ascii="等线" w:hAnsi="等线" w:eastAsia="等线"/>
      <w:sz w:val="24"/>
      <w:szCs w:val="24"/>
    </w:rPr>
  </w:style>
  <w:style w:type="character" w:customStyle="1" w:styleId="112">
    <w:name w:val="*正文 Char"/>
    <w:link w:val="113"/>
    <w:uiPriority w:val="0"/>
    <w:rPr>
      <w:rFonts w:ascii="宋体" w:hAnsi="宋体"/>
      <w:sz w:val="24"/>
    </w:rPr>
  </w:style>
  <w:style w:type="paragraph" w:customStyle="1" w:styleId="113">
    <w:name w:val="*正文"/>
    <w:basedOn w:val="1"/>
    <w:link w:val="112"/>
    <w:uiPriority w:val="0"/>
    <w:pPr>
      <w:widowControl/>
      <w:spacing w:line="360" w:lineRule="auto"/>
      <w:ind w:firstLine="482" w:firstLineChars="200"/>
      <w:jc w:val="left"/>
    </w:pPr>
    <w:rPr>
      <w:rFonts w:ascii="宋体" w:hAnsi="宋体"/>
      <w:kern w:val="0"/>
      <w:sz w:val="24"/>
      <w:szCs w:val="20"/>
    </w:rPr>
  </w:style>
  <w:style w:type="character" w:customStyle="1" w:styleId="114">
    <w:name w:val="正文-2字符首行缩进 Char"/>
    <w:link w:val="115"/>
    <w:locked/>
    <w:uiPriority w:val="0"/>
    <w:rPr>
      <w:rFonts w:ascii="Arial" w:hAnsi="Arial" w:cs="宋体"/>
      <w:bCs/>
      <w:kern w:val="2"/>
      <w:sz w:val="24"/>
      <w:szCs w:val="21"/>
    </w:rPr>
  </w:style>
  <w:style w:type="paragraph" w:customStyle="1" w:styleId="115">
    <w:name w:val="正文-2字符首行缩进"/>
    <w:basedOn w:val="1"/>
    <w:link w:val="114"/>
    <w:uiPriority w:val="0"/>
    <w:pPr>
      <w:widowControl/>
      <w:spacing w:line="360" w:lineRule="auto"/>
      <w:ind w:firstLine="480" w:firstLineChars="200"/>
      <w:jc w:val="left"/>
    </w:pPr>
    <w:rPr>
      <w:rFonts w:ascii="Arial" w:hAnsi="Arial"/>
      <w:bCs/>
      <w:sz w:val="24"/>
      <w:szCs w:val="21"/>
    </w:rPr>
  </w:style>
  <w:style w:type="paragraph" w:customStyle="1" w:styleId="116">
    <w:name w:val="_Style 6"/>
    <w:basedOn w:val="1"/>
    <w:uiPriority w:val="34"/>
    <w:pPr>
      <w:widowControl/>
      <w:spacing w:before="60" w:after="60" w:line="360" w:lineRule="auto"/>
      <w:ind w:firstLine="420" w:firstLineChars="225"/>
      <w:jc w:val="left"/>
    </w:pPr>
    <w:rPr>
      <w:rFonts w:ascii="宋体" w:hAnsi="宋体" w:eastAsia="仿宋"/>
      <w:color w:val="000000"/>
      <w:kern w:val="0"/>
      <w:sz w:val="24"/>
      <w:szCs w:val="28"/>
    </w:rPr>
  </w:style>
  <w:style w:type="character" w:customStyle="1" w:styleId="117">
    <w:name w:val="*正文 Char Char"/>
    <w:uiPriority w:val="0"/>
    <w:rPr>
      <w:rFonts w:ascii="宋体" w:hAnsi="宋体" w:eastAsia="仿宋" w:cs="Times New Roman"/>
      <w:kern w:val="0"/>
      <w:sz w:val="28"/>
      <w:szCs w:val="24"/>
    </w:rPr>
  </w:style>
  <w:style w:type="paragraph" w:customStyle="1" w:styleId="118">
    <w:name w:val="!我的正文 Ctr+Q"/>
    <w:basedOn w:val="1"/>
    <w:link w:val="119"/>
    <w:qFormat/>
    <w:uiPriority w:val="0"/>
    <w:pPr>
      <w:widowControl/>
      <w:adjustRightInd w:val="0"/>
      <w:snapToGrid w:val="0"/>
      <w:spacing w:beforeLines="50" w:afterLines="50" w:line="360" w:lineRule="auto"/>
      <w:ind w:firstLine="480" w:firstLineChars="200"/>
      <w:jc w:val="left"/>
    </w:pPr>
    <w:rPr>
      <w:rFonts w:ascii="Arial" w:hAnsi="Arial" w:eastAsia="等线"/>
      <w:sz w:val="24"/>
      <w:szCs w:val="21"/>
    </w:rPr>
  </w:style>
  <w:style w:type="character" w:customStyle="1" w:styleId="119">
    <w:name w:val="!我的正文 Ctr+Q Char"/>
    <w:link w:val="118"/>
    <w:qFormat/>
    <w:uiPriority w:val="0"/>
    <w:rPr>
      <w:rFonts w:ascii="Arial" w:hAnsi="Arial" w:eastAsia="等线"/>
      <w:kern w:val="2"/>
      <w:sz w:val="24"/>
      <w:szCs w:val="21"/>
    </w:rPr>
  </w:style>
  <w:style w:type="character" w:customStyle="1" w:styleId="120">
    <w:name w:val="尾注文本 Char"/>
    <w:basedOn w:val="45"/>
    <w:link w:val="29"/>
    <w:uiPriority w:val="0"/>
    <w:rPr>
      <w:rFonts w:ascii="等线" w:hAnsi="等线" w:eastAsia="等线"/>
      <w:kern w:val="2"/>
      <w:sz w:val="21"/>
      <w:szCs w:val="24"/>
    </w:rPr>
  </w:style>
  <w:style w:type="paragraph" w:customStyle="1" w:styleId="121">
    <w:name w:val="TOC 标题2"/>
    <w:basedOn w:val="2"/>
    <w:next w:val="1"/>
    <w:semiHidden/>
    <w:unhideWhenUsed/>
    <w:qFormat/>
    <w:uiPriority w:val="39"/>
    <w:pPr>
      <w:widowControl/>
      <w:spacing w:before="400" w:after="40" w:line="240" w:lineRule="auto"/>
      <w:ind w:firstLine="200" w:firstLineChars="200"/>
      <w:jc w:val="center"/>
      <w:outlineLvl w:val="9"/>
    </w:pPr>
    <w:rPr>
      <w:rFonts w:ascii="Calibri Light" w:hAnsi="Calibri Light"/>
      <w:b w:val="0"/>
      <w:bCs w:val="0"/>
      <w:caps/>
      <w:kern w:val="0"/>
      <w:sz w:val="28"/>
      <w:szCs w:val="36"/>
    </w:rPr>
  </w:style>
  <w:style w:type="character" w:customStyle="1" w:styleId="122">
    <w:name w:val="标题 5 字符"/>
    <w:uiPriority w:val="9"/>
    <w:rPr>
      <w:rFonts w:ascii="Calibri Light" w:hAnsi="Calibri Light" w:eastAsia="宋体"/>
      <w:iCs/>
      <w:caps/>
      <w:sz w:val="24"/>
      <w:szCs w:val="22"/>
    </w:rPr>
  </w:style>
  <w:style w:type="character" w:customStyle="1" w:styleId="123">
    <w:name w:val="标题 6 字符"/>
    <w:uiPriority w:val="9"/>
    <w:rPr>
      <w:rFonts w:ascii="Calibri Light" w:hAnsi="Calibri Light" w:eastAsia="宋体"/>
      <w:bCs/>
      <w:caps/>
      <w:color w:val="262626"/>
      <w:sz w:val="24"/>
    </w:rPr>
  </w:style>
  <w:style w:type="character" w:customStyle="1" w:styleId="124">
    <w:name w:val="标题 7 字符"/>
    <w:uiPriority w:val="9"/>
    <w:rPr>
      <w:rFonts w:ascii="Calibri Light" w:hAnsi="Calibri Light" w:eastAsia="宋体"/>
      <w:bCs/>
      <w:iCs/>
      <w:caps/>
      <w:color w:val="262626"/>
      <w:sz w:val="24"/>
    </w:rPr>
  </w:style>
  <w:style w:type="character" w:customStyle="1" w:styleId="125">
    <w:name w:val="标题 8 字符"/>
    <w:uiPriority w:val="9"/>
    <w:rPr>
      <w:rFonts w:ascii="Calibri Light" w:hAnsi="Calibri Light" w:eastAsia="宋体"/>
      <w:bCs/>
      <w:caps/>
      <w:sz w:val="24"/>
    </w:rPr>
  </w:style>
  <w:style w:type="paragraph" w:customStyle="1" w:styleId="126">
    <w:name w:val="我的正文"/>
    <w:basedOn w:val="1"/>
    <w:uiPriority w:val="0"/>
    <w:pPr>
      <w:widowControl/>
      <w:spacing w:line="360" w:lineRule="auto"/>
      <w:ind w:firstLine="435" w:firstLineChars="200"/>
      <w:jc w:val="left"/>
    </w:pPr>
    <w:rPr>
      <w:rFonts w:ascii="等线" w:hAnsi="等线" w:eastAsia="仿宋_GB2312"/>
      <w:kern w:val="0"/>
      <w:sz w:val="24"/>
      <w:szCs w:val="22"/>
    </w:rPr>
  </w:style>
  <w:style w:type="character" w:customStyle="1" w:styleId="127">
    <w:name w:val="批注文字 字符1"/>
    <w:uiPriority w:val="0"/>
  </w:style>
  <w:style w:type="character" w:customStyle="1" w:styleId="128">
    <w:name w:val="题注 字符1"/>
    <w:uiPriority w:val="0"/>
    <w:rPr>
      <w:rFonts w:eastAsia="黑体"/>
      <w:b/>
      <w:kern w:val="2"/>
      <w:sz w:val="24"/>
    </w:rPr>
  </w:style>
  <w:style w:type="character" w:customStyle="1" w:styleId="129">
    <w:name w:val="列出段落 字符"/>
    <w:uiPriority w:val="34"/>
    <w:rPr>
      <w:rFonts w:ascii="Calibri" w:hAnsi="Calibri" w:eastAsia="宋体" w:cs="Times New Roman"/>
      <w:kern w:val="2"/>
      <w:sz w:val="24"/>
      <w:szCs w:val="24"/>
    </w:rPr>
  </w:style>
  <w:style w:type="character" w:customStyle="1" w:styleId="130">
    <w:name w:val="标题 1 字符"/>
    <w:uiPriority w:val="0"/>
    <w:rPr>
      <w:rFonts w:ascii="Calibri Light" w:hAnsi="Calibri Light" w:eastAsia="黑体"/>
      <w:caps/>
      <w:sz w:val="28"/>
      <w:szCs w:val="36"/>
    </w:rPr>
  </w:style>
  <w:style w:type="character" w:customStyle="1" w:styleId="131">
    <w:name w:val="标题 2 字符"/>
    <w:uiPriority w:val="0"/>
    <w:rPr>
      <w:rFonts w:ascii="Calibri Light" w:hAnsi="Calibri Light" w:eastAsia="仿宋_GB2312"/>
      <w:b/>
      <w:caps/>
      <w:sz w:val="28"/>
      <w:szCs w:val="28"/>
    </w:rPr>
  </w:style>
  <w:style w:type="character" w:customStyle="1" w:styleId="132">
    <w:name w:val="标题 3 字符"/>
    <w:uiPriority w:val="0"/>
    <w:rPr>
      <w:rFonts w:ascii="Calibri Light" w:hAnsi="Calibri Light" w:eastAsia="宋体"/>
      <w:b/>
      <w:smallCaps/>
      <w:sz w:val="28"/>
      <w:szCs w:val="28"/>
    </w:rPr>
  </w:style>
  <w:style w:type="character" w:customStyle="1" w:styleId="133">
    <w:name w:val="标题 4 字符"/>
    <w:uiPriority w:val="0"/>
    <w:rPr>
      <w:rFonts w:ascii="Calibri Light" w:hAnsi="Calibri Light" w:eastAsia="仿宋_GB2312"/>
      <w:caps/>
      <w:sz w:val="24"/>
      <w:szCs w:val="22"/>
    </w:rPr>
  </w:style>
  <w:style w:type="character" w:customStyle="1" w:styleId="134">
    <w:name w:val="标题 9 字符"/>
    <w:uiPriority w:val="9"/>
    <w:rPr>
      <w:rFonts w:ascii="Calibri Light" w:hAnsi="Calibri Light" w:eastAsia="宋体" w:cs="Times New Roman"/>
      <w:b/>
      <w:bCs/>
      <w:i/>
      <w:iCs/>
      <w:caps/>
      <w:color w:val="7F7F7F"/>
      <w:sz w:val="20"/>
      <w:szCs w:val="20"/>
    </w:rPr>
  </w:style>
  <w:style w:type="character" w:customStyle="1" w:styleId="135">
    <w:name w:val="标题 字符"/>
    <w:uiPriority w:val="10"/>
    <w:rPr>
      <w:rFonts w:ascii="Calibri Light" w:hAnsi="Calibri Light" w:eastAsia="宋体" w:cs="Times New Roman"/>
      <w:caps/>
      <w:color w:val="404040"/>
      <w:spacing w:val="-10"/>
      <w:sz w:val="72"/>
      <w:szCs w:val="72"/>
    </w:rPr>
  </w:style>
  <w:style w:type="character" w:customStyle="1" w:styleId="136">
    <w:name w:val="副标题 Char"/>
    <w:basedOn w:val="45"/>
    <w:link w:val="35"/>
    <w:uiPriority w:val="11"/>
    <w:rPr>
      <w:rFonts w:ascii="Cambria" w:hAnsi="Cambria" w:cs="Times New Roman"/>
      <w:b/>
      <w:bCs/>
      <w:kern w:val="28"/>
      <w:sz w:val="32"/>
      <w:szCs w:val="32"/>
    </w:rPr>
  </w:style>
  <w:style w:type="character" w:customStyle="1" w:styleId="137">
    <w:name w:val="副标题 Char1"/>
    <w:link w:val="35"/>
    <w:uiPriority w:val="11"/>
    <w:rPr>
      <w:rFonts w:ascii="Calibri Light" w:hAnsi="Calibri Light"/>
      <w:smallCaps/>
      <w:color w:val="595959"/>
      <w:sz w:val="28"/>
      <w:szCs w:val="28"/>
    </w:rPr>
  </w:style>
  <w:style w:type="paragraph" w:styleId="138">
    <w:name w:val="No Spacing"/>
    <w:qFormat/>
    <w:uiPriority w:val="1"/>
    <w:rPr>
      <w:rFonts w:ascii="等线" w:hAnsi="等线" w:eastAsia="等线" w:cs="Times New Roman"/>
      <w:sz w:val="22"/>
      <w:szCs w:val="22"/>
      <w:lang w:val="en-US" w:eastAsia="zh-CN" w:bidi="ar-SA"/>
    </w:rPr>
  </w:style>
  <w:style w:type="paragraph" w:styleId="139">
    <w:name w:val="Quote"/>
    <w:basedOn w:val="1"/>
    <w:next w:val="1"/>
    <w:link w:val="141"/>
    <w:qFormat/>
    <w:uiPriority w:val="29"/>
    <w:pPr>
      <w:widowControl/>
      <w:spacing w:before="160"/>
      <w:ind w:left="720" w:right="720" w:firstLine="200" w:firstLineChars="200"/>
      <w:jc w:val="left"/>
    </w:pPr>
    <w:rPr>
      <w:rFonts w:ascii="Calibri Light" w:hAnsi="Calibri Light"/>
      <w:kern w:val="0"/>
      <w:sz w:val="25"/>
      <w:szCs w:val="25"/>
    </w:rPr>
  </w:style>
  <w:style w:type="character" w:customStyle="1" w:styleId="140">
    <w:name w:val="引用 Char"/>
    <w:basedOn w:val="45"/>
    <w:link w:val="139"/>
    <w:uiPriority w:val="29"/>
    <w:rPr>
      <w:rFonts w:ascii="Times New Roman" w:hAnsi="Times New Roman"/>
      <w:i/>
      <w:iCs/>
      <w:color w:val="000000"/>
      <w:kern w:val="2"/>
      <w:sz w:val="21"/>
      <w:szCs w:val="24"/>
    </w:rPr>
  </w:style>
  <w:style w:type="character" w:customStyle="1" w:styleId="141">
    <w:name w:val="引用 Char1"/>
    <w:link w:val="139"/>
    <w:uiPriority w:val="29"/>
    <w:rPr>
      <w:rFonts w:ascii="Calibri Light" w:hAnsi="Calibri Light"/>
      <w:sz w:val="25"/>
      <w:szCs w:val="25"/>
    </w:rPr>
  </w:style>
  <w:style w:type="paragraph" w:styleId="142">
    <w:name w:val="Intense Quote"/>
    <w:basedOn w:val="1"/>
    <w:next w:val="1"/>
    <w:link w:val="144"/>
    <w:qFormat/>
    <w:uiPriority w:val="30"/>
    <w:pPr>
      <w:widowControl/>
      <w:spacing w:before="280" w:after="280"/>
      <w:ind w:left="1080" w:right="1080" w:firstLine="200" w:firstLineChars="200"/>
      <w:jc w:val="center"/>
    </w:pPr>
    <w:rPr>
      <w:rFonts w:ascii="等线" w:hAnsi="等线" w:eastAsia="等线"/>
      <w:color w:val="404040"/>
      <w:kern w:val="0"/>
      <w:sz w:val="32"/>
      <w:szCs w:val="32"/>
    </w:rPr>
  </w:style>
  <w:style w:type="character" w:customStyle="1" w:styleId="143">
    <w:name w:val="明显引用 Char"/>
    <w:basedOn w:val="45"/>
    <w:link w:val="142"/>
    <w:uiPriority w:val="30"/>
    <w:rPr>
      <w:rFonts w:ascii="Times New Roman" w:hAnsi="Times New Roman"/>
      <w:b/>
      <w:bCs/>
      <w:i/>
      <w:iCs/>
      <w:color w:val="4F81BD"/>
      <w:kern w:val="2"/>
      <w:sz w:val="21"/>
      <w:szCs w:val="24"/>
    </w:rPr>
  </w:style>
  <w:style w:type="character" w:customStyle="1" w:styleId="144">
    <w:name w:val="明显引用 Char1"/>
    <w:link w:val="142"/>
    <w:uiPriority w:val="30"/>
    <w:rPr>
      <w:rFonts w:ascii="等线" w:hAnsi="等线" w:eastAsia="等线"/>
      <w:color w:val="404040"/>
      <w:sz w:val="32"/>
      <w:szCs w:val="32"/>
    </w:rPr>
  </w:style>
  <w:style w:type="character" w:customStyle="1" w:styleId="145">
    <w:name w:val="不明显强调1"/>
    <w:qFormat/>
    <w:uiPriority w:val="19"/>
    <w:rPr>
      <w:i/>
      <w:iCs/>
      <w:color w:val="595959"/>
    </w:rPr>
  </w:style>
  <w:style w:type="character" w:customStyle="1" w:styleId="146">
    <w:name w:val="明显强调1"/>
    <w:qFormat/>
    <w:uiPriority w:val="21"/>
    <w:rPr>
      <w:b/>
      <w:bCs/>
      <w:i/>
      <w:iCs/>
    </w:rPr>
  </w:style>
  <w:style w:type="character" w:customStyle="1" w:styleId="147">
    <w:name w:val="不明显参考1"/>
    <w:qFormat/>
    <w:uiPriority w:val="31"/>
    <w:rPr>
      <w:smallCaps/>
      <w:color w:val="404040"/>
      <w:u w:val="single" w:color="7F7F7F"/>
    </w:rPr>
  </w:style>
  <w:style w:type="character" w:customStyle="1" w:styleId="148">
    <w:name w:val="明显参考1"/>
    <w:qFormat/>
    <w:uiPriority w:val="32"/>
    <w:rPr>
      <w:b/>
      <w:bCs/>
      <w:smallCaps/>
      <w:color w:val="auto"/>
      <w:spacing w:val="3"/>
      <w:u w:val="single"/>
    </w:rPr>
  </w:style>
  <w:style w:type="character" w:customStyle="1" w:styleId="149">
    <w:name w:val="书籍标题1"/>
    <w:qFormat/>
    <w:uiPriority w:val="33"/>
    <w:rPr>
      <w:b/>
      <w:bCs/>
      <w:smallCaps/>
      <w:spacing w:val="7"/>
    </w:rPr>
  </w:style>
  <w:style w:type="paragraph" w:customStyle="1" w:styleId="150">
    <w:name w:val="msonormal"/>
    <w:basedOn w:val="1"/>
    <w:uiPriority w:val="0"/>
    <w:pPr>
      <w:widowControl/>
      <w:spacing w:before="100" w:beforeAutospacing="1" w:after="100" w:afterAutospacing="1"/>
      <w:jc w:val="left"/>
    </w:pPr>
    <w:rPr>
      <w:rFonts w:ascii="宋体" w:hAnsi="宋体" w:cs="宋体"/>
      <w:kern w:val="0"/>
      <w:sz w:val="24"/>
    </w:rPr>
  </w:style>
  <w:style w:type="paragraph" w:customStyle="1" w:styleId="151">
    <w:name w:val="font5"/>
    <w:basedOn w:val="1"/>
    <w:uiPriority w:val="0"/>
    <w:pPr>
      <w:widowControl/>
      <w:spacing w:before="100" w:beforeAutospacing="1" w:after="100" w:afterAutospacing="1"/>
      <w:jc w:val="left"/>
    </w:pPr>
    <w:rPr>
      <w:rFonts w:ascii="等线" w:hAnsi="等线" w:eastAsia="等线" w:cs="宋体"/>
      <w:color w:val="000000"/>
      <w:kern w:val="0"/>
      <w:sz w:val="24"/>
    </w:rPr>
  </w:style>
  <w:style w:type="paragraph" w:customStyle="1" w:styleId="152">
    <w:name w:val="font6"/>
    <w:basedOn w:val="1"/>
    <w:uiPriority w:val="0"/>
    <w:pPr>
      <w:widowControl/>
      <w:spacing w:before="100" w:beforeAutospacing="1" w:after="100" w:afterAutospacing="1"/>
      <w:jc w:val="left"/>
    </w:pPr>
    <w:rPr>
      <w:rFonts w:ascii="仿宋_GB2312" w:hAnsi="宋体" w:eastAsia="仿宋_GB2312" w:cs="宋体"/>
      <w:color w:val="000000"/>
      <w:kern w:val="0"/>
      <w:sz w:val="24"/>
    </w:rPr>
  </w:style>
  <w:style w:type="paragraph" w:customStyle="1" w:styleId="153">
    <w:name w:val="font7"/>
    <w:basedOn w:val="1"/>
    <w:uiPriority w:val="0"/>
    <w:pPr>
      <w:widowControl/>
      <w:spacing w:before="100" w:beforeAutospacing="1" w:after="100" w:afterAutospacing="1"/>
      <w:jc w:val="left"/>
    </w:pPr>
    <w:rPr>
      <w:rFonts w:ascii="仿宋_GB2312" w:hAnsi="宋体" w:eastAsia="仿宋_GB2312" w:cs="宋体"/>
      <w:color w:val="000000"/>
      <w:kern w:val="0"/>
      <w:sz w:val="24"/>
    </w:rPr>
  </w:style>
  <w:style w:type="paragraph" w:customStyle="1" w:styleId="154">
    <w:name w:val="font8"/>
    <w:basedOn w:val="1"/>
    <w:uiPriority w:val="0"/>
    <w:pPr>
      <w:widowControl/>
      <w:spacing w:before="100" w:beforeAutospacing="1" w:after="100" w:afterAutospacing="1"/>
      <w:jc w:val="left"/>
    </w:pPr>
    <w:rPr>
      <w:rFonts w:ascii="等线" w:hAnsi="等线" w:eastAsia="等线" w:cs="宋体"/>
      <w:color w:val="000000"/>
      <w:kern w:val="0"/>
      <w:sz w:val="24"/>
    </w:rPr>
  </w:style>
  <w:style w:type="paragraph" w:customStyle="1" w:styleId="155">
    <w:name w:val="font9"/>
    <w:basedOn w:val="1"/>
    <w:uiPriority w:val="0"/>
    <w:pPr>
      <w:widowControl/>
      <w:spacing w:before="100" w:beforeAutospacing="1" w:after="100" w:afterAutospacing="1"/>
      <w:jc w:val="left"/>
    </w:pPr>
    <w:rPr>
      <w:rFonts w:ascii="仿宋_GB2312" w:hAnsi="宋体" w:eastAsia="仿宋_GB2312" w:cs="宋体"/>
      <w:color w:val="FF0000"/>
      <w:kern w:val="0"/>
      <w:sz w:val="24"/>
    </w:rPr>
  </w:style>
  <w:style w:type="paragraph" w:customStyle="1" w:styleId="156">
    <w:name w:val="font10"/>
    <w:basedOn w:val="1"/>
    <w:uiPriority w:val="0"/>
    <w:pPr>
      <w:widowControl/>
      <w:spacing w:before="100" w:beforeAutospacing="1" w:after="100" w:afterAutospacing="1"/>
      <w:jc w:val="left"/>
    </w:pPr>
    <w:rPr>
      <w:rFonts w:ascii="宋体" w:hAnsi="宋体" w:cs="宋体"/>
      <w:color w:val="FF0000"/>
      <w:kern w:val="0"/>
      <w:sz w:val="24"/>
    </w:rPr>
  </w:style>
  <w:style w:type="paragraph" w:customStyle="1" w:styleId="157">
    <w:name w:val="font11"/>
    <w:basedOn w:val="1"/>
    <w:uiPriority w:val="0"/>
    <w:pPr>
      <w:widowControl/>
      <w:spacing w:before="100" w:beforeAutospacing="1" w:after="100" w:afterAutospacing="1"/>
      <w:jc w:val="left"/>
    </w:pPr>
    <w:rPr>
      <w:rFonts w:ascii="等线" w:hAnsi="等线" w:eastAsia="等线" w:cs="宋体"/>
      <w:color w:val="FF0000"/>
      <w:kern w:val="0"/>
      <w:sz w:val="24"/>
    </w:rPr>
  </w:style>
  <w:style w:type="paragraph" w:customStyle="1" w:styleId="158">
    <w:name w:val="font12"/>
    <w:basedOn w:val="1"/>
    <w:uiPriority w:val="0"/>
    <w:pPr>
      <w:widowControl/>
      <w:spacing w:before="100" w:beforeAutospacing="1" w:after="100" w:afterAutospacing="1"/>
      <w:jc w:val="left"/>
    </w:pPr>
    <w:rPr>
      <w:rFonts w:ascii="等线" w:hAnsi="等线" w:eastAsia="等线" w:cs="宋体"/>
      <w:color w:val="000000"/>
      <w:kern w:val="0"/>
      <w:szCs w:val="21"/>
    </w:rPr>
  </w:style>
  <w:style w:type="paragraph" w:customStyle="1" w:styleId="159">
    <w:name w:val="xl63"/>
    <w:basedOn w:val="1"/>
    <w:uiPriority w:val="0"/>
    <w:pPr>
      <w:widowControl/>
      <w:pBdr>
        <w:bottom w:val="single" w:color="auto" w:sz="8" w:space="0"/>
        <w:right w:val="single" w:color="auto" w:sz="8" w:space="0"/>
      </w:pBdr>
      <w:spacing w:before="100" w:beforeAutospacing="1" w:after="100" w:afterAutospacing="1"/>
      <w:jc w:val="left"/>
      <w:textAlignment w:val="center"/>
    </w:pPr>
    <w:rPr>
      <w:rFonts w:ascii="仿宋_GB2312" w:hAnsi="宋体" w:eastAsia="仿宋_GB2312" w:cs="宋体"/>
      <w:kern w:val="0"/>
      <w:sz w:val="24"/>
    </w:rPr>
  </w:style>
  <w:style w:type="paragraph" w:customStyle="1" w:styleId="160">
    <w:name w:val="xl64"/>
    <w:basedOn w:val="1"/>
    <w:uiPriority w:val="0"/>
    <w:pPr>
      <w:widowControl/>
      <w:pBdr>
        <w:bottom w:val="single" w:color="auto" w:sz="8" w:space="0"/>
        <w:right w:val="single" w:color="auto" w:sz="8" w:space="0"/>
      </w:pBdr>
      <w:spacing w:before="100" w:beforeAutospacing="1" w:after="100" w:afterAutospacing="1"/>
      <w:jc w:val="left"/>
      <w:textAlignment w:val="center"/>
    </w:pPr>
    <w:rPr>
      <w:rFonts w:ascii="等线" w:hAnsi="等线" w:eastAsia="等线" w:cs="宋体"/>
      <w:kern w:val="0"/>
      <w:sz w:val="24"/>
    </w:rPr>
  </w:style>
  <w:style w:type="paragraph" w:customStyle="1" w:styleId="161">
    <w:name w:val="xl65"/>
    <w:basedOn w:val="1"/>
    <w:uiPriority w:val="0"/>
    <w:pPr>
      <w:widowControl/>
      <w:pBdr>
        <w:left w:val="single" w:color="auto" w:sz="8" w:space="0"/>
        <w:bottom w:val="single" w:color="auto" w:sz="8" w:space="0"/>
        <w:right w:val="single" w:color="auto" w:sz="8" w:space="0"/>
      </w:pBdr>
      <w:spacing w:before="100" w:beforeAutospacing="1" w:after="100" w:afterAutospacing="1"/>
      <w:jc w:val="left"/>
      <w:textAlignment w:val="center"/>
    </w:pPr>
    <w:rPr>
      <w:rFonts w:ascii="等线" w:hAnsi="等线" w:eastAsia="等线" w:cs="宋体"/>
      <w:kern w:val="0"/>
      <w:sz w:val="24"/>
    </w:rPr>
  </w:style>
  <w:style w:type="paragraph" w:customStyle="1" w:styleId="162">
    <w:name w:val="xl66"/>
    <w:basedOn w:val="1"/>
    <w:uiPriority w:val="0"/>
    <w:pPr>
      <w:widowControl/>
      <w:pBdr>
        <w:right w:val="single" w:color="auto" w:sz="8" w:space="0"/>
      </w:pBdr>
      <w:spacing w:before="100" w:beforeAutospacing="1" w:after="100" w:afterAutospacing="1"/>
      <w:jc w:val="left"/>
      <w:textAlignment w:val="center"/>
    </w:pPr>
    <w:rPr>
      <w:rFonts w:ascii="仿宋_GB2312" w:hAnsi="宋体" w:eastAsia="仿宋_GB2312" w:cs="宋体"/>
      <w:kern w:val="0"/>
      <w:sz w:val="24"/>
    </w:rPr>
  </w:style>
  <w:style w:type="paragraph" w:customStyle="1" w:styleId="163">
    <w:name w:val="xl67"/>
    <w:basedOn w:val="1"/>
    <w:uiPriority w:val="0"/>
    <w:pPr>
      <w:widowControl/>
      <w:pBdr>
        <w:right w:val="single" w:color="auto" w:sz="8" w:space="0"/>
      </w:pBdr>
      <w:spacing w:before="100" w:beforeAutospacing="1" w:after="100" w:afterAutospacing="1"/>
      <w:jc w:val="left"/>
      <w:textAlignment w:val="center"/>
    </w:pPr>
    <w:rPr>
      <w:rFonts w:ascii="等线" w:hAnsi="等线" w:eastAsia="等线" w:cs="宋体"/>
      <w:kern w:val="0"/>
      <w:sz w:val="24"/>
    </w:rPr>
  </w:style>
  <w:style w:type="paragraph" w:customStyle="1" w:styleId="164">
    <w:name w:val="xl68"/>
    <w:basedOn w:val="1"/>
    <w:uiPriority w:val="0"/>
    <w:pPr>
      <w:widowControl/>
      <w:pBdr>
        <w:right w:val="single" w:color="auto" w:sz="8" w:space="0"/>
      </w:pBdr>
      <w:spacing w:before="100" w:beforeAutospacing="1" w:after="100" w:afterAutospacing="1"/>
      <w:jc w:val="left"/>
      <w:textAlignment w:val="center"/>
    </w:pPr>
    <w:rPr>
      <w:rFonts w:ascii="仿宋_GB2312" w:hAnsi="宋体" w:eastAsia="仿宋_GB2312" w:cs="宋体"/>
      <w:color w:val="000000"/>
      <w:kern w:val="0"/>
      <w:sz w:val="24"/>
    </w:rPr>
  </w:style>
  <w:style w:type="paragraph" w:customStyle="1" w:styleId="165">
    <w:name w:val="xl69"/>
    <w:basedOn w:val="1"/>
    <w:uiPriority w:val="0"/>
    <w:pPr>
      <w:widowControl/>
      <w:pBdr>
        <w:bottom w:val="single" w:color="auto" w:sz="8" w:space="0"/>
        <w:right w:val="single" w:color="auto" w:sz="8" w:space="0"/>
      </w:pBdr>
      <w:spacing w:before="100" w:beforeAutospacing="1" w:after="100" w:afterAutospacing="1"/>
      <w:jc w:val="left"/>
      <w:textAlignment w:val="center"/>
    </w:pPr>
    <w:rPr>
      <w:rFonts w:ascii="仿宋_GB2312" w:hAnsi="宋体" w:eastAsia="仿宋_GB2312" w:cs="宋体"/>
      <w:kern w:val="0"/>
      <w:sz w:val="24"/>
    </w:rPr>
  </w:style>
  <w:style w:type="paragraph" w:customStyle="1" w:styleId="166">
    <w:name w:val="xl70"/>
    <w:basedOn w:val="1"/>
    <w:uiPriority w:val="0"/>
    <w:pPr>
      <w:widowControl/>
      <w:pBdr>
        <w:bottom w:val="single" w:color="auto" w:sz="8" w:space="0"/>
        <w:right w:val="single" w:color="auto" w:sz="8" w:space="0"/>
      </w:pBdr>
      <w:spacing w:before="100" w:beforeAutospacing="1" w:after="100" w:afterAutospacing="1"/>
      <w:jc w:val="left"/>
      <w:textAlignment w:val="center"/>
    </w:pPr>
    <w:rPr>
      <w:rFonts w:ascii="等线" w:hAnsi="等线" w:eastAsia="等线" w:cs="宋体"/>
      <w:kern w:val="0"/>
      <w:sz w:val="24"/>
    </w:rPr>
  </w:style>
  <w:style w:type="paragraph" w:customStyle="1" w:styleId="167">
    <w:name w:val="xl71"/>
    <w:basedOn w:val="1"/>
    <w:uiPriority w:val="0"/>
    <w:pPr>
      <w:widowControl/>
      <w:pBdr>
        <w:left w:val="single" w:color="auto" w:sz="8" w:space="0"/>
        <w:bottom w:val="single" w:color="auto" w:sz="8" w:space="0"/>
        <w:right w:val="single" w:color="auto" w:sz="8" w:space="0"/>
      </w:pBdr>
      <w:spacing w:before="100" w:beforeAutospacing="1" w:after="100" w:afterAutospacing="1"/>
      <w:jc w:val="left"/>
      <w:textAlignment w:val="center"/>
    </w:pPr>
    <w:rPr>
      <w:rFonts w:ascii="等线" w:hAnsi="等线" w:eastAsia="等线" w:cs="宋体"/>
      <w:kern w:val="0"/>
      <w:sz w:val="24"/>
    </w:rPr>
  </w:style>
  <w:style w:type="paragraph" w:customStyle="1" w:styleId="168">
    <w:name w:val="xl72"/>
    <w:basedOn w:val="1"/>
    <w:uiPriority w:val="0"/>
    <w:pPr>
      <w:widowControl/>
      <w:pBdr>
        <w:bottom w:val="single" w:color="auto" w:sz="8" w:space="0"/>
        <w:right w:val="single" w:color="auto" w:sz="8" w:space="0"/>
      </w:pBdr>
      <w:spacing w:before="100" w:beforeAutospacing="1" w:after="100" w:afterAutospacing="1"/>
      <w:jc w:val="left"/>
      <w:textAlignment w:val="center"/>
    </w:pPr>
    <w:rPr>
      <w:rFonts w:ascii="等线" w:hAnsi="等线" w:eastAsia="等线" w:cs="宋体"/>
      <w:color w:val="000000"/>
      <w:kern w:val="0"/>
      <w:sz w:val="24"/>
    </w:rPr>
  </w:style>
  <w:style w:type="paragraph" w:customStyle="1" w:styleId="169">
    <w:name w:val="xl73"/>
    <w:basedOn w:val="1"/>
    <w:uiPriority w:val="0"/>
    <w:pPr>
      <w:widowControl/>
      <w:pBdr>
        <w:bottom w:val="single" w:color="auto" w:sz="8" w:space="0"/>
        <w:right w:val="single" w:color="auto" w:sz="8" w:space="0"/>
      </w:pBdr>
      <w:spacing w:before="100" w:beforeAutospacing="1" w:after="100" w:afterAutospacing="1"/>
      <w:jc w:val="left"/>
      <w:textAlignment w:val="center"/>
    </w:pPr>
    <w:rPr>
      <w:rFonts w:ascii="仿宋_GB2312" w:hAnsi="宋体" w:eastAsia="仿宋_GB2312" w:cs="宋体"/>
      <w:color w:val="000000"/>
      <w:kern w:val="0"/>
      <w:sz w:val="24"/>
    </w:rPr>
  </w:style>
  <w:style w:type="paragraph" w:customStyle="1" w:styleId="170">
    <w:name w:val="xl74"/>
    <w:basedOn w:val="1"/>
    <w:uiPriority w:val="0"/>
    <w:pPr>
      <w:widowControl/>
      <w:pBdr>
        <w:bottom w:val="single" w:color="auto" w:sz="8" w:space="0"/>
        <w:right w:val="single" w:color="auto" w:sz="8" w:space="0"/>
      </w:pBdr>
      <w:spacing w:before="100" w:beforeAutospacing="1" w:after="100" w:afterAutospacing="1"/>
      <w:jc w:val="center"/>
      <w:textAlignment w:val="center"/>
    </w:pPr>
    <w:rPr>
      <w:rFonts w:ascii="仿宋_GB2312" w:hAnsi="宋体" w:eastAsia="仿宋_GB2312" w:cs="宋体"/>
      <w:color w:val="FF0000"/>
      <w:kern w:val="0"/>
      <w:sz w:val="24"/>
    </w:rPr>
  </w:style>
  <w:style w:type="paragraph" w:customStyle="1" w:styleId="171">
    <w:name w:val="xl75"/>
    <w:basedOn w:val="1"/>
    <w:uiPriority w:val="0"/>
    <w:pPr>
      <w:widowControl/>
      <w:pBdr>
        <w:bottom w:val="single" w:color="auto" w:sz="8" w:space="0"/>
        <w:right w:val="single" w:color="auto" w:sz="8" w:space="0"/>
      </w:pBdr>
      <w:spacing w:before="100" w:beforeAutospacing="1" w:after="100" w:afterAutospacing="1"/>
      <w:jc w:val="left"/>
      <w:textAlignment w:val="center"/>
    </w:pPr>
    <w:rPr>
      <w:rFonts w:ascii="仿宋_GB2312" w:hAnsi="宋体" w:eastAsia="仿宋_GB2312" w:cs="宋体"/>
      <w:color w:val="FF0000"/>
      <w:kern w:val="0"/>
      <w:sz w:val="24"/>
    </w:rPr>
  </w:style>
  <w:style w:type="paragraph" w:customStyle="1" w:styleId="172">
    <w:name w:val="xl76"/>
    <w:basedOn w:val="1"/>
    <w:uiPriority w:val="0"/>
    <w:pPr>
      <w:widowControl/>
      <w:pBdr>
        <w:right w:val="single" w:color="auto" w:sz="8" w:space="0"/>
      </w:pBdr>
      <w:spacing w:before="100" w:beforeAutospacing="1" w:after="100" w:afterAutospacing="1"/>
      <w:jc w:val="left"/>
      <w:textAlignment w:val="center"/>
    </w:pPr>
    <w:rPr>
      <w:rFonts w:ascii="仿宋_GB2312" w:hAnsi="宋体" w:eastAsia="仿宋_GB2312" w:cs="宋体"/>
      <w:color w:val="FF0000"/>
      <w:kern w:val="0"/>
      <w:sz w:val="24"/>
    </w:rPr>
  </w:style>
  <w:style w:type="paragraph" w:customStyle="1" w:styleId="173">
    <w:name w:val="xl77"/>
    <w:basedOn w:val="1"/>
    <w:uiPriority w:val="0"/>
    <w:pPr>
      <w:widowControl/>
      <w:pBdr>
        <w:right w:val="single" w:color="auto" w:sz="8" w:space="0"/>
      </w:pBdr>
      <w:spacing w:before="100" w:beforeAutospacing="1" w:after="100" w:afterAutospacing="1"/>
      <w:jc w:val="left"/>
      <w:textAlignment w:val="center"/>
    </w:pPr>
    <w:rPr>
      <w:rFonts w:ascii="等线" w:hAnsi="等线" w:eastAsia="等线" w:cs="宋体"/>
      <w:color w:val="000000"/>
      <w:kern w:val="0"/>
      <w:sz w:val="24"/>
    </w:rPr>
  </w:style>
  <w:style w:type="paragraph" w:customStyle="1" w:styleId="174">
    <w:name w:val="xl78"/>
    <w:basedOn w:val="1"/>
    <w:uiPriority w:val="0"/>
    <w:pPr>
      <w:widowControl/>
      <w:pBdr>
        <w:top w:val="single" w:color="auto" w:sz="8" w:space="0"/>
        <w:left w:val="single" w:color="auto" w:sz="8" w:space="0"/>
        <w:right w:val="single" w:color="auto" w:sz="8" w:space="0"/>
      </w:pBdr>
      <w:spacing w:before="100" w:beforeAutospacing="1" w:after="100" w:afterAutospacing="1"/>
      <w:jc w:val="left"/>
      <w:textAlignment w:val="center"/>
    </w:pPr>
    <w:rPr>
      <w:rFonts w:ascii="仿宋_GB2312" w:hAnsi="宋体" w:eastAsia="仿宋_GB2312" w:cs="宋体"/>
      <w:kern w:val="0"/>
      <w:sz w:val="24"/>
    </w:rPr>
  </w:style>
  <w:style w:type="paragraph" w:customStyle="1" w:styleId="175">
    <w:name w:val="xl79"/>
    <w:basedOn w:val="1"/>
    <w:uiPriority w:val="0"/>
    <w:pPr>
      <w:widowControl/>
      <w:pBdr>
        <w:left w:val="single" w:color="auto" w:sz="8" w:space="0"/>
        <w:bottom w:val="single" w:color="auto" w:sz="8" w:space="0"/>
        <w:right w:val="single" w:color="auto" w:sz="8" w:space="0"/>
      </w:pBdr>
      <w:spacing w:before="100" w:beforeAutospacing="1" w:after="100" w:afterAutospacing="1"/>
      <w:jc w:val="left"/>
      <w:textAlignment w:val="center"/>
    </w:pPr>
    <w:rPr>
      <w:rFonts w:ascii="仿宋_GB2312" w:hAnsi="宋体" w:eastAsia="仿宋_GB2312" w:cs="宋体"/>
      <w:kern w:val="0"/>
      <w:sz w:val="24"/>
    </w:rPr>
  </w:style>
  <w:style w:type="paragraph" w:customStyle="1" w:styleId="176">
    <w:name w:val="xl80"/>
    <w:basedOn w:val="1"/>
    <w:uiPriority w:val="0"/>
    <w:pPr>
      <w:widowControl/>
      <w:pBdr>
        <w:top w:val="single" w:color="auto" w:sz="8" w:space="0"/>
        <w:left w:val="single" w:color="auto" w:sz="8" w:space="0"/>
        <w:bottom w:val="single" w:color="auto" w:sz="8" w:space="0"/>
      </w:pBdr>
      <w:spacing w:before="100" w:beforeAutospacing="1" w:after="100" w:afterAutospacing="1"/>
      <w:jc w:val="left"/>
      <w:textAlignment w:val="center"/>
    </w:pPr>
    <w:rPr>
      <w:rFonts w:ascii="仿宋_GB2312" w:hAnsi="宋体" w:eastAsia="仿宋_GB2312" w:cs="宋体"/>
      <w:kern w:val="0"/>
      <w:sz w:val="24"/>
    </w:rPr>
  </w:style>
  <w:style w:type="paragraph" w:customStyle="1" w:styleId="177">
    <w:name w:val="xl81"/>
    <w:basedOn w:val="1"/>
    <w:uiPriority w:val="0"/>
    <w:pPr>
      <w:widowControl/>
      <w:pBdr>
        <w:top w:val="single" w:color="auto" w:sz="8" w:space="0"/>
        <w:bottom w:val="single" w:color="auto" w:sz="8" w:space="0"/>
      </w:pBdr>
      <w:spacing w:before="100" w:beforeAutospacing="1" w:after="100" w:afterAutospacing="1"/>
      <w:jc w:val="left"/>
      <w:textAlignment w:val="center"/>
    </w:pPr>
    <w:rPr>
      <w:rFonts w:ascii="仿宋_GB2312" w:hAnsi="宋体" w:eastAsia="仿宋_GB2312" w:cs="宋体"/>
      <w:kern w:val="0"/>
      <w:sz w:val="24"/>
    </w:rPr>
  </w:style>
  <w:style w:type="paragraph" w:customStyle="1" w:styleId="178">
    <w:name w:val="xl82"/>
    <w:basedOn w:val="1"/>
    <w:uiPriority w:val="0"/>
    <w:pPr>
      <w:widowControl/>
      <w:pBdr>
        <w:top w:val="single" w:color="auto" w:sz="8" w:space="0"/>
        <w:bottom w:val="single" w:color="auto" w:sz="8" w:space="0"/>
        <w:right w:val="single" w:color="auto" w:sz="8" w:space="0"/>
      </w:pBdr>
      <w:spacing w:before="100" w:beforeAutospacing="1" w:after="100" w:afterAutospacing="1"/>
      <w:jc w:val="left"/>
      <w:textAlignment w:val="center"/>
    </w:pPr>
    <w:rPr>
      <w:rFonts w:ascii="仿宋_GB2312" w:hAnsi="宋体" w:eastAsia="仿宋_GB2312" w:cs="宋体"/>
      <w:kern w:val="0"/>
      <w:sz w:val="24"/>
    </w:rPr>
  </w:style>
  <w:style w:type="paragraph" w:customStyle="1" w:styleId="179">
    <w:name w:val="xl83"/>
    <w:basedOn w:val="1"/>
    <w:uiPriority w:val="0"/>
    <w:pPr>
      <w:widowControl/>
      <w:pBdr>
        <w:top w:val="single" w:color="auto" w:sz="8" w:space="0"/>
        <w:left w:val="single" w:color="auto" w:sz="8" w:space="0"/>
        <w:bottom w:val="single" w:color="auto" w:sz="8" w:space="0"/>
      </w:pBdr>
      <w:spacing w:before="100" w:beforeAutospacing="1" w:after="100" w:afterAutospacing="1"/>
      <w:jc w:val="left"/>
      <w:textAlignment w:val="center"/>
    </w:pPr>
    <w:rPr>
      <w:rFonts w:ascii="仿宋_GB2312" w:hAnsi="宋体" w:eastAsia="仿宋_GB2312" w:cs="宋体"/>
      <w:kern w:val="0"/>
      <w:sz w:val="24"/>
    </w:rPr>
  </w:style>
  <w:style w:type="paragraph" w:customStyle="1" w:styleId="180">
    <w:name w:val="xl84"/>
    <w:basedOn w:val="1"/>
    <w:uiPriority w:val="0"/>
    <w:pPr>
      <w:widowControl/>
      <w:pBdr>
        <w:top w:val="single" w:color="auto" w:sz="8" w:space="0"/>
        <w:bottom w:val="single" w:color="auto" w:sz="8" w:space="0"/>
      </w:pBdr>
      <w:spacing w:before="100" w:beforeAutospacing="1" w:after="100" w:afterAutospacing="1"/>
      <w:jc w:val="left"/>
      <w:textAlignment w:val="center"/>
    </w:pPr>
    <w:rPr>
      <w:rFonts w:ascii="仿宋_GB2312" w:hAnsi="宋体" w:eastAsia="仿宋_GB2312" w:cs="宋体"/>
      <w:kern w:val="0"/>
      <w:sz w:val="24"/>
    </w:rPr>
  </w:style>
  <w:style w:type="paragraph" w:customStyle="1" w:styleId="181">
    <w:name w:val="xl85"/>
    <w:basedOn w:val="1"/>
    <w:uiPriority w:val="0"/>
    <w:pPr>
      <w:widowControl/>
      <w:pBdr>
        <w:left w:val="single" w:color="auto" w:sz="8" w:space="0"/>
        <w:right w:val="single" w:color="auto" w:sz="8" w:space="0"/>
      </w:pBdr>
      <w:spacing w:before="100" w:beforeAutospacing="1" w:after="100" w:afterAutospacing="1"/>
      <w:jc w:val="left"/>
      <w:textAlignment w:val="center"/>
    </w:pPr>
    <w:rPr>
      <w:rFonts w:ascii="等线" w:hAnsi="等线" w:eastAsia="等线" w:cs="宋体"/>
      <w:kern w:val="0"/>
      <w:sz w:val="24"/>
    </w:rPr>
  </w:style>
  <w:style w:type="paragraph" w:customStyle="1" w:styleId="182">
    <w:name w:val="xl86"/>
    <w:basedOn w:val="1"/>
    <w:uiPriority w:val="0"/>
    <w:pPr>
      <w:widowControl/>
      <w:pBdr>
        <w:top w:val="single" w:color="auto" w:sz="8" w:space="0"/>
        <w:left w:val="single" w:color="auto" w:sz="8" w:space="0"/>
        <w:right w:val="single" w:color="auto" w:sz="8" w:space="0"/>
      </w:pBdr>
      <w:spacing w:before="100" w:beforeAutospacing="1" w:after="100" w:afterAutospacing="1"/>
      <w:jc w:val="left"/>
      <w:textAlignment w:val="center"/>
    </w:pPr>
    <w:rPr>
      <w:rFonts w:ascii="等线" w:hAnsi="等线" w:eastAsia="等线" w:cs="宋体"/>
      <w:kern w:val="0"/>
      <w:sz w:val="24"/>
    </w:rPr>
  </w:style>
  <w:style w:type="paragraph" w:customStyle="1" w:styleId="183">
    <w:name w:val="xl87"/>
    <w:basedOn w:val="1"/>
    <w:uiPriority w:val="0"/>
    <w:pPr>
      <w:widowControl/>
      <w:pBdr>
        <w:left w:val="single" w:color="auto" w:sz="8" w:space="0"/>
        <w:right w:val="single" w:color="auto" w:sz="8" w:space="0"/>
      </w:pBdr>
      <w:spacing w:before="100" w:beforeAutospacing="1" w:after="100" w:afterAutospacing="1"/>
      <w:jc w:val="left"/>
      <w:textAlignment w:val="center"/>
    </w:pPr>
    <w:rPr>
      <w:rFonts w:ascii="仿宋_GB2312" w:hAnsi="宋体" w:eastAsia="仿宋_GB2312" w:cs="宋体"/>
      <w:kern w:val="0"/>
      <w:sz w:val="24"/>
    </w:rPr>
  </w:style>
  <w:style w:type="paragraph" w:customStyle="1" w:styleId="184">
    <w:name w:val="xl88"/>
    <w:basedOn w:val="1"/>
    <w:uiPriority w:val="0"/>
    <w:pPr>
      <w:widowControl/>
      <w:pBdr>
        <w:top w:val="single" w:color="auto" w:sz="8" w:space="0"/>
        <w:left w:val="single" w:color="auto" w:sz="8" w:space="0"/>
        <w:right w:val="single" w:color="auto" w:sz="8" w:space="0"/>
      </w:pBdr>
      <w:spacing w:before="100" w:beforeAutospacing="1" w:after="100" w:afterAutospacing="1"/>
      <w:jc w:val="left"/>
      <w:textAlignment w:val="center"/>
    </w:pPr>
    <w:rPr>
      <w:rFonts w:ascii="等线" w:hAnsi="等线" w:eastAsia="等线" w:cs="宋体"/>
      <w:kern w:val="0"/>
      <w:sz w:val="24"/>
    </w:rPr>
  </w:style>
  <w:style w:type="paragraph" w:customStyle="1" w:styleId="185">
    <w:name w:val="xl89"/>
    <w:basedOn w:val="1"/>
    <w:uiPriority w:val="0"/>
    <w:pPr>
      <w:widowControl/>
      <w:pBdr>
        <w:left w:val="single" w:color="auto" w:sz="8" w:space="0"/>
        <w:right w:val="single" w:color="auto" w:sz="8" w:space="0"/>
      </w:pBdr>
      <w:spacing w:before="100" w:beforeAutospacing="1" w:after="100" w:afterAutospacing="1"/>
      <w:jc w:val="left"/>
      <w:textAlignment w:val="center"/>
    </w:pPr>
    <w:rPr>
      <w:rFonts w:ascii="等线" w:hAnsi="等线" w:eastAsia="等线" w:cs="宋体"/>
      <w:kern w:val="0"/>
      <w:sz w:val="24"/>
    </w:rPr>
  </w:style>
  <w:style w:type="paragraph" w:customStyle="1" w:styleId="186">
    <w:name w:val="xl90"/>
    <w:basedOn w:val="1"/>
    <w:uiPriority w:val="0"/>
    <w:pPr>
      <w:widowControl/>
      <w:pBdr>
        <w:top w:val="single" w:color="auto" w:sz="8" w:space="0"/>
        <w:left w:val="single" w:color="auto" w:sz="8" w:space="0"/>
        <w:right w:val="single" w:color="auto" w:sz="8" w:space="0"/>
      </w:pBdr>
      <w:spacing w:before="100" w:beforeAutospacing="1" w:after="100" w:afterAutospacing="1"/>
      <w:jc w:val="left"/>
      <w:textAlignment w:val="center"/>
    </w:pPr>
    <w:rPr>
      <w:rFonts w:ascii="仿宋_GB2312" w:hAnsi="宋体" w:eastAsia="仿宋_GB2312" w:cs="宋体"/>
      <w:kern w:val="0"/>
      <w:sz w:val="24"/>
    </w:rPr>
  </w:style>
  <w:style w:type="paragraph" w:customStyle="1" w:styleId="187">
    <w:name w:val="xl91"/>
    <w:basedOn w:val="1"/>
    <w:uiPriority w:val="0"/>
    <w:pPr>
      <w:widowControl/>
      <w:pBdr>
        <w:left w:val="single" w:color="auto" w:sz="8" w:space="0"/>
        <w:bottom w:val="single" w:color="auto" w:sz="8" w:space="0"/>
        <w:right w:val="single" w:color="auto" w:sz="8" w:space="0"/>
      </w:pBdr>
      <w:spacing w:before="100" w:beforeAutospacing="1" w:after="100" w:afterAutospacing="1"/>
      <w:jc w:val="left"/>
      <w:textAlignment w:val="center"/>
    </w:pPr>
    <w:rPr>
      <w:rFonts w:ascii="仿宋_GB2312" w:hAnsi="宋体" w:eastAsia="仿宋_GB2312" w:cs="宋体"/>
      <w:kern w:val="0"/>
      <w:sz w:val="24"/>
    </w:rPr>
  </w:style>
  <w:style w:type="paragraph" w:customStyle="1" w:styleId="188">
    <w:name w:val="xl92"/>
    <w:basedOn w:val="1"/>
    <w:uiPriority w:val="0"/>
    <w:pPr>
      <w:widowControl/>
      <w:pBdr>
        <w:left w:val="single" w:color="auto" w:sz="8" w:space="0"/>
        <w:right w:val="single" w:color="auto" w:sz="8" w:space="0"/>
      </w:pBdr>
      <w:spacing w:before="100" w:beforeAutospacing="1" w:after="100" w:afterAutospacing="1"/>
      <w:jc w:val="left"/>
      <w:textAlignment w:val="center"/>
    </w:pPr>
    <w:rPr>
      <w:rFonts w:ascii="仿宋_GB2312" w:hAnsi="宋体" w:eastAsia="仿宋_GB2312" w:cs="宋体"/>
      <w:kern w:val="0"/>
      <w:sz w:val="24"/>
    </w:rPr>
  </w:style>
  <w:style w:type="paragraph" w:customStyle="1" w:styleId="189">
    <w:name w:val="xl93"/>
    <w:basedOn w:val="1"/>
    <w:uiPriority w:val="0"/>
    <w:pPr>
      <w:widowControl/>
      <w:pBdr>
        <w:top w:val="single" w:color="auto" w:sz="8" w:space="0"/>
        <w:left w:val="single" w:color="auto" w:sz="8" w:space="0"/>
        <w:right w:val="single" w:color="auto" w:sz="8" w:space="0"/>
      </w:pBdr>
      <w:spacing w:before="100" w:beforeAutospacing="1" w:after="100" w:afterAutospacing="1"/>
      <w:jc w:val="left"/>
      <w:textAlignment w:val="center"/>
    </w:pPr>
    <w:rPr>
      <w:rFonts w:ascii="仿宋_GB2312" w:hAnsi="宋体" w:eastAsia="仿宋_GB2312" w:cs="宋体"/>
      <w:color w:val="000000"/>
      <w:kern w:val="0"/>
      <w:sz w:val="24"/>
    </w:rPr>
  </w:style>
  <w:style w:type="paragraph" w:customStyle="1" w:styleId="190">
    <w:name w:val="xl94"/>
    <w:basedOn w:val="1"/>
    <w:uiPriority w:val="0"/>
    <w:pPr>
      <w:widowControl/>
      <w:pBdr>
        <w:left w:val="single" w:color="auto" w:sz="8" w:space="0"/>
        <w:right w:val="single" w:color="auto" w:sz="8" w:space="0"/>
      </w:pBdr>
      <w:spacing w:before="100" w:beforeAutospacing="1" w:after="100" w:afterAutospacing="1"/>
      <w:jc w:val="left"/>
      <w:textAlignment w:val="center"/>
    </w:pPr>
    <w:rPr>
      <w:rFonts w:ascii="仿宋_GB2312" w:hAnsi="宋体" w:eastAsia="仿宋_GB2312" w:cs="宋体"/>
      <w:color w:val="000000"/>
      <w:kern w:val="0"/>
      <w:sz w:val="24"/>
    </w:rPr>
  </w:style>
  <w:style w:type="paragraph" w:customStyle="1" w:styleId="191">
    <w:name w:val="xl95"/>
    <w:basedOn w:val="1"/>
    <w:uiPriority w:val="0"/>
    <w:pPr>
      <w:widowControl/>
      <w:pBdr>
        <w:left w:val="single" w:color="auto" w:sz="8" w:space="0"/>
        <w:bottom w:val="single" w:color="auto" w:sz="8" w:space="0"/>
        <w:right w:val="single" w:color="auto" w:sz="8" w:space="0"/>
      </w:pBdr>
      <w:spacing w:before="100" w:beforeAutospacing="1" w:after="100" w:afterAutospacing="1"/>
      <w:jc w:val="left"/>
      <w:textAlignment w:val="center"/>
    </w:pPr>
    <w:rPr>
      <w:rFonts w:ascii="仿宋_GB2312" w:hAnsi="宋体" w:eastAsia="仿宋_GB2312" w:cs="宋体"/>
      <w:color w:val="000000"/>
      <w:kern w:val="0"/>
      <w:sz w:val="24"/>
    </w:rPr>
  </w:style>
  <w:style w:type="paragraph" w:customStyle="1" w:styleId="192">
    <w:name w:val="xl96"/>
    <w:basedOn w:val="1"/>
    <w:uiPriority w:val="0"/>
    <w:pPr>
      <w:widowControl/>
      <w:pBdr>
        <w:top w:val="single" w:color="auto" w:sz="8" w:space="0"/>
        <w:left w:val="single" w:color="auto" w:sz="8" w:space="0"/>
        <w:right w:val="single" w:color="auto" w:sz="8" w:space="0"/>
      </w:pBdr>
      <w:spacing w:before="100" w:beforeAutospacing="1" w:after="100" w:afterAutospacing="1"/>
      <w:jc w:val="left"/>
      <w:textAlignment w:val="center"/>
    </w:pPr>
    <w:rPr>
      <w:rFonts w:ascii="仿宋_GB2312" w:hAnsi="宋体" w:eastAsia="仿宋_GB2312" w:cs="宋体"/>
      <w:color w:val="FF0000"/>
      <w:kern w:val="0"/>
      <w:sz w:val="24"/>
    </w:rPr>
  </w:style>
  <w:style w:type="paragraph" w:customStyle="1" w:styleId="193">
    <w:name w:val="xl97"/>
    <w:basedOn w:val="1"/>
    <w:uiPriority w:val="0"/>
    <w:pPr>
      <w:widowControl/>
      <w:pBdr>
        <w:left w:val="single" w:color="auto" w:sz="8" w:space="0"/>
        <w:right w:val="single" w:color="auto" w:sz="8" w:space="0"/>
      </w:pBdr>
      <w:spacing w:before="100" w:beforeAutospacing="1" w:after="100" w:afterAutospacing="1"/>
      <w:jc w:val="left"/>
      <w:textAlignment w:val="center"/>
    </w:pPr>
    <w:rPr>
      <w:rFonts w:ascii="仿宋_GB2312" w:hAnsi="宋体" w:eastAsia="仿宋_GB2312" w:cs="宋体"/>
      <w:color w:val="FF0000"/>
      <w:kern w:val="0"/>
      <w:sz w:val="24"/>
    </w:rPr>
  </w:style>
  <w:style w:type="paragraph" w:customStyle="1" w:styleId="194">
    <w:name w:val="xl98"/>
    <w:basedOn w:val="1"/>
    <w:uiPriority w:val="0"/>
    <w:pPr>
      <w:widowControl/>
      <w:pBdr>
        <w:left w:val="single" w:color="auto" w:sz="8" w:space="0"/>
        <w:bottom w:val="single" w:color="auto" w:sz="8" w:space="0"/>
        <w:right w:val="single" w:color="auto" w:sz="8" w:space="0"/>
      </w:pBdr>
      <w:spacing w:before="100" w:beforeAutospacing="1" w:after="100" w:afterAutospacing="1"/>
      <w:jc w:val="left"/>
      <w:textAlignment w:val="center"/>
    </w:pPr>
    <w:rPr>
      <w:rFonts w:ascii="仿宋_GB2312" w:hAnsi="宋体" w:eastAsia="仿宋_GB2312" w:cs="宋体"/>
      <w:color w:val="FF0000"/>
      <w:kern w:val="0"/>
      <w:sz w:val="24"/>
    </w:rPr>
  </w:style>
  <w:style w:type="paragraph" w:customStyle="1" w:styleId="195">
    <w:name w:val="xl99"/>
    <w:basedOn w:val="1"/>
    <w:uiPriority w:val="0"/>
    <w:pPr>
      <w:widowControl/>
      <w:pBdr>
        <w:top w:val="single" w:color="auto" w:sz="8" w:space="0"/>
        <w:left w:val="single" w:color="auto" w:sz="8" w:space="0"/>
        <w:right w:val="single" w:color="auto" w:sz="4" w:space="0"/>
      </w:pBdr>
      <w:spacing w:before="100" w:beforeAutospacing="1" w:after="100" w:afterAutospacing="1"/>
      <w:jc w:val="left"/>
      <w:textAlignment w:val="center"/>
    </w:pPr>
    <w:rPr>
      <w:rFonts w:ascii="仿宋_GB2312" w:hAnsi="宋体" w:eastAsia="仿宋_GB2312" w:cs="宋体"/>
      <w:kern w:val="0"/>
      <w:sz w:val="24"/>
    </w:rPr>
  </w:style>
  <w:style w:type="paragraph" w:customStyle="1" w:styleId="196">
    <w:name w:val="xl100"/>
    <w:basedOn w:val="1"/>
    <w:uiPriority w:val="0"/>
    <w:pPr>
      <w:widowControl/>
      <w:pBdr>
        <w:left w:val="single" w:color="auto" w:sz="8" w:space="0"/>
        <w:bottom w:val="single" w:color="auto" w:sz="8" w:space="0"/>
        <w:right w:val="single" w:color="auto" w:sz="4" w:space="0"/>
      </w:pBdr>
      <w:spacing w:before="100" w:beforeAutospacing="1" w:after="100" w:afterAutospacing="1"/>
      <w:jc w:val="left"/>
      <w:textAlignment w:val="center"/>
    </w:pPr>
    <w:rPr>
      <w:rFonts w:ascii="仿宋_GB2312" w:hAnsi="宋体" w:eastAsia="仿宋_GB2312" w:cs="宋体"/>
      <w:kern w:val="0"/>
      <w:sz w:val="24"/>
    </w:rPr>
  </w:style>
  <w:style w:type="paragraph" w:customStyle="1" w:styleId="197">
    <w:name w:val="xl101"/>
    <w:basedOn w:val="1"/>
    <w:uiPriority w:val="0"/>
    <w:pPr>
      <w:widowControl/>
      <w:pBdr>
        <w:bottom w:val="single" w:color="auto" w:sz="8" w:space="0"/>
        <w:right w:val="single" w:color="auto" w:sz="4" w:space="0"/>
      </w:pBdr>
      <w:spacing w:before="100" w:beforeAutospacing="1" w:after="100" w:afterAutospacing="1"/>
      <w:jc w:val="left"/>
      <w:textAlignment w:val="center"/>
    </w:pPr>
    <w:rPr>
      <w:rFonts w:ascii="仿宋_GB2312" w:hAnsi="宋体" w:eastAsia="仿宋_GB2312" w:cs="宋体"/>
      <w:kern w:val="0"/>
      <w:sz w:val="24"/>
    </w:rPr>
  </w:style>
  <w:style w:type="paragraph" w:customStyle="1" w:styleId="198">
    <w:name w:val="xl102"/>
    <w:basedOn w:val="1"/>
    <w:uiPriority w:val="0"/>
    <w:pPr>
      <w:widowControl/>
      <w:pBdr>
        <w:top w:val="single" w:color="auto" w:sz="8" w:space="0"/>
        <w:left w:val="single" w:color="auto" w:sz="8" w:space="0"/>
        <w:right w:val="single" w:color="auto" w:sz="4" w:space="0"/>
      </w:pBdr>
      <w:spacing w:before="100" w:beforeAutospacing="1" w:after="100" w:afterAutospacing="1"/>
      <w:jc w:val="left"/>
      <w:textAlignment w:val="center"/>
    </w:pPr>
    <w:rPr>
      <w:rFonts w:ascii="等线" w:hAnsi="等线" w:eastAsia="等线" w:cs="宋体"/>
      <w:kern w:val="0"/>
      <w:sz w:val="24"/>
    </w:rPr>
  </w:style>
  <w:style w:type="paragraph" w:customStyle="1" w:styleId="199">
    <w:name w:val="xl103"/>
    <w:basedOn w:val="1"/>
    <w:uiPriority w:val="0"/>
    <w:pPr>
      <w:widowControl/>
      <w:pBdr>
        <w:left w:val="single" w:color="auto" w:sz="8" w:space="0"/>
        <w:right w:val="single" w:color="auto" w:sz="4" w:space="0"/>
      </w:pBdr>
      <w:spacing w:before="100" w:beforeAutospacing="1" w:after="100" w:afterAutospacing="1"/>
      <w:jc w:val="left"/>
      <w:textAlignment w:val="center"/>
    </w:pPr>
    <w:rPr>
      <w:rFonts w:ascii="等线" w:hAnsi="等线" w:eastAsia="等线" w:cs="宋体"/>
      <w:kern w:val="0"/>
      <w:sz w:val="24"/>
    </w:rPr>
  </w:style>
  <w:style w:type="paragraph" w:customStyle="1" w:styleId="200">
    <w:name w:val="xl104"/>
    <w:basedOn w:val="1"/>
    <w:uiPriority w:val="0"/>
    <w:pPr>
      <w:widowControl/>
      <w:pBdr>
        <w:left w:val="single" w:color="auto" w:sz="8" w:space="0"/>
        <w:bottom w:val="single" w:color="auto" w:sz="8" w:space="0"/>
        <w:right w:val="single" w:color="auto" w:sz="4" w:space="0"/>
      </w:pBdr>
      <w:spacing w:before="100" w:beforeAutospacing="1" w:after="100" w:afterAutospacing="1"/>
      <w:jc w:val="left"/>
      <w:textAlignment w:val="center"/>
    </w:pPr>
    <w:rPr>
      <w:rFonts w:ascii="等线" w:hAnsi="等线" w:eastAsia="等线" w:cs="宋体"/>
      <w:kern w:val="0"/>
      <w:sz w:val="24"/>
    </w:rPr>
  </w:style>
  <w:style w:type="paragraph" w:customStyle="1" w:styleId="201">
    <w:name w:val="xl105"/>
    <w:basedOn w:val="1"/>
    <w:uiPriority w:val="0"/>
    <w:pPr>
      <w:widowControl/>
      <w:pBdr>
        <w:left w:val="single" w:color="auto" w:sz="8" w:space="0"/>
        <w:right w:val="single" w:color="auto" w:sz="4" w:space="0"/>
      </w:pBdr>
      <w:spacing w:before="100" w:beforeAutospacing="1" w:after="100" w:afterAutospacing="1"/>
      <w:jc w:val="left"/>
      <w:textAlignment w:val="center"/>
    </w:pPr>
    <w:rPr>
      <w:rFonts w:ascii="仿宋_GB2312" w:hAnsi="宋体" w:eastAsia="仿宋_GB2312" w:cs="宋体"/>
      <w:kern w:val="0"/>
      <w:sz w:val="24"/>
    </w:rPr>
  </w:style>
  <w:style w:type="paragraph" w:customStyle="1" w:styleId="202">
    <w:name w:val="xl106"/>
    <w:basedOn w:val="1"/>
    <w:uiPriority w:val="0"/>
    <w:pPr>
      <w:widowControl/>
      <w:pBdr>
        <w:bottom w:val="single" w:color="auto" w:sz="8" w:space="0"/>
        <w:right w:val="single" w:color="auto" w:sz="4" w:space="0"/>
      </w:pBdr>
      <w:spacing w:before="100" w:beforeAutospacing="1" w:after="100" w:afterAutospacing="1"/>
      <w:jc w:val="left"/>
      <w:textAlignment w:val="center"/>
    </w:pPr>
    <w:rPr>
      <w:rFonts w:ascii="仿宋_GB2312" w:hAnsi="宋体" w:eastAsia="仿宋_GB2312" w:cs="宋体"/>
      <w:kern w:val="0"/>
      <w:sz w:val="24"/>
    </w:rPr>
  </w:style>
  <w:style w:type="paragraph" w:customStyle="1" w:styleId="203">
    <w:name w:val="xl107"/>
    <w:basedOn w:val="1"/>
    <w:uiPriority w:val="0"/>
    <w:pPr>
      <w:widowControl/>
      <w:pBdr>
        <w:top w:val="single" w:color="auto" w:sz="8" w:space="0"/>
        <w:left w:val="single" w:color="auto" w:sz="8" w:space="0"/>
        <w:right w:val="single" w:color="auto" w:sz="4" w:space="0"/>
      </w:pBdr>
      <w:spacing w:before="100" w:beforeAutospacing="1" w:after="100" w:afterAutospacing="1"/>
      <w:jc w:val="left"/>
      <w:textAlignment w:val="center"/>
    </w:pPr>
    <w:rPr>
      <w:rFonts w:ascii="仿宋_GB2312" w:hAnsi="宋体" w:eastAsia="仿宋_GB2312" w:cs="宋体"/>
      <w:kern w:val="0"/>
      <w:sz w:val="24"/>
    </w:rPr>
  </w:style>
  <w:style w:type="paragraph" w:customStyle="1" w:styleId="204">
    <w:name w:val="xl108"/>
    <w:basedOn w:val="1"/>
    <w:uiPriority w:val="0"/>
    <w:pPr>
      <w:widowControl/>
      <w:pBdr>
        <w:left w:val="single" w:color="auto" w:sz="8" w:space="0"/>
        <w:bottom w:val="single" w:color="auto" w:sz="8" w:space="0"/>
        <w:right w:val="single" w:color="auto" w:sz="4" w:space="0"/>
      </w:pBdr>
      <w:spacing w:before="100" w:beforeAutospacing="1" w:after="100" w:afterAutospacing="1"/>
      <w:jc w:val="left"/>
      <w:textAlignment w:val="center"/>
    </w:pPr>
    <w:rPr>
      <w:rFonts w:ascii="仿宋_GB2312" w:hAnsi="宋体" w:eastAsia="仿宋_GB2312" w:cs="宋体"/>
      <w:kern w:val="0"/>
      <w:sz w:val="24"/>
    </w:rPr>
  </w:style>
  <w:style w:type="paragraph" w:customStyle="1" w:styleId="205">
    <w:name w:val="xl109"/>
    <w:basedOn w:val="1"/>
    <w:uiPriority w:val="0"/>
    <w:pPr>
      <w:widowControl/>
      <w:pBdr>
        <w:left w:val="single" w:color="auto" w:sz="8" w:space="0"/>
        <w:right w:val="single" w:color="auto" w:sz="4" w:space="0"/>
      </w:pBdr>
      <w:spacing w:before="100" w:beforeAutospacing="1" w:after="100" w:afterAutospacing="1"/>
      <w:jc w:val="left"/>
      <w:textAlignment w:val="center"/>
    </w:pPr>
    <w:rPr>
      <w:rFonts w:ascii="仿宋_GB2312" w:hAnsi="宋体" w:eastAsia="仿宋_GB2312" w:cs="宋体"/>
      <w:kern w:val="0"/>
      <w:sz w:val="24"/>
    </w:rPr>
  </w:style>
  <w:style w:type="paragraph" w:customStyle="1" w:styleId="206">
    <w:name w:val="xl110"/>
    <w:basedOn w:val="1"/>
    <w:uiPriority w:val="0"/>
    <w:pPr>
      <w:widowControl/>
      <w:pBdr>
        <w:right w:val="single" w:color="auto" w:sz="4" w:space="0"/>
      </w:pBdr>
      <w:spacing w:before="100" w:beforeAutospacing="1" w:after="100" w:afterAutospacing="1"/>
      <w:jc w:val="left"/>
    </w:pPr>
    <w:rPr>
      <w:rFonts w:ascii="宋体" w:hAnsi="宋体" w:cs="宋体"/>
      <w:kern w:val="0"/>
      <w:sz w:val="24"/>
    </w:rPr>
  </w:style>
  <w:style w:type="paragraph" w:customStyle="1" w:styleId="207">
    <w:name w:val="xl11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仿宋_GB2312" w:hAnsi="宋体" w:eastAsia="仿宋_GB2312" w:cs="宋体"/>
      <w:kern w:val="0"/>
      <w:sz w:val="24"/>
    </w:rPr>
  </w:style>
  <w:style w:type="paragraph" w:customStyle="1" w:styleId="208">
    <w:name w:val="xl11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仿宋_GB2312" w:hAnsi="宋体" w:eastAsia="仿宋_GB2312" w:cs="宋体"/>
      <w:kern w:val="0"/>
      <w:sz w:val="24"/>
    </w:rPr>
  </w:style>
  <w:style w:type="paragraph" w:customStyle="1" w:styleId="209">
    <w:name w:val="xl11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等线" w:hAnsi="等线" w:eastAsia="等线" w:cs="宋体"/>
      <w:kern w:val="0"/>
      <w:sz w:val="24"/>
    </w:rPr>
  </w:style>
  <w:style w:type="character" w:customStyle="1" w:styleId="210">
    <w:name w:val="页脚 字符"/>
    <w:uiPriority w:val="99"/>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footer4.xml" Type="http://schemas.openxmlformats.org/officeDocument/2006/relationships/footer"/><Relationship Id="rId11" Target="footer5.xml" Type="http://schemas.openxmlformats.org/officeDocument/2006/relationships/footer"/><Relationship Id="rId12" Target="footer6.xml" Type="http://schemas.openxmlformats.org/officeDocument/2006/relationships/footer"/><Relationship Id="rId13" Target="footer7.xml" Type="http://schemas.openxmlformats.org/officeDocument/2006/relationships/footer"/><Relationship Id="rId14" Target="footer8.xml" Type="http://schemas.openxmlformats.org/officeDocument/2006/relationships/footer"/><Relationship Id="rId15" Target="theme/theme1.xml" Type="http://schemas.openxmlformats.org/officeDocument/2006/relationships/theme"/><Relationship Id="rId16" Target="media/image1.emf" Type="http://schemas.openxmlformats.org/officeDocument/2006/relationships/image"/><Relationship Id="rId17" Target="media/image2.emf" Type="http://schemas.openxmlformats.org/officeDocument/2006/relationships/image"/><Relationship Id="rId18" Target="embeddings/oleObject1.bin" Type="http://schemas.openxmlformats.org/officeDocument/2006/relationships/oleObject"/><Relationship Id="rId19" Target="media/image3.emf" Type="http://schemas.openxmlformats.org/officeDocument/2006/relationships/image"/><Relationship Id="rId2" Target="settings.xml" Type="http://schemas.openxmlformats.org/officeDocument/2006/relationships/settings"/><Relationship Id="rId20" Target="embeddings/oleObject2.bin" Type="http://schemas.openxmlformats.org/officeDocument/2006/relationships/oleObject"/><Relationship Id="rId21" Target="media/image4.emf" Type="http://schemas.openxmlformats.org/officeDocument/2006/relationships/image"/><Relationship Id="rId22" Target="media/image5.jpeg" Type="http://schemas.openxmlformats.org/officeDocument/2006/relationships/image"/><Relationship Id="rId23" Target="media/image6.jpeg" Type="http://schemas.openxmlformats.org/officeDocument/2006/relationships/image"/><Relationship Id="rId24" Target="media/image7.png" Type="http://schemas.openxmlformats.org/officeDocument/2006/relationships/image"/><Relationship Id="rId25" Target="media/image8.png" Type="http://schemas.openxmlformats.org/officeDocument/2006/relationships/image"/><Relationship Id="rId26" Target="media/image9.jpeg" Type="http://schemas.openxmlformats.org/officeDocument/2006/relationships/image"/><Relationship Id="rId27" Target="media/image10.jpeg" Type="http://schemas.openxmlformats.org/officeDocument/2006/relationships/image"/><Relationship Id="rId28" Target="media/image11.jpeg" Type="http://schemas.openxmlformats.org/officeDocument/2006/relationships/image"/><Relationship Id="rId29" Target="media/image12.jpeg" Type="http://schemas.openxmlformats.org/officeDocument/2006/relationships/image"/><Relationship Id="rId3" Target="header1.xml" Type="http://schemas.openxmlformats.org/officeDocument/2006/relationships/header"/><Relationship Id="rId30" Target="media/image13.png" Type="http://schemas.openxmlformats.org/officeDocument/2006/relationships/image"/><Relationship Id="rId31" Target="media/image14.png" Type="http://schemas.openxmlformats.org/officeDocument/2006/relationships/image"/><Relationship Id="rId32" Target="media/image15.jpeg" Type="http://schemas.openxmlformats.org/officeDocument/2006/relationships/image"/><Relationship Id="rId33" Target="media/image16.png" Type="http://schemas.openxmlformats.org/officeDocument/2006/relationships/image"/><Relationship Id="rId34" Target="media/image17.jpeg" Type="http://schemas.openxmlformats.org/officeDocument/2006/relationships/image"/><Relationship Id="rId35" Target="media/image18.png" Type="http://schemas.openxmlformats.org/officeDocument/2006/relationships/image"/><Relationship Id="rId36" Target="media/image19.png" Type="http://schemas.openxmlformats.org/officeDocument/2006/relationships/image"/><Relationship Id="rId37" Target="media/image20.png" Type="http://schemas.openxmlformats.org/officeDocument/2006/relationships/image"/><Relationship Id="rId38" Target="media/image21.jpeg" Type="http://schemas.openxmlformats.org/officeDocument/2006/relationships/image"/><Relationship Id="rId39" Target="media/image22.png" Type="http://schemas.openxmlformats.org/officeDocument/2006/relationships/image"/><Relationship Id="rId4" Target="footer1.xml" Type="http://schemas.openxmlformats.org/officeDocument/2006/relationships/footer"/><Relationship Id="rId40" Target="media/image23.png" Type="http://schemas.openxmlformats.org/officeDocument/2006/relationships/image"/><Relationship Id="rId41" Target="media/image24.png" Type="http://schemas.openxmlformats.org/officeDocument/2006/relationships/image"/><Relationship Id="rId42" Target="media/image25.png" Type="http://schemas.openxmlformats.org/officeDocument/2006/relationships/image"/><Relationship Id="rId43" Target="media/image26.png" Type="http://schemas.openxmlformats.org/officeDocument/2006/relationships/image"/><Relationship Id="rId44" Target="media/image27.png" Type="http://schemas.openxmlformats.org/officeDocument/2006/relationships/image"/><Relationship Id="rId45" Target="media/image28.png" Type="http://schemas.openxmlformats.org/officeDocument/2006/relationships/image"/><Relationship Id="rId46" Target="media/image29.png" Type="http://schemas.openxmlformats.org/officeDocument/2006/relationships/image"/><Relationship Id="rId47" Target="media/image30.jpeg" Type="http://schemas.openxmlformats.org/officeDocument/2006/relationships/image"/><Relationship Id="rId48" Target="media/image31.png" Type="http://schemas.openxmlformats.org/officeDocument/2006/relationships/image"/><Relationship Id="rId49" Target="media/image32.png" Type="http://schemas.openxmlformats.org/officeDocument/2006/relationships/image"/><Relationship Id="rId5" Target="footer2.xml" Type="http://schemas.openxmlformats.org/officeDocument/2006/relationships/footer"/><Relationship Id="rId50" Target="media/image33.emf" Type="http://schemas.openxmlformats.org/officeDocument/2006/relationships/image"/><Relationship Id="rId51" Target="media/image34.emf" Type="http://schemas.openxmlformats.org/officeDocument/2006/relationships/image"/><Relationship Id="rId52" Target="media/image35.emf" Type="http://schemas.openxmlformats.org/officeDocument/2006/relationships/image"/><Relationship Id="rId53" Target="media/image36.emf" Type="http://schemas.openxmlformats.org/officeDocument/2006/relationships/image"/><Relationship Id="rId54" Target="media/image37.emf" Type="http://schemas.openxmlformats.org/officeDocument/2006/relationships/image"/><Relationship Id="rId55" Target="media/image38.emf" Type="http://schemas.openxmlformats.org/officeDocument/2006/relationships/image"/><Relationship Id="rId56" Target="media/image39.emf" Type="http://schemas.openxmlformats.org/officeDocument/2006/relationships/image"/><Relationship Id="rId57" Target="media/image40.emf" Type="http://schemas.openxmlformats.org/officeDocument/2006/relationships/image"/><Relationship Id="rId58" Target="media/image41.emf" Type="http://schemas.openxmlformats.org/officeDocument/2006/relationships/image"/><Relationship Id="rId59" Target="media/image42.emf" Type="http://schemas.openxmlformats.org/officeDocument/2006/relationships/image"/><Relationship Id="rId6" Target="header2.xml" Type="http://schemas.openxmlformats.org/officeDocument/2006/relationships/header"/><Relationship Id="rId60" Target="media/image43.emf" Type="http://schemas.openxmlformats.org/officeDocument/2006/relationships/image"/><Relationship Id="rId61" Target="media/image44.emf" Type="http://schemas.openxmlformats.org/officeDocument/2006/relationships/image"/><Relationship Id="rId62" Target="media/image45.emf" Type="http://schemas.openxmlformats.org/officeDocument/2006/relationships/image"/><Relationship Id="rId63" Target="media/image46.emf" Type="http://schemas.openxmlformats.org/officeDocument/2006/relationships/image"/><Relationship Id="rId64" Target="media/image47.emf" Type="http://schemas.openxmlformats.org/officeDocument/2006/relationships/image"/><Relationship Id="rId65" Target="media/image48.emf" Type="http://schemas.openxmlformats.org/officeDocument/2006/relationships/image"/><Relationship Id="rId66" Target="media/image49.emf" Type="http://schemas.openxmlformats.org/officeDocument/2006/relationships/image"/><Relationship Id="rId67" Target="media/image50.emf" Type="http://schemas.openxmlformats.org/officeDocument/2006/relationships/image"/><Relationship Id="rId68" Target="media/image51.emf" Type="http://schemas.openxmlformats.org/officeDocument/2006/relationships/image"/><Relationship Id="rId69" Target="media/image52.emf" Type="http://schemas.openxmlformats.org/officeDocument/2006/relationships/image"/><Relationship Id="rId7" Target="header3.xml" Type="http://schemas.openxmlformats.org/officeDocument/2006/relationships/header"/><Relationship Id="rId70" Target="media/image53.emf" Type="http://schemas.openxmlformats.org/officeDocument/2006/relationships/image"/><Relationship Id="rId71" Target="media/image54.emf" Type="http://schemas.openxmlformats.org/officeDocument/2006/relationships/image"/><Relationship Id="rId72" Target="media/image55.jpeg" Type="http://schemas.openxmlformats.org/officeDocument/2006/relationships/image"/><Relationship Id="rId73" Target="media/image56.png" Type="http://schemas.openxmlformats.org/officeDocument/2006/relationships/image"/><Relationship Id="rId74" Target="media/image57.png" Type="http://schemas.openxmlformats.org/officeDocument/2006/relationships/image"/><Relationship Id="rId75" Target="media/image58.png" Type="http://schemas.openxmlformats.org/officeDocument/2006/relationships/image"/><Relationship Id="rId76" Target="media/image59.png" Type="http://schemas.openxmlformats.org/officeDocument/2006/relationships/image"/><Relationship Id="rId77" Target="media/image60.png" Type="http://schemas.openxmlformats.org/officeDocument/2006/relationships/image"/><Relationship Id="rId78" Target="media/image61.emf" Type="http://schemas.openxmlformats.org/officeDocument/2006/relationships/image"/><Relationship Id="rId79" Target="embeddings/oleObject3.bin" Type="http://schemas.openxmlformats.org/officeDocument/2006/relationships/oleObject"/><Relationship Id="rId8" Target="header4.xml" Type="http://schemas.openxmlformats.org/officeDocument/2006/relationships/header"/><Relationship Id="rId80" Target="media/image62.emf" Type="http://schemas.openxmlformats.org/officeDocument/2006/relationships/image"/><Relationship Id="rId81" Target="media/image63.png" Type="http://schemas.openxmlformats.org/officeDocument/2006/relationships/image"/><Relationship Id="rId82" Target="embeddings/oleObject4.bin" Type="http://schemas.openxmlformats.org/officeDocument/2006/relationships/oleObject"/><Relationship Id="rId83" Target="media/image64.emf" Type="http://schemas.openxmlformats.org/officeDocument/2006/relationships/image"/><Relationship Id="rId84" Target="media/image65.png" Type="http://schemas.openxmlformats.org/officeDocument/2006/relationships/image"/><Relationship Id="rId85" Target="media/image66.emf" Type="http://schemas.openxmlformats.org/officeDocument/2006/relationships/image"/><Relationship Id="rId86" Target="../customXml/item1.xml" Type="http://schemas.openxmlformats.org/officeDocument/2006/relationships/customXml"/><Relationship Id="rId87" Target="numbering.xml" Type="http://schemas.openxmlformats.org/officeDocument/2006/relationships/numbering"/><Relationship Id="rId88" Target="../customXml/item2.xml" Type="http://schemas.openxmlformats.org/officeDocument/2006/relationships/customXml"/><Relationship Id="rId89" Target="fontTable.xml" Type="http://schemas.openxmlformats.org/officeDocument/2006/relationships/fontTable"/><Relationship Id="rId9" Target="footer3.xml" Type="http://schemas.openxmlformats.org/officeDocument/2006/relationships/footer"/></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243"/>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253"/>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69"/>
    <customShpInfo spid="_x0000_s1270"/>
    <customShpInfo spid="_x0000_s1271"/>
    <customShpInfo spid="_x0000_s1272"/>
    <customShpInfo spid="_x0000_s1273"/>
    <customShpInfo spid="_x0000_s1274"/>
    <customShpInfo spid="_x0000_s1275"/>
    <customShpInfo spid="_x0000_s1276"/>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86"/>
    <customShpInfo spid="_x0000_s1287"/>
    <customShpInfo spid="_x0000_s1288"/>
    <customShpInfo spid="_x0000_s1289"/>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6"/>
    <customShpInfo spid="_x0000_s1307"/>
    <customShpInfo spid="_x0000_s1308"/>
    <customShpInfo spid="_x0000_s1309"/>
    <customShpInfo spid="_x0000_s1310"/>
    <customShpInfo spid="_x0000_s1311"/>
    <customShpInfo spid="_x0000_s1312"/>
    <customShpInfo spid="_x0000_s1313"/>
    <customShpInfo spid="_x0000_s1314"/>
    <customShpInfo spid="_x0000_s1315"/>
    <customShpInfo spid="_x0000_s1316"/>
    <customShpInfo spid="_x0000_s1317"/>
    <customShpInfo spid="_x0000_s1318"/>
    <customShpInfo spid="_x0000_s1319"/>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8"/>
    <customShpInfo spid="_x0000_s1349"/>
    <customShpInfo spid="_x0000_s1242"/>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65C89C1-8FEE-4BFF-9E63-E7525F614B30}">
  <ds:schemaRefs/>
</ds:datastoreItem>
</file>

<file path=docProps/app.xml><?xml version="1.0" encoding="utf-8"?>
<Properties xmlns="http://schemas.openxmlformats.org/officeDocument/2006/extended-properties" xmlns:vt="http://schemas.openxmlformats.org/officeDocument/2006/docPropsVTypes">
  <Template>Normal</Template>
  <Pages>251</Pages>
  <Words>28541</Words>
  <Characters>162685</Characters>
  <Lines>1355</Lines>
  <Paragraphs>381</Paragraphs>
  <TotalTime>153</TotalTime>
  <ScaleCrop>false</ScaleCrop>
  <LinksUpToDate>false</LinksUpToDate>
  <CharactersWithSpaces>190845</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2019-05-22T15:02:00Z</dcterms:created>
  <dc:creator>史先生</dc:creator>
  <cp:lastModifiedBy>lenovo</cp:lastModifiedBy>
  <cp:lastPrinted>2019-05-08T06:22:00Z</cp:lastPrinted>
  <dcterms:modified xsi:type="dcterms:W3CDTF">2019-05-23T22:12:49Z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SEDS_HWMT_d46a6755">
    <vt:lpwstr>f2455991_mFV0yz84Jyk3P8pPmHv9rznV5rU=_8QYrr1hKSzwxOaMsknKYqugCst9If/U6FMhYySka9j4cQ06gtJ9puOYCOoZhMMceBB0UI0a6J5CWG82ae5a5T/7xyETAqw==_2c69b0b9</vt:lpwstr>
  </property>
  <property fmtid="{D5CDD505-2E9C-101B-9397-08002B2CF9AE}" pid="3" name="KSOProductBuildVer">
    <vt:lpwstr>2052-11.1.0.8214</vt:lpwstr>
  </property>
</Properties>
</file>